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after="1"/>
        <w:rPr>
          <w:rFonts w:ascii="Times New Roman"/>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jc w:val="center"/>
              <w:rPr>
                <w:sz w:val="14"/>
              </w:rPr>
            </w:pPr>
            <w:r>
              <w:rPr>
                <w:color w:val="005DA1"/>
                <w:spacing w:val="-2"/>
                <w:sz w:val="14"/>
                <w:u w:val="single" w:color="005DA1"/>
              </w:rPr>
              <w:t>1601</w:t>
            </w:r>
            <w:r>
              <w:rPr>
                <w:spacing w:val="-2"/>
                <w:sz w:val="14"/>
              </w:rPr>
              <w:t>.</w:t>
            </w:r>
          </w:p>
        </w:tc>
        <w:tc>
          <w:tcPr>
            <w:tcW w:w="8620" w:type="dxa"/>
          </w:tcPr>
          <w:p>
            <w:pPr>
              <w:pStyle w:val="TableParagraph"/>
              <w:spacing w:line="221" w:lineRule="exact" w:before="0"/>
              <w:ind w:left="94" w:right="0"/>
              <w:rPr>
                <w:sz w:val="20"/>
              </w:rPr>
            </w:pPr>
            <w:r>
              <w:rPr>
                <w:rFonts w:ascii="Arial"/>
                <w:i/>
                <w:sz w:val="20"/>
              </w:rPr>
              <w:t>R.</w:t>
            </w:r>
            <w:r>
              <w:rPr>
                <w:rFonts w:ascii="Arial"/>
                <w:i/>
                <w:spacing w:val="23"/>
                <w:sz w:val="20"/>
              </w:rPr>
              <w:t> </w:t>
            </w:r>
            <w:r>
              <w:rPr>
                <w:rFonts w:ascii="Arial"/>
                <w:i/>
                <w:sz w:val="20"/>
              </w:rPr>
              <w:t>(Heather)</w:t>
            </w:r>
            <w:r>
              <w:rPr>
                <w:rFonts w:ascii="Arial"/>
                <w:i/>
                <w:spacing w:val="23"/>
                <w:sz w:val="20"/>
              </w:rPr>
              <w:t> </w:t>
            </w:r>
            <w:r>
              <w:rPr>
                <w:rFonts w:ascii="Arial"/>
                <w:i/>
                <w:sz w:val="20"/>
              </w:rPr>
              <w:t>v</w:t>
            </w:r>
            <w:r>
              <w:rPr>
                <w:rFonts w:ascii="Arial"/>
                <w:i/>
                <w:spacing w:val="23"/>
                <w:sz w:val="20"/>
              </w:rPr>
              <w:t> </w:t>
            </w:r>
            <w:r>
              <w:rPr>
                <w:rFonts w:ascii="Arial"/>
                <w:i/>
                <w:sz w:val="20"/>
              </w:rPr>
              <w:t>Leonard</w:t>
            </w:r>
            <w:r>
              <w:rPr>
                <w:rFonts w:ascii="Arial"/>
                <w:i/>
                <w:spacing w:val="23"/>
                <w:sz w:val="20"/>
              </w:rPr>
              <w:t> </w:t>
            </w:r>
            <w:r>
              <w:rPr>
                <w:rFonts w:ascii="Arial"/>
                <w:i/>
                <w:sz w:val="20"/>
              </w:rPr>
              <w:t>Cheshire</w:t>
            </w:r>
            <w:r>
              <w:rPr>
                <w:rFonts w:ascii="Arial"/>
                <w:i/>
                <w:spacing w:val="23"/>
                <w:sz w:val="20"/>
              </w:rPr>
              <w:t> </w:t>
            </w:r>
            <w:r>
              <w:rPr>
                <w:rFonts w:ascii="Arial"/>
                <w:i/>
                <w:sz w:val="20"/>
              </w:rPr>
              <w:t>Foundation</w:t>
            </w:r>
            <w:r>
              <w:rPr>
                <w:rFonts w:ascii="Arial"/>
                <w:i/>
                <w:spacing w:val="23"/>
                <w:sz w:val="20"/>
              </w:rPr>
              <w:t> </w:t>
            </w:r>
            <w:r>
              <w:rPr>
                <w:rFonts w:ascii="Arial"/>
                <w:i/>
                <w:sz w:val="20"/>
              </w:rPr>
              <w:t>[2002]</w:t>
            </w:r>
            <w:r>
              <w:rPr>
                <w:rFonts w:ascii="Arial"/>
                <w:i/>
                <w:spacing w:val="23"/>
                <w:sz w:val="20"/>
              </w:rPr>
              <w:t> </w:t>
            </w:r>
            <w:r>
              <w:rPr>
                <w:rFonts w:ascii="Arial"/>
                <w:i/>
                <w:sz w:val="20"/>
              </w:rPr>
              <w:t>EWCA</w:t>
            </w:r>
            <w:r>
              <w:rPr>
                <w:rFonts w:ascii="Arial"/>
                <w:i/>
                <w:spacing w:val="23"/>
                <w:sz w:val="20"/>
              </w:rPr>
              <w:t> </w:t>
            </w:r>
            <w:r>
              <w:rPr>
                <w:rFonts w:ascii="Arial"/>
                <w:i/>
                <w:sz w:val="20"/>
              </w:rPr>
              <w:t>Civ</w:t>
            </w:r>
            <w:r>
              <w:rPr>
                <w:rFonts w:ascii="Arial"/>
                <w:i/>
                <w:spacing w:val="23"/>
                <w:sz w:val="20"/>
              </w:rPr>
              <w:t> </w:t>
            </w:r>
            <w:r>
              <w:rPr>
                <w:rFonts w:ascii="Arial"/>
                <w:i/>
                <w:sz w:val="20"/>
              </w:rPr>
              <w:t>366,</w:t>
            </w:r>
            <w:r>
              <w:rPr>
                <w:rFonts w:ascii="Arial"/>
                <w:i/>
                <w:spacing w:val="23"/>
                <w:sz w:val="20"/>
              </w:rPr>
              <w:t> </w:t>
            </w:r>
            <w:r>
              <w:rPr>
                <w:rFonts w:ascii="Arial"/>
                <w:i/>
                <w:sz w:val="20"/>
              </w:rPr>
              <w:t>[2002]</w:t>
            </w:r>
            <w:r>
              <w:rPr>
                <w:rFonts w:ascii="Arial"/>
                <w:i/>
                <w:spacing w:val="23"/>
                <w:sz w:val="20"/>
              </w:rPr>
              <w:t> </w:t>
            </w:r>
            <w:r>
              <w:rPr>
                <w:rFonts w:ascii="Arial"/>
                <w:i/>
                <w:sz w:val="20"/>
              </w:rPr>
              <w:t>2</w:t>
            </w:r>
            <w:r>
              <w:rPr>
                <w:rFonts w:ascii="Arial"/>
                <w:i/>
                <w:spacing w:val="23"/>
                <w:sz w:val="20"/>
              </w:rPr>
              <w:t> </w:t>
            </w:r>
            <w:r>
              <w:rPr>
                <w:rFonts w:ascii="Arial"/>
                <w:i/>
                <w:sz w:val="20"/>
              </w:rPr>
              <w:t>All</w:t>
            </w:r>
            <w:r>
              <w:rPr>
                <w:rFonts w:ascii="Arial"/>
                <w:i/>
                <w:spacing w:val="23"/>
                <w:sz w:val="20"/>
              </w:rPr>
              <w:t> </w:t>
            </w:r>
            <w:r>
              <w:rPr>
                <w:rFonts w:ascii="Arial"/>
                <w:i/>
                <w:sz w:val="20"/>
              </w:rPr>
              <w:t>E.R.</w:t>
            </w:r>
            <w:r>
              <w:rPr>
                <w:rFonts w:ascii="Arial"/>
                <w:i/>
                <w:spacing w:val="23"/>
                <w:sz w:val="20"/>
              </w:rPr>
              <w:t> </w:t>
            </w:r>
            <w:r>
              <w:rPr>
                <w:rFonts w:ascii="Arial"/>
                <w:i/>
                <w:sz w:val="20"/>
              </w:rPr>
              <w:t>936</w:t>
            </w:r>
            <w:r>
              <w:rPr>
                <w:rFonts w:ascii="Arial"/>
                <w:i/>
                <w:spacing w:val="22"/>
                <w:sz w:val="20"/>
              </w:rPr>
              <w:t> </w:t>
            </w:r>
            <w:r>
              <w:rPr>
                <w:spacing w:val="-5"/>
                <w:sz w:val="20"/>
              </w:rPr>
              <w:t>at</w:t>
            </w:r>
          </w:p>
          <w:p>
            <w:pPr>
              <w:pStyle w:val="TableParagraph"/>
              <w:spacing w:line="227" w:lineRule="exact" w:before="0"/>
              <w:ind w:left="94" w:right="0"/>
              <w:rPr>
                <w:sz w:val="20"/>
              </w:rPr>
            </w:pPr>
            <w:r>
              <w:rPr>
                <w:spacing w:val="-2"/>
                <w:sz w:val="20"/>
              </w:rPr>
              <w:t>[38].</w:t>
            </w:r>
          </w:p>
        </w:tc>
      </w:tr>
      <w:tr>
        <w:trPr>
          <w:trHeight w:val="465" w:hRule="atLeast"/>
        </w:trPr>
        <w:tc>
          <w:tcPr>
            <w:tcW w:w="496" w:type="dxa"/>
          </w:tcPr>
          <w:p>
            <w:pPr>
              <w:pStyle w:val="TableParagraph"/>
              <w:jc w:val="center"/>
              <w:rPr>
                <w:sz w:val="14"/>
              </w:rPr>
            </w:pPr>
            <w:r>
              <w:rPr>
                <w:color w:val="005DA1"/>
                <w:spacing w:val="-2"/>
                <w:sz w:val="14"/>
                <w:u w:val="single" w:color="005DA1"/>
              </w:rPr>
              <w:t>1602</w:t>
            </w:r>
            <w:r>
              <w:rPr>
                <w:spacing w:val="-2"/>
                <w:sz w:val="14"/>
              </w:rPr>
              <w:t>.</w:t>
            </w:r>
          </w:p>
        </w:tc>
        <w:tc>
          <w:tcPr>
            <w:tcW w:w="8620" w:type="dxa"/>
          </w:tcPr>
          <w:p>
            <w:pPr>
              <w:pStyle w:val="TableParagraph"/>
              <w:spacing w:before="114"/>
              <w:ind w:left="94" w:right="0"/>
              <w:rPr>
                <w:sz w:val="20"/>
              </w:rPr>
            </w:pPr>
            <w:r>
              <w:rPr>
                <w:rFonts w:ascii="Arial"/>
                <w:i/>
                <w:sz w:val="20"/>
              </w:rPr>
              <w:t>[2002] 2 All E.R. 936</w:t>
            </w:r>
            <w:r>
              <w:rPr>
                <w:rFonts w:ascii="Arial"/>
                <w:i/>
                <w:spacing w:val="-1"/>
                <w:sz w:val="20"/>
              </w:rPr>
              <w:t> </w:t>
            </w:r>
            <w:r>
              <w:rPr>
                <w:sz w:val="20"/>
              </w:rPr>
              <w:t>at </w:t>
            </w:r>
            <w:r>
              <w:rPr>
                <w:spacing w:val="-2"/>
                <w:sz w:val="20"/>
              </w:rPr>
              <w:t>[38].</w:t>
            </w:r>
          </w:p>
        </w:tc>
      </w:tr>
      <w:tr>
        <w:trPr>
          <w:trHeight w:val="465" w:hRule="atLeast"/>
        </w:trPr>
        <w:tc>
          <w:tcPr>
            <w:tcW w:w="496" w:type="dxa"/>
          </w:tcPr>
          <w:p>
            <w:pPr>
              <w:pStyle w:val="TableParagraph"/>
              <w:jc w:val="center"/>
              <w:rPr>
                <w:sz w:val="14"/>
              </w:rPr>
            </w:pPr>
            <w:r>
              <w:rPr>
                <w:color w:val="005DA1"/>
                <w:spacing w:val="-2"/>
                <w:sz w:val="14"/>
                <w:u w:val="single" w:color="005DA1"/>
              </w:rPr>
              <w:t>1603</w:t>
            </w:r>
            <w:r>
              <w:rPr>
                <w:spacing w:val="-2"/>
                <w:sz w:val="14"/>
              </w:rPr>
              <w:t>.</w:t>
            </w:r>
          </w:p>
        </w:tc>
        <w:tc>
          <w:tcPr>
            <w:tcW w:w="8620" w:type="dxa"/>
          </w:tcPr>
          <w:p>
            <w:pPr>
              <w:pStyle w:val="TableParagraph"/>
              <w:spacing w:before="114"/>
              <w:ind w:left="94" w:right="0"/>
              <w:rPr>
                <w:sz w:val="20"/>
              </w:rPr>
            </w:pPr>
            <w:r>
              <w:rPr>
                <w:rFonts w:ascii="Arial"/>
                <w:i/>
                <w:sz w:val="20"/>
              </w:rPr>
              <w:t>[2002] 2 All E.R. 936</w:t>
            </w:r>
            <w:r>
              <w:rPr>
                <w:rFonts w:ascii="Arial"/>
                <w:i/>
                <w:spacing w:val="-1"/>
                <w:sz w:val="20"/>
              </w:rPr>
              <w:t> </w:t>
            </w:r>
            <w:r>
              <w:rPr>
                <w:sz w:val="20"/>
              </w:rPr>
              <w:t>at </w:t>
            </w:r>
            <w:r>
              <w:rPr>
                <w:spacing w:val="-2"/>
                <w:sz w:val="20"/>
              </w:rPr>
              <w:t>[39].</w:t>
            </w:r>
          </w:p>
        </w:tc>
      </w:tr>
      <w:tr>
        <w:trPr>
          <w:trHeight w:val="465" w:hRule="atLeast"/>
        </w:trPr>
        <w:tc>
          <w:tcPr>
            <w:tcW w:w="496" w:type="dxa"/>
          </w:tcPr>
          <w:p>
            <w:pPr>
              <w:pStyle w:val="TableParagraph"/>
              <w:jc w:val="center"/>
              <w:rPr>
                <w:sz w:val="14"/>
              </w:rPr>
            </w:pPr>
            <w:r>
              <w:rPr>
                <w:color w:val="005DA1"/>
                <w:spacing w:val="-2"/>
                <w:sz w:val="14"/>
                <w:u w:val="single" w:color="005DA1"/>
              </w:rPr>
              <w:t>1604</w:t>
            </w:r>
            <w:r>
              <w:rPr>
                <w:spacing w:val="-2"/>
                <w:sz w:val="14"/>
              </w:rPr>
              <w:t>.</w:t>
            </w:r>
          </w:p>
        </w:tc>
        <w:tc>
          <w:tcPr>
            <w:tcW w:w="8620" w:type="dxa"/>
          </w:tcPr>
          <w:p>
            <w:pPr>
              <w:pStyle w:val="TableParagraph"/>
              <w:spacing w:before="114"/>
              <w:ind w:left="94" w:right="0"/>
              <w:rPr>
                <w:sz w:val="20"/>
              </w:rPr>
            </w:pPr>
            <w:r>
              <w:rPr>
                <w:sz w:val="20"/>
              </w:rPr>
              <w:t>Paras 11-004, 11-016 et </w:t>
            </w:r>
            <w:r>
              <w:rPr>
                <w:spacing w:val="-4"/>
                <w:sz w:val="20"/>
              </w:rPr>
              <w:t>seq.</w:t>
            </w:r>
          </w:p>
        </w:tc>
      </w:tr>
      <w:tr>
        <w:trPr>
          <w:trHeight w:val="465" w:hRule="atLeast"/>
        </w:trPr>
        <w:tc>
          <w:tcPr>
            <w:tcW w:w="496" w:type="dxa"/>
          </w:tcPr>
          <w:p>
            <w:pPr>
              <w:pStyle w:val="TableParagraph"/>
              <w:jc w:val="center"/>
              <w:rPr>
                <w:sz w:val="14"/>
              </w:rPr>
            </w:pPr>
            <w:r>
              <w:rPr>
                <w:color w:val="005DA1"/>
                <w:spacing w:val="-2"/>
                <w:sz w:val="14"/>
                <w:u w:val="single" w:color="005DA1"/>
              </w:rPr>
              <w:t>1605</w:t>
            </w:r>
            <w:r>
              <w:rPr>
                <w:spacing w:val="-2"/>
                <w:sz w:val="14"/>
              </w:rPr>
              <w:t>.</w:t>
            </w:r>
          </w:p>
        </w:tc>
        <w:tc>
          <w:tcPr>
            <w:tcW w:w="8620" w:type="dxa"/>
          </w:tcPr>
          <w:p>
            <w:pPr>
              <w:pStyle w:val="TableParagraph"/>
              <w:spacing w:before="114"/>
              <w:ind w:left="94" w:right="0"/>
              <w:rPr>
                <w:sz w:val="20"/>
              </w:rPr>
            </w:pPr>
            <w:r>
              <w:rPr>
                <w:sz w:val="20"/>
              </w:rPr>
              <w:t>See above, paras 1-061 et </w:t>
            </w:r>
            <w:r>
              <w:rPr>
                <w:spacing w:val="-4"/>
                <w:sz w:val="20"/>
              </w:rPr>
              <w:t>seq.</w:t>
            </w:r>
          </w:p>
        </w:tc>
      </w:tr>
      <w:tr>
        <w:trPr>
          <w:trHeight w:val="690" w:hRule="atLeast"/>
        </w:trPr>
        <w:tc>
          <w:tcPr>
            <w:tcW w:w="496" w:type="dxa"/>
          </w:tcPr>
          <w:p>
            <w:pPr>
              <w:pStyle w:val="TableParagraph"/>
              <w:jc w:val="center"/>
              <w:rPr>
                <w:sz w:val="14"/>
              </w:rPr>
            </w:pPr>
            <w:r>
              <w:rPr>
                <w:color w:val="005DA1"/>
                <w:spacing w:val="-2"/>
                <w:sz w:val="14"/>
                <w:u w:val="single" w:color="005DA1"/>
              </w:rPr>
              <w:t>1606</w:t>
            </w:r>
            <w:r>
              <w:rPr>
                <w:spacing w:val="-2"/>
                <w:sz w:val="14"/>
              </w:rPr>
              <w:t>.</w:t>
            </w:r>
          </w:p>
        </w:tc>
        <w:tc>
          <w:tcPr>
            <w:tcW w:w="8620" w:type="dxa"/>
          </w:tcPr>
          <w:p>
            <w:pPr>
              <w:pStyle w:val="TableParagraph"/>
              <w:spacing w:line="235" w:lineRule="auto" w:before="118"/>
              <w:ind w:left="94" w:right="0"/>
              <w:rPr>
                <w:sz w:val="20"/>
              </w:rPr>
            </w:pPr>
            <w:r>
              <w:rPr>
                <w:sz w:val="20"/>
              </w:rPr>
              <w:t>See</w:t>
            </w:r>
            <w:r>
              <w:rPr>
                <w:spacing w:val="26"/>
                <w:sz w:val="20"/>
              </w:rPr>
              <w:t> </w:t>
            </w:r>
            <w:r>
              <w:rPr>
                <w:sz w:val="20"/>
              </w:rPr>
              <w:t>above,</w:t>
            </w:r>
            <w:r>
              <w:rPr>
                <w:spacing w:val="26"/>
                <w:sz w:val="20"/>
              </w:rPr>
              <w:t> </w:t>
            </w:r>
            <w:r>
              <w:rPr>
                <w:sz w:val="20"/>
              </w:rPr>
              <w:t>paras</w:t>
            </w:r>
            <w:r>
              <w:rPr>
                <w:spacing w:val="26"/>
                <w:sz w:val="20"/>
              </w:rPr>
              <w:t> </w:t>
            </w:r>
            <w:r>
              <w:rPr>
                <w:sz w:val="20"/>
              </w:rPr>
              <w:t>1-073—1-075</w:t>
            </w:r>
            <w:r>
              <w:rPr>
                <w:spacing w:val="26"/>
                <w:sz w:val="20"/>
              </w:rPr>
              <w:t> </w:t>
            </w:r>
            <w:r>
              <w:rPr>
                <w:sz w:val="20"/>
              </w:rPr>
              <w:t>concerning</w:t>
            </w:r>
            <w:r>
              <w:rPr>
                <w:spacing w:val="25"/>
                <w:sz w:val="20"/>
              </w:rPr>
              <w:t> </w:t>
            </w:r>
            <w:r>
              <w:rPr>
                <w:rFonts w:ascii="Arial" w:hAnsi="Arial"/>
                <w:i/>
                <w:sz w:val="20"/>
              </w:rPr>
              <w:t>YL</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Birmingham</w:t>
            </w:r>
            <w:r>
              <w:rPr>
                <w:rFonts w:ascii="Arial" w:hAnsi="Arial"/>
                <w:i/>
                <w:spacing w:val="26"/>
                <w:sz w:val="20"/>
              </w:rPr>
              <w:t> </w:t>
            </w:r>
            <w:r>
              <w:rPr>
                <w:rFonts w:ascii="Arial" w:hAnsi="Arial"/>
                <w:i/>
                <w:sz w:val="20"/>
              </w:rPr>
              <w:t>City</w:t>
            </w:r>
            <w:r>
              <w:rPr>
                <w:rFonts w:ascii="Arial" w:hAnsi="Arial"/>
                <w:i/>
                <w:spacing w:val="26"/>
                <w:sz w:val="20"/>
              </w:rPr>
              <w:t> </w:t>
            </w:r>
            <w:r>
              <w:rPr>
                <w:rFonts w:ascii="Arial" w:hAnsi="Arial"/>
                <w:i/>
                <w:sz w:val="20"/>
              </w:rPr>
              <w:t>Council</w:t>
            </w:r>
            <w:r>
              <w:rPr>
                <w:rFonts w:ascii="Arial" w:hAnsi="Arial"/>
                <w:i/>
                <w:spacing w:val="26"/>
                <w:sz w:val="20"/>
              </w:rPr>
              <w:t> </w:t>
            </w:r>
            <w:r>
              <w:rPr>
                <w:rFonts w:ascii="Arial" w:hAnsi="Arial"/>
                <w:i/>
                <w:sz w:val="20"/>
              </w:rPr>
              <w:t>[2007]</w:t>
            </w:r>
            <w:r>
              <w:rPr>
                <w:rFonts w:ascii="Arial" w:hAnsi="Arial"/>
                <w:i/>
                <w:spacing w:val="26"/>
                <w:sz w:val="20"/>
              </w:rPr>
              <w:t> </w:t>
            </w:r>
            <w:r>
              <w:rPr>
                <w:rFonts w:ascii="Arial" w:hAnsi="Arial"/>
                <w:i/>
                <w:sz w:val="20"/>
              </w:rPr>
              <w:t>UKHL</w:t>
            </w:r>
            <w:r>
              <w:rPr>
                <w:rFonts w:ascii="Arial" w:hAnsi="Arial"/>
                <w:i/>
                <w:spacing w:val="26"/>
                <w:sz w:val="20"/>
              </w:rPr>
              <w:t> </w:t>
            </w:r>
            <w:r>
              <w:rPr>
                <w:rFonts w:ascii="Arial" w:hAnsi="Arial"/>
                <w:i/>
                <w:sz w:val="20"/>
              </w:rPr>
              <w:t>27, [2007] 3 W.L.R. 112</w:t>
            </w:r>
            <w:r>
              <w:rPr>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1607</w:t>
            </w:r>
            <w:r>
              <w:rPr>
                <w:spacing w:val="-2"/>
                <w:sz w:val="14"/>
              </w:rPr>
              <w:t>.</w:t>
            </w:r>
          </w:p>
        </w:tc>
        <w:tc>
          <w:tcPr>
            <w:tcW w:w="8620" w:type="dxa"/>
          </w:tcPr>
          <w:p>
            <w:pPr>
              <w:pStyle w:val="TableParagraph"/>
              <w:spacing w:before="114"/>
              <w:ind w:left="94" w:right="0"/>
              <w:rPr>
                <w:sz w:val="20"/>
              </w:rPr>
            </w:pPr>
            <w:r>
              <w:rPr>
                <w:sz w:val="20"/>
              </w:rPr>
              <w:t>See below, paras 11-051—11-</w:t>
            </w:r>
            <w:r>
              <w:rPr>
                <w:spacing w:val="-4"/>
                <w:sz w:val="20"/>
              </w:rPr>
              <w:t>052.</w:t>
            </w:r>
          </w:p>
        </w:tc>
      </w:tr>
      <w:tr>
        <w:trPr>
          <w:trHeight w:val="465" w:hRule="atLeast"/>
        </w:trPr>
        <w:tc>
          <w:tcPr>
            <w:tcW w:w="496" w:type="dxa"/>
          </w:tcPr>
          <w:p>
            <w:pPr>
              <w:pStyle w:val="TableParagraph"/>
              <w:jc w:val="center"/>
              <w:rPr>
                <w:sz w:val="14"/>
              </w:rPr>
            </w:pPr>
            <w:r>
              <w:rPr>
                <w:color w:val="005DA1"/>
                <w:spacing w:val="-2"/>
                <w:sz w:val="14"/>
                <w:u w:val="single" w:color="005DA1"/>
              </w:rPr>
              <w:t>1608</w:t>
            </w:r>
            <w:r>
              <w:rPr>
                <w:spacing w:val="-2"/>
                <w:sz w:val="14"/>
              </w:rPr>
              <w:t>.</w:t>
            </w:r>
          </w:p>
        </w:tc>
        <w:tc>
          <w:tcPr>
            <w:tcW w:w="8620" w:type="dxa"/>
          </w:tcPr>
          <w:p>
            <w:pPr>
              <w:pStyle w:val="TableParagraph"/>
              <w:spacing w:before="114"/>
              <w:ind w:left="94" w:right="0"/>
              <w:rPr>
                <w:sz w:val="20"/>
              </w:rPr>
            </w:pPr>
            <w:r>
              <w:rPr>
                <w:sz w:val="20"/>
              </w:rPr>
              <w:t>And see Freedland (1994) P.L. </w:t>
            </w:r>
            <w:r>
              <w:rPr>
                <w:spacing w:val="-5"/>
                <w:sz w:val="20"/>
              </w:rPr>
              <w:t>86.</w:t>
            </w:r>
          </w:p>
        </w:tc>
      </w:tr>
      <w:tr>
        <w:trPr>
          <w:trHeight w:val="465" w:hRule="atLeast"/>
        </w:trPr>
        <w:tc>
          <w:tcPr>
            <w:tcW w:w="496" w:type="dxa"/>
          </w:tcPr>
          <w:p>
            <w:pPr>
              <w:pStyle w:val="TableParagraph"/>
              <w:jc w:val="center"/>
              <w:rPr>
                <w:sz w:val="14"/>
              </w:rPr>
            </w:pPr>
            <w:r>
              <w:rPr>
                <w:color w:val="005DA1"/>
                <w:spacing w:val="-2"/>
                <w:sz w:val="14"/>
                <w:u w:val="single" w:color="005DA1"/>
              </w:rPr>
              <w:t>1609</w:t>
            </w:r>
            <w:r>
              <w:rPr>
                <w:spacing w:val="-2"/>
                <w:sz w:val="14"/>
              </w:rPr>
              <w:t>.</w:t>
            </w:r>
          </w:p>
        </w:tc>
        <w:tc>
          <w:tcPr>
            <w:tcW w:w="8620" w:type="dxa"/>
          </w:tcPr>
          <w:p>
            <w:pPr>
              <w:pStyle w:val="TableParagraph"/>
              <w:spacing w:before="114"/>
              <w:ind w:left="94" w:right="0"/>
              <w:rPr>
                <w:sz w:val="20"/>
              </w:rPr>
            </w:pPr>
            <w:r>
              <w:rPr>
                <w:sz w:val="20"/>
              </w:rPr>
              <w:t>See above, paras 1-032, 1-</w:t>
            </w:r>
            <w:r>
              <w:rPr>
                <w:spacing w:val="-4"/>
                <w:sz w:val="20"/>
              </w:rPr>
              <w:t>033.</w:t>
            </w:r>
          </w:p>
        </w:tc>
      </w:tr>
      <w:tr>
        <w:trPr>
          <w:trHeight w:val="915" w:hRule="atLeast"/>
        </w:trPr>
        <w:tc>
          <w:tcPr>
            <w:tcW w:w="496" w:type="dxa"/>
          </w:tcPr>
          <w:p>
            <w:pPr>
              <w:pStyle w:val="TableParagraph"/>
              <w:jc w:val="center"/>
              <w:rPr>
                <w:sz w:val="14"/>
              </w:rPr>
            </w:pPr>
            <w:r>
              <w:rPr>
                <w:color w:val="005DA1"/>
                <w:spacing w:val="-2"/>
                <w:sz w:val="14"/>
                <w:u w:val="single" w:color="005DA1"/>
              </w:rPr>
              <w:t>1610</w:t>
            </w:r>
            <w:r>
              <w:rPr>
                <w:spacing w:val="-2"/>
                <w:sz w:val="14"/>
              </w:rPr>
              <w:t>.</w:t>
            </w:r>
          </w:p>
        </w:tc>
        <w:tc>
          <w:tcPr>
            <w:tcW w:w="8620" w:type="dxa"/>
          </w:tcPr>
          <w:p>
            <w:pPr>
              <w:pStyle w:val="TableParagraph"/>
              <w:spacing w:line="235" w:lineRule="auto" w:before="118"/>
              <w:ind w:left="94" w:right="49"/>
              <w:jc w:val="both"/>
              <w:rPr>
                <w:sz w:val="20"/>
              </w:rPr>
            </w:pPr>
            <w:r>
              <w:rPr>
                <w:rFonts w:ascii="Arial" w:hAnsi="Arial"/>
                <w:i/>
                <w:sz w:val="20"/>
              </w:rPr>
              <w:t>R. v Lewisham London Borough Council Ex p. Shell UK Ltd [1988] 1 All E.R. 938</w:t>
            </w:r>
            <w:r>
              <w:rPr>
                <w:sz w:val="20"/>
              </w:rPr>
              <w:t>, applying </w:t>
            </w:r>
            <w:r>
              <w:rPr>
                <w:rFonts w:ascii="Arial" w:hAnsi="Arial"/>
                <w:i/>
                <w:sz w:val="20"/>
              </w:rPr>
              <w:t>Wheeler v Leicester City Council [1985] A.C. 1054 </w:t>
            </w:r>
            <w:r>
              <w:rPr>
                <w:sz w:val="20"/>
              </w:rPr>
              <w:t>and see Local Government Act </w:t>
            </w:r>
            <w:r>
              <w:rPr>
                <w:sz w:val="20"/>
              </w:rPr>
              <w:t>1988 </w:t>
            </w:r>
            <w:r>
              <w:rPr>
                <w:spacing w:val="-2"/>
                <w:sz w:val="20"/>
              </w:rPr>
              <w:t>ss.17–23.</w:t>
            </w:r>
          </w:p>
        </w:tc>
      </w:tr>
      <w:tr>
        <w:trPr>
          <w:trHeight w:val="465" w:hRule="atLeast"/>
        </w:trPr>
        <w:tc>
          <w:tcPr>
            <w:tcW w:w="496" w:type="dxa"/>
          </w:tcPr>
          <w:p>
            <w:pPr>
              <w:pStyle w:val="TableParagraph"/>
              <w:jc w:val="center"/>
              <w:rPr>
                <w:sz w:val="14"/>
              </w:rPr>
            </w:pPr>
            <w:r>
              <w:rPr>
                <w:color w:val="005DA1"/>
                <w:spacing w:val="-2"/>
                <w:sz w:val="14"/>
                <w:u w:val="single" w:color="005DA1"/>
              </w:rPr>
              <w:t>1611</w:t>
            </w:r>
            <w:r>
              <w:rPr>
                <w:spacing w:val="-2"/>
                <w:sz w:val="14"/>
              </w:rPr>
              <w:t>.</w:t>
            </w:r>
          </w:p>
        </w:tc>
        <w:tc>
          <w:tcPr>
            <w:tcW w:w="8620" w:type="dxa"/>
          </w:tcPr>
          <w:p>
            <w:pPr>
              <w:pStyle w:val="TableParagraph"/>
              <w:spacing w:before="114"/>
              <w:ind w:left="94" w:right="0"/>
              <w:rPr>
                <w:sz w:val="20"/>
              </w:rPr>
            </w:pPr>
            <w:r>
              <w:rPr>
                <w:rFonts w:ascii="Arial"/>
                <w:i/>
                <w:sz w:val="20"/>
              </w:rPr>
              <w:t>[1983]</w:t>
            </w:r>
            <w:r>
              <w:rPr>
                <w:rFonts w:ascii="Arial"/>
                <w:i/>
                <w:spacing w:val="-2"/>
                <w:sz w:val="20"/>
              </w:rPr>
              <w:t> </w:t>
            </w:r>
            <w:r>
              <w:rPr>
                <w:rFonts w:ascii="Arial"/>
                <w:i/>
                <w:sz w:val="20"/>
              </w:rPr>
              <w:t>1 A.C. </w:t>
            </w:r>
            <w:r>
              <w:rPr>
                <w:rFonts w:ascii="Arial"/>
                <w:i/>
                <w:spacing w:val="-4"/>
                <w:sz w:val="20"/>
              </w:rPr>
              <w:t>598</w:t>
            </w:r>
            <w:r>
              <w:rPr>
                <w:spacing w:val="-4"/>
                <w:sz w:val="20"/>
              </w:rPr>
              <w:t>.</w:t>
            </w:r>
          </w:p>
        </w:tc>
      </w:tr>
      <w:tr>
        <w:trPr>
          <w:trHeight w:val="344" w:hRule="atLeast"/>
        </w:trPr>
        <w:tc>
          <w:tcPr>
            <w:tcW w:w="496" w:type="dxa"/>
          </w:tcPr>
          <w:p>
            <w:pPr>
              <w:pStyle w:val="TableParagraph"/>
              <w:jc w:val="center"/>
              <w:rPr>
                <w:sz w:val="14"/>
              </w:rPr>
            </w:pPr>
            <w:r>
              <w:rPr>
                <w:color w:val="005DA1"/>
                <w:spacing w:val="-2"/>
                <w:sz w:val="14"/>
                <w:u w:val="single" w:color="005DA1"/>
              </w:rPr>
              <w:t>1612</w:t>
            </w:r>
            <w:r>
              <w:rPr>
                <w:spacing w:val="-2"/>
                <w:sz w:val="14"/>
              </w:rPr>
              <w:t>.</w:t>
            </w:r>
          </w:p>
        </w:tc>
        <w:tc>
          <w:tcPr>
            <w:tcW w:w="8620" w:type="dxa"/>
          </w:tcPr>
          <w:p>
            <w:pPr>
              <w:pStyle w:val="TableParagraph"/>
              <w:spacing w:line="210" w:lineRule="exact" w:before="114"/>
              <w:ind w:left="94" w:right="0"/>
              <w:rPr>
                <w:sz w:val="20"/>
              </w:rPr>
            </w:pPr>
            <w:r>
              <w:rPr>
                <w:rFonts w:ascii="Arial"/>
                <w:i/>
                <w:sz w:val="20"/>
              </w:rPr>
              <w:t>[1983] 1 A.C. 598</w:t>
            </w:r>
            <w:r>
              <w:rPr>
                <w:rFonts w:ascii="Arial"/>
                <w:i/>
                <w:spacing w:val="-1"/>
                <w:sz w:val="20"/>
              </w:rPr>
              <w:t> </w:t>
            </w:r>
            <w:r>
              <w:rPr>
                <w:sz w:val="20"/>
              </w:rPr>
              <w:t>at </w:t>
            </w:r>
            <w:r>
              <w:rPr>
                <w:spacing w:val="-4"/>
                <w:sz w:val="20"/>
              </w:rPr>
              <w:t>608.</w:t>
            </w:r>
          </w:p>
        </w:tc>
      </w:tr>
    </w:tbl>
    <w:p>
      <w:pPr>
        <w:pStyle w:val="BodyText"/>
        <w:rPr>
          <w:rFonts w:ascii="Times New Roman"/>
          <w:sz w:val="14"/>
        </w:rPr>
      </w:pPr>
    </w:p>
    <w:p>
      <w:pPr>
        <w:pStyle w:val="BodyText"/>
        <w:spacing w:before="100"/>
        <w:rPr>
          <w:rFonts w:ascii="Times New Roman"/>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5"/>
          <w:type w:val="continuous"/>
          <w:pgSz w:w="11900" w:h="16840"/>
          <w:pgMar w:header="971" w:footer="0" w:top="1300" w:bottom="280" w:left="1275" w:right="1275"/>
          <w:pgNumType w:start="1"/>
        </w:sectPr>
      </w:pPr>
    </w:p>
    <w:p>
      <w:pPr>
        <w:pStyle w:val="Heading1"/>
      </w:pPr>
      <w:bookmarkStart w:name="Chapter 2 - The Agreement" w:id="1"/>
      <w:bookmarkEnd w:id="1"/>
      <w:r>
        <w:rPr>
          <w:b w:val="0"/>
        </w:rPr>
      </w: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1. - Preliminary</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pPr>
      <w:r>
        <w:rPr/>
        <w:t>2-</w:t>
      </w:r>
      <w:r>
        <w:rPr>
          <w:spacing w:val="-5"/>
        </w:rPr>
        <w:t>001</w:t>
      </w:r>
    </w:p>
    <w:p>
      <w:pPr>
        <w:pStyle w:val="BodyText"/>
        <w:spacing w:line="235" w:lineRule="auto" w:before="203"/>
        <w:ind w:left="165" w:right="167"/>
        <w:jc w:val="both"/>
      </w:pPr>
      <w:r>
        <w:rPr/>
        <mc:AlternateContent>
          <mc:Choice Requires="wps">
            <w:drawing>
              <wp:anchor distT="0" distB="0" distL="0" distR="0" allowOverlap="1" layoutInCell="1" locked="0" behindDoc="1" simplePos="0" relativeHeight="483077632">
                <wp:simplePos x="0" y="0"/>
                <wp:positionH relativeFrom="page">
                  <wp:posOffset>2796387</wp:posOffset>
                </wp:positionH>
                <wp:positionV relativeFrom="paragraph">
                  <wp:posOffset>335560</wp:posOffset>
                </wp:positionV>
                <wp:extent cx="42545" cy="1270"/>
                <wp:effectExtent l="0" t="0" r="0" b="0"/>
                <wp:wrapNone/>
                <wp:docPr id="3" name="Graphic 3"/>
                <wp:cNvGraphicFramePr>
                  <a:graphicFrameLocks/>
                </wp:cNvGraphicFramePr>
                <a:graphic>
                  <a:graphicData uri="http://schemas.microsoft.com/office/word/2010/wordprocessingShape">
                    <wps:wsp>
                      <wps:cNvPr id="3" name="Graphic 3"/>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8848" from="220.188004pt,26.42207pt" to="223.524004pt,26.42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078144">
                <wp:simplePos x="0" y="0"/>
                <wp:positionH relativeFrom="page">
                  <wp:posOffset>1619313</wp:posOffset>
                </wp:positionH>
                <wp:positionV relativeFrom="paragraph">
                  <wp:posOffset>764185</wp:posOffset>
                </wp:positionV>
                <wp:extent cx="42545" cy="1270"/>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8336" from="127.504997pt,60.17207pt" to="130.840997pt,60.17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078656">
                <wp:simplePos x="0" y="0"/>
                <wp:positionH relativeFrom="page">
                  <wp:posOffset>4400054</wp:posOffset>
                </wp:positionH>
                <wp:positionV relativeFrom="paragraph">
                  <wp:posOffset>764185</wp:posOffset>
                </wp:positionV>
                <wp:extent cx="42545" cy="1270"/>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7824" from="346.460999pt,60.17207pt" to="349.796999pt,60.1720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079168">
                <wp:simplePos x="0" y="0"/>
                <wp:positionH relativeFrom="page">
                  <wp:posOffset>2588704</wp:posOffset>
                </wp:positionH>
                <wp:positionV relativeFrom="paragraph">
                  <wp:posOffset>907060</wp:posOffset>
                </wp:positionV>
                <wp:extent cx="42545" cy="1270"/>
                <wp:effectExtent l="0" t="0" r="0" b="0"/>
                <wp:wrapNone/>
                <wp:docPr id="6" name="Graphic 6"/>
                <wp:cNvGraphicFramePr>
                  <a:graphicFrameLocks/>
                </wp:cNvGraphicFramePr>
                <a:graphic>
                  <a:graphicData uri="http://schemas.microsoft.com/office/word/2010/wordprocessingShape">
                    <wps:wsp>
                      <wps:cNvPr id="6" name="Graphic 6"/>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7312" from="203.835007pt,71.422073pt" to="207.171007pt,71.422073pt" stroked="true" strokeweight=".428pt" strokecolor="#005da1">
                <v:stroke dashstyle="solid"/>
                <w10:wrap type="none"/>
              </v:line>
            </w:pict>
          </mc:Fallback>
        </mc:AlternateContent>
      </w:r>
      <w:bookmarkStart w:name="_bookmark0" w:id="2"/>
      <w:bookmarkEnd w:id="2"/>
      <w:r>
        <w:rPr/>
      </w:r>
      <w:r>
        <w:rPr/>
        <w:t>The first requirement for the formation of a contract is that the parties should have reached agreement. Generally speaking, </w:t>
      </w:r>
      <w:r>
        <w:rPr>
          <w:color w:val="005DA1"/>
          <w:vertAlign w:val="superscript"/>
        </w:rPr>
        <w:t>1</w:t>
      </w:r>
      <w:r>
        <w:rPr>
          <w:color w:val="005DA1"/>
          <w:vertAlign w:val="baseline"/>
        </w:rPr>
        <w:t> </w:t>
      </w:r>
      <w:r>
        <w:rPr>
          <w:vertAlign w:val="baseline"/>
        </w:rPr>
        <w:t>the law regards an agreement as having been reached when </w:t>
      </w:r>
      <w:r>
        <w:rPr>
          <w:vertAlign w:val="baseline"/>
        </w:rPr>
        <w:t>an offer made by one of the parties (the offeror) is accepted by the other to whom the offer is addressed </w:t>
      </w:r>
      <w:bookmarkStart w:name="_bookmark1" w:id="3"/>
      <w:bookmarkEnd w:id="3"/>
      <w:r>
        <w:rPr>
          <w:vertAlign w:val="baseline"/>
        </w:rPr>
        <w:t>(the</w:t>
      </w:r>
      <w:r>
        <w:rPr>
          <w:vertAlign w:val="baseline"/>
        </w:rPr>
        <w:t> offeree or acceptor). However, such an agreement may still lack contractual force because it is </w:t>
      </w:r>
      <w:bookmarkStart w:name="_bookmark2" w:id="4"/>
      <w:bookmarkEnd w:id="4"/>
      <w:r>
        <w:rPr>
          <w:vertAlign w:val="baseline"/>
        </w:rPr>
        <w:t>incomplete,</w:t>
      </w:r>
      <w:r>
        <w:rPr>
          <w:vertAlign w:val="baseline"/>
        </w:rPr>
        <w:t> </w:t>
      </w:r>
      <w:r>
        <w:rPr>
          <w:color w:val="005DA1"/>
          <w:vertAlign w:val="superscript"/>
        </w:rPr>
        <w:t>2</w:t>
      </w:r>
      <w:r>
        <w:rPr>
          <w:color w:val="005DA1"/>
          <w:vertAlign w:val="baseline"/>
        </w:rPr>
        <w:t> </w:t>
      </w:r>
      <w:r>
        <w:rPr>
          <w:vertAlign w:val="baseline"/>
        </w:rPr>
        <w:t>because its terms are not sufficiently certain, </w:t>
      </w:r>
      <w:r>
        <w:rPr>
          <w:color w:val="005DA1"/>
          <w:vertAlign w:val="superscript"/>
        </w:rPr>
        <w:t>3</w:t>
      </w:r>
      <w:r>
        <w:rPr>
          <w:color w:val="005DA1"/>
          <w:vertAlign w:val="baseline"/>
        </w:rPr>
        <w:t> </w:t>
      </w:r>
      <w:r>
        <w:rPr>
          <w:vertAlign w:val="baseline"/>
        </w:rPr>
        <w:t>because its operation is subject to a condition</w:t>
      </w:r>
      <w:r>
        <w:rPr>
          <w:spacing w:val="6"/>
          <w:vertAlign w:val="baseline"/>
        </w:rPr>
        <w:t> </w:t>
      </w:r>
      <w:r>
        <w:rPr>
          <w:vertAlign w:val="baseline"/>
        </w:rPr>
        <w:t>which</w:t>
      </w:r>
      <w:r>
        <w:rPr>
          <w:spacing w:val="7"/>
          <w:vertAlign w:val="baseline"/>
        </w:rPr>
        <w:t> </w:t>
      </w:r>
      <w:r>
        <w:rPr>
          <w:vertAlign w:val="baseline"/>
        </w:rPr>
        <w:t>fails</w:t>
      </w:r>
      <w:r>
        <w:rPr>
          <w:spacing w:val="6"/>
          <w:vertAlign w:val="baseline"/>
        </w:rPr>
        <w:t> </w:t>
      </w:r>
      <w:r>
        <w:rPr>
          <w:vertAlign w:val="baseline"/>
        </w:rPr>
        <w:t>to</w:t>
      </w:r>
      <w:r>
        <w:rPr>
          <w:spacing w:val="7"/>
          <w:vertAlign w:val="baseline"/>
        </w:rPr>
        <w:t> </w:t>
      </w:r>
      <w:r>
        <w:rPr>
          <w:vertAlign w:val="baseline"/>
        </w:rPr>
        <w:t>occur</w:t>
      </w:r>
      <w:r>
        <w:rPr>
          <w:spacing w:val="6"/>
          <w:vertAlign w:val="baseline"/>
        </w:rPr>
        <w:t> </w:t>
      </w:r>
      <w:r>
        <w:rPr>
          <w:color w:val="005DA1"/>
          <w:vertAlign w:val="superscript"/>
        </w:rPr>
        <w:t>4</w:t>
      </w:r>
      <w:r>
        <w:rPr>
          <w:color w:val="005DA1"/>
          <w:spacing w:val="6"/>
          <w:vertAlign w:val="baseline"/>
        </w:rPr>
        <w:t> </w:t>
      </w:r>
      <w:r>
        <w:rPr>
          <w:vertAlign w:val="baseline"/>
        </w:rPr>
        <w:t>or</w:t>
      </w:r>
      <w:r>
        <w:rPr>
          <w:spacing w:val="7"/>
          <w:vertAlign w:val="baseline"/>
        </w:rPr>
        <w:t> </w:t>
      </w:r>
      <w:r>
        <w:rPr>
          <w:vertAlign w:val="baseline"/>
        </w:rPr>
        <w:t>because</w:t>
      </w:r>
      <w:r>
        <w:rPr>
          <w:spacing w:val="7"/>
          <w:vertAlign w:val="baseline"/>
        </w:rPr>
        <w:t> </w:t>
      </w:r>
      <w:r>
        <w:rPr>
          <w:vertAlign w:val="baseline"/>
        </w:rPr>
        <w:t>it</w:t>
      </w:r>
      <w:r>
        <w:rPr>
          <w:spacing w:val="6"/>
          <w:vertAlign w:val="baseline"/>
        </w:rPr>
        <w:t> </w:t>
      </w:r>
      <w:r>
        <w:rPr>
          <w:vertAlign w:val="baseline"/>
        </w:rPr>
        <w:t>was</w:t>
      </w:r>
      <w:r>
        <w:rPr>
          <w:spacing w:val="7"/>
          <w:vertAlign w:val="baseline"/>
        </w:rPr>
        <w:t> </w:t>
      </w:r>
      <w:r>
        <w:rPr>
          <w:vertAlign w:val="baseline"/>
        </w:rPr>
        <w:t>made</w:t>
      </w:r>
      <w:r>
        <w:rPr>
          <w:spacing w:val="7"/>
          <w:vertAlign w:val="baseline"/>
        </w:rPr>
        <w:t> </w:t>
      </w:r>
      <w:r>
        <w:rPr>
          <w:vertAlign w:val="baseline"/>
        </w:rPr>
        <w:t>without</w:t>
      </w:r>
      <w:r>
        <w:rPr>
          <w:spacing w:val="6"/>
          <w:vertAlign w:val="baseline"/>
        </w:rPr>
        <w:t> </w:t>
      </w:r>
      <w:r>
        <w:rPr>
          <w:vertAlign w:val="baseline"/>
        </w:rPr>
        <w:t>any</w:t>
      </w:r>
      <w:r>
        <w:rPr>
          <w:spacing w:val="7"/>
          <w:vertAlign w:val="baseline"/>
        </w:rPr>
        <w:t> </w:t>
      </w:r>
      <w:r>
        <w:rPr>
          <w:vertAlign w:val="baseline"/>
        </w:rPr>
        <w:t>intention</w:t>
      </w:r>
      <w:r>
        <w:rPr>
          <w:spacing w:val="7"/>
          <w:vertAlign w:val="baseline"/>
        </w:rPr>
        <w:t> </w:t>
      </w:r>
      <w:r>
        <w:rPr>
          <w:vertAlign w:val="baseline"/>
        </w:rPr>
        <w:t>to</w:t>
      </w:r>
      <w:r>
        <w:rPr>
          <w:spacing w:val="6"/>
          <w:vertAlign w:val="baseline"/>
        </w:rPr>
        <w:t> </w:t>
      </w:r>
      <w:r>
        <w:rPr>
          <w:vertAlign w:val="baseline"/>
        </w:rPr>
        <w:t>create</w:t>
      </w:r>
      <w:r>
        <w:rPr>
          <w:spacing w:val="7"/>
          <w:vertAlign w:val="baseline"/>
        </w:rPr>
        <w:t> </w:t>
      </w:r>
      <w:r>
        <w:rPr>
          <w:vertAlign w:val="baseline"/>
        </w:rPr>
        <w:t>legal</w:t>
      </w:r>
      <w:r>
        <w:rPr>
          <w:spacing w:val="7"/>
          <w:vertAlign w:val="baseline"/>
        </w:rPr>
        <w:t> </w:t>
      </w:r>
      <w:r>
        <w:rPr>
          <w:spacing w:val="-2"/>
          <w:vertAlign w:val="baseline"/>
        </w:rPr>
        <w:t>relations.</w:t>
      </w:r>
    </w:p>
    <w:p>
      <w:pPr>
        <w:pStyle w:val="BodyText"/>
        <w:spacing w:line="235" w:lineRule="auto"/>
        <w:ind w:left="165" w:right="167"/>
        <w:jc w:val="both"/>
      </w:pPr>
      <w:r>
        <w:rPr/>
        <mc:AlternateContent>
          <mc:Choice Requires="wps">
            <w:drawing>
              <wp:anchor distT="0" distB="0" distL="0" distR="0" allowOverlap="1" layoutInCell="1" locked="0" behindDoc="1" simplePos="0" relativeHeight="483079680">
                <wp:simplePos x="0" y="0"/>
                <wp:positionH relativeFrom="page">
                  <wp:posOffset>914400</wp:posOffset>
                </wp:positionH>
                <wp:positionV relativeFrom="paragraph">
                  <wp:posOffset>62329</wp:posOffset>
                </wp:positionV>
                <wp:extent cx="42545" cy="1270"/>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6800" from="72pt,4.907813pt" to="75.336pt,4.907813pt" stroked="true" strokeweight=".428pt" strokecolor="#005da1">
                <v:stroke dashstyle="solid"/>
                <w10:wrap type="none"/>
              </v:line>
            </w:pict>
          </mc:Fallback>
        </mc:AlternateContent>
      </w:r>
      <w:r>
        <w:rPr>
          <w:color w:val="005DA1"/>
          <w:vertAlign w:val="superscript"/>
        </w:rPr>
        <w:t>5</w:t>
      </w:r>
      <w:r>
        <w:rPr>
          <w:color w:val="005DA1"/>
          <w:vertAlign w:val="baseline"/>
        </w:rPr>
        <w:t> </w:t>
      </w:r>
      <w:r>
        <w:rPr>
          <w:vertAlign w:val="baseline"/>
        </w:rPr>
        <w:t>An agreement may also lack contractual force for want of consideration. The requirement of consideration is discussed in Ch.3.</w:t>
      </w:r>
    </w:p>
    <w:p>
      <w:pPr>
        <w:pStyle w:val="BodyText"/>
      </w:pPr>
    </w:p>
    <w:p>
      <w:pPr>
        <w:pStyle w:val="BodyText"/>
        <w:spacing w:before="35"/>
      </w:pPr>
    </w:p>
    <w:p>
      <w:pPr>
        <w:spacing w:before="1"/>
        <w:ind w:left="165" w:right="0" w:firstLine="0"/>
        <w:jc w:val="left"/>
        <w:rPr>
          <w:rFonts w:ascii="Arial"/>
          <w:b/>
          <w:sz w:val="18"/>
        </w:rPr>
      </w:pPr>
      <w:r>
        <w:rPr>
          <w:rFonts w:ascii="Arial"/>
          <w:b/>
          <w:sz w:val="18"/>
        </w:rPr>
        <w:t>The objective </w:t>
      </w:r>
      <w:r>
        <w:rPr>
          <w:rFonts w:ascii="Arial"/>
          <w:b/>
          <w:spacing w:val="-4"/>
          <w:sz w:val="18"/>
        </w:rPr>
        <w:t>test</w:t>
      </w:r>
    </w:p>
    <w:p>
      <w:pPr>
        <w:pStyle w:val="BodyText"/>
        <w:spacing w:before="41"/>
        <w:rPr>
          <w:rFonts w:ascii="Arial"/>
          <w:b/>
          <w:sz w:val="18"/>
        </w:rPr>
      </w:pPr>
    </w:p>
    <w:p>
      <w:pPr>
        <w:pStyle w:val="Heading2"/>
      </w:pPr>
      <w:r>
        <w:rPr/>
        <w:t>2-</w:t>
      </w:r>
      <w:r>
        <w:rPr>
          <w:spacing w:val="-5"/>
        </w:rPr>
        <w:t>002</w:t>
      </w:r>
    </w:p>
    <w:p>
      <w:pPr>
        <w:pStyle w:val="BodyText"/>
        <w:spacing w:before="92"/>
        <w:rPr>
          <w:rFonts w:ascii="Arial"/>
          <w:b/>
        </w:rPr>
      </w:pPr>
    </w:p>
    <w:p>
      <w:pPr>
        <w:pStyle w:val="BodyText"/>
        <w:spacing w:line="235" w:lineRule="auto" w:before="1"/>
        <w:ind w:left="165" w:right="167"/>
        <w:jc w:val="both"/>
      </w:pPr>
      <w:r>
        <w:rPr/>
        <mc:AlternateContent>
          <mc:Choice Requires="wps">
            <w:drawing>
              <wp:anchor distT="0" distB="0" distL="0" distR="0" allowOverlap="1" layoutInCell="1" locked="0" behindDoc="1" simplePos="0" relativeHeight="483080192">
                <wp:simplePos x="0" y="0"/>
                <wp:positionH relativeFrom="page">
                  <wp:posOffset>1206296</wp:posOffset>
                </wp:positionH>
                <wp:positionV relativeFrom="paragraph">
                  <wp:posOffset>207017</wp:posOffset>
                </wp:positionV>
                <wp:extent cx="42545" cy="1270"/>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6288" from="94.984001pt,16.300587pt" to="98.320001pt,16.30058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080704">
                <wp:simplePos x="0" y="0"/>
                <wp:positionH relativeFrom="page">
                  <wp:posOffset>5537847</wp:posOffset>
                </wp:positionH>
                <wp:positionV relativeFrom="paragraph">
                  <wp:posOffset>349892</wp:posOffset>
                </wp:positionV>
                <wp:extent cx="42545" cy="1270"/>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5776" from="436.050995pt,27.550587pt" to="439.386995pt,27.550587pt" stroked="true" strokeweight=".428pt" strokecolor="#005da1">
                <v:stroke dashstyle="solid"/>
                <w10:wrap type="none"/>
              </v:line>
            </w:pict>
          </mc:Fallback>
        </mc:AlternateContent>
      </w:r>
      <w:r>
        <w:rPr/>
        <mc:AlternateContent>
          <mc:Choice Requires="wps">
            <w:drawing>
              <wp:anchor distT="0" distB="0" distL="0" distR="0" allowOverlap="1" layoutInCell="1" locked="0" behindDoc="1" simplePos="0" relativeHeight="483081216">
                <wp:simplePos x="0" y="0"/>
                <wp:positionH relativeFrom="page">
                  <wp:posOffset>1520494</wp:posOffset>
                </wp:positionH>
                <wp:positionV relativeFrom="paragraph">
                  <wp:posOffset>492767</wp:posOffset>
                </wp:positionV>
                <wp:extent cx="42545" cy="1270"/>
                <wp:effectExtent l="0" t="0" r="0" b="0"/>
                <wp:wrapNone/>
                <wp:docPr id="10" name="Graphic 10"/>
                <wp:cNvGraphicFramePr>
                  <a:graphicFrameLocks/>
                </wp:cNvGraphicFramePr>
                <a:graphic>
                  <a:graphicData uri="http://schemas.microsoft.com/office/word/2010/wordprocessingShape">
                    <wps:wsp>
                      <wps:cNvPr id="10" name="Graphic 10"/>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5264" from="119.723999pt,38.800587pt" to="123.059999pt,38.800587pt" stroked="true" strokeweight=".428pt" strokecolor="#005da1">
                <v:stroke dashstyle="solid"/>
                <w10:wrap type="none"/>
              </v:line>
            </w:pict>
          </mc:Fallback>
        </mc:AlternateContent>
      </w:r>
      <w:r>
        <w:rPr>
          <w:position w:val="-2"/>
        </w:rPr>
        <w:drawing>
          <wp:inline distT="0" distB="0" distL="0" distR="0">
            <wp:extent cx="107988" cy="107988"/>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3" w:id="5"/>
      <w:bookmarkEnd w:id="5"/>
      <w:r>
        <w:rPr>
          <w:rFonts w:ascii="Times New Roman"/>
          <w:spacing w:val="-25"/>
        </w:rPr>
      </w:r>
      <w:r>
        <w:rPr/>
        <w:t>In deciding whether the parties have reached agreement, the courts normally apply the </w:t>
      </w:r>
      <w:r>
        <w:rPr/>
        <w:t>objective </w:t>
      </w:r>
      <w:bookmarkStart w:name="_bookmark4" w:id="6"/>
      <w:bookmarkEnd w:id="6"/>
      <w:r>
        <w:rPr/>
        <w:t>test,</w:t>
      </w:r>
      <w:r>
        <w:rPr/>
        <w:t> </w:t>
      </w:r>
      <w:r>
        <w:rPr>
          <w:color w:val="005DA1"/>
          <w:vertAlign w:val="superscript"/>
        </w:rPr>
        <w:t>6</w:t>
      </w:r>
      <w:r>
        <w:rPr>
          <w:color w:val="005DA1"/>
          <w:vertAlign w:val="baseline"/>
        </w:rPr>
        <w:t> </w:t>
      </w:r>
      <w:r>
        <w:rPr>
          <w:vertAlign w:val="baseline"/>
        </w:rPr>
        <w:t>which is further discussed at para.2-003 below. Under this test, once the parties have to all </w:t>
      </w:r>
      <w:bookmarkStart w:name="_bookmark5" w:id="7"/>
      <w:bookmarkEnd w:id="7"/>
      <w:r>
        <w:rPr>
          <w:vertAlign w:val="baseline"/>
        </w:rPr>
        <w:t>outward</w:t>
      </w:r>
      <w:r>
        <w:rPr>
          <w:vertAlign w:val="baseline"/>
        </w:rPr>
        <w:t> appearances agreed in the same terms on the same subject-matter, </w:t>
      </w:r>
      <w:r>
        <w:rPr>
          <w:color w:val="005DA1"/>
          <w:vertAlign w:val="superscript"/>
        </w:rPr>
        <w:t>7</w:t>
      </w:r>
      <w:r>
        <w:rPr>
          <w:color w:val="005DA1"/>
          <w:vertAlign w:val="baseline"/>
        </w:rPr>
        <w:t> </w:t>
      </w:r>
      <w:r>
        <w:rPr>
          <w:vertAlign w:val="baseline"/>
        </w:rPr>
        <w:t>then neither can, generally, </w:t>
      </w:r>
      <w:r>
        <w:rPr>
          <w:color w:val="005DA1"/>
          <w:vertAlign w:val="superscript"/>
        </w:rPr>
        <w:t>8</w:t>
      </w:r>
      <w:r>
        <w:rPr>
          <w:color w:val="005DA1"/>
          <w:vertAlign w:val="baseline"/>
        </w:rPr>
        <w:t> </w:t>
      </w:r>
      <w:r>
        <w:rPr>
          <w:vertAlign w:val="baseline"/>
        </w:rPr>
        <w:t>rely on some unexpressed qualification or reservation to show that he had not in fact </w:t>
      </w:r>
      <w:bookmarkStart w:name="_bookmark6" w:id="8"/>
      <w:bookmarkEnd w:id="8"/>
      <w:r>
        <w:rPr>
          <w:vertAlign w:val="baseline"/>
        </w:rPr>
        <w:t>agreed</w:t>
      </w:r>
      <w:r>
        <w:rPr>
          <w:spacing w:val="22"/>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terms</w:t>
      </w:r>
      <w:r>
        <w:rPr>
          <w:spacing w:val="22"/>
          <w:vertAlign w:val="baseline"/>
        </w:rPr>
        <w:t> </w:t>
      </w:r>
      <w:r>
        <w:rPr>
          <w:vertAlign w:val="baseline"/>
        </w:rPr>
        <w:t>to</w:t>
      </w:r>
      <w:r>
        <w:rPr>
          <w:spacing w:val="22"/>
          <w:vertAlign w:val="baseline"/>
        </w:rPr>
        <w:t> </w:t>
      </w:r>
      <w:r>
        <w:rPr>
          <w:vertAlign w:val="baseline"/>
        </w:rPr>
        <w:t>which</w:t>
      </w:r>
      <w:r>
        <w:rPr>
          <w:spacing w:val="22"/>
          <w:vertAlign w:val="baseline"/>
        </w:rPr>
        <w:t> </w:t>
      </w:r>
      <w:r>
        <w:rPr>
          <w:vertAlign w:val="baseline"/>
        </w:rPr>
        <w:t>he</w:t>
      </w:r>
      <w:r>
        <w:rPr>
          <w:spacing w:val="22"/>
          <w:vertAlign w:val="baseline"/>
        </w:rPr>
        <w:t> </w:t>
      </w:r>
      <w:r>
        <w:rPr>
          <w:vertAlign w:val="baseline"/>
        </w:rPr>
        <w:t>had</w:t>
      </w:r>
      <w:r>
        <w:rPr>
          <w:spacing w:val="22"/>
          <w:vertAlign w:val="baseline"/>
        </w:rPr>
        <w:t> </w:t>
      </w:r>
      <w:r>
        <w:rPr>
          <w:vertAlign w:val="baseline"/>
        </w:rPr>
        <w:t>appeared</w:t>
      </w:r>
      <w:r>
        <w:rPr>
          <w:spacing w:val="22"/>
          <w:vertAlign w:val="baseline"/>
        </w:rPr>
        <w:t> </w:t>
      </w:r>
      <w:r>
        <w:rPr>
          <w:vertAlign w:val="baseline"/>
        </w:rPr>
        <w:t>to</w:t>
      </w:r>
      <w:r>
        <w:rPr>
          <w:spacing w:val="22"/>
          <w:vertAlign w:val="baseline"/>
        </w:rPr>
        <w:t> </w:t>
      </w:r>
      <w:r>
        <w:rPr>
          <w:vertAlign w:val="baseline"/>
        </w:rPr>
        <w:t>agree.</w:t>
      </w:r>
      <w:r>
        <w:rPr>
          <w:spacing w:val="22"/>
          <w:vertAlign w:val="baseline"/>
        </w:rPr>
        <w:t> </w:t>
      </w:r>
      <w:r>
        <w:rPr>
          <w:vertAlign w:val="baseline"/>
        </w:rPr>
        <w:t>Such</w:t>
      </w:r>
      <w:r>
        <w:rPr>
          <w:spacing w:val="22"/>
          <w:vertAlign w:val="baseline"/>
        </w:rPr>
        <w:t> </w:t>
      </w:r>
      <w:r>
        <w:rPr>
          <w:vertAlign w:val="baseline"/>
        </w:rPr>
        <w:t>subjective</w:t>
      </w:r>
      <w:r>
        <w:rPr>
          <w:spacing w:val="22"/>
          <w:vertAlign w:val="baseline"/>
        </w:rPr>
        <w:t> </w:t>
      </w:r>
      <w:r>
        <w:rPr>
          <w:vertAlign w:val="baseline"/>
        </w:rPr>
        <w:t>reservations</w:t>
      </w:r>
      <w:r>
        <w:rPr>
          <w:spacing w:val="22"/>
          <w:vertAlign w:val="baseline"/>
        </w:rPr>
        <w:t> </w:t>
      </w:r>
      <w:r>
        <w:rPr>
          <w:vertAlign w:val="baseline"/>
        </w:rPr>
        <w:t>of</w:t>
      </w:r>
      <w:r>
        <w:rPr>
          <w:spacing w:val="22"/>
          <w:vertAlign w:val="baseline"/>
        </w:rPr>
        <w:t> </w:t>
      </w:r>
      <w:r>
        <w:rPr>
          <w:vertAlign w:val="baseline"/>
        </w:rPr>
        <w:t>one</w:t>
      </w:r>
      <w:r>
        <w:rPr>
          <w:spacing w:val="22"/>
          <w:vertAlign w:val="baseline"/>
        </w:rPr>
        <w:t> </w:t>
      </w:r>
      <w:r>
        <w:rPr>
          <w:spacing w:val="-4"/>
          <w:vertAlign w:val="baseline"/>
        </w:rPr>
        <w:t>party</w:t>
      </w:r>
    </w:p>
    <w:p>
      <w:pPr>
        <w:pStyle w:val="BodyText"/>
        <w:spacing w:before="114"/>
        <w:ind w:left="165"/>
        <w:jc w:val="both"/>
      </w:pPr>
      <w:r>
        <w:rPr/>
        <mc:AlternateContent>
          <mc:Choice Requires="wps">
            <w:drawing>
              <wp:anchor distT="0" distB="0" distL="0" distR="0" allowOverlap="1" layoutInCell="1" locked="0" behindDoc="1" simplePos="0" relativeHeight="483081728">
                <wp:simplePos x="0" y="0"/>
                <wp:positionH relativeFrom="page">
                  <wp:posOffset>3851147</wp:posOffset>
                </wp:positionH>
                <wp:positionV relativeFrom="paragraph">
                  <wp:posOffset>138498</wp:posOffset>
                </wp:positionV>
                <wp:extent cx="42545" cy="1270"/>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2545" cy="1270"/>
                        </a:xfrm>
                        <a:custGeom>
                          <a:avLst/>
                          <a:gdLst/>
                          <a:ahLst/>
                          <a:cxnLst/>
                          <a:rect l="l" t="t" r="r" b="b"/>
                          <a:pathLst>
                            <a:path w="42545" h="0">
                              <a:moveTo>
                                <a:pt x="0" y="0"/>
                              </a:moveTo>
                              <a:lnTo>
                                <a:pt x="42367" y="0"/>
                              </a:lnTo>
                            </a:path>
                          </a:pathLst>
                        </a:custGeom>
                        <a:ln w="5435">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4752" from="303.239990pt,10.905371pt" to="306.57599pt,10.905371pt" stroked="true" strokeweight=".428pt" strokecolor="#005da1">
                <v:stroke dashstyle="solid"/>
                <w10:wrap type="none"/>
              </v:line>
            </w:pict>
          </mc:Fallback>
        </mc:AlternateContent>
      </w:r>
      <w:r>
        <w:rPr/>
        <w:t>therefore</w:t>
      </w:r>
      <w:r>
        <w:rPr>
          <w:spacing w:val="-1"/>
        </w:rPr>
        <w:t> </w:t>
      </w:r>
      <w:r>
        <w:rPr/>
        <w:t>do not</w:t>
      </w:r>
      <w:r>
        <w:rPr>
          <w:spacing w:val="-1"/>
        </w:rPr>
        <w:t> </w:t>
      </w:r>
      <w:r>
        <w:rPr/>
        <w:t>prevent the</w:t>
      </w:r>
      <w:r>
        <w:rPr>
          <w:spacing w:val="-1"/>
        </w:rPr>
        <w:t> </w:t>
      </w:r>
      <w:r>
        <w:rPr/>
        <w:t>formation of</w:t>
      </w:r>
      <w:r>
        <w:rPr>
          <w:spacing w:val="-1"/>
        </w:rPr>
        <w:t> </w:t>
      </w:r>
      <w:r>
        <w:rPr/>
        <w:t>a contract.</w:t>
      </w:r>
      <w:r>
        <w:rPr>
          <w:spacing w:val="-2"/>
        </w:rPr>
        <w:t> </w:t>
      </w:r>
      <w:r>
        <w:rPr>
          <w:color w:val="005DA1"/>
          <w:vertAlign w:val="superscript"/>
        </w:rPr>
        <w:t>9</w:t>
      </w:r>
      <w:r>
        <w:rPr>
          <w:color w:val="005DA1"/>
          <w:spacing w:val="27"/>
          <w:vertAlign w:val="baseline"/>
        </w:rPr>
        <w:t>  </w:t>
      </w:r>
      <w:r>
        <w:rPr>
          <w:color w:val="005DA1"/>
          <w:position w:val="-2"/>
          <w:vertAlign w:val="baseline"/>
        </w:rPr>
        <w:drawing>
          <wp:inline distT="0" distB="0" distL="0" distR="0">
            <wp:extent cx="107988" cy="107988"/>
            <wp:effectExtent l="0" t="0" r="0" b="0"/>
            <wp:docPr id="13" name="Image 13"/>
            <wp:cNvGraphicFramePr>
              <a:graphicFrameLocks/>
            </wp:cNvGraphicFramePr>
            <a:graphic>
              <a:graphicData uri="http://schemas.openxmlformats.org/drawingml/2006/picture">
                <pic:pic>
                  <pic:nvPicPr>
                    <pic:cNvPr id="13" name="Image 1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r>
        <w:rPr>
          <w:spacing w:val="-10"/>
          <w:vertAlign w:val="baseline"/>
        </w:rPr>
        <w:t>.</w:t>
      </w:r>
    </w:p>
    <w:p>
      <w:pPr>
        <w:pStyle w:val="BodyText"/>
      </w:pPr>
    </w:p>
    <w:p>
      <w:pPr>
        <w:pStyle w:val="BodyText"/>
        <w:spacing w:before="38"/>
      </w:pPr>
      <w:r>
        <w:rPr/>
        <mc:AlternateContent>
          <mc:Choice Requires="wps">
            <w:drawing>
              <wp:anchor distT="0" distB="0" distL="0" distR="0" allowOverlap="1" layoutInCell="1" locked="0" behindDoc="1" simplePos="0" relativeHeight="487587840">
                <wp:simplePos x="0" y="0"/>
                <wp:positionH relativeFrom="page">
                  <wp:posOffset>914400</wp:posOffset>
                </wp:positionH>
                <wp:positionV relativeFrom="paragraph">
                  <wp:posOffset>185982</wp:posOffset>
                </wp:positionV>
                <wp:extent cx="5724525" cy="1270"/>
                <wp:effectExtent l="0" t="0" r="0" b="0"/>
                <wp:wrapTopAndBottom/>
                <wp:docPr id="14" name="Graphic 14"/>
                <wp:cNvGraphicFramePr>
                  <a:graphicFrameLocks/>
                </wp:cNvGraphicFramePr>
                <a:graphic>
                  <a:graphicData uri="http://schemas.microsoft.com/office/word/2010/wordprocessingShape">
                    <wps:wsp>
                      <wps:cNvPr id="14" name="Graphic 1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4324pt;width:450.75pt;height:.1pt;mso-position-horizontal-relative:page;mso-position-vertical-relative:paragraph;z-index:-15728640;mso-wrap-distance-left:0;mso-wrap-distance-right:0" id="docshape3"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pStyle w:val="BodyText"/>
        <w:tabs>
          <w:tab w:pos="705" w:val="left" w:leader="none"/>
        </w:tabs>
        <w:spacing w:line="235" w:lineRule="auto"/>
        <w:ind w:left="705" w:right="167" w:hanging="541"/>
        <w:jc w:val="both"/>
      </w:pPr>
      <w:r>
        <w:rPr/>
        <mc:AlternateContent>
          <mc:Choice Requires="wps">
            <w:drawing>
              <wp:anchor distT="0" distB="0" distL="0" distR="0" allowOverlap="1" layoutInCell="1" locked="0" behindDoc="1" simplePos="0" relativeHeight="483082240">
                <wp:simplePos x="0" y="0"/>
                <wp:positionH relativeFrom="page">
                  <wp:posOffset>914400</wp:posOffset>
                </wp:positionH>
                <wp:positionV relativeFrom="paragraph">
                  <wp:posOffset>94576</wp:posOffset>
                </wp:positionV>
                <wp:extent cx="49530" cy="127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4240" from="72pt,7.446977pt" to="75.892pt,7.446977pt" stroked="true" strokeweight=".5pt" strokecolor="#005da1">
                <v:stroke dashstyle="solid"/>
                <w10:wrap type="none"/>
              </v:line>
            </w:pict>
          </mc:Fallback>
        </mc:AlternateContent>
      </w:r>
      <w:bookmarkStart w:name="_bookmark7" w:id="9"/>
      <w:bookmarkEnd w:id="9"/>
      <w:r>
        <w:rPr/>
      </w:r>
      <w:hyperlink w:history="true" w:anchor="_bookmark0">
        <w:r>
          <w:rPr>
            <w:color w:val="005DA1"/>
            <w:spacing w:val="-6"/>
            <w:position w:val="5"/>
            <w:sz w:val="14"/>
          </w:rPr>
          <w:t>1</w:t>
        </w:r>
      </w:hyperlink>
      <w:r>
        <w:rPr>
          <w:spacing w:val="-6"/>
          <w:position w:val="5"/>
          <w:sz w:val="14"/>
        </w:rPr>
        <w:t>.</w:t>
      </w:r>
      <w:r>
        <w:rPr>
          <w:position w:val="5"/>
          <w:sz w:val="14"/>
        </w:rPr>
        <w:tab/>
      </w:r>
      <w:r>
        <w:rPr/>
        <w:t>The analysis of the process of reaching agreement in terms of the steps of offer </w:t>
      </w:r>
      <w:r>
        <w:rPr/>
        <w:t>and</w:t>
      </w:r>
      <w:r>
        <w:rPr>
          <w:spacing w:val="40"/>
        </w:rPr>
        <w:t> </w:t>
      </w:r>
      <w:r>
        <w:rPr/>
        <w:t>acceptance</w:t>
      </w:r>
      <w:r>
        <w:rPr>
          <w:spacing w:val="65"/>
        </w:rPr>
        <w:t> </w:t>
      </w:r>
      <w:r>
        <w:rPr/>
        <w:t>gives</w:t>
      </w:r>
      <w:r>
        <w:rPr>
          <w:spacing w:val="65"/>
        </w:rPr>
        <w:t> </w:t>
      </w:r>
      <w:r>
        <w:rPr/>
        <w:t>rise</w:t>
      </w:r>
      <w:r>
        <w:rPr>
          <w:spacing w:val="65"/>
        </w:rPr>
        <w:t> </w:t>
      </w:r>
      <w:r>
        <w:rPr/>
        <w:t>to</w:t>
      </w:r>
      <w:r>
        <w:rPr>
          <w:spacing w:val="65"/>
        </w:rPr>
        <w:t> </w:t>
      </w:r>
      <w:r>
        <w:rPr/>
        <w:t>difficulties</w:t>
      </w:r>
      <w:r>
        <w:rPr>
          <w:spacing w:val="65"/>
        </w:rPr>
        <w:t> </w:t>
      </w:r>
      <w:r>
        <w:rPr/>
        <w:t>in</w:t>
      </w:r>
      <w:r>
        <w:rPr>
          <w:spacing w:val="65"/>
        </w:rPr>
        <w:t> </w:t>
      </w:r>
      <w:r>
        <w:rPr/>
        <w:t>a</w:t>
      </w:r>
      <w:r>
        <w:rPr>
          <w:spacing w:val="65"/>
        </w:rPr>
        <w:t> </w:t>
      </w:r>
      <w:r>
        <w:rPr/>
        <w:t>number</w:t>
      </w:r>
      <w:r>
        <w:rPr>
          <w:spacing w:val="65"/>
        </w:rPr>
        <w:t> </w:t>
      </w:r>
      <w:r>
        <w:rPr/>
        <w:t>of</w:t>
      </w:r>
      <w:r>
        <w:rPr>
          <w:spacing w:val="65"/>
        </w:rPr>
        <w:t> </w:t>
      </w:r>
      <w:r>
        <w:rPr/>
        <w:t>situations</w:t>
      </w:r>
      <w:r>
        <w:rPr>
          <w:spacing w:val="65"/>
        </w:rPr>
        <w:t> </w:t>
      </w:r>
      <w:r>
        <w:rPr/>
        <w:t>to</w:t>
      </w:r>
      <w:r>
        <w:rPr>
          <w:spacing w:val="65"/>
        </w:rPr>
        <w:t> </w:t>
      </w:r>
      <w:r>
        <w:rPr/>
        <w:t>be</w:t>
      </w:r>
      <w:r>
        <w:rPr>
          <w:spacing w:val="65"/>
        </w:rPr>
        <w:t> </w:t>
      </w:r>
      <w:r>
        <w:rPr/>
        <w:t>discussed</w:t>
      </w:r>
      <w:r>
        <w:rPr>
          <w:spacing w:val="65"/>
        </w:rPr>
        <w:t> </w:t>
      </w:r>
      <w:r>
        <w:rPr/>
        <w:t>in</w:t>
      </w:r>
      <w:r>
        <w:rPr>
          <w:spacing w:val="65"/>
        </w:rPr>
        <w:t> </w:t>
      </w:r>
      <w:r>
        <w:rPr/>
        <w:t>paras 2-117—2-118 below.</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3082752">
                <wp:simplePos x="0" y="0"/>
                <wp:positionH relativeFrom="page">
                  <wp:posOffset>914400</wp:posOffset>
                </wp:positionH>
                <wp:positionV relativeFrom="paragraph">
                  <wp:posOffset>97038</wp:posOffset>
                </wp:positionV>
                <wp:extent cx="49530" cy="1270"/>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3728" from="72pt,7.640824pt" to="75.892pt,7.640824pt" stroked="true" strokeweight=".5pt" strokecolor="#005da1">
                <v:stroke dashstyle="solid"/>
                <w10:wrap type="none"/>
              </v:line>
            </w:pict>
          </mc:Fallback>
        </mc:AlternateContent>
      </w:r>
      <w:bookmarkStart w:name="_bookmark8" w:id="10"/>
      <w:bookmarkEnd w:id="10"/>
      <w:r>
        <w:rPr/>
      </w:r>
      <w:hyperlink w:history="true" w:anchor="_bookmark1">
        <w:r>
          <w:rPr>
            <w:color w:val="005DA1"/>
            <w:spacing w:val="-5"/>
            <w:position w:val="5"/>
            <w:sz w:val="14"/>
          </w:rPr>
          <w:t>2</w:t>
        </w:r>
      </w:hyperlink>
      <w:r>
        <w:rPr>
          <w:spacing w:val="-5"/>
          <w:position w:val="5"/>
          <w:sz w:val="14"/>
        </w:rPr>
        <w:t>.</w:t>
      </w:r>
      <w:r>
        <w:rPr>
          <w:position w:val="5"/>
          <w:sz w:val="14"/>
        </w:rPr>
        <w:tab/>
      </w:r>
      <w:r>
        <w:rPr/>
        <w:t>Below,</w:t>
      </w:r>
      <w:r>
        <w:rPr>
          <w:spacing w:val="-2"/>
        </w:rPr>
        <w:t> </w:t>
      </w:r>
      <w:r>
        <w:rPr/>
        <w:t>paras 2-119—2-</w:t>
      </w:r>
      <w:r>
        <w:rPr>
          <w:spacing w:val="-4"/>
        </w:rPr>
        <w:t>145.</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3083264">
                <wp:simplePos x="0" y="0"/>
                <wp:positionH relativeFrom="page">
                  <wp:posOffset>914400</wp:posOffset>
                </wp:positionH>
                <wp:positionV relativeFrom="paragraph">
                  <wp:posOffset>97063</wp:posOffset>
                </wp:positionV>
                <wp:extent cx="49530" cy="1270"/>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3216" from="72pt,7.642777pt" to="75.892pt,7.642777pt" stroked="true" strokeweight=".5pt" strokecolor="#005da1">
                <v:stroke dashstyle="solid"/>
                <w10:wrap type="none"/>
              </v:line>
            </w:pict>
          </mc:Fallback>
        </mc:AlternateContent>
      </w:r>
      <w:bookmarkStart w:name="_bookmark9" w:id="11"/>
      <w:bookmarkEnd w:id="11"/>
      <w:r>
        <w:rPr/>
      </w:r>
      <w:hyperlink w:history="true" w:anchor="_bookmark1">
        <w:r>
          <w:rPr>
            <w:color w:val="005DA1"/>
            <w:spacing w:val="-5"/>
            <w:position w:val="5"/>
            <w:sz w:val="14"/>
          </w:rPr>
          <w:t>3</w:t>
        </w:r>
      </w:hyperlink>
      <w:r>
        <w:rPr>
          <w:spacing w:val="-5"/>
          <w:position w:val="5"/>
          <w:sz w:val="14"/>
        </w:rPr>
        <w:t>.</w:t>
      </w:r>
      <w:r>
        <w:rPr>
          <w:position w:val="5"/>
          <w:sz w:val="14"/>
        </w:rPr>
        <w:tab/>
      </w:r>
      <w:r>
        <w:rPr/>
        <w:t>Below,</w:t>
      </w:r>
      <w:r>
        <w:rPr>
          <w:spacing w:val="-2"/>
        </w:rPr>
        <w:t> </w:t>
      </w:r>
      <w:r>
        <w:rPr/>
        <w:t>paras 2-147—2-</w:t>
      </w:r>
      <w:r>
        <w:rPr>
          <w:spacing w:val="-4"/>
        </w:rPr>
        <w:t>155.</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3083776">
                <wp:simplePos x="0" y="0"/>
                <wp:positionH relativeFrom="page">
                  <wp:posOffset>914400</wp:posOffset>
                </wp:positionH>
                <wp:positionV relativeFrom="paragraph">
                  <wp:posOffset>97088</wp:posOffset>
                </wp:positionV>
                <wp:extent cx="49530" cy="1270"/>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2704" from="72pt,7.644731pt" to="75.892pt,7.644731pt" stroked="true" strokeweight=".5pt" strokecolor="#005da1">
                <v:stroke dashstyle="solid"/>
                <w10:wrap type="none"/>
              </v:line>
            </w:pict>
          </mc:Fallback>
        </mc:AlternateContent>
      </w:r>
      <w:bookmarkStart w:name="_bookmark10" w:id="12"/>
      <w:bookmarkEnd w:id="12"/>
      <w:r>
        <w:rPr/>
      </w:r>
      <w:hyperlink w:history="true" w:anchor="_bookmark2">
        <w:r>
          <w:rPr>
            <w:color w:val="005DA1"/>
            <w:spacing w:val="-5"/>
            <w:position w:val="5"/>
            <w:sz w:val="14"/>
          </w:rPr>
          <w:t>4</w:t>
        </w:r>
      </w:hyperlink>
      <w:r>
        <w:rPr>
          <w:spacing w:val="-5"/>
          <w:position w:val="5"/>
          <w:sz w:val="14"/>
        </w:rPr>
        <w:t>.</w:t>
      </w:r>
      <w:r>
        <w:rPr>
          <w:position w:val="5"/>
          <w:sz w:val="14"/>
        </w:rPr>
        <w:tab/>
      </w:r>
      <w:r>
        <w:rPr/>
        <w:t>Below,</w:t>
      </w:r>
      <w:r>
        <w:rPr>
          <w:spacing w:val="-2"/>
        </w:rPr>
        <w:t> </w:t>
      </w:r>
      <w:r>
        <w:rPr/>
        <w:t>paras 2-156—2-</w:t>
      </w:r>
      <w:r>
        <w:rPr>
          <w:spacing w:val="-4"/>
        </w:rPr>
        <w:t>166.</w:t>
      </w:r>
    </w:p>
    <w:p>
      <w:pPr>
        <w:pStyle w:val="BodyText"/>
        <w:spacing w:before="5"/>
      </w:pPr>
    </w:p>
    <w:p>
      <w:pPr>
        <w:pStyle w:val="BodyText"/>
        <w:tabs>
          <w:tab w:pos="705" w:val="left" w:leader="none"/>
        </w:tabs>
        <w:ind w:left="165"/>
      </w:pPr>
      <w:r>
        <w:rPr/>
        <mc:AlternateContent>
          <mc:Choice Requires="wps">
            <w:drawing>
              <wp:anchor distT="0" distB="0" distL="0" distR="0" allowOverlap="1" layoutInCell="1" locked="0" behindDoc="1" simplePos="0" relativeHeight="483084288">
                <wp:simplePos x="0" y="0"/>
                <wp:positionH relativeFrom="page">
                  <wp:posOffset>914400</wp:posOffset>
                </wp:positionH>
                <wp:positionV relativeFrom="paragraph">
                  <wp:posOffset>97112</wp:posOffset>
                </wp:positionV>
                <wp:extent cx="49530" cy="1270"/>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2192" from="72pt,7.646684pt" to="75.892pt,7.646684pt" stroked="true" strokeweight=".5pt" strokecolor="#005da1">
                <v:stroke dashstyle="solid"/>
                <w10:wrap type="none"/>
              </v:line>
            </w:pict>
          </mc:Fallback>
        </mc:AlternateContent>
      </w:r>
      <w:bookmarkStart w:name="_bookmark11" w:id="13"/>
      <w:bookmarkEnd w:id="13"/>
      <w:r>
        <w:rPr/>
      </w:r>
      <w:hyperlink w:history="true" w:anchor="_bookmark2">
        <w:r>
          <w:rPr>
            <w:color w:val="005DA1"/>
            <w:spacing w:val="-5"/>
            <w:position w:val="5"/>
            <w:sz w:val="14"/>
          </w:rPr>
          <w:t>5</w:t>
        </w:r>
      </w:hyperlink>
      <w:r>
        <w:rPr>
          <w:spacing w:val="-5"/>
          <w:position w:val="5"/>
          <w:sz w:val="14"/>
        </w:rPr>
        <w:t>.</w:t>
      </w:r>
      <w:r>
        <w:rPr>
          <w:position w:val="5"/>
          <w:sz w:val="14"/>
        </w:rPr>
        <w:tab/>
      </w:r>
      <w:r>
        <w:rPr/>
        <w:t>Below,</w:t>
      </w:r>
      <w:r>
        <w:rPr>
          <w:spacing w:val="-2"/>
        </w:rPr>
        <w:t> </w:t>
      </w:r>
      <w:r>
        <w:rPr/>
        <w:t>paras 2-167—2-</w:t>
      </w:r>
      <w:r>
        <w:rPr>
          <w:spacing w:val="-4"/>
        </w:rPr>
        <w:t>199.</w:t>
      </w:r>
    </w:p>
    <w:p>
      <w:pPr>
        <w:pStyle w:val="BodyText"/>
        <w:spacing w:before="5"/>
      </w:pPr>
    </w:p>
    <w:p>
      <w:pPr>
        <w:pStyle w:val="BodyText"/>
        <w:tabs>
          <w:tab w:pos="705" w:val="left" w:leader="none"/>
        </w:tabs>
        <w:spacing w:line="227" w:lineRule="exact"/>
        <w:ind w:left="165"/>
      </w:pPr>
      <w:r>
        <w:rPr/>
        <mc:AlternateContent>
          <mc:Choice Requires="wps">
            <w:drawing>
              <wp:anchor distT="0" distB="0" distL="0" distR="0" allowOverlap="1" layoutInCell="1" locked="0" behindDoc="1" simplePos="0" relativeHeight="483084800">
                <wp:simplePos x="0" y="0"/>
                <wp:positionH relativeFrom="page">
                  <wp:posOffset>914400</wp:posOffset>
                </wp:positionH>
                <wp:positionV relativeFrom="paragraph">
                  <wp:posOffset>97137</wp:posOffset>
                </wp:positionV>
                <wp:extent cx="49530" cy="1270"/>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1680" from="72pt,7.648637pt" to="75.892pt,7.648637pt" stroked="true" strokeweight=".5pt" strokecolor="#005da1">
                <v:stroke dashstyle="solid"/>
                <w10:wrap type="none"/>
              </v:line>
            </w:pict>
          </mc:Fallback>
        </mc:AlternateContent>
      </w:r>
      <w:bookmarkStart w:name="_bookmark12" w:id="14"/>
      <w:bookmarkEnd w:id="14"/>
      <w:r>
        <w:rPr/>
      </w:r>
      <w:hyperlink w:history="true" w:anchor="_bookmark3">
        <w:r>
          <w:rPr>
            <w:color w:val="005DA1"/>
            <w:spacing w:val="-5"/>
            <w:position w:val="5"/>
            <w:sz w:val="14"/>
          </w:rPr>
          <w:t>6</w:t>
        </w:r>
      </w:hyperlink>
      <w:r>
        <w:rPr>
          <w:spacing w:val="-5"/>
          <w:position w:val="5"/>
          <w:sz w:val="14"/>
        </w:rPr>
        <w:t>.</w:t>
      </w:r>
      <w:r>
        <w:rPr>
          <w:position w:val="5"/>
          <w:sz w:val="14"/>
        </w:rPr>
        <w:tab/>
      </w:r>
      <w:r>
        <w:rPr/>
        <w:t>Howarth</w:t>
      </w:r>
      <w:r>
        <w:rPr>
          <w:spacing w:val="27"/>
        </w:rPr>
        <w:t> </w:t>
      </w:r>
      <w:r>
        <w:rPr/>
        <w:t>(1984)</w:t>
      </w:r>
      <w:r>
        <w:rPr>
          <w:spacing w:val="27"/>
        </w:rPr>
        <w:t> </w:t>
      </w:r>
      <w:r>
        <w:rPr/>
        <w:t>100</w:t>
      </w:r>
      <w:r>
        <w:rPr>
          <w:spacing w:val="27"/>
        </w:rPr>
        <w:t> </w:t>
      </w:r>
      <w:r>
        <w:rPr/>
        <w:t>L.Q.R.</w:t>
      </w:r>
      <w:r>
        <w:rPr>
          <w:spacing w:val="27"/>
        </w:rPr>
        <w:t> </w:t>
      </w:r>
      <w:r>
        <w:rPr/>
        <w:t>265;</w:t>
      </w:r>
      <w:r>
        <w:rPr>
          <w:spacing w:val="27"/>
        </w:rPr>
        <w:t> </w:t>
      </w:r>
      <w:r>
        <w:rPr/>
        <w:t>Vorster</w:t>
      </w:r>
      <w:r>
        <w:rPr>
          <w:spacing w:val="27"/>
        </w:rPr>
        <w:t> </w:t>
      </w:r>
      <w:r>
        <w:rPr/>
        <w:t>(1987)</w:t>
      </w:r>
      <w:r>
        <w:rPr>
          <w:spacing w:val="27"/>
        </w:rPr>
        <w:t> </w:t>
      </w:r>
      <w:r>
        <w:rPr/>
        <w:t>103</w:t>
      </w:r>
      <w:r>
        <w:rPr>
          <w:spacing w:val="27"/>
        </w:rPr>
        <w:t> </w:t>
      </w:r>
      <w:r>
        <w:rPr/>
        <w:t>L.Q.R.</w:t>
      </w:r>
      <w:r>
        <w:rPr>
          <w:spacing w:val="27"/>
        </w:rPr>
        <w:t> </w:t>
      </w:r>
      <w:r>
        <w:rPr/>
        <w:t>247;</w:t>
      </w:r>
      <w:r>
        <w:rPr>
          <w:spacing w:val="27"/>
        </w:rPr>
        <w:t> </w:t>
      </w:r>
      <w:r>
        <w:rPr/>
        <w:t>Howarth</w:t>
      </w:r>
      <w:r>
        <w:rPr>
          <w:spacing w:val="27"/>
        </w:rPr>
        <w:t> </w:t>
      </w:r>
      <w:r>
        <w:rPr/>
        <w:t>(1987)</w:t>
      </w:r>
      <w:r>
        <w:rPr>
          <w:spacing w:val="27"/>
        </w:rPr>
        <w:t> </w:t>
      </w:r>
      <w:r>
        <w:rPr/>
        <w:t>103</w:t>
      </w:r>
      <w:r>
        <w:rPr>
          <w:spacing w:val="27"/>
        </w:rPr>
        <w:t> </w:t>
      </w:r>
      <w:r>
        <w:rPr>
          <w:spacing w:val="-2"/>
        </w:rPr>
        <w:t>L.Q.R.</w:t>
      </w:r>
    </w:p>
    <w:p>
      <w:pPr>
        <w:spacing w:line="227" w:lineRule="exact" w:before="0"/>
        <w:ind w:left="705" w:right="0" w:firstLine="0"/>
        <w:jc w:val="left"/>
        <w:rPr>
          <w:sz w:val="20"/>
        </w:rPr>
      </w:pPr>
      <w:r>
        <w:rPr>
          <w:sz w:val="20"/>
        </w:rPr>
        <w:t>527; De Moor (1990) 106 L.Q.R. 632;</w:t>
      </w:r>
      <w:r>
        <w:rPr>
          <w:spacing w:val="-1"/>
          <w:sz w:val="20"/>
        </w:rPr>
        <w:t> </w:t>
      </w:r>
      <w:r>
        <w:rPr>
          <w:rFonts w:ascii="Arial"/>
          <w:i/>
          <w:sz w:val="20"/>
        </w:rPr>
        <w:t>Smith v Hughes (1871) L.R. 6 Q.B. 597, </w:t>
      </w:r>
      <w:r>
        <w:rPr>
          <w:rFonts w:ascii="Arial"/>
          <w:i/>
          <w:spacing w:val="-4"/>
          <w:sz w:val="20"/>
        </w:rPr>
        <w:t>607</w:t>
      </w:r>
      <w:r>
        <w:rPr>
          <w:spacing w:val="-4"/>
          <w:sz w:val="20"/>
        </w:rPr>
        <w:t>.</w:t>
      </w:r>
    </w:p>
    <w:p>
      <w:pPr>
        <w:pStyle w:val="BodyText"/>
        <w:spacing w:before="5"/>
      </w:pPr>
    </w:p>
    <w:p>
      <w:pPr>
        <w:tabs>
          <w:tab w:pos="705" w:val="left" w:leader="none"/>
        </w:tabs>
        <w:spacing w:before="0"/>
        <w:ind w:left="165" w:right="0" w:firstLine="0"/>
        <w:jc w:val="left"/>
        <w:rPr>
          <w:rFonts w:ascii="Arial" w:hAnsi="Arial"/>
          <w:i/>
          <w:sz w:val="20"/>
        </w:rPr>
      </w:pPr>
      <w:r>
        <w:rPr>
          <w:rFonts w:ascii="Arial" w:hAnsi="Arial"/>
          <w:i/>
          <w:sz w:val="20"/>
        </w:rPr>
        <mc:AlternateContent>
          <mc:Choice Requires="wps">
            <w:drawing>
              <wp:anchor distT="0" distB="0" distL="0" distR="0" allowOverlap="1" layoutInCell="1" locked="0" behindDoc="1" simplePos="0" relativeHeight="483085312">
                <wp:simplePos x="0" y="0"/>
                <wp:positionH relativeFrom="page">
                  <wp:posOffset>914400</wp:posOffset>
                </wp:positionH>
                <wp:positionV relativeFrom="paragraph">
                  <wp:posOffset>97162</wp:posOffset>
                </wp:positionV>
                <wp:extent cx="49530" cy="1270"/>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1168" from="72pt,7.65059pt" to="75.892pt,7.65059pt" stroked="true" strokeweight=".5pt" strokecolor="#005da1">
                <v:stroke dashstyle="solid"/>
                <w10:wrap type="none"/>
              </v:line>
            </w:pict>
          </mc:Fallback>
        </mc:AlternateContent>
      </w:r>
      <w:bookmarkStart w:name="_bookmark13" w:id="15"/>
      <w:bookmarkEnd w:id="15"/>
      <w:r>
        <w:rPr/>
      </w:r>
      <w:hyperlink w:history="true" w:anchor="_bookmark4">
        <w:r>
          <w:rPr>
            <w:color w:val="005DA1"/>
            <w:spacing w:val="-5"/>
            <w:position w:val="5"/>
            <w:sz w:val="14"/>
          </w:rPr>
          <w:t>7</w:t>
        </w:r>
      </w:hyperlink>
      <w:r>
        <w:rPr>
          <w:spacing w:val="-5"/>
          <w:position w:val="5"/>
          <w:sz w:val="14"/>
        </w:rPr>
        <w:t>.</w:t>
      </w:r>
      <w:r>
        <w:rPr>
          <w:position w:val="5"/>
          <w:sz w:val="14"/>
        </w:rPr>
        <w:tab/>
      </w:r>
      <w:r>
        <w:rPr>
          <w:sz w:val="20"/>
        </w:rPr>
        <w:t>See</w:t>
      </w:r>
      <w:r>
        <w:rPr>
          <w:spacing w:val="6"/>
          <w:sz w:val="20"/>
        </w:rPr>
        <w:t> </w:t>
      </w:r>
      <w:r>
        <w:rPr>
          <w:rFonts w:ascii="Arial" w:hAnsi="Arial"/>
          <w:i/>
          <w:sz w:val="20"/>
        </w:rPr>
        <w:t>Falck</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Williams</w:t>
      </w:r>
      <w:r>
        <w:rPr>
          <w:rFonts w:ascii="Arial" w:hAnsi="Arial"/>
          <w:i/>
          <w:spacing w:val="7"/>
          <w:sz w:val="20"/>
        </w:rPr>
        <w:t> </w:t>
      </w:r>
      <w:r>
        <w:rPr>
          <w:rFonts w:ascii="Arial" w:hAnsi="Arial"/>
          <w:i/>
          <w:sz w:val="20"/>
        </w:rPr>
        <w:t>[1900]</w:t>
      </w:r>
      <w:r>
        <w:rPr>
          <w:rFonts w:ascii="Arial" w:hAnsi="Arial"/>
          <w:i/>
          <w:spacing w:val="7"/>
          <w:sz w:val="20"/>
        </w:rPr>
        <w:t> </w:t>
      </w:r>
      <w:r>
        <w:rPr>
          <w:rFonts w:ascii="Arial" w:hAnsi="Arial"/>
          <w:i/>
          <w:sz w:val="20"/>
        </w:rPr>
        <w:t>A.C.</w:t>
      </w:r>
      <w:r>
        <w:rPr>
          <w:rFonts w:ascii="Arial" w:hAnsi="Arial"/>
          <w:i/>
          <w:spacing w:val="7"/>
          <w:sz w:val="20"/>
        </w:rPr>
        <w:t> </w:t>
      </w:r>
      <w:r>
        <w:rPr>
          <w:rFonts w:ascii="Arial" w:hAnsi="Arial"/>
          <w:i/>
          <w:sz w:val="20"/>
        </w:rPr>
        <w:t>176</w:t>
      </w:r>
      <w:r>
        <w:rPr>
          <w:sz w:val="20"/>
        </w:rPr>
        <w:t>;</w:t>
      </w:r>
      <w:r>
        <w:rPr>
          <w:spacing w:val="7"/>
          <w:sz w:val="20"/>
        </w:rPr>
        <w:t> </w:t>
      </w:r>
      <w:r>
        <w:rPr>
          <w:rFonts w:ascii="Arial" w:hAnsi="Arial"/>
          <w:i/>
          <w:sz w:val="20"/>
        </w:rPr>
        <w:t>Pagnan</w:t>
      </w:r>
      <w:r>
        <w:rPr>
          <w:rFonts w:ascii="Arial" w:hAnsi="Arial"/>
          <w:i/>
          <w:spacing w:val="7"/>
          <w:sz w:val="20"/>
        </w:rPr>
        <w:t> </w:t>
      </w:r>
      <w:r>
        <w:rPr>
          <w:rFonts w:ascii="Arial" w:hAnsi="Arial"/>
          <w:i/>
          <w:sz w:val="20"/>
        </w:rPr>
        <w:t>SpA</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Fenal</w:t>
      </w:r>
      <w:r>
        <w:rPr>
          <w:rFonts w:ascii="Arial" w:hAnsi="Arial"/>
          <w:i/>
          <w:spacing w:val="7"/>
          <w:sz w:val="20"/>
        </w:rPr>
        <w:t> </w:t>
      </w:r>
      <w:r>
        <w:rPr>
          <w:rFonts w:ascii="Arial" w:hAnsi="Arial"/>
          <w:i/>
          <w:sz w:val="20"/>
        </w:rPr>
        <w:t>Products</w:t>
      </w:r>
      <w:r>
        <w:rPr>
          <w:rFonts w:ascii="Arial" w:hAnsi="Arial"/>
          <w:i/>
          <w:spacing w:val="7"/>
          <w:sz w:val="20"/>
        </w:rPr>
        <w:t> </w:t>
      </w:r>
      <w:r>
        <w:rPr>
          <w:rFonts w:ascii="Arial" w:hAnsi="Arial"/>
          <w:i/>
          <w:sz w:val="20"/>
        </w:rPr>
        <w:t>Ltd</w:t>
      </w:r>
      <w:r>
        <w:rPr>
          <w:rFonts w:ascii="Arial" w:hAnsi="Arial"/>
          <w:i/>
          <w:spacing w:val="7"/>
          <w:sz w:val="20"/>
        </w:rPr>
        <w:t> </w:t>
      </w:r>
      <w:r>
        <w:rPr>
          <w:rFonts w:ascii="Arial" w:hAnsi="Arial"/>
          <w:i/>
          <w:sz w:val="20"/>
        </w:rPr>
        <w:t>[1987]</w:t>
      </w:r>
      <w:r>
        <w:rPr>
          <w:rFonts w:ascii="Arial" w:hAnsi="Arial"/>
          <w:i/>
          <w:spacing w:val="7"/>
          <w:sz w:val="20"/>
        </w:rPr>
        <w:t> </w:t>
      </w:r>
      <w:r>
        <w:rPr>
          <w:rFonts w:ascii="Arial" w:hAnsi="Arial"/>
          <w:i/>
          <w:sz w:val="20"/>
        </w:rPr>
        <w:t>2</w:t>
      </w:r>
      <w:r>
        <w:rPr>
          <w:rFonts w:ascii="Arial" w:hAnsi="Arial"/>
          <w:i/>
          <w:spacing w:val="7"/>
          <w:sz w:val="20"/>
        </w:rPr>
        <w:t> </w:t>
      </w:r>
      <w:r>
        <w:rPr>
          <w:rFonts w:ascii="Arial" w:hAnsi="Arial"/>
          <w:i/>
          <w:sz w:val="20"/>
        </w:rPr>
        <w:t>Lloyd’s</w:t>
      </w:r>
      <w:r>
        <w:rPr>
          <w:rFonts w:ascii="Arial" w:hAnsi="Arial"/>
          <w:i/>
          <w:spacing w:val="7"/>
          <w:sz w:val="20"/>
        </w:rPr>
        <w:t> </w:t>
      </w:r>
      <w:r>
        <w:rPr>
          <w:rFonts w:ascii="Arial" w:hAnsi="Arial"/>
          <w:i/>
          <w:spacing w:val="-4"/>
          <w:sz w:val="20"/>
        </w:rPr>
        <w:t>Rep.</w:t>
      </w:r>
    </w:p>
    <w:p>
      <w:pPr>
        <w:spacing w:after="0"/>
        <w:jc w:val="left"/>
        <w:rPr>
          <w:rFonts w:ascii="Arial" w:hAnsi="Arial"/>
          <w:i/>
          <w:sz w:val="20"/>
        </w:rPr>
        <w:sectPr>
          <w:headerReference w:type="default" r:id="rId6"/>
          <w:pgSz w:w="11900" w:h="16840"/>
          <w:pgMar w:header="971" w:footer="0" w:top="1300" w:bottom="280" w:left="1275" w:right="1275"/>
          <w:pgNumType w:start="1"/>
        </w:sectPr>
      </w:pPr>
    </w:p>
    <w:p>
      <w:pPr>
        <w:spacing w:line="227" w:lineRule="exact" w:before="106"/>
        <w:ind w:left="705" w:right="0" w:firstLine="0"/>
        <w:jc w:val="both"/>
        <w:rPr>
          <w:rFonts w:ascii="Arial"/>
          <w:i/>
          <w:sz w:val="20"/>
        </w:rPr>
      </w:pPr>
      <w:r>
        <w:rPr>
          <w:rFonts w:ascii="Arial"/>
          <w:i/>
          <w:sz w:val="20"/>
        </w:rPr>
        <w:t>601</w:t>
      </w:r>
      <w:r>
        <w:rPr>
          <w:rFonts w:ascii="Arial"/>
          <w:i/>
          <w:spacing w:val="7"/>
          <w:sz w:val="20"/>
        </w:rPr>
        <w:t> </w:t>
      </w:r>
      <w:r>
        <w:rPr>
          <w:sz w:val="20"/>
        </w:rPr>
        <w:t>at</w:t>
      </w:r>
      <w:r>
        <w:rPr>
          <w:spacing w:val="8"/>
          <w:sz w:val="20"/>
        </w:rPr>
        <w:t> </w:t>
      </w:r>
      <w:r>
        <w:rPr>
          <w:sz w:val="20"/>
        </w:rPr>
        <w:t>610;</w:t>
      </w:r>
      <w:r>
        <w:rPr>
          <w:spacing w:val="8"/>
          <w:sz w:val="20"/>
        </w:rPr>
        <w:t> </w:t>
      </w:r>
      <w:r>
        <w:rPr>
          <w:rFonts w:ascii="Arial"/>
          <w:i/>
          <w:sz w:val="20"/>
        </w:rPr>
        <w:t>Guernsey</w:t>
      </w:r>
      <w:r>
        <w:rPr>
          <w:rFonts w:ascii="Arial"/>
          <w:i/>
          <w:spacing w:val="8"/>
          <w:sz w:val="20"/>
        </w:rPr>
        <w:t> </w:t>
      </w:r>
      <w:r>
        <w:rPr>
          <w:rFonts w:ascii="Arial"/>
          <w:i/>
          <w:sz w:val="20"/>
        </w:rPr>
        <w:t>v</w:t>
      </w:r>
      <w:r>
        <w:rPr>
          <w:rFonts w:ascii="Arial"/>
          <w:i/>
          <w:spacing w:val="8"/>
          <w:sz w:val="20"/>
        </w:rPr>
        <w:t> </w:t>
      </w:r>
      <w:r>
        <w:rPr>
          <w:rFonts w:ascii="Arial"/>
          <w:i/>
          <w:sz w:val="20"/>
        </w:rPr>
        <w:t>Jacob</w:t>
      </w:r>
      <w:r>
        <w:rPr>
          <w:rFonts w:ascii="Arial"/>
          <w:i/>
          <w:spacing w:val="8"/>
          <w:sz w:val="20"/>
        </w:rPr>
        <w:t> </w:t>
      </w:r>
      <w:r>
        <w:rPr>
          <w:rFonts w:ascii="Arial"/>
          <w:i/>
          <w:sz w:val="20"/>
        </w:rPr>
        <w:t>UK</w:t>
      </w:r>
      <w:r>
        <w:rPr>
          <w:rFonts w:ascii="Arial"/>
          <w:i/>
          <w:spacing w:val="8"/>
          <w:sz w:val="20"/>
        </w:rPr>
        <w:t> </w:t>
      </w:r>
      <w:r>
        <w:rPr>
          <w:rFonts w:ascii="Arial"/>
          <w:i/>
          <w:sz w:val="20"/>
        </w:rPr>
        <w:t>Ltd</w:t>
      </w:r>
      <w:r>
        <w:rPr>
          <w:rFonts w:ascii="Arial"/>
          <w:i/>
          <w:spacing w:val="8"/>
          <w:sz w:val="20"/>
        </w:rPr>
        <w:t> </w:t>
      </w:r>
      <w:r>
        <w:rPr>
          <w:rFonts w:ascii="Arial"/>
          <w:i/>
          <w:sz w:val="20"/>
        </w:rPr>
        <w:t>[2011]</w:t>
      </w:r>
      <w:r>
        <w:rPr>
          <w:rFonts w:ascii="Arial"/>
          <w:i/>
          <w:spacing w:val="8"/>
          <w:sz w:val="20"/>
        </w:rPr>
        <w:t> </w:t>
      </w:r>
      <w:r>
        <w:rPr>
          <w:rFonts w:ascii="Arial"/>
          <w:i/>
          <w:sz w:val="20"/>
        </w:rPr>
        <w:t>EWHC</w:t>
      </w:r>
      <w:r>
        <w:rPr>
          <w:rFonts w:ascii="Arial"/>
          <w:i/>
          <w:spacing w:val="8"/>
          <w:sz w:val="20"/>
        </w:rPr>
        <w:t> </w:t>
      </w:r>
      <w:r>
        <w:rPr>
          <w:rFonts w:ascii="Arial"/>
          <w:i/>
          <w:sz w:val="20"/>
        </w:rPr>
        <w:t>918</w:t>
      </w:r>
      <w:r>
        <w:rPr>
          <w:rFonts w:ascii="Arial"/>
          <w:i/>
          <w:spacing w:val="8"/>
          <w:sz w:val="20"/>
        </w:rPr>
        <w:t> </w:t>
      </w:r>
      <w:r>
        <w:rPr>
          <w:rFonts w:ascii="Arial"/>
          <w:i/>
          <w:sz w:val="20"/>
        </w:rPr>
        <w:t>(TCC)</w:t>
      </w:r>
      <w:r>
        <w:rPr>
          <w:sz w:val="20"/>
        </w:rPr>
        <w:t>,</w:t>
      </w:r>
      <w:r>
        <w:rPr>
          <w:spacing w:val="8"/>
          <w:sz w:val="20"/>
        </w:rPr>
        <w:t> </w:t>
      </w:r>
      <w:r>
        <w:rPr>
          <w:rFonts w:ascii="Arial"/>
          <w:i/>
          <w:sz w:val="20"/>
        </w:rPr>
        <w:t>[2001]</w:t>
      </w:r>
      <w:r>
        <w:rPr>
          <w:rFonts w:ascii="Arial"/>
          <w:i/>
          <w:spacing w:val="8"/>
          <w:sz w:val="20"/>
        </w:rPr>
        <w:t> </w:t>
      </w:r>
      <w:r>
        <w:rPr>
          <w:rFonts w:ascii="Arial"/>
          <w:i/>
          <w:sz w:val="20"/>
        </w:rPr>
        <w:t>1</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(Comm)</w:t>
      </w:r>
      <w:r>
        <w:rPr>
          <w:rFonts w:ascii="Arial"/>
          <w:i/>
          <w:spacing w:val="8"/>
          <w:sz w:val="20"/>
        </w:rPr>
        <w:t> </w:t>
      </w:r>
      <w:r>
        <w:rPr>
          <w:rFonts w:ascii="Arial"/>
          <w:i/>
          <w:spacing w:val="-5"/>
          <w:sz w:val="20"/>
        </w:rPr>
        <w:t>175</w:t>
      </w:r>
    </w:p>
    <w:p>
      <w:pPr>
        <w:spacing w:line="225" w:lineRule="exact" w:before="0"/>
        <w:ind w:left="705" w:right="0" w:firstLine="0"/>
        <w:jc w:val="both"/>
        <w:rPr>
          <w:rFonts w:ascii="Arial"/>
          <w:i/>
          <w:sz w:val="20"/>
        </w:rPr>
      </w:pPr>
      <w:r>
        <w:rPr>
          <w:sz w:val="20"/>
        </w:rPr>
        <w:t>at [41]; </w:t>
      </w:r>
      <w:r>
        <w:rPr>
          <w:rFonts w:ascii="Arial"/>
          <w:i/>
          <w:sz w:val="20"/>
        </w:rPr>
        <w:t>Global 5000 Ltd v Wadhawan [2011] EWHC 853 (Comm), [2011] 2 All E.R. (Comm) </w:t>
      </w:r>
      <w:r>
        <w:rPr>
          <w:rFonts w:ascii="Arial"/>
          <w:i/>
          <w:spacing w:val="-5"/>
          <w:sz w:val="20"/>
        </w:rPr>
        <w:t>190</w:t>
      </w:r>
    </w:p>
    <w:p>
      <w:pPr>
        <w:spacing w:line="235" w:lineRule="auto" w:before="2"/>
        <w:ind w:left="705" w:right="167" w:firstLine="0"/>
        <w:jc w:val="both"/>
        <w:rPr>
          <w:rFonts w:ascii="Arial"/>
          <w:i/>
          <w:sz w:val="20"/>
        </w:rPr>
      </w:pPr>
      <w:r>
        <w:rPr>
          <w:sz w:val="20"/>
        </w:rPr>
        <w:t>at [45]; </w:t>
      </w:r>
      <w:r>
        <w:rPr>
          <w:rFonts w:ascii="Arial"/>
          <w:i/>
          <w:sz w:val="20"/>
        </w:rPr>
        <w:t>VTB Capital Plc v Nutritek International Corp [2013] UKSC 5, [2013] 1 All E.R. 1296 </w:t>
      </w:r>
      <w:r>
        <w:rPr>
          <w:sz w:val="20"/>
        </w:rPr>
        <w:t>at [140]. The objective test can apply, not only for the purpose of establishing the existence of a contract, but also to determine the contents of an admitted contract: see </w:t>
      </w:r>
      <w:r>
        <w:rPr>
          <w:rFonts w:ascii="Arial"/>
          <w:i/>
          <w:sz w:val="20"/>
        </w:rPr>
        <w:t>Thake v Maurice</w:t>
      </w:r>
      <w:r>
        <w:rPr>
          <w:rFonts w:ascii="Arial"/>
          <w:i/>
          <w:spacing w:val="40"/>
          <w:sz w:val="20"/>
        </w:rPr>
        <w:t> </w:t>
      </w:r>
      <w:r>
        <w:rPr>
          <w:rFonts w:ascii="Arial"/>
          <w:i/>
          <w:sz w:val="20"/>
        </w:rPr>
        <w:t>[1986]</w:t>
      </w:r>
      <w:r>
        <w:rPr>
          <w:rFonts w:ascii="Arial"/>
          <w:i/>
          <w:spacing w:val="28"/>
          <w:sz w:val="20"/>
        </w:rPr>
        <w:t> </w:t>
      </w:r>
      <w:r>
        <w:rPr>
          <w:rFonts w:ascii="Arial"/>
          <w:i/>
          <w:sz w:val="20"/>
        </w:rPr>
        <w:t>Q.B.</w:t>
      </w:r>
      <w:r>
        <w:rPr>
          <w:rFonts w:ascii="Arial"/>
          <w:i/>
          <w:spacing w:val="29"/>
          <w:sz w:val="20"/>
        </w:rPr>
        <w:t> </w:t>
      </w:r>
      <w:r>
        <w:rPr>
          <w:rFonts w:ascii="Arial"/>
          <w:i/>
          <w:sz w:val="20"/>
        </w:rPr>
        <w:t>644</w:t>
      </w:r>
      <w:r>
        <w:rPr>
          <w:sz w:val="20"/>
        </w:rPr>
        <w:t>;</w:t>
      </w:r>
      <w:r>
        <w:rPr>
          <w:spacing w:val="30"/>
          <w:sz w:val="20"/>
        </w:rPr>
        <w:t> </w:t>
      </w:r>
      <w:r>
        <w:rPr>
          <w:rFonts w:ascii="Arial"/>
          <w:i/>
          <w:sz w:val="20"/>
        </w:rPr>
        <w:t>Eyre</w:t>
      </w:r>
      <w:r>
        <w:rPr>
          <w:rFonts w:ascii="Arial"/>
          <w:i/>
          <w:spacing w:val="29"/>
          <w:sz w:val="20"/>
        </w:rPr>
        <w:t> </w:t>
      </w:r>
      <w:r>
        <w:rPr>
          <w:rFonts w:ascii="Arial"/>
          <w:i/>
          <w:sz w:val="20"/>
        </w:rPr>
        <w:t>v</w:t>
      </w:r>
      <w:r>
        <w:rPr>
          <w:rFonts w:ascii="Arial"/>
          <w:i/>
          <w:spacing w:val="29"/>
          <w:sz w:val="20"/>
        </w:rPr>
        <w:t> </w:t>
      </w:r>
      <w:r>
        <w:rPr>
          <w:rFonts w:ascii="Arial"/>
          <w:i/>
          <w:sz w:val="20"/>
        </w:rPr>
        <w:t>Measday</w:t>
      </w:r>
      <w:r>
        <w:rPr>
          <w:rFonts w:ascii="Arial"/>
          <w:i/>
          <w:spacing w:val="29"/>
          <w:sz w:val="20"/>
        </w:rPr>
        <w:t> </w:t>
      </w:r>
      <w:r>
        <w:rPr>
          <w:rFonts w:ascii="Arial"/>
          <w:i/>
          <w:sz w:val="20"/>
        </w:rPr>
        <w:t>[1986]</w:t>
      </w:r>
      <w:r>
        <w:rPr>
          <w:rFonts w:ascii="Arial"/>
          <w:i/>
          <w:spacing w:val="29"/>
          <w:sz w:val="20"/>
        </w:rPr>
        <w:t> </w:t>
      </w:r>
      <w:r>
        <w:rPr>
          <w:rFonts w:ascii="Arial"/>
          <w:i/>
          <w:sz w:val="20"/>
        </w:rPr>
        <w:t>1</w:t>
      </w:r>
      <w:r>
        <w:rPr>
          <w:rFonts w:ascii="Arial"/>
          <w:i/>
          <w:spacing w:val="29"/>
          <w:sz w:val="20"/>
        </w:rPr>
        <w:t> </w:t>
      </w:r>
      <w:r>
        <w:rPr>
          <w:rFonts w:ascii="Arial"/>
          <w:i/>
          <w:sz w:val="20"/>
        </w:rPr>
        <w:t>All</w:t>
      </w:r>
      <w:r>
        <w:rPr>
          <w:rFonts w:ascii="Arial"/>
          <w:i/>
          <w:spacing w:val="29"/>
          <w:sz w:val="20"/>
        </w:rPr>
        <w:t> </w:t>
      </w:r>
      <w:r>
        <w:rPr>
          <w:rFonts w:ascii="Arial"/>
          <w:i/>
          <w:sz w:val="20"/>
        </w:rPr>
        <w:t>E.R.</w:t>
      </w:r>
      <w:r>
        <w:rPr>
          <w:rFonts w:ascii="Arial"/>
          <w:i/>
          <w:spacing w:val="29"/>
          <w:sz w:val="20"/>
        </w:rPr>
        <w:t> </w:t>
      </w:r>
      <w:r>
        <w:rPr>
          <w:rFonts w:ascii="Arial"/>
          <w:i/>
          <w:sz w:val="20"/>
        </w:rPr>
        <w:t>488</w:t>
      </w:r>
      <w:r>
        <w:rPr>
          <w:rFonts w:ascii="Arial"/>
          <w:i/>
          <w:spacing w:val="29"/>
          <w:sz w:val="20"/>
        </w:rPr>
        <w:t> </w:t>
      </w:r>
      <w:r>
        <w:rPr>
          <w:sz w:val="20"/>
        </w:rPr>
        <w:t>and</w:t>
      </w:r>
      <w:r>
        <w:rPr>
          <w:spacing w:val="29"/>
          <w:sz w:val="20"/>
        </w:rPr>
        <w:t> </w:t>
      </w:r>
      <w:r>
        <w:rPr>
          <w:rFonts w:ascii="Arial"/>
          <w:i/>
          <w:sz w:val="20"/>
        </w:rPr>
        <w:t>Tekdata</w:t>
      </w:r>
      <w:r>
        <w:rPr>
          <w:rFonts w:ascii="Arial"/>
          <w:i/>
          <w:spacing w:val="29"/>
          <w:sz w:val="20"/>
        </w:rPr>
        <w:t> </w:t>
      </w:r>
      <w:r>
        <w:rPr>
          <w:rFonts w:ascii="Arial"/>
          <w:i/>
          <w:sz w:val="20"/>
        </w:rPr>
        <w:t>Interconnections</w:t>
      </w:r>
      <w:r>
        <w:rPr>
          <w:rFonts w:ascii="Arial"/>
          <w:i/>
          <w:spacing w:val="29"/>
          <w:sz w:val="20"/>
        </w:rPr>
        <w:t> </w:t>
      </w:r>
      <w:r>
        <w:rPr>
          <w:rFonts w:ascii="Arial"/>
          <w:i/>
          <w:sz w:val="20"/>
        </w:rPr>
        <w:t>Ltd</w:t>
      </w:r>
      <w:r>
        <w:rPr>
          <w:rFonts w:ascii="Arial"/>
          <w:i/>
          <w:spacing w:val="29"/>
          <w:sz w:val="20"/>
        </w:rPr>
        <w:t> </w:t>
      </w:r>
      <w:r>
        <w:rPr>
          <w:rFonts w:ascii="Arial"/>
          <w:i/>
          <w:spacing w:val="-10"/>
          <w:sz w:val="20"/>
        </w:rPr>
        <w:t>v</w:t>
      </w:r>
    </w:p>
    <w:p>
      <w:pPr>
        <w:spacing w:line="235" w:lineRule="auto" w:before="0"/>
        <w:ind w:left="705" w:right="167" w:firstLine="0"/>
        <w:jc w:val="both"/>
        <w:rPr>
          <w:sz w:val="20"/>
        </w:rPr>
      </w:pPr>
      <w:r>
        <w:rPr>
          <w:rFonts w:ascii="Arial" w:hAnsi="Arial"/>
          <w:i/>
          <w:sz w:val="20"/>
        </w:rPr>
        <w:t>Amphenol Ltd [2009] EWCA Civ 1209, [2010] 1 Lloyd’s Rep. 357 </w:t>
      </w:r>
      <w:r>
        <w:rPr>
          <w:sz w:val="20"/>
        </w:rPr>
        <w:t>at [15], [25], and [30]; and </w:t>
      </w:r>
      <w:r>
        <w:rPr>
          <w:sz w:val="20"/>
        </w:rPr>
        <w:t>to determine whether a contract had been affirmed by agreement between the parties after the occurrence of an event which had discharged both or one of them: </w:t>
      </w:r>
      <w:r>
        <w:rPr>
          <w:rFonts w:ascii="Arial" w:hAnsi="Arial"/>
          <w:i/>
          <w:sz w:val="20"/>
        </w:rPr>
        <w:t>Glencore Energy UK Ltd v Transworld Oil Ltd [2010] EWHC 141 (Comm) </w:t>
      </w:r>
      <w:r>
        <w:rPr>
          <w:sz w:val="20"/>
        </w:rPr>
        <w:t>at [55], [56].</w:t>
      </w:r>
    </w:p>
    <w:p>
      <w:pPr>
        <w:pStyle w:val="BodyText"/>
        <w:spacing w:before="7"/>
      </w:pPr>
    </w:p>
    <w:p>
      <w:pPr>
        <w:tabs>
          <w:tab w:pos="705" w:val="left" w:leader="none"/>
        </w:tabs>
        <w:spacing w:line="235" w:lineRule="auto" w:before="0"/>
        <w:ind w:left="705" w:right="167" w:hanging="541"/>
        <w:jc w:val="both"/>
        <w:rPr>
          <w:sz w:val="20"/>
        </w:rPr>
      </w:pPr>
      <w:r>
        <w:rPr>
          <w:sz w:val="20"/>
        </w:rPr>
        <mc:AlternateContent>
          <mc:Choice Requires="wps">
            <w:drawing>
              <wp:anchor distT="0" distB="0" distL="0" distR="0" allowOverlap="1" layoutInCell="1" locked="0" behindDoc="1" simplePos="0" relativeHeight="483086336">
                <wp:simplePos x="0" y="0"/>
                <wp:positionH relativeFrom="page">
                  <wp:posOffset>914400</wp:posOffset>
                </wp:positionH>
                <wp:positionV relativeFrom="paragraph">
                  <wp:posOffset>94472</wp:posOffset>
                </wp:positionV>
                <wp:extent cx="49530" cy="1270"/>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20230144" from="72pt,7.438762pt" to="75.892pt,7.438762pt" stroked="true" strokeweight=".5pt" strokecolor="#005da1">
                <v:stroke dashstyle="solid"/>
                <w10:wrap type="none"/>
              </v:line>
            </w:pict>
          </mc:Fallback>
        </mc:AlternateContent>
      </w:r>
      <w:bookmarkStart w:name="_bookmark14" w:id="16"/>
      <w:bookmarkEnd w:id="16"/>
      <w:r>
        <w:rPr/>
      </w:r>
      <w:hyperlink w:history="true" w:anchor="_bookmark5">
        <w:r>
          <w:rPr>
            <w:color w:val="005DA1"/>
            <w:spacing w:val="-6"/>
            <w:position w:val="5"/>
            <w:sz w:val="14"/>
          </w:rPr>
          <w:t>8</w:t>
        </w:r>
      </w:hyperlink>
      <w:r>
        <w:rPr>
          <w:spacing w:val="-6"/>
          <w:position w:val="5"/>
          <w:sz w:val="14"/>
        </w:rPr>
        <w:t>.</w:t>
      </w:r>
      <w:r>
        <w:rPr>
          <w:position w:val="5"/>
          <w:sz w:val="14"/>
        </w:rPr>
        <w:tab/>
      </w:r>
      <w:r>
        <w:rPr>
          <w:sz w:val="20"/>
        </w:rPr>
        <w:t>The rule stated in the text does not apply in favour of a party who knows that the other does not assent to the terms proposed in a notice displayed by the former party: e.g. where an offer is expressed in a language which the offeree, to the offeror’s knowledge, does not understand, </w:t>
      </w:r>
      <w:r>
        <w:rPr>
          <w:sz w:val="20"/>
        </w:rPr>
        <w:t>in </w:t>
      </w:r>
      <w:r>
        <w:rPr>
          <w:rFonts w:ascii="Arial" w:hAnsi="Arial"/>
          <w:i/>
          <w:sz w:val="20"/>
        </w:rPr>
        <w:t>Geier v Kujawa, Weston and Warne Bros (Transport) Ltd [1970] 1 Lloyd’s Rep. 364</w:t>
      </w:r>
      <w:r>
        <w:rPr>
          <w:sz w:val="20"/>
        </w:rPr>
        <w:t>; or where the course of dealing shows that the offeree must have known that the offer was mistaken, in </w:t>
      </w:r>
      <w:r>
        <w:rPr>
          <w:rFonts w:ascii="Arial" w:hAnsi="Arial"/>
          <w:i/>
          <w:sz w:val="20"/>
        </w:rPr>
        <w:t>Hartog v Shields [1939] 3 All E.R. 566</w:t>
      </w:r>
      <w:r>
        <w:rPr>
          <w:sz w:val="20"/>
        </w:rPr>
        <w:t>. See also below, para.2-004 at n.18. cf. in cases of mistake, below, para.3-022. But a party who completes and signs a contractual document “cannot avoid its consequences by saying that they did not read it or did not understand it”: </w:t>
      </w:r>
      <w:r>
        <w:rPr>
          <w:rFonts w:ascii="Arial" w:hAnsi="Arial"/>
          <w:i/>
          <w:sz w:val="20"/>
        </w:rPr>
        <w:t>Coys of Kensington Automobiles Ltd v Pugliese [2011] EWHC 655 (QB), [2011] 2 All E.R. (Comm) 664 </w:t>
      </w:r>
      <w:r>
        <w:rPr>
          <w:sz w:val="20"/>
        </w:rPr>
        <w:t>at [40] (where the reason for the signer’s inability to understand the document was alleged to be that “she was an Italian speaker and the form was in English” (at [38])).</w:t>
      </w:r>
    </w:p>
    <w:p>
      <w:pPr>
        <w:pStyle w:val="BodyText"/>
        <w:spacing w:before="78"/>
        <w:rPr>
          <w:sz w:val="14"/>
        </w:rPr>
      </w:pPr>
    </w:p>
    <w:p>
      <w:pPr>
        <w:spacing w:line="137" w:lineRule="exact" w:before="0"/>
        <w:ind w:left="165" w:right="0" w:firstLine="0"/>
        <w:jc w:val="left"/>
        <w:rPr>
          <w:sz w:val="14"/>
        </w:rPr>
      </w:pPr>
      <w:r>
        <w:rPr>
          <w:sz w:val="14"/>
        </w:rPr>
        <mc:AlternateContent>
          <mc:Choice Requires="wps">
            <w:drawing>
              <wp:anchor distT="0" distB="0" distL="0" distR="0" allowOverlap="1" layoutInCell="1" locked="0" behindDoc="1" simplePos="0" relativeHeight="487596544">
                <wp:simplePos x="0" y="0"/>
                <wp:positionH relativeFrom="page">
                  <wp:posOffset>914400</wp:posOffset>
                </wp:positionH>
                <wp:positionV relativeFrom="paragraph">
                  <wp:posOffset>92455</wp:posOffset>
                </wp:positionV>
                <wp:extent cx="49530" cy="1270"/>
                <wp:effectExtent l="0" t="0" r="0" b="0"/>
                <wp:wrapTopAndBottom/>
                <wp:docPr id="23" name="Graphic 23"/>
                <wp:cNvGraphicFramePr>
                  <a:graphicFrameLocks/>
                </wp:cNvGraphicFramePr>
                <a:graphic>
                  <a:graphicData uri="http://schemas.microsoft.com/office/word/2010/wordprocessingShape">
                    <wps:wsp>
                      <wps:cNvPr id="23" name="Graphic 23"/>
                      <wps:cNvSpPr/>
                      <wps:spPr>
                        <a:xfrm>
                          <a:off x="0" y="0"/>
                          <a:ext cx="49530" cy="1270"/>
                        </a:xfrm>
                        <a:custGeom>
                          <a:avLst/>
                          <a:gdLst/>
                          <a:ahLst/>
                          <a:cxnLst/>
                          <a:rect l="l" t="t" r="r" b="b"/>
                          <a:pathLst>
                            <a:path w="49530" h="0">
                              <a:moveTo>
                                <a:pt x="0" y="0"/>
                              </a:moveTo>
                              <a:lnTo>
                                <a:pt x="49428" y="0"/>
                              </a:lnTo>
                            </a:path>
                          </a:pathLst>
                        </a:custGeom>
                        <a:ln w="6350">
                          <a:solidFill>
                            <a:srgbClr val="005DA1"/>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7.279973pt;width:3.9pt;height:.1pt;mso-position-horizontal-relative:page;mso-position-vertical-relative:paragraph;z-index:-15719936;mso-wrap-distance-left:0;mso-wrap-distance-right:0" id="docshape4" coordorigin="1440,146" coordsize="78,0" path="m1440,146l1518,146e" filled="false" stroked="true" strokeweight=".5pt" strokecolor="#005da1">
                <v:path arrowok="t"/>
                <v:stroke dashstyle="solid"/>
                <w10:wrap type="topAndBottom"/>
              </v:shape>
            </w:pict>
          </mc:Fallback>
        </mc:AlternateContent>
      </w:r>
      <w:r>
        <w:rPr>
          <w:sz w:val="14"/>
        </w:rPr>
        <w:drawing>
          <wp:anchor distT="0" distB="0" distL="0" distR="0" allowOverlap="1" layoutInCell="1" locked="0" behindDoc="0" simplePos="0" relativeHeight="15738368">
            <wp:simplePos x="0" y="0"/>
            <wp:positionH relativeFrom="page">
              <wp:posOffset>1257846</wp:posOffset>
            </wp:positionH>
            <wp:positionV relativeFrom="paragraph">
              <wp:posOffset>99745</wp:posOffset>
            </wp:positionV>
            <wp:extent cx="107988" cy="107988"/>
            <wp:effectExtent l="0" t="0" r="0" b="0"/>
            <wp:wrapNone/>
            <wp:docPr id="24" name="Image 24"/>
            <wp:cNvGraphicFramePr>
              <a:graphicFrameLocks/>
            </wp:cNvGraphicFramePr>
            <a:graphic>
              <a:graphicData uri="http://schemas.openxmlformats.org/drawingml/2006/picture">
                <pic:pic>
                  <pic:nvPicPr>
                    <pic:cNvPr id="24" name="Image 2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5" w:id="17"/>
      <w:bookmarkEnd w:id="17"/>
      <w:r>
        <w:rPr/>
      </w:r>
      <w:hyperlink w:history="true" w:anchor="_bookmark6">
        <w:r>
          <w:rPr>
            <w:color w:val="005DA1"/>
            <w:spacing w:val="-5"/>
            <w:sz w:val="14"/>
          </w:rPr>
          <w:t>9</w:t>
        </w:r>
      </w:hyperlink>
      <w:r>
        <w:rPr>
          <w:spacing w:val="-5"/>
          <w:sz w:val="14"/>
        </w:rPr>
        <w:t>.</w:t>
      </w:r>
    </w:p>
    <w:p>
      <w:pPr>
        <w:spacing w:line="189" w:lineRule="exact" w:before="0"/>
        <w:ind w:left="875" w:right="0" w:firstLine="0"/>
        <w:jc w:val="both"/>
        <w:rPr>
          <w:sz w:val="20"/>
        </w:rPr>
      </w:pPr>
      <w:r>
        <w:rPr>
          <w:sz w:val="20"/>
        </w:rPr>
        <w:t>See,</w:t>
      </w:r>
      <w:r>
        <w:rPr>
          <w:spacing w:val="37"/>
          <w:sz w:val="20"/>
        </w:rPr>
        <w:t> </w:t>
      </w:r>
      <w:r>
        <w:rPr>
          <w:sz w:val="20"/>
        </w:rPr>
        <w:t>e.g.</w:t>
      </w:r>
      <w:r>
        <w:rPr>
          <w:spacing w:val="37"/>
          <w:sz w:val="20"/>
        </w:rPr>
        <w:t> </w:t>
      </w:r>
      <w:r>
        <w:rPr>
          <w:rFonts w:ascii="Arial" w:hAnsi="Arial"/>
          <w:i/>
          <w:sz w:val="20"/>
        </w:rPr>
        <w:t>Thoresen</w:t>
      </w:r>
      <w:r>
        <w:rPr>
          <w:rFonts w:ascii="Arial" w:hAnsi="Arial"/>
          <w:i/>
          <w:spacing w:val="37"/>
          <w:sz w:val="20"/>
        </w:rPr>
        <w:t> </w:t>
      </w:r>
      <w:r>
        <w:rPr>
          <w:rFonts w:ascii="Arial" w:hAnsi="Arial"/>
          <w:i/>
          <w:sz w:val="20"/>
        </w:rPr>
        <w:t>Car</w:t>
      </w:r>
      <w:r>
        <w:rPr>
          <w:rFonts w:ascii="Arial" w:hAnsi="Arial"/>
          <w:i/>
          <w:spacing w:val="37"/>
          <w:sz w:val="20"/>
        </w:rPr>
        <w:t> </w:t>
      </w:r>
      <w:r>
        <w:rPr>
          <w:rFonts w:ascii="Arial" w:hAnsi="Arial"/>
          <w:i/>
          <w:sz w:val="20"/>
        </w:rPr>
        <w:t>Ferries</w:t>
      </w:r>
      <w:r>
        <w:rPr>
          <w:rFonts w:ascii="Arial" w:hAnsi="Arial"/>
          <w:i/>
          <w:spacing w:val="37"/>
          <w:sz w:val="20"/>
        </w:rPr>
        <w:t> </w:t>
      </w:r>
      <w:r>
        <w:rPr>
          <w:rFonts w:ascii="Arial" w:hAnsi="Arial"/>
          <w:i/>
          <w:sz w:val="20"/>
        </w:rPr>
        <w:t>Ltd</w:t>
      </w:r>
      <w:r>
        <w:rPr>
          <w:rFonts w:ascii="Arial" w:hAnsi="Arial"/>
          <w:i/>
          <w:spacing w:val="37"/>
          <w:sz w:val="20"/>
        </w:rPr>
        <w:t> </w:t>
      </w:r>
      <w:r>
        <w:rPr>
          <w:rFonts w:ascii="Arial" w:hAnsi="Arial"/>
          <w:i/>
          <w:sz w:val="20"/>
        </w:rPr>
        <w:t>v</w:t>
      </w:r>
      <w:r>
        <w:rPr>
          <w:rFonts w:ascii="Arial" w:hAnsi="Arial"/>
          <w:i/>
          <w:spacing w:val="37"/>
          <w:sz w:val="20"/>
        </w:rPr>
        <w:t> </w:t>
      </w:r>
      <w:r>
        <w:rPr>
          <w:rFonts w:ascii="Arial" w:hAnsi="Arial"/>
          <w:i/>
          <w:sz w:val="20"/>
        </w:rPr>
        <w:t>Weymouth</w:t>
      </w:r>
      <w:r>
        <w:rPr>
          <w:rFonts w:ascii="Arial" w:hAnsi="Arial"/>
          <w:i/>
          <w:spacing w:val="37"/>
          <w:sz w:val="20"/>
        </w:rPr>
        <w:t> </w:t>
      </w:r>
      <w:r>
        <w:rPr>
          <w:rFonts w:ascii="Arial" w:hAnsi="Arial"/>
          <w:i/>
          <w:sz w:val="20"/>
        </w:rPr>
        <w:t>Portland</w:t>
      </w:r>
      <w:r>
        <w:rPr>
          <w:rFonts w:ascii="Arial" w:hAnsi="Arial"/>
          <w:i/>
          <w:spacing w:val="37"/>
          <w:sz w:val="20"/>
        </w:rPr>
        <w:t> </w:t>
      </w:r>
      <w:r>
        <w:rPr>
          <w:rFonts w:ascii="Arial" w:hAnsi="Arial"/>
          <w:i/>
          <w:sz w:val="20"/>
        </w:rPr>
        <w:t>BC</w:t>
      </w:r>
      <w:r>
        <w:rPr>
          <w:rFonts w:ascii="Arial" w:hAnsi="Arial"/>
          <w:i/>
          <w:spacing w:val="37"/>
          <w:sz w:val="20"/>
        </w:rPr>
        <w:t> </w:t>
      </w:r>
      <w:r>
        <w:rPr>
          <w:rFonts w:ascii="Arial" w:hAnsi="Arial"/>
          <w:i/>
          <w:sz w:val="20"/>
        </w:rPr>
        <w:t>[1977]</w:t>
      </w:r>
      <w:r>
        <w:rPr>
          <w:rFonts w:ascii="Arial" w:hAnsi="Arial"/>
          <w:i/>
          <w:spacing w:val="37"/>
          <w:sz w:val="20"/>
        </w:rPr>
        <w:t> </w:t>
      </w:r>
      <w:r>
        <w:rPr>
          <w:rFonts w:ascii="Arial" w:hAnsi="Arial"/>
          <w:i/>
          <w:sz w:val="20"/>
        </w:rPr>
        <w:t>2</w:t>
      </w:r>
      <w:r>
        <w:rPr>
          <w:rFonts w:ascii="Arial" w:hAnsi="Arial"/>
          <w:i/>
          <w:spacing w:val="37"/>
          <w:sz w:val="20"/>
        </w:rPr>
        <w:t> </w:t>
      </w:r>
      <w:r>
        <w:rPr>
          <w:rFonts w:ascii="Arial" w:hAnsi="Arial"/>
          <w:i/>
          <w:sz w:val="20"/>
        </w:rPr>
        <w:t>Lloyd’s</w:t>
      </w:r>
      <w:r>
        <w:rPr>
          <w:rFonts w:ascii="Arial" w:hAnsi="Arial"/>
          <w:i/>
          <w:spacing w:val="37"/>
          <w:sz w:val="20"/>
        </w:rPr>
        <w:t> </w:t>
      </w:r>
      <w:r>
        <w:rPr>
          <w:rFonts w:ascii="Arial" w:hAnsi="Arial"/>
          <w:i/>
          <w:sz w:val="20"/>
        </w:rPr>
        <w:t>Rep.</w:t>
      </w:r>
      <w:r>
        <w:rPr>
          <w:rFonts w:ascii="Arial" w:hAnsi="Arial"/>
          <w:i/>
          <w:spacing w:val="37"/>
          <w:sz w:val="20"/>
        </w:rPr>
        <w:t> </w:t>
      </w:r>
      <w:r>
        <w:rPr>
          <w:rFonts w:ascii="Arial" w:hAnsi="Arial"/>
          <w:i/>
          <w:spacing w:val="-4"/>
          <w:sz w:val="20"/>
        </w:rPr>
        <w:t>614</w:t>
      </w:r>
      <w:r>
        <w:rPr>
          <w:spacing w:val="-4"/>
          <w:sz w:val="20"/>
        </w:rPr>
        <w:t>;</w:t>
      </w:r>
    </w:p>
    <w:p>
      <w:pPr>
        <w:spacing w:line="235" w:lineRule="auto" w:before="1"/>
        <w:ind w:left="705" w:right="167" w:firstLine="0"/>
        <w:jc w:val="both"/>
        <w:rPr>
          <w:sz w:val="20"/>
        </w:rPr>
      </w:pPr>
      <w:r>
        <w:rPr>
          <w:rFonts w:ascii="Arial" w:hAnsi="Arial"/>
          <w:i/>
          <w:sz w:val="20"/>
        </w:rPr>
        <w:t>Maple Leaf Volatility Master Fund v Rouvroy [2009] EWCA Civ 1334</w:t>
      </w:r>
      <w:r>
        <w:rPr>
          <w:sz w:val="20"/>
        </w:rPr>
        <w:t>, </w:t>
      </w:r>
      <w:r>
        <w:rPr>
          <w:rFonts w:ascii="Arial" w:hAnsi="Arial"/>
          <w:i/>
          <w:sz w:val="20"/>
        </w:rPr>
        <w:t>[2010] 2 All E.R. (Comm) 788 </w:t>
      </w:r>
      <w:r>
        <w:rPr>
          <w:sz w:val="20"/>
        </w:rPr>
        <w:t>at [10]; </w:t>
      </w:r>
      <w:r>
        <w:rPr>
          <w:rFonts w:ascii="Arial" w:hAnsi="Arial"/>
          <w:i/>
          <w:sz w:val="20"/>
        </w:rPr>
        <w:t>Air Studios (Lyndhurst) Ltd v Lombard North Central Plc [2012] EWHC 3162 (QB), [2013] 1 Lloyd’s Rep. 63 </w:t>
      </w:r>
      <w:r>
        <w:rPr>
          <w:sz w:val="20"/>
        </w:rPr>
        <w:t>at [5]; </w:t>
      </w:r>
      <w:r>
        <w:rPr>
          <w:rFonts w:ascii="Arial" w:hAnsi="Arial"/>
          <w:i/>
          <w:sz w:val="20"/>
        </w:rPr>
        <w:t>Newbury v Sun Microsystems Ltd [2013] EWHC 2180 (QB) </w:t>
      </w:r>
      <w:r>
        <w:rPr>
          <w:sz w:val="20"/>
        </w:rPr>
        <w:t>where Lewis J. held that it is neither legitimate nor helpful to take into account subsequent communications to determine whether documents gave rise to a binding agreement.</w:t>
      </w:r>
    </w:p>
    <w:p>
      <w:pPr>
        <w:pStyle w:val="BodyText"/>
        <w:spacing w:before="191"/>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2. - The Offer</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Offer </w:t>
      </w:r>
      <w:r>
        <w:rPr>
          <w:rFonts w:ascii="Arial"/>
          <w:b/>
          <w:spacing w:val="-2"/>
          <w:sz w:val="18"/>
        </w:rPr>
        <w:t>defined</w:t>
      </w:r>
    </w:p>
    <w:p>
      <w:pPr>
        <w:pStyle w:val="BodyText"/>
        <w:spacing w:before="41"/>
        <w:rPr>
          <w:rFonts w:ascii="Arial"/>
          <w:b/>
          <w:sz w:val="18"/>
        </w:rPr>
      </w:pPr>
    </w:p>
    <w:p>
      <w:pPr>
        <w:pStyle w:val="Heading2"/>
      </w:pPr>
      <w:r>
        <w:rPr/>
        <w:t>2-</w:t>
      </w:r>
      <w:r>
        <w:rPr>
          <w:spacing w:val="-5"/>
        </w:rPr>
        <w:t>003</w:t>
      </w:r>
    </w:p>
    <w:p>
      <w:pPr>
        <w:pStyle w:val="BodyText"/>
        <w:spacing w:line="235" w:lineRule="auto" w:before="203"/>
        <w:ind w:left="165" w:right="167"/>
        <w:jc w:val="both"/>
      </w:pPr>
      <w:bookmarkStart w:name="_bookmark16" w:id="18"/>
      <w:bookmarkEnd w:id="18"/>
      <w:r>
        <w:rPr/>
      </w:r>
      <w:r>
        <w:rPr/>
        <w:t>An offer is an expression of willingness to contract on specified terms made with the intention that it is </w:t>
      </w:r>
      <w:bookmarkStart w:name="_bookmark17" w:id="19"/>
      <w:bookmarkEnd w:id="19"/>
      <w:r>
        <w:rPr/>
        <w:t>to</w:t>
      </w:r>
      <w:r>
        <w:rPr/>
        <w:t> become binding as soon as it is accepted by the person to whom it is addressed. </w:t>
      </w:r>
      <w:r>
        <w:rPr>
          <w:color w:val="005DA1"/>
          <w:u w:val="single" w:color="005DA1"/>
          <w:vertAlign w:val="superscript"/>
        </w:rPr>
        <w:t>10</w:t>
      </w:r>
      <w:r>
        <w:rPr>
          <w:color w:val="005DA1"/>
          <w:vertAlign w:val="baseline"/>
        </w:rPr>
        <w:t> </w:t>
      </w:r>
      <w:r>
        <w:rPr>
          <w:vertAlign w:val="baseline"/>
        </w:rPr>
        <w:t>Under the </w:t>
      </w:r>
      <w:bookmarkStart w:name="_bookmark18" w:id="20"/>
      <w:bookmarkEnd w:id="20"/>
      <w:r>
        <w:rPr>
          <w:vertAlign w:val="baseline"/>
        </w:rPr>
        <w:t>objective</w:t>
      </w:r>
      <w:r>
        <w:rPr>
          <w:spacing w:val="12"/>
          <w:vertAlign w:val="baseline"/>
        </w:rPr>
        <w:t> </w:t>
      </w:r>
      <w:r>
        <w:rPr>
          <w:vertAlign w:val="baseline"/>
        </w:rPr>
        <w:t>test</w:t>
      </w:r>
      <w:r>
        <w:rPr>
          <w:spacing w:val="12"/>
          <w:vertAlign w:val="baseline"/>
        </w:rPr>
        <w:t> </w:t>
      </w:r>
      <w:r>
        <w:rPr>
          <w:vertAlign w:val="baseline"/>
        </w:rPr>
        <w:t>of</w:t>
      </w:r>
      <w:r>
        <w:rPr>
          <w:spacing w:val="12"/>
          <w:vertAlign w:val="baseline"/>
        </w:rPr>
        <w:t> </w:t>
      </w:r>
      <w:r>
        <w:rPr>
          <w:vertAlign w:val="baseline"/>
        </w:rPr>
        <w:t>agreement,</w:t>
      </w:r>
      <w:r>
        <w:rPr>
          <w:spacing w:val="12"/>
          <w:vertAlign w:val="baseline"/>
        </w:rPr>
        <w:t> </w:t>
      </w:r>
      <w:r>
        <w:rPr>
          <w:color w:val="005DA1"/>
          <w:u w:val="single" w:color="005DA1"/>
          <w:vertAlign w:val="superscript"/>
        </w:rPr>
        <w:t>11</w:t>
      </w:r>
      <w:r>
        <w:rPr>
          <w:color w:val="005DA1"/>
          <w:spacing w:val="12"/>
          <w:vertAlign w:val="baseline"/>
        </w:rPr>
        <w:t> </w:t>
      </w:r>
      <w:r>
        <w:rPr>
          <w:vertAlign w:val="baseline"/>
        </w:rPr>
        <w:t>an</w:t>
      </w:r>
      <w:r>
        <w:rPr>
          <w:spacing w:val="12"/>
          <w:vertAlign w:val="baseline"/>
        </w:rPr>
        <w:t> </w:t>
      </w:r>
      <w:r>
        <w:rPr>
          <w:vertAlign w:val="baseline"/>
        </w:rPr>
        <w:t>apparent</w:t>
      </w:r>
      <w:r>
        <w:rPr>
          <w:spacing w:val="12"/>
          <w:vertAlign w:val="baseline"/>
        </w:rPr>
        <w:t> </w:t>
      </w:r>
      <w:r>
        <w:rPr>
          <w:vertAlign w:val="baseline"/>
        </w:rPr>
        <w:t>intention</w:t>
      </w:r>
      <w:r>
        <w:rPr>
          <w:spacing w:val="13"/>
          <w:vertAlign w:val="baseline"/>
        </w:rPr>
        <w:t> </w:t>
      </w:r>
      <w:r>
        <w:rPr>
          <w:vertAlign w:val="baseline"/>
        </w:rPr>
        <w:t>to</w:t>
      </w:r>
      <w:r>
        <w:rPr>
          <w:spacing w:val="12"/>
          <w:vertAlign w:val="baseline"/>
        </w:rPr>
        <w:t> </w:t>
      </w:r>
      <w:r>
        <w:rPr>
          <w:vertAlign w:val="baseline"/>
        </w:rPr>
        <w:t>be</w:t>
      </w:r>
      <w:r>
        <w:rPr>
          <w:spacing w:val="12"/>
          <w:vertAlign w:val="baseline"/>
        </w:rPr>
        <w:t> </w:t>
      </w:r>
      <w:r>
        <w:rPr>
          <w:vertAlign w:val="baseline"/>
        </w:rPr>
        <w:t>bound</w:t>
      </w:r>
      <w:r>
        <w:rPr>
          <w:spacing w:val="13"/>
          <w:vertAlign w:val="baseline"/>
        </w:rPr>
        <w:t> </w:t>
      </w:r>
      <w:r>
        <w:rPr>
          <w:vertAlign w:val="baseline"/>
        </w:rPr>
        <w:t>may</w:t>
      </w:r>
      <w:r>
        <w:rPr>
          <w:spacing w:val="12"/>
          <w:vertAlign w:val="baseline"/>
        </w:rPr>
        <w:t> </w:t>
      </w:r>
      <w:r>
        <w:rPr>
          <w:vertAlign w:val="baseline"/>
        </w:rPr>
        <w:t>suffice,</w:t>
      </w:r>
      <w:r>
        <w:rPr>
          <w:spacing w:val="12"/>
          <w:vertAlign w:val="baseline"/>
        </w:rPr>
        <w:t> </w:t>
      </w:r>
      <w:r>
        <w:rPr>
          <w:vertAlign w:val="baseline"/>
        </w:rPr>
        <w:t>i.e.</w:t>
      </w:r>
      <w:r>
        <w:rPr>
          <w:spacing w:val="12"/>
          <w:vertAlign w:val="baseline"/>
        </w:rPr>
        <w:t> </w:t>
      </w:r>
      <w:r>
        <w:rPr>
          <w:vertAlign w:val="baseline"/>
        </w:rPr>
        <w:t>the</w:t>
      </w:r>
      <w:r>
        <w:rPr>
          <w:spacing w:val="13"/>
          <w:vertAlign w:val="baseline"/>
        </w:rPr>
        <w:t> </w:t>
      </w:r>
      <w:r>
        <w:rPr>
          <w:vertAlign w:val="baseline"/>
        </w:rPr>
        <w:t>alleged</w:t>
      </w:r>
      <w:r>
        <w:rPr>
          <w:spacing w:val="12"/>
          <w:vertAlign w:val="baseline"/>
        </w:rPr>
        <w:t> </w:t>
      </w:r>
      <w:r>
        <w:rPr>
          <w:spacing w:val="-2"/>
          <w:vertAlign w:val="baseline"/>
        </w:rPr>
        <w:t>offeror</w:t>
      </w:r>
    </w:p>
    <w:p>
      <w:pPr>
        <w:pStyle w:val="BodyText"/>
        <w:spacing w:line="235" w:lineRule="auto"/>
        <w:ind w:left="165" w:right="167"/>
        <w:jc w:val="both"/>
      </w:pPr>
      <w:r>
        <w:rPr/>
        <w:t>(A)</w:t>
      </w:r>
      <w:r>
        <w:rPr>
          <w:spacing w:val="-1"/>
        </w:rPr>
        <w:t> </w:t>
      </w:r>
      <w:r>
        <w:rPr/>
        <w:t>may</w:t>
      </w:r>
      <w:r>
        <w:rPr>
          <w:spacing w:val="-1"/>
        </w:rPr>
        <w:t> </w:t>
      </w:r>
      <w:r>
        <w:rPr/>
        <w:t>be</w:t>
      </w:r>
      <w:r>
        <w:rPr>
          <w:spacing w:val="-1"/>
        </w:rPr>
        <w:t> </w:t>
      </w:r>
      <w:r>
        <w:rPr/>
        <w:t>bound</w:t>
      </w:r>
      <w:r>
        <w:rPr>
          <w:spacing w:val="-1"/>
        </w:rPr>
        <w:t> </w:t>
      </w:r>
      <w:r>
        <w:rPr/>
        <w:t>if</w:t>
      </w:r>
      <w:r>
        <w:rPr>
          <w:spacing w:val="-1"/>
        </w:rPr>
        <w:t> </w:t>
      </w:r>
      <w:r>
        <w:rPr/>
        <w:t>his</w:t>
      </w:r>
      <w:r>
        <w:rPr>
          <w:spacing w:val="-1"/>
        </w:rPr>
        <w:t> </w:t>
      </w:r>
      <w:r>
        <w:rPr/>
        <w:t>words</w:t>
      </w:r>
      <w:r>
        <w:rPr>
          <w:spacing w:val="-1"/>
        </w:rPr>
        <w:t> </w:t>
      </w:r>
      <w:r>
        <w:rPr/>
        <w:t>or</w:t>
      </w:r>
      <w:r>
        <w:rPr>
          <w:spacing w:val="-1"/>
        </w:rPr>
        <w:t> </w:t>
      </w:r>
      <w:r>
        <w:rPr/>
        <w:t>conduct</w:t>
      </w:r>
      <w:r>
        <w:rPr>
          <w:spacing w:val="-2"/>
        </w:rPr>
        <w:t> </w:t>
      </w:r>
      <w:r>
        <w:rPr>
          <w:color w:val="005DA1"/>
          <w:u w:val="single" w:color="005DA1"/>
          <w:vertAlign w:val="superscript"/>
        </w:rPr>
        <w:t>12</w:t>
      </w:r>
      <w:r>
        <w:rPr>
          <w:color w:val="005DA1"/>
          <w:spacing w:val="-1"/>
          <w:vertAlign w:val="baseline"/>
        </w:rPr>
        <w:t> </w:t>
      </w:r>
      <w:r>
        <w:rPr>
          <w:vertAlign w:val="baseline"/>
        </w:rPr>
        <w:t>are</w:t>
      </w:r>
      <w:r>
        <w:rPr>
          <w:spacing w:val="-1"/>
          <w:vertAlign w:val="baseline"/>
        </w:rPr>
        <w:t> </w:t>
      </w:r>
      <w:r>
        <w:rPr>
          <w:vertAlign w:val="baseline"/>
        </w:rPr>
        <w:t>such</w:t>
      </w:r>
      <w:r>
        <w:rPr>
          <w:spacing w:val="-1"/>
          <w:vertAlign w:val="baseline"/>
        </w:rPr>
        <w:t> </w:t>
      </w:r>
      <w:r>
        <w:rPr>
          <w:vertAlign w:val="baseline"/>
        </w:rPr>
        <w:t>as</w:t>
      </w:r>
      <w:r>
        <w:rPr>
          <w:spacing w:val="-1"/>
          <w:vertAlign w:val="baseline"/>
        </w:rPr>
        <w:t> </w:t>
      </w:r>
      <w:r>
        <w:rPr>
          <w:vertAlign w:val="baseline"/>
        </w:rPr>
        <w:t>to</w:t>
      </w:r>
      <w:r>
        <w:rPr>
          <w:spacing w:val="-1"/>
          <w:vertAlign w:val="baseline"/>
        </w:rPr>
        <w:t> </w:t>
      </w:r>
      <w:r>
        <w:rPr>
          <w:vertAlign w:val="baseline"/>
        </w:rPr>
        <w:t>induce</w:t>
      </w:r>
      <w:r>
        <w:rPr>
          <w:spacing w:val="-1"/>
          <w:vertAlign w:val="baseline"/>
        </w:rPr>
        <w:t> </w:t>
      </w:r>
      <w:r>
        <w:rPr>
          <w:vertAlign w:val="baseline"/>
        </w:rPr>
        <w:t>a</w:t>
      </w:r>
      <w:r>
        <w:rPr>
          <w:spacing w:val="-1"/>
          <w:vertAlign w:val="baseline"/>
        </w:rPr>
        <w:t> </w:t>
      </w:r>
      <w:r>
        <w:rPr>
          <w:vertAlign w:val="baseline"/>
        </w:rPr>
        <w:t>reasonable</w:t>
      </w:r>
      <w:r>
        <w:rPr>
          <w:spacing w:val="-1"/>
          <w:vertAlign w:val="baseline"/>
        </w:rPr>
        <w:t> </w:t>
      </w:r>
      <w:r>
        <w:rPr>
          <w:vertAlign w:val="baseline"/>
        </w:rPr>
        <w:t>offeree</w:t>
      </w:r>
      <w:r>
        <w:rPr>
          <w:spacing w:val="-1"/>
          <w:vertAlign w:val="baseline"/>
        </w:rPr>
        <w:t> </w:t>
      </w:r>
      <w:r>
        <w:rPr>
          <w:vertAlign w:val="baseline"/>
        </w:rPr>
        <w:t>to</w:t>
      </w:r>
      <w:r>
        <w:rPr>
          <w:spacing w:val="-1"/>
          <w:vertAlign w:val="baseline"/>
        </w:rPr>
        <w:t> </w:t>
      </w:r>
      <w:r>
        <w:rPr>
          <w:vertAlign w:val="baseline"/>
        </w:rPr>
        <w:t>believe</w:t>
      </w:r>
      <w:r>
        <w:rPr>
          <w:spacing w:val="-1"/>
          <w:vertAlign w:val="baseline"/>
        </w:rPr>
        <w:t> </w:t>
      </w:r>
      <w:r>
        <w:rPr>
          <w:vertAlign w:val="baseline"/>
        </w:rPr>
        <w:t>that he intends to be bound, even though in fact he has no such intention. This was, for example, held to </w:t>
      </w:r>
      <w:bookmarkStart w:name="_bookmark19" w:id="21"/>
      <w:bookmarkEnd w:id="21"/>
      <w:r>
        <w:rPr>
          <w:vertAlign w:val="baseline"/>
        </w:rPr>
        <w:t>be</w:t>
      </w:r>
      <w:r>
        <w:rPr>
          <w:vertAlign w:val="baseline"/>
        </w:rPr>
        <w:t> the case where a university had made an offer of a place to an intending student as a result of a </w:t>
      </w:r>
      <w:bookmarkStart w:name="_bookmark20" w:id="22"/>
      <w:bookmarkEnd w:id="22"/>
      <w:r>
        <w:rPr>
          <w:vertAlign w:val="baseline"/>
        </w:rPr>
        <w:t>clerical</w:t>
      </w:r>
      <w:r>
        <w:rPr>
          <w:spacing w:val="34"/>
          <w:vertAlign w:val="baseline"/>
        </w:rPr>
        <w:t> </w:t>
      </w:r>
      <w:r>
        <w:rPr>
          <w:vertAlign w:val="baseline"/>
        </w:rPr>
        <w:t>error</w:t>
      </w:r>
      <w:r>
        <w:rPr>
          <w:spacing w:val="34"/>
          <w:vertAlign w:val="baseline"/>
        </w:rPr>
        <w:t> </w:t>
      </w:r>
      <w:r>
        <w:rPr>
          <w:color w:val="005DA1"/>
          <w:u w:val="single" w:color="005DA1"/>
          <w:vertAlign w:val="superscript"/>
        </w:rPr>
        <w:t>13</w:t>
      </w:r>
      <w:r>
        <w:rPr>
          <w:vertAlign w:val="baseline"/>
        </w:rPr>
        <w:t>;</w:t>
      </w:r>
      <w:r>
        <w:rPr>
          <w:spacing w:val="34"/>
          <w:vertAlign w:val="baseline"/>
        </w:rPr>
        <w:t> </w:t>
      </w:r>
      <w:r>
        <w:rPr>
          <w:vertAlign w:val="baseline"/>
        </w:rPr>
        <w:t>and</w:t>
      </w:r>
      <w:r>
        <w:rPr>
          <w:spacing w:val="35"/>
          <w:vertAlign w:val="baseline"/>
        </w:rPr>
        <w:t> </w:t>
      </w:r>
      <w:r>
        <w:rPr>
          <w:vertAlign w:val="baseline"/>
        </w:rPr>
        <w:t>where</w:t>
      </w:r>
      <w:r>
        <w:rPr>
          <w:spacing w:val="34"/>
          <w:vertAlign w:val="baseline"/>
        </w:rPr>
        <w:t> </w:t>
      </w:r>
      <w:r>
        <w:rPr>
          <w:vertAlign w:val="baseline"/>
        </w:rPr>
        <w:t>a</w:t>
      </w:r>
      <w:r>
        <w:rPr>
          <w:spacing w:val="34"/>
          <w:vertAlign w:val="baseline"/>
        </w:rPr>
        <w:t> </w:t>
      </w:r>
      <w:r>
        <w:rPr>
          <w:vertAlign w:val="baseline"/>
        </w:rPr>
        <w:t>solicitor,</w:t>
      </w:r>
      <w:r>
        <w:rPr>
          <w:spacing w:val="35"/>
          <w:vertAlign w:val="baseline"/>
        </w:rPr>
        <w:t> </w:t>
      </w:r>
      <w:r>
        <w:rPr>
          <w:vertAlign w:val="baseline"/>
        </w:rPr>
        <w:t>who</w:t>
      </w:r>
      <w:r>
        <w:rPr>
          <w:spacing w:val="34"/>
          <w:vertAlign w:val="baseline"/>
        </w:rPr>
        <w:t> </w:t>
      </w:r>
      <w:r>
        <w:rPr>
          <w:vertAlign w:val="baseline"/>
        </w:rPr>
        <w:t>had</w:t>
      </w:r>
      <w:r>
        <w:rPr>
          <w:spacing w:val="34"/>
          <w:vertAlign w:val="baseline"/>
        </w:rPr>
        <w:t> </w:t>
      </w:r>
      <w:r>
        <w:rPr>
          <w:vertAlign w:val="baseline"/>
        </w:rPr>
        <w:t>been</w:t>
      </w:r>
      <w:r>
        <w:rPr>
          <w:spacing w:val="35"/>
          <w:vertAlign w:val="baseline"/>
        </w:rPr>
        <w:t> </w:t>
      </w:r>
      <w:r>
        <w:rPr>
          <w:vertAlign w:val="baseline"/>
        </w:rPr>
        <w:t>instructed</w:t>
      </w:r>
      <w:r>
        <w:rPr>
          <w:spacing w:val="34"/>
          <w:vertAlign w:val="baseline"/>
        </w:rPr>
        <w:t> </w:t>
      </w:r>
      <w:r>
        <w:rPr>
          <w:vertAlign w:val="baseline"/>
        </w:rPr>
        <w:t>by</w:t>
      </w:r>
      <w:r>
        <w:rPr>
          <w:spacing w:val="34"/>
          <w:vertAlign w:val="baseline"/>
        </w:rPr>
        <w:t> </w:t>
      </w:r>
      <w:r>
        <w:rPr>
          <w:vertAlign w:val="baseline"/>
        </w:rPr>
        <w:t>his</w:t>
      </w:r>
      <w:r>
        <w:rPr>
          <w:spacing w:val="34"/>
          <w:vertAlign w:val="baseline"/>
        </w:rPr>
        <w:t> </w:t>
      </w:r>
      <w:r>
        <w:rPr>
          <w:vertAlign w:val="baseline"/>
        </w:rPr>
        <w:t>client</w:t>
      </w:r>
      <w:r>
        <w:rPr>
          <w:spacing w:val="35"/>
          <w:vertAlign w:val="baseline"/>
        </w:rPr>
        <w:t> </w:t>
      </w:r>
      <w:r>
        <w:rPr>
          <w:vertAlign w:val="baseline"/>
        </w:rPr>
        <w:t>to</w:t>
      </w:r>
      <w:r>
        <w:rPr>
          <w:spacing w:val="34"/>
          <w:vertAlign w:val="baseline"/>
        </w:rPr>
        <w:t> </w:t>
      </w:r>
      <w:r>
        <w:rPr>
          <w:vertAlign w:val="baseline"/>
        </w:rPr>
        <w:t>settle</w:t>
      </w:r>
      <w:r>
        <w:rPr>
          <w:spacing w:val="34"/>
          <w:vertAlign w:val="baseline"/>
        </w:rPr>
        <w:t> </w:t>
      </w:r>
      <w:r>
        <w:rPr>
          <w:vertAlign w:val="baseline"/>
        </w:rPr>
        <w:t>a</w:t>
      </w:r>
      <w:r>
        <w:rPr>
          <w:spacing w:val="35"/>
          <w:vertAlign w:val="baseline"/>
        </w:rPr>
        <w:t> </w:t>
      </w:r>
      <w:r>
        <w:rPr>
          <w:vertAlign w:val="baseline"/>
        </w:rPr>
        <w:t>claim</w:t>
      </w:r>
      <w:r>
        <w:rPr>
          <w:spacing w:val="34"/>
          <w:vertAlign w:val="baseline"/>
        </w:rPr>
        <w:t> </w:t>
      </w:r>
      <w:r>
        <w:rPr>
          <w:spacing w:val="-5"/>
          <w:vertAlign w:val="baseline"/>
        </w:rPr>
        <w:t>for</w:t>
      </w:r>
    </w:p>
    <w:p>
      <w:pPr>
        <w:pStyle w:val="BodyText"/>
        <w:spacing w:line="235" w:lineRule="auto"/>
        <w:ind w:left="165" w:right="167"/>
        <w:jc w:val="both"/>
      </w:pPr>
      <w:r>
        <w:rPr/>
        <w:t>$155,000, by mistake offered to settle it for the higher sum of £150,000. </w:t>
      </w:r>
      <w:r>
        <w:rPr>
          <w:color w:val="005DA1"/>
          <w:u w:val="single" w:color="005DA1"/>
          <w:vertAlign w:val="superscript"/>
        </w:rPr>
        <w:t>14</w:t>
      </w:r>
      <w:r>
        <w:rPr>
          <w:color w:val="005DA1"/>
          <w:vertAlign w:val="baseline"/>
        </w:rPr>
        <w:t> </w:t>
      </w:r>
      <w:r>
        <w:rPr>
          <w:vertAlign w:val="baseline"/>
        </w:rPr>
        <w:t>Similarly, if A offers to </w:t>
      </w:r>
      <w:r>
        <w:rPr>
          <w:vertAlign w:val="baseline"/>
        </w:rPr>
        <w:t>sell</w:t>
      </w:r>
      <w:r>
        <w:rPr>
          <w:spacing w:val="40"/>
          <w:vertAlign w:val="baseline"/>
        </w:rPr>
        <w:t> </w:t>
      </w:r>
      <w:r>
        <w:rPr>
          <w:vertAlign w:val="baseline"/>
        </w:rPr>
        <w:t>a book to B for £10 and B accepts the offer, A cannot escape liability merely by showing that his </w:t>
      </w:r>
      <w:bookmarkStart w:name="_bookmark21" w:id="23"/>
      <w:bookmarkEnd w:id="23"/>
      <w:r>
        <w:rPr>
          <w:vertAlign w:val="baseline"/>
        </w:rPr>
        <w:t>actual</w:t>
      </w:r>
      <w:r>
        <w:rPr>
          <w:vertAlign w:val="baseline"/>
        </w:rPr>
        <w:t> intention was to offer the book to B for £20, or that he intended the offer to relate to a book other than that specified in the offer. </w:t>
      </w:r>
      <w:r>
        <w:rPr>
          <w:color w:val="005DA1"/>
          <w:u w:val="single" w:color="005DA1"/>
          <w:vertAlign w:val="superscript"/>
        </w:rPr>
        <w:t>15</w:t>
      </w:r>
    </w:p>
    <w:p>
      <w:pPr>
        <w:pStyle w:val="BodyText"/>
      </w:pPr>
    </w:p>
    <w:p>
      <w:pPr>
        <w:pStyle w:val="BodyText"/>
        <w:spacing w:before="34"/>
      </w:pPr>
    </w:p>
    <w:p>
      <w:pPr>
        <w:spacing w:before="1"/>
        <w:ind w:left="165" w:right="0" w:firstLine="0"/>
        <w:jc w:val="both"/>
        <w:rPr>
          <w:rFonts w:ascii="Arial"/>
          <w:b/>
          <w:sz w:val="18"/>
        </w:rPr>
      </w:pPr>
      <w:r>
        <w:rPr>
          <w:rFonts w:ascii="Arial"/>
          <w:b/>
          <w:sz w:val="18"/>
        </w:rPr>
        <w:t>State of mind of alleged </w:t>
      </w:r>
      <w:r>
        <w:rPr>
          <w:rFonts w:ascii="Arial"/>
          <w:b/>
          <w:spacing w:val="-2"/>
          <w:sz w:val="18"/>
        </w:rPr>
        <w:t>offeree</w:t>
      </w:r>
    </w:p>
    <w:p>
      <w:pPr>
        <w:pStyle w:val="BodyText"/>
        <w:spacing w:before="41"/>
        <w:rPr>
          <w:rFonts w:ascii="Arial"/>
          <w:b/>
          <w:sz w:val="18"/>
        </w:rPr>
      </w:pPr>
    </w:p>
    <w:p>
      <w:pPr>
        <w:pStyle w:val="Heading2"/>
      </w:pPr>
      <w:r>
        <w:rPr/>
        <w:t>2-</w:t>
      </w:r>
      <w:r>
        <w:rPr>
          <w:spacing w:val="-5"/>
        </w:rPr>
        <w:t>004</w:t>
      </w:r>
    </w:p>
    <w:p>
      <w:pPr>
        <w:pStyle w:val="BodyText"/>
        <w:spacing w:line="235" w:lineRule="auto" w:before="202"/>
        <w:ind w:left="165" w:right="167"/>
        <w:jc w:val="both"/>
      </w:pPr>
      <w:bookmarkStart w:name="_bookmark22" w:id="24"/>
      <w:bookmarkEnd w:id="24"/>
      <w:r>
        <w:rPr/>
      </w:r>
      <w:r>
        <w:rPr/>
        <w:t>Whether A is actually bound by an acceptance of his apparent offer depends on the state of mind of the alleged offeree (B); to this extent, the test of agreement is not purely objective. </w:t>
      </w:r>
      <w:r>
        <w:rPr>
          <w:color w:val="005DA1"/>
          <w:u w:val="single" w:color="005DA1"/>
          <w:vertAlign w:val="superscript"/>
        </w:rPr>
        <w:t>16</w:t>
      </w:r>
      <w:r>
        <w:rPr>
          <w:color w:val="005DA1"/>
          <w:vertAlign w:val="baseline"/>
        </w:rPr>
        <w:t> </w:t>
      </w:r>
      <w:r>
        <w:rPr>
          <w:vertAlign w:val="baseline"/>
        </w:rPr>
        <w:t>If B actually and </w:t>
      </w:r>
      <w:bookmarkStart w:name="_bookmark23" w:id="25"/>
      <w:bookmarkEnd w:id="25"/>
      <w:r>
        <w:rPr>
          <w:vertAlign w:val="baseline"/>
        </w:rPr>
        <w:t>reasonably</w:t>
      </w:r>
      <w:r>
        <w:rPr>
          <w:spacing w:val="4"/>
          <w:vertAlign w:val="baseline"/>
        </w:rPr>
        <w:t> </w:t>
      </w:r>
      <w:r>
        <w:rPr>
          <w:vertAlign w:val="baseline"/>
        </w:rPr>
        <w:t>believes</w:t>
      </w:r>
      <w:r>
        <w:rPr>
          <w:spacing w:val="4"/>
          <w:vertAlign w:val="baseline"/>
        </w:rPr>
        <w:t> </w:t>
      </w:r>
      <w:r>
        <w:rPr>
          <w:vertAlign w:val="baseline"/>
        </w:rPr>
        <w:t>that</w:t>
      </w:r>
      <w:r>
        <w:rPr>
          <w:spacing w:val="4"/>
          <w:vertAlign w:val="baseline"/>
        </w:rPr>
        <w:t> </w:t>
      </w:r>
      <w:r>
        <w:rPr>
          <w:vertAlign w:val="baseline"/>
        </w:rPr>
        <w:t>A</w:t>
      </w:r>
      <w:r>
        <w:rPr>
          <w:spacing w:val="4"/>
          <w:vertAlign w:val="baseline"/>
        </w:rPr>
        <w:t> </w:t>
      </w:r>
      <w:r>
        <w:rPr>
          <w:vertAlign w:val="baseline"/>
        </w:rPr>
        <w:t>has</w:t>
      </w:r>
      <w:r>
        <w:rPr>
          <w:spacing w:val="4"/>
          <w:vertAlign w:val="baseline"/>
        </w:rPr>
        <w:t> </w:t>
      </w:r>
      <w:r>
        <w:rPr>
          <w:vertAlign w:val="baseline"/>
        </w:rPr>
        <w:t>the</w:t>
      </w:r>
      <w:r>
        <w:rPr>
          <w:spacing w:val="4"/>
          <w:vertAlign w:val="baseline"/>
        </w:rPr>
        <w:t> </w:t>
      </w:r>
      <w:r>
        <w:rPr>
          <w:vertAlign w:val="baseline"/>
        </w:rPr>
        <w:t>requisite</w:t>
      </w:r>
      <w:r>
        <w:rPr>
          <w:spacing w:val="4"/>
          <w:vertAlign w:val="baseline"/>
        </w:rPr>
        <w:t> </w:t>
      </w:r>
      <w:r>
        <w:rPr>
          <w:vertAlign w:val="baseline"/>
        </w:rPr>
        <w:t>intention,</w:t>
      </w:r>
      <w:r>
        <w:rPr>
          <w:spacing w:val="4"/>
          <w:vertAlign w:val="baseline"/>
        </w:rPr>
        <w:t> </w:t>
      </w:r>
      <w:r>
        <w:rPr>
          <w:vertAlign w:val="baseline"/>
        </w:rPr>
        <w:t>the</w:t>
      </w:r>
      <w:r>
        <w:rPr>
          <w:spacing w:val="4"/>
          <w:vertAlign w:val="baseline"/>
        </w:rPr>
        <w:t> </w:t>
      </w:r>
      <w:r>
        <w:rPr>
          <w:vertAlign w:val="baseline"/>
        </w:rPr>
        <w:t>objective</w:t>
      </w:r>
      <w:r>
        <w:rPr>
          <w:spacing w:val="4"/>
          <w:vertAlign w:val="baseline"/>
        </w:rPr>
        <w:t> </w:t>
      </w:r>
      <w:r>
        <w:rPr>
          <w:vertAlign w:val="baseline"/>
        </w:rPr>
        <w:t>test</w:t>
      </w:r>
      <w:r>
        <w:rPr>
          <w:spacing w:val="4"/>
          <w:vertAlign w:val="baseline"/>
        </w:rPr>
        <w:t> </w:t>
      </w:r>
      <w:r>
        <w:rPr>
          <w:vertAlign w:val="baseline"/>
        </w:rPr>
        <w:t>is</w:t>
      </w:r>
      <w:r>
        <w:rPr>
          <w:spacing w:val="4"/>
          <w:vertAlign w:val="baseline"/>
        </w:rPr>
        <w:t> </w:t>
      </w:r>
      <w:r>
        <w:rPr>
          <w:vertAlign w:val="baseline"/>
        </w:rPr>
        <w:t>satisfied</w:t>
      </w:r>
      <w:r>
        <w:rPr>
          <w:spacing w:val="4"/>
          <w:vertAlign w:val="baseline"/>
        </w:rPr>
        <w:t> </w:t>
      </w:r>
      <w:r>
        <w:rPr>
          <w:vertAlign w:val="baseline"/>
        </w:rPr>
        <w:t>so</w:t>
      </w:r>
      <w:r>
        <w:rPr>
          <w:spacing w:val="4"/>
          <w:vertAlign w:val="baseline"/>
        </w:rPr>
        <w:t> </w:t>
      </w:r>
      <w:r>
        <w:rPr>
          <w:vertAlign w:val="baseline"/>
        </w:rPr>
        <w:t>that</w:t>
      </w:r>
      <w:r>
        <w:rPr>
          <w:spacing w:val="4"/>
          <w:vertAlign w:val="baseline"/>
        </w:rPr>
        <w:t> </w:t>
      </w:r>
      <w:r>
        <w:rPr>
          <w:vertAlign w:val="baseline"/>
        </w:rPr>
        <w:t>B</w:t>
      </w:r>
      <w:r>
        <w:rPr>
          <w:spacing w:val="4"/>
          <w:vertAlign w:val="baseline"/>
        </w:rPr>
        <w:t> </w:t>
      </w:r>
      <w:r>
        <w:rPr>
          <w:vertAlign w:val="baseline"/>
        </w:rPr>
        <w:t>can</w:t>
      </w:r>
      <w:r>
        <w:rPr>
          <w:spacing w:val="4"/>
          <w:vertAlign w:val="baseline"/>
        </w:rPr>
        <w:t> </w:t>
      </w:r>
      <w:r>
        <w:rPr>
          <w:spacing w:val="-4"/>
          <w:vertAlign w:val="baseline"/>
        </w:rPr>
        <w:t>hold</w:t>
      </w:r>
    </w:p>
    <w:p>
      <w:pPr>
        <w:pStyle w:val="BodyText"/>
        <w:spacing w:line="223" w:lineRule="exact"/>
        <w:ind w:left="165"/>
        <w:jc w:val="both"/>
      </w:pPr>
      <w:r>
        <w:rPr/>
        <w:t>A</w:t>
      </w:r>
      <w:r>
        <w:rPr>
          <w:spacing w:val="4"/>
        </w:rPr>
        <w:t> </w:t>
      </w:r>
      <w:r>
        <w:rPr/>
        <w:t>to</w:t>
      </w:r>
      <w:r>
        <w:rPr>
          <w:spacing w:val="4"/>
        </w:rPr>
        <w:t> </w:t>
      </w:r>
      <w:r>
        <w:rPr/>
        <w:t>his</w:t>
      </w:r>
      <w:r>
        <w:rPr>
          <w:spacing w:val="4"/>
        </w:rPr>
        <w:t> </w:t>
      </w:r>
      <w:r>
        <w:rPr/>
        <w:t>apparent</w:t>
      </w:r>
      <w:r>
        <w:rPr>
          <w:spacing w:val="5"/>
        </w:rPr>
        <w:t> </w:t>
      </w:r>
      <w:r>
        <w:rPr/>
        <w:t>offer</w:t>
      </w:r>
      <w:r>
        <w:rPr>
          <w:spacing w:val="4"/>
        </w:rPr>
        <w:t> </w:t>
      </w:r>
      <w:r>
        <w:rPr/>
        <w:t>even</w:t>
      </w:r>
      <w:r>
        <w:rPr>
          <w:spacing w:val="4"/>
        </w:rPr>
        <w:t> </w:t>
      </w:r>
      <w:r>
        <w:rPr/>
        <w:t>though</w:t>
      </w:r>
      <w:r>
        <w:rPr>
          <w:spacing w:val="5"/>
        </w:rPr>
        <w:t> </w:t>
      </w:r>
      <w:r>
        <w:rPr/>
        <w:t>A</w:t>
      </w:r>
      <w:r>
        <w:rPr>
          <w:spacing w:val="4"/>
        </w:rPr>
        <w:t> </w:t>
      </w:r>
      <w:r>
        <w:rPr/>
        <w:t>did</w:t>
      </w:r>
      <w:r>
        <w:rPr>
          <w:spacing w:val="4"/>
        </w:rPr>
        <w:t> </w:t>
      </w:r>
      <w:r>
        <w:rPr/>
        <w:t>not,</w:t>
      </w:r>
      <w:r>
        <w:rPr>
          <w:spacing w:val="5"/>
        </w:rPr>
        <w:t> </w:t>
      </w:r>
      <w:r>
        <w:rPr/>
        <w:t>subjectively,</w:t>
      </w:r>
      <w:r>
        <w:rPr>
          <w:spacing w:val="4"/>
        </w:rPr>
        <w:t> </w:t>
      </w:r>
      <w:r>
        <w:rPr/>
        <w:t>have</w:t>
      </w:r>
      <w:r>
        <w:rPr>
          <w:spacing w:val="4"/>
        </w:rPr>
        <w:t> </w:t>
      </w:r>
      <w:r>
        <w:rPr/>
        <w:t>the</w:t>
      </w:r>
      <w:r>
        <w:rPr>
          <w:spacing w:val="5"/>
        </w:rPr>
        <w:t> </w:t>
      </w:r>
      <w:r>
        <w:rPr/>
        <w:t>requisite</w:t>
      </w:r>
      <w:r>
        <w:rPr>
          <w:spacing w:val="4"/>
        </w:rPr>
        <w:t> </w:t>
      </w:r>
      <w:r>
        <w:rPr/>
        <w:t>intention.</w:t>
      </w:r>
      <w:r>
        <w:rPr>
          <w:spacing w:val="3"/>
        </w:rPr>
        <w:t> </w:t>
      </w:r>
      <w:r>
        <w:rPr>
          <w:color w:val="005DA1"/>
          <w:u w:val="single" w:color="005DA1"/>
          <w:vertAlign w:val="superscript"/>
        </w:rPr>
        <w:t>17</w:t>
      </w:r>
      <w:r>
        <w:rPr>
          <w:color w:val="005DA1"/>
          <w:spacing w:val="5"/>
          <w:vertAlign w:val="baseline"/>
        </w:rPr>
        <w:t> </w:t>
      </w:r>
      <w:r>
        <w:rPr>
          <w:vertAlign w:val="baseline"/>
        </w:rPr>
        <w:t>However,</w:t>
      </w:r>
      <w:r>
        <w:rPr>
          <w:spacing w:val="4"/>
          <w:vertAlign w:val="baseline"/>
        </w:rPr>
        <w:t> </w:t>
      </w:r>
      <w:r>
        <w:rPr>
          <w:spacing w:val="-5"/>
          <w:vertAlign w:val="baseline"/>
        </w:rPr>
        <w:t>if</w:t>
      </w:r>
    </w:p>
    <w:p>
      <w:pPr>
        <w:pStyle w:val="BodyText"/>
        <w:spacing w:line="235" w:lineRule="auto" w:before="2"/>
        <w:ind w:left="165" w:right="167"/>
        <w:jc w:val="both"/>
      </w:pPr>
      <w:r>
        <w:rPr/>
        <w:t>B knows that, in spite of the objective appearance, A does not have the requisite intention, A is not </w:t>
      </w:r>
      <w:bookmarkStart w:name="_bookmark24" w:id="26"/>
      <w:bookmarkEnd w:id="26"/>
      <w:r>
        <w:rPr/>
        <w:t>bound;</w:t>
      </w:r>
      <w:r>
        <w:rPr/>
        <w:t> the objective test does not apply in favour of B as he knows the truth about A’s </w:t>
      </w:r>
      <w:r>
        <w:rPr/>
        <w:t>actual </w:t>
      </w:r>
      <w:bookmarkStart w:name="_bookmark25" w:id="27"/>
      <w:bookmarkEnd w:id="27"/>
      <w:r>
        <w:rPr/>
        <w:t>intention.</w:t>
      </w:r>
      <w:r>
        <w:rPr/>
        <w:t> </w:t>
      </w:r>
      <w:r>
        <w:rPr>
          <w:color w:val="005DA1"/>
          <w:u w:val="single" w:color="005DA1"/>
          <w:vertAlign w:val="superscript"/>
        </w:rPr>
        <w:t>18</w:t>
      </w:r>
      <w:r>
        <w:rPr>
          <w:color w:val="005DA1"/>
          <w:vertAlign w:val="baseline"/>
        </w:rPr>
        <w:t> </w:t>
      </w:r>
      <w:r>
        <w:rPr>
          <w:vertAlign w:val="baseline"/>
        </w:rPr>
        <w:t>There are other permutations. If B does not know, but ought to have known that A does </w:t>
      </w:r>
      <w:bookmarkStart w:name="_bookmark26" w:id="28"/>
      <w:bookmarkEnd w:id="28"/>
      <w:r>
        <w:rPr>
          <w:vertAlign w:val="baseline"/>
        </w:rPr>
        <w:t>not</w:t>
      </w:r>
      <w:r>
        <w:rPr>
          <w:vertAlign w:val="baseline"/>
        </w:rPr>
        <w:t> have the requisite intention, English law gives no clear answer.</w:t>
      </w:r>
      <w:r>
        <w:rPr>
          <w:spacing w:val="-1"/>
          <w:vertAlign w:val="baseline"/>
        </w:rPr>
        <w:t> </w:t>
      </w:r>
      <w:r>
        <w:rPr>
          <w:color w:val="005DA1"/>
          <w:u w:val="single" w:color="005DA1"/>
          <w:vertAlign w:val="superscript"/>
        </w:rPr>
        <w:t>19</w:t>
      </w:r>
      <w:r>
        <w:rPr>
          <w:color w:val="005DA1"/>
          <w:vertAlign w:val="baseline"/>
        </w:rPr>
        <w:t> </w:t>
      </w:r>
      <w:r>
        <w:rPr>
          <w:vertAlign w:val="baseline"/>
        </w:rPr>
        <w:t>However, there are suggestions that B will not be able to hold A to his apparent offer. </w:t>
      </w:r>
      <w:r>
        <w:rPr>
          <w:color w:val="005DA1"/>
          <w:u w:val="single" w:color="005DA1"/>
          <w:vertAlign w:val="superscript"/>
        </w:rPr>
        <w:t>20</w:t>
      </w:r>
      <w:r>
        <w:rPr>
          <w:color w:val="005DA1"/>
          <w:vertAlign w:val="baseline"/>
        </w:rPr>
        <w:t> </w:t>
      </w:r>
      <w:r>
        <w:rPr>
          <w:vertAlign w:val="baseline"/>
        </w:rPr>
        <w:t>It is also possible, although highly unlikely,</w:t>
      </w:r>
      <w:r>
        <w:rPr>
          <w:spacing w:val="40"/>
          <w:vertAlign w:val="baseline"/>
        </w:rPr>
        <w:t> </w:t>
      </w:r>
      <w:r>
        <w:rPr>
          <w:vertAlign w:val="baseline"/>
        </w:rPr>
        <w:t>that A and B, unknown to each other, both have the same requisite intention but a reasonable third party would not have thought they did, or would have thought that they had the requisite intention in respect of a different term. There is no authority on such a case, but it is submitted that where A and</w:t>
      </w:r>
      <w:r>
        <w:rPr>
          <w:spacing w:val="40"/>
          <w:vertAlign w:val="baseline"/>
        </w:rPr>
        <w:t> </w:t>
      </w:r>
      <w:r>
        <w:rPr>
          <w:vertAlign w:val="baseline"/>
        </w:rPr>
        <w:t>B reach agreement on term X but the unexpressed intention of both is that this means Y, the parties </w:t>
      </w:r>
      <w:bookmarkStart w:name="_bookmark27" w:id="29"/>
      <w:bookmarkEnd w:id="29"/>
      <w:r>
        <w:rPr>
          <w:vertAlign w:val="baseline"/>
        </w:rPr>
        <w:t>should</w:t>
      </w:r>
      <w:r>
        <w:rPr>
          <w:vertAlign w:val="baseline"/>
        </w:rPr>
        <w:t> be held to a valid contract for Y although a third party’s objective interpretation is that the agreement is for X. </w:t>
      </w:r>
      <w:r>
        <w:rPr>
          <w:color w:val="005DA1"/>
          <w:u w:val="single" w:color="005DA1"/>
          <w:vertAlign w:val="superscript"/>
        </w:rPr>
        <w:t>21</w:t>
      </w:r>
      <w:r>
        <w:rPr>
          <w:color w:val="005DA1"/>
          <w:vertAlign w:val="baseline"/>
        </w:rPr>
        <w:t> </w:t>
      </w:r>
      <w:r>
        <w:rPr>
          <w:vertAlign w:val="baseline"/>
        </w:rPr>
        <w:t>Lastly, B may have simply formed no view on the question of A’s intention, so that</w:t>
      </w:r>
      <w:r>
        <w:rPr>
          <w:spacing w:val="-1"/>
          <w:vertAlign w:val="baseline"/>
        </w:rPr>
        <w:t> </w:t>
      </w:r>
      <w:r>
        <w:rPr>
          <w:vertAlign w:val="baseline"/>
        </w:rPr>
        <w:t>B</w:t>
      </w:r>
      <w:r>
        <w:rPr>
          <w:spacing w:val="-1"/>
          <w:vertAlign w:val="baseline"/>
        </w:rPr>
        <w:t> </w:t>
      </w:r>
      <w:r>
        <w:rPr>
          <w:vertAlign w:val="baseline"/>
        </w:rPr>
        <w:t>neither</w:t>
      </w:r>
      <w:r>
        <w:rPr>
          <w:spacing w:val="-1"/>
          <w:vertAlign w:val="baseline"/>
        </w:rPr>
        <w:t> </w:t>
      </w:r>
      <w:r>
        <w:rPr>
          <w:vertAlign w:val="baseline"/>
        </w:rPr>
        <w:t>believes</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has</w:t>
      </w:r>
      <w:r>
        <w:rPr>
          <w:spacing w:val="-1"/>
          <w:vertAlign w:val="baseline"/>
        </w:rPr>
        <w:t> </w:t>
      </w:r>
      <w:r>
        <w:rPr>
          <w:vertAlign w:val="baseline"/>
        </w:rPr>
        <w:t>the</w:t>
      </w:r>
      <w:r>
        <w:rPr>
          <w:spacing w:val="-1"/>
          <w:vertAlign w:val="baseline"/>
        </w:rPr>
        <w:t> </w:t>
      </w:r>
      <w:r>
        <w:rPr>
          <w:vertAlign w:val="baseline"/>
        </w:rPr>
        <w:t>requisite</w:t>
      </w:r>
      <w:r>
        <w:rPr>
          <w:spacing w:val="-1"/>
          <w:vertAlign w:val="baseline"/>
        </w:rPr>
        <w:t> </w:t>
      </w:r>
      <w:r>
        <w:rPr>
          <w:vertAlign w:val="baseline"/>
        </w:rPr>
        <w:t>intention</w:t>
      </w:r>
      <w:r>
        <w:rPr>
          <w:spacing w:val="-1"/>
          <w:vertAlign w:val="baseline"/>
        </w:rPr>
        <w:t> </w:t>
      </w:r>
      <w:r>
        <w:rPr>
          <w:vertAlign w:val="baseline"/>
        </w:rPr>
        <w:t>nor</w:t>
      </w:r>
      <w:r>
        <w:rPr>
          <w:spacing w:val="-1"/>
          <w:vertAlign w:val="baseline"/>
        </w:rPr>
        <w:t> </w:t>
      </w:r>
      <w:r>
        <w:rPr>
          <w:vertAlign w:val="baseline"/>
        </w:rPr>
        <w:t>knows</w:t>
      </w:r>
      <w:r>
        <w:rPr>
          <w:spacing w:val="-1"/>
          <w:vertAlign w:val="baseline"/>
        </w:rPr>
        <w:t> </w:t>
      </w:r>
      <w:r>
        <w:rPr>
          <w:vertAlign w:val="baseline"/>
        </w:rPr>
        <w:t>that</w:t>
      </w:r>
      <w:r>
        <w:rPr>
          <w:spacing w:val="-1"/>
          <w:vertAlign w:val="baseline"/>
        </w:rPr>
        <w:t> </w:t>
      </w:r>
      <w:r>
        <w:rPr>
          <w:vertAlign w:val="baseline"/>
        </w:rPr>
        <w:t>A</w:t>
      </w:r>
      <w:r>
        <w:rPr>
          <w:spacing w:val="-1"/>
          <w:vertAlign w:val="baseline"/>
        </w:rPr>
        <w:t> </w:t>
      </w:r>
      <w:r>
        <w:rPr>
          <w:vertAlign w:val="baseline"/>
        </w:rPr>
        <w:t>does</w:t>
      </w:r>
      <w:r>
        <w:rPr>
          <w:spacing w:val="-1"/>
          <w:vertAlign w:val="baseline"/>
        </w:rPr>
        <w:t> </w:t>
      </w:r>
      <w:r>
        <w:rPr>
          <w:vertAlign w:val="baseline"/>
        </w:rPr>
        <w:t>not</w:t>
      </w:r>
      <w:r>
        <w:rPr>
          <w:spacing w:val="-1"/>
          <w:vertAlign w:val="baseline"/>
        </w:rPr>
        <w:t> </w:t>
      </w:r>
      <w:r>
        <w:rPr>
          <w:vertAlign w:val="baseline"/>
        </w:rPr>
        <w:t>have</w:t>
      </w:r>
      <w:r>
        <w:rPr>
          <w:spacing w:val="-1"/>
          <w:vertAlign w:val="baseline"/>
        </w:rPr>
        <w:t> </w:t>
      </w:r>
      <w:r>
        <w:rPr>
          <w:vertAlign w:val="baseline"/>
        </w:rPr>
        <w:t>this</w:t>
      </w:r>
      <w:r>
        <w:rPr>
          <w:spacing w:val="-1"/>
          <w:vertAlign w:val="baseline"/>
        </w:rPr>
        <w:t> </w:t>
      </w:r>
      <w:r>
        <w:rPr>
          <w:vertAlign w:val="baseline"/>
        </w:rPr>
        <w:t>intention. This situation has given rise to a conflict of judicial opinion. One view is that A is not bound: in other </w:t>
      </w:r>
      <w:bookmarkStart w:name="_bookmark28" w:id="30"/>
      <w:bookmarkEnd w:id="30"/>
      <w:r>
        <w:rPr>
          <w:vertAlign w:val="baseline"/>
        </w:rPr>
        <w:t>words,</w:t>
      </w:r>
      <w:r>
        <w:rPr>
          <w:vertAlign w:val="baseline"/>
        </w:rPr>
        <w:t> the objective test is satisfied only if A’s conduct is such as to induce a reasonable person to believe that A had the requisite intention </w:t>
      </w:r>
      <w:r>
        <w:rPr>
          <w:rFonts w:ascii="Arial" w:hAnsi="Arial"/>
          <w:i/>
          <w:vertAlign w:val="baseline"/>
        </w:rPr>
        <w:t>and </w:t>
      </w:r>
      <w:r>
        <w:rPr>
          <w:vertAlign w:val="baseline"/>
        </w:rPr>
        <w:t>if B actually held that belief. </w:t>
      </w:r>
      <w:r>
        <w:rPr>
          <w:color w:val="005DA1"/>
          <w:u w:val="single" w:color="005DA1"/>
          <w:vertAlign w:val="superscript"/>
        </w:rPr>
        <w:t>22</w:t>
      </w:r>
      <w:r>
        <w:rPr>
          <w:color w:val="005DA1"/>
          <w:vertAlign w:val="baseline"/>
        </w:rPr>
        <w:t> </w:t>
      </w:r>
      <w:r>
        <w:rPr>
          <w:vertAlign w:val="baseline"/>
        </w:rPr>
        <w:t>The opposing view is that A is bound: in other words, the objective test is satisfied if A’s words or conduct would induce a </w:t>
      </w:r>
      <w:bookmarkStart w:name="_bookmark29" w:id="31"/>
      <w:bookmarkEnd w:id="31"/>
      <w:r>
        <w:rPr>
          <w:vertAlign w:val="baseline"/>
        </w:rPr>
        <w:t>reasonable</w:t>
      </w:r>
      <w:r>
        <w:rPr>
          <w:vertAlign w:val="baseline"/>
        </w:rPr>
        <w:t> person to believe that A had the requisite intention, so long as B does not actually know that A does </w:t>
      </w:r>
      <w:r>
        <w:rPr>
          <w:rFonts w:ascii="Arial" w:hAnsi="Arial"/>
          <w:i/>
          <w:vertAlign w:val="baseline"/>
        </w:rPr>
        <w:t>not </w:t>
      </w:r>
      <w:r>
        <w:rPr>
          <w:vertAlign w:val="baseline"/>
        </w:rPr>
        <w:t>have any such intention. </w:t>
      </w:r>
      <w:r>
        <w:rPr>
          <w:color w:val="005DA1"/>
          <w:u w:val="single" w:color="005DA1"/>
          <w:vertAlign w:val="superscript"/>
        </w:rPr>
        <w:t>23</w:t>
      </w:r>
      <w:r>
        <w:rPr>
          <w:color w:val="005DA1"/>
          <w:vertAlign w:val="baseline"/>
        </w:rPr>
        <w:t> </w:t>
      </w:r>
      <w:r>
        <w:rPr>
          <w:vertAlign w:val="baseline"/>
        </w:rPr>
        <w:t>However, it is hard to see why B should be protected in this situation. Where B has no positive belief in A’s (apparent) intention to be bound, he cannot be prejudiced by acting in reliance on it. It is therefore submitted that the objective test should not apply to</w:t>
      </w:r>
      <w:r>
        <w:rPr>
          <w:spacing w:val="1"/>
          <w:vertAlign w:val="baseline"/>
        </w:rPr>
        <w:t> </w:t>
      </w:r>
      <w:r>
        <w:rPr>
          <w:vertAlign w:val="baseline"/>
        </w:rPr>
        <w:t>the</w:t>
      </w:r>
      <w:r>
        <w:rPr>
          <w:spacing w:val="3"/>
          <w:vertAlign w:val="baseline"/>
        </w:rPr>
        <w:t> </w:t>
      </w:r>
      <w:r>
        <w:rPr>
          <w:vertAlign w:val="baseline"/>
        </w:rPr>
        <w:t>last</w:t>
      </w:r>
      <w:r>
        <w:rPr>
          <w:spacing w:val="3"/>
          <w:vertAlign w:val="baseline"/>
        </w:rPr>
        <w:t> </w:t>
      </w:r>
      <w:r>
        <w:rPr>
          <w:vertAlign w:val="baseline"/>
        </w:rPr>
        <w:t>situation.</w:t>
      </w:r>
      <w:r>
        <w:rPr>
          <w:spacing w:val="3"/>
          <w:vertAlign w:val="baseline"/>
        </w:rPr>
        <w:t> </w:t>
      </w:r>
      <w:r>
        <w:rPr>
          <w:vertAlign w:val="baseline"/>
        </w:rPr>
        <w:t>For</w:t>
      </w:r>
      <w:r>
        <w:rPr>
          <w:spacing w:val="3"/>
          <w:vertAlign w:val="baseline"/>
        </w:rPr>
        <w:t> </w:t>
      </w:r>
      <w:r>
        <w:rPr>
          <w:vertAlign w:val="baseline"/>
        </w:rPr>
        <w:t>this</w:t>
      </w:r>
      <w:r>
        <w:rPr>
          <w:spacing w:val="3"/>
          <w:vertAlign w:val="baseline"/>
        </w:rPr>
        <w:t> </w:t>
      </w:r>
      <w:r>
        <w:rPr>
          <w:vertAlign w:val="baseline"/>
        </w:rPr>
        <w:t>purpose,</w:t>
      </w:r>
      <w:r>
        <w:rPr>
          <w:spacing w:val="3"/>
          <w:vertAlign w:val="baseline"/>
        </w:rPr>
        <w:t> </w:t>
      </w:r>
      <w:r>
        <w:rPr>
          <w:vertAlign w:val="baseline"/>
        </w:rPr>
        <w:t>it</w:t>
      </w:r>
      <w:r>
        <w:rPr>
          <w:spacing w:val="3"/>
          <w:vertAlign w:val="baseline"/>
        </w:rPr>
        <w:t> </w:t>
      </w:r>
      <w:r>
        <w:rPr>
          <w:vertAlign w:val="baseline"/>
        </w:rPr>
        <w:t>should</w:t>
      </w:r>
      <w:r>
        <w:rPr>
          <w:spacing w:val="3"/>
          <w:vertAlign w:val="baseline"/>
        </w:rPr>
        <w:t> </w:t>
      </w:r>
      <w:r>
        <w:rPr>
          <w:vertAlign w:val="baseline"/>
        </w:rPr>
        <w:t>make</w:t>
      </w:r>
      <w:r>
        <w:rPr>
          <w:spacing w:val="3"/>
          <w:vertAlign w:val="baseline"/>
        </w:rPr>
        <w:t> </w:t>
      </w:r>
      <w:r>
        <w:rPr>
          <w:vertAlign w:val="baseline"/>
        </w:rPr>
        <w:t>no</w:t>
      </w:r>
      <w:r>
        <w:rPr>
          <w:spacing w:val="3"/>
          <w:vertAlign w:val="baseline"/>
        </w:rPr>
        <w:t> </w:t>
      </w:r>
      <w:r>
        <w:rPr>
          <w:vertAlign w:val="baseline"/>
        </w:rPr>
        <w:t>difference</w:t>
      </w:r>
      <w:r>
        <w:rPr>
          <w:spacing w:val="3"/>
          <w:vertAlign w:val="baseline"/>
        </w:rPr>
        <w:t> </w:t>
      </w:r>
      <w:r>
        <w:rPr>
          <w:vertAlign w:val="baseline"/>
        </w:rPr>
        <w:t>whether</w:t>
      </w:r>
      <w:r>
        <w:rPr>
          <w:spacing w:val="3"/>
          <w:vertAlign w:val="baseline"/>
        </w:rPr>
        <w:t> </w:t>
      </w:r>
      <w:r>
        <w:rPr>
          <w:vertAlign w:val="baseline"/>
        </w:rPr>
        <w:t>B’s</w:t>
      </w:r>
      <w:r>
        <w:rPr>
          <w:spacing w:val="3"/>
          <w:vertAlign w:val="baseline"/>
        </w:rPr>
        <w:t> </w:t>
      </w:r>
      <w:r>
        <w:rPr>
          <w:vertAlign w:val="baseline"/>
        </w:rPr>
        <w:t>state</w:t>
      </w:r>
      <w:r>
        <w:rPr>
          <w:spacing w:val="3"/>
          <w:vertAlign w:val="baseline"/>
        </w:rPr>
        <w:t> </w:t>
      </w:r>
      <w:r>
        <w:rPr>
          <w:vertAlign w:val="baseline"/>
        </w:rPr>
        <w:t>of</w:t>
      </w:r>
      <w:r>
        <w:rPr>
          <w:spacing w:val="3"/>
          <w:vertAlign w:val="baseline"/>
        </w:rPr>
        <w:t> </w:t>
      </w:r>
      <w:r>
        <w:rPr>
          <w:vertAlign w:val="baseline"/>
        </w:rPr>
        <w:t>mind</w:t>
      </w:r>
      <w:r>
        <w:rPr>
          <w:spacing w:val="3"/>
          <w:vertAlign w:val="baseline"/>
        </w:rPr>
        <w:t> </w:t>
      </w:r>
      <w:r>
        <w:rPr>
          <w:spacing w:val="-2"/>
          <w:vertAlign w:val="baseline"/>
        </w:rPr>
        <w:t>amounts</w:t>
      </w:r>
    </w:p>
    <w:p>
      <w:pPr>
        <w:pStyle w:val="BodyText"/>
        <w:spacing w:after="0" w:line="235" w:lineRule="auto"/>
        <w:jc w:val="both"/>
        <w:sectPr>
          <w:headerReference w:type="default" r:id="rId8"/>
          <w:pgSz w:w="11900" w:h="16840"/>
          <w:pgMar w:header="971" w:footer="0" w:top="1300" w:bottom="280" w:left="1275" w:right="1275"/>
          <w:pgNumType w:start="1"/>
        </w:sectPr>
      </w:pPr>
    </w:p>
    <w:p>
      <w:pPr>
        <w:pStyle w:val="BodyText"/>
        <w:spacing w:before="106"/>
        <w:ind w:left="165"/>
        <w:jc w:val="both"/>
      </w:pPr>
      <w:r>
        <w:rPr/>
        <w:t>to ignorance of, or merely to indifference to, the </w:t>
      </w:r>
      <w:r>
        <w:rPr>
          <w:spacing w:val="-2"/>
        </w:rPr>
        <w:t>truth.</w:t>
      </w:r>
    </w:p>
    <w:p>
      <w:pPr>
        <w:pStyle w:val="BodyText"/>
      </w:pPr>
    </w:p>
    <w:p>
      <w:pPr>
        <w:pStyle w:val="BodyText"/>
        <w:spacing w:before="38"/>
      </w:pPr>
    </w:p>
    <w:p>
      <w:pPr>
        <w:spacing w:before="0"/>
        <w:ind w:left="165" w:right="0" w:firstLine="0"/>
        <w:jc w:val="both"/>
        <w:rPr>
          <w:rFonts w:ascii="Arial"/>
          <w:b/>
          <w:sz w:val="18"/>
        </w:rPr>
      </w:pPr>
      <w:r>
        <w:rPr>
          <w:rFonts w:ascii="Arial"/>
          <w:b/>
          <w:sz w:val="18"/>
        </w:rPr>
        <w:t>Conduct as </w:t>
      </w:r>
      <w:r>
        <w:rPr>
          <w:rFonts w:ascii="Arial"/>
          <w:b/>
          <w:spacing w:val="-2"/>
          <w:sz w:val="18"/>
        </w:rPr>
        <w:t>offer</w:t>
      </w:r>
    </w:p>
    <w:p>
      <w:pPr>
        <w:pStyle w:val="BodyText"/>
        <w:spacing w:before="41"/>
        <w:rPr>
          <w:rFonts w:ascii="Arial"/>
          <w:b/>
          <w:sz w:val="18"/>
        </w:rPr>
      </w:pPr>
    </w:p>
    <w:p>
      <w:pPr>
        <w:pStyle w:val="Heading2"/>
      </w:pPr>
      <w:r>
        <w:rPr/>
        <w:t>2-</w:t>
      </w:r>
      <w:r>
        <w:rPr>
          <w:spacing w:val="-5"/>
        </w:rPr>
        <w:t>005</w:t>
      </w:r>
    </w:p>
    <w:p>
      <w:pPr>
        <w:pStyle w:val="BodyText"/>
        <w:spacing w:line="235" w:lineRule="auto" w:before="203"/>
        <w:ind w:left="164" w:right="167"/>
        <w:jc w:val="both"/>
      </w:pPr>
      <w:r>
        <w:rPr/>
        <w:t>An offer may be addressed either to a specified person or to a specified group of persons or to </w:t>
      </w:r>
      <w:r>
        <w:rPr/>
        <w:t>the world</w:t>
      </w:r>
      <w:r>
        <w:rPr>
          <w:spacing w:val="-2"/>
        </w:rPr>
        <w:t> </w:t>
      </w:r>
      <w:r>
        <w:rPr/>
        <w:t>at</w:t>
      </w:r>
      <w:r>
        <w:rPr>
          <w:spacing w:val="-2"/>
        </w:rPr>
        <w:t> </w:t>
      </w:r>
      <w:r>
        <w:rPr/>
        <w:t>large;</w:t>
      </w:r>
      <w:r>
        <w:rPr>
          <w:spacing w:val="-2"/>
        </w:rPr>
        <w:t> </w:t>
      </w:r>
      <w:r>
        <w:rPr/>
        <w:t>and</w:t>
      </w:r>
      <w:r>
        <w:rPr>
          <w:spacing w:val="-2"/>
        </w:rPr>
        <w:t> </w:t>
      </w:r>
      <w:r>
        <w:rPr/>
        <w:t>it</w:t>
      </w:r>
      <w:r>
        <w:rPr>
          <w:spacing w:val="-2"/>
        </w:rPr>
        <w:t> </w:t>
      </w:r>
      <w:r>
        <w:rPr/>
        <w:t>may</w:t>
      </w:r>
      <w:r>
        <w:rPr>
          <w:spacing w:val="-2"/>
        </w:rPr>
        <w:t> </w:t>
      </w:r>
      <w:r>
        <w:rPr/>
        <w:t>be</w:t>
      </w:r>
      <w:r>
        <w:rPr>
          <w:spacing w:val="-2"/>
        </w:rPr>
        <w:t> </w:t>
      </w:r>
      <w:r>
        <w:rPr/>
        <w:t>made</w:t>
      </w:r>
      <w:r>
        <w:rPr>
          <w:spacing w:val="-2"/>
        </w:rPr>
        <w:t> </w:t>
      </w:r>
      <w:r>
        <w:rPr/>
        <w:t>expressly</w:t>
      </w:r>
      <w:r>
        <w:rPr>
          <w:spacing w:val="-2"/>
        </w:rPr>
        <w:t> </w:t>
      </w:r>
      <w:r>
        <w:rPr/>
        <w:t>(by</w:t>
      </w:r>
      <w:r>
        <w:rPr>
          <w:spacing w:val="-2"/>
        </w:rPr>
        <w:t> </w:t>
      </w:r>
      <w:r>
        <w:rPr/>
        <w:t>words)</w:t>
      </w:r>
      <w:r>
        <w:rPr>
          <w:spacing w:val="-2"/>
        </w:rPr>
        <w:t> </w:t>
      </w:r>
      <w:r>
        <w:rPr/>
        <w:t>or</w:t>
      </w:r>
      <w:r>
        <w:rPr>
          <w:spacing w:val="-2"/>
        </w:rPr>
        <w:t> </w:t>
      </w:r>
      <w:r>
        <w:rPr/>
        <w:t>by</w:t>
      </w:r>
      <w:r>
        <w:rPr>
          <w:spacing w:val="-2"/>
        </w:rPr>
        <w:t> </w:t>
      </w:r>
      <w:r>
        <w:rPr/>
        <w:t>conduct.</w:t>
      </w:r>
      <w:r>
        <w:rPr>
          <w:spacing w:val="-2"/>
        </w:rPr>
        <w:t> </w:t>
      </w:r>
      <w:r>
        <w:rPr/>
        <w:t>At</w:t>
      </w:r>
      <w:r>
        <w:rPr>
          <w:spacing w:val="-2"/>
        </w:rPr>
        <w:t> </w:t>
      </w:r>
      <w:r>
        <w:rPr/>
        <w:t>common</w:t>
      </w:r>
      <w:r>
        <w:rPr>
          <w:spacing w:val="-2"/>
        </w:rPr>
        <w:t> </w:t>
      </w:r>
      <w:r>
        <w:rPr/>
        <w:t>law,</w:t>
      </w:r>
      <w:r>
        <w:rPr>
          <w:spacing w:val="-2"/>
        </w:rPr>
        <w:t> </w:t>
      </w:r>
      <w:r>
        <w:rPr/>
        <w:t>a</w:t>
      </w:r>
      <w:r>
        <w:rPr>
          <w:spacing w:val="-2"/>
        </w:rPr>
        <w:t> </w:t>
      </w:r>
      <w:r>
        <w:rPr/>
        <w:t>person</w:t>
      </w:r>
      <w:r>
        <w:rPr>
          <w:spacing w:val="-2"/>
        </w:rPr>
        <w:t> </w:t>
      </w:r>
      <w:r>
        <w:rPr/>
        <w:t>who </w:t>
      </w:r>
      <w:bookmarkStart w:name="_bookmark30" w:id="32"/>
      <w:bookmarkEnd w:id="32"/>
      <w:r>
        <w:rPr/>
        <w:t>had</w:t>
      </w:r>
      <w:r>
        <w:rPr/>
        <w:t> contracted to sell goods and tendered different goods (or a different quantity) might be</w:t>
      </w:r>
      <w:r>
        <w:rPr>
          <w:spacing w:val="40"/>
        </w:rPr>
        <w:t> </w:t>
      </w:r>
      <w:r>
        <w:rPr/>
        <w:t>considered to make an offer by conduct to sell the goods which he had tendered. </w:t>
      </w:r>
      <w:r>
        <w:rPr>
          <w:color w:val="005DA1"/>
          <w:u w:val="single" w:color="005DA1"/>
          <w:vertAlign w:val="superscript"/>
        </w:rPr>
        <w:t>24</w:t>
      </w:r>
      <w:r>
        <w:rPr>
          <w:color w:val="005DA1"/>
          <w:vertAlign w:val="baseline"/>
        </w:rPr>
        <w:t> </w:t>
      </w:r>
      <w:r>
        <w:rPr>
          <w:vertAlign w:val="baseline"/>
        </w:rPr>
        <w:t>It seems that an </w:t>
      </w:r>
      <w:bookmarkStart w:name="_bookmark31" w:id="33"/>
      <w:bookmarkEnd w:id="33"/>
      <w:r>
        <w:rPr>
          <w:vertAlign w:val="baseline"/>
        </w:rPr>
        <w:t>offer</w:t>
      </w:r>
      <w:r>
        <w:rPr>
          <w:vertAlign w:val="baseline"/>
        </w:rPr>
        <w:t> to sell can still be made in this way, though by legislation against “inertia selling” the dispatch of goods</w:t>
      </w:r>
      <w:r>
        <w:rPr>
          <w:spacing w:val="9"/>
          <w:vertAlign w:val="baseline"/>
        </w:rPr>
        <w:t> </w:t>
      </w:r>
      <w:r>
        <w:rPr>
          <w:vertAlign w:val="baseline"/>
        </w:rPr>
        <w:t>“without</w:t>
      </w:r>
      <w:r>
        <w:rPr>
          <w:spacing w:val="9"/>
          <w:vertAlign w:val="baseline"/>
        </w:rPr>
        <w:t> </w:t>
      </w:r>
      <w:r>
        <w:rPr>
          <w:vertAlign w:val="baseline"/>
        </w:rPr>
        <w:t>any</w:t>
      </w:r>
      <w:r>
        <w:rPr>
          <w:spacing w:val="9"/>
          <w:vertAlign w:val="baseline"/>
        </w:rPr>
        <w:t> </w:t>
      </w:r>
      <w:r>
        <w:rPr>
          <w:vertAlign w:val="baseline"/>
        </w:rPr>
        <w:t>prior</w:t>
      </w:r>
      <w:r>
        <w:rPr>
          <w:spacing w:val="9"/>
          <w:vertAlign w:val="baseline"/>
        </w:rPr>
        <w:t> </w:t>
      </w:r>
      <w:r>
        <w:rPr>
          <w:vertAlign w:val="baseline"/>
        </w:rPr>
        <w:t>request”</w:t>
      </w:r>
      <w:r>
        <w:rPr>
          <w:spacing w:val="9"/>
          <w:vertAlign w:val="baseline"/>
        </w:rPr>
        <w:t> </w:t>
      </w:r>
      <w:r>
        <w:rPr>
          <w:vertAlign w:val="baseline"/>
        </w:rPr>
        <w:t>may</w:t>
      </w:r>
      <w:r>
        <w:rPr>
          <w:spacing w:val="9"/>
          <w:vertAlign w:val="baseline"/>
        </w:rPr>
        <w:t> </w:t>
      </w:r>
      <w:r>
        <w:rPr>
          <w:vertAlign w:val="baseline"/>
        </w:rPr>
        <w:t>amount</w:t>
      </w:r>
      <w:r>
        <w:rPr>
          <w:spacing w:val="9"/>
          <w:vertAlign w:val="baseline"/>
        </w:rPr>
        <w:t> </w:t>
      </w:r>
      <w:r>
        <w:rPr>
          <w:vertAlign w:val="baseline"/>
        </w:rPr>
        <w:t>to</w:t>
      </w:r>
      <w:r>
        <w:rPr>
          <w:spacing w:val="9"/>
          <w:vertAlign w:val="baseline"/>
        </w:rPr>
        <w:t> </w:t>
      </w:r>
      <w:r>
        <w:rPr>
          <w:vertAlign w:val="baseline"/>
        </w:rPr>
        <w:t>a</w:t>
      </w:r>
      <w:r>
        <w:rPr>
          <w:spacing w:val="9"/>
          <w:vertAlign w:val="baseline"/>
        </w:rPr>
        <w:t> </w:t>
      </w:r>
      <w:r>
        <w:rPr>
          <w:vertAlign w:val="baseline"/>
        </w:rPr>
        <w:t>gift</w:t>
      </w:r>
      <w:r>
        <w:rPr>
          <w:spacing w:val="9"/>
          <w:vertAlign w:val="baseline"/>
        </w:rPr>
        <w:t> </w:t>
      </w:r>
      <w:r>
        <w:rPr>
          <w:vertAlign w:val="baseline"/>
        </w:rPr>
        <w:t>to</w:t>
      </w:r>
      <w:r>
        <w:rPr>
          <w:spacing w:val="9"/>
          <w:vertAlign w:val="baseline"/>
        </w:rPr>
        <w:t> </w:t>
      </w:r>
      <w:r>
        <w:rPr>
          <w:vertAlign w:val="baseline"/>
        </w:rPr>
        <w:t>the</w:t>
      </w:r>
      <w:r>
        <w:rPr>
          <w:spacing w:val="9"/>
          <w:vertAlign w:val="baseline"/>
        </w:rPr>
        <w:t> </w:t>
      </w:r>
      <w:r>
        <w:rPr>
          <w:vertAlign w:val="baseline"/>
        </w:rPr>
        <w:t>recipient,</w:t>
      </w:r>
      <w:r>
        <w:rPr>
          <w:spacing w:val="9"/>
          <w:vertAlign w:val="baseline"/>
        </w:rPr>
        <w:t> </w:t>
      </w:r>
      <w:r>
        <w:rPr>
          <w:vertAlign w:val="baseline"/>
        </w:rPr>
        <w:t>rather</w:t>
      </w:r>
      <w:r>
        <w:rPr>
          <w:spacing w:val="9"/>
          <w:vertAlign w:val="baseline"/>
        </w:rPr>
        <w:t> </w:t>
      </w:r>
      <w:r>
        <w:rPr>
          <w:vertAlign w:val="baseline"/>
        </w:rPr>
        <w:t>than</w:t>
      </w:r>
      <w:r>
        <w:rPr>
          <w:spacing w:val="9"/>
          <w:vertAlign w:val="baseline"/>
        </w:rPr>
        <w:t> </w:t>
      </w:r>
      <w:r>
        <w:rPr>
          <w:vertAlign w:val="baseline"/>
        </w:rPr>
        <w:t>to</w:t>
      </w:r>
      <w:r>
        <w:rPr>
          <w:spacing w:val="9"/>
          <w:vertAlign w:val="baseline"/>
        </w:rPr>
        <w:t> </w:t>
      </w:r>
      <w:r>
        <w:rPr>
          <w:vertAlign w:val="baseline"/>
        </w:rPr>
        <w:t>an</w:t>
      </w:r>
      <w:r>
        <w:rPr>
          <w:spacing w:val="9"/>
          <w:vertAlign w:val="baseline"/>
        </w:rPr>
        <w:t> </w:t>
      </w:r>
      <w:r>
        <w:rPr>
          <w:vertAlign w:val="baseline"/>
        </w:rPr>
        <w:t>offer</w:t>
      </w:r>
      <w:r>
        <w:rPr>
          <w:spacing w:val="9"/>
          <w:vertAlign w:val="baseline"/>
        </w:rPr>
        <w:t> </w:t>
      </w:r>
      <w:r>
        <w:rPr>
          <w:vertAlign w:val="baseline"/>
        </w:rPr>
        <w:t>to</w:t>
      </w:r>
      <w:r>
        <w:rPr>
          <w:spacing w:val="9"/>
          <w:vertAlign w:val="baseline"/>
        </w:rPr>
        <w:t> </w:t>
      </w:r>
      <w:r>
        <w:rPr>
          <w:spacing w:val="-2"/>
          <w:vertAlign w:val="baseline"/>
        </w:rPr>
        <w:t>sell.</w:t>
      </w:r>
    </w:p>
    <w:p>
      <w:pPr>
        <w:spacing w:line="111" w:lineRule="exact" w:before="0"/>
        <w:ind w:left="165" w:right="0" w:firstLine="0"/>
        <w:jc w:val="left"/>
        <w:rPr>
          <w:sz w:val="12"/>
        </w:rPr>
      </w:pPr>
      <w:r>
        <w:rPr>
          <w:color w:val="005DA1"/>
          <w:spacing w:val="-5"/>
          <w:sz w:val="12"/>
          <w:u w:val="single" w:color="005DA1"/>
        </w:rPr>
        <w:t>25</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both"/>
        <w:rPr>
          <w:rFonts w:ascii="Arial"/>
          <w:b/>
          <w:sz w:val="18"/>
        </w:rPr>
      </w:pPr>
      <w:r>
        <w:rPr>
          <w:rFonts w:ascii="Arial"/>
          <w:b/>
          <w:sz w:val="18"/>
        </w:rPr>
        <w:t>Inactivity as an </w:t>
      </w:r>
      <w:r>
        <w:rPr>
          <w:rFonts w:ascii="Arial"/>
          <w:b/>
          <w:spacing w:val="-2"/>
          <w:sz w:val="18"/>
        </w:rPr>
        <w:t>offer</w:t>
      </w:r>
    </w:p>
    <w:p>
      <w:pPr>
        <w:pStyle w:val="BodyText"/>
        <w:spacing w:before="41"/>
        <w:rPr>
          <w:rFonts w:ascii="Arial"/>
          <w:b/>
          <w:sz w:val="18"/>
        </w:rPr>
      </w:pPr>
    </w:p>
    <w:p>
      <w:pPr>
        <w:pStyle w:val="Heading2"/>
      </w:pPr>
      <w:r>
        <w:rPr/>
        <w:t>2-</w:t>
      </w:r>
      <w:r>
        <w:rPr>
          <w:spacing w:val="-5"/>
        </w:rPr>
        <w:t>006</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26" name="Image 26"/>
            <wp:cNvGraphicFramePr>
              <a:graphicFrameLocks/>
            </wp:cNvGraphicFramePr>
            <a:graphic>
              <a:graphicData uri="http://schemas.openxmlformats.org/drawingml/2006/picture">
                <pic:pic>
                  <pic:nvPicPr>
                    <pic:cNvPr id="26" name="Image 2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A number of cases raise the further question whether the “conduct” from which an offer may </w:t>
      </w:r>
      <w:r>
        <w:rPr/>
        <w:t>be inferred can take the form of inactivity. The issue in these cases was whether an agreement to submit a dispute to arbitration could be said to have been “abandoned” by long delay, where, over a long period</w:t>
      </w:r>
      <w:r>
        <w:rPr>
          <w:spacing w:val="-1"/>
        </w:rPr>
        <w:t> </w:t>
      </w:r>
      <w:r>
        <w:rPr/>
        <w:t>of</w:t>
      </w:r>
      <w:r>
        <w:rPr>
          <w:spacing w:val="-1"/>
        </w:rPr>
        <w:t> </w:t>
      </w:r>
      <w:r>
        <w:rPr/>
        <w:t>time,</w:t>
      </w:r>
      <w:r>
        <w:rPr>
          <w:spacing w:val="-1"/>
        </w:rPr>
        <w:t> </w:t>
      </w:r>
      <w:r>
        <w:rPr/>
        <w:t>neither</w:t>
      </w:r>
      <w:r>
        <w:rPr>
          <w:spacing w:val="-1"/>
        </w:rPr>
        <w:t> </w:t>
      </w:r>
      <w:r>
        <w:rPr/>
        <w:t>party</w:t>
      </w:r>
      <w:r>
        <w:rPr>
          <w:spacing w:val="-1"/>
        </w:rPr>
        <w:t> </w:t>
      </w:r>
      <w:r>
        <w:rPr/>
        <w:t>had</w:t>
      </w:r>
      <w:r>
        <w:rPr>
          <w:spacing w:val="-1"/>
        </w:rPr>
        <w:t> </w:t>
      </w:r>
      <w:r>
        <w:rPr/>
        <w:t>taken</w:t>
      </w:r>
      <w:r>
        <w:rPr>
          <w:spacing w:val="-1"/>
        </w:rPr>
        <w:t> </w:t>
      </w:r>
      <w:r>
        <w:rPr/>
        <w:t>any</w:t>
      </w:r>
      <w:r>
        <w:rPr>
          <w:spacing w:val="-1"/>
        </w:rPr>
        <w:t> </w:t>
      </w:r>
      <w:r>
        <w:rPr/>
        <w:t>steps</w:t>
      </w:r>
      <w:r>
        <w:rPr>
          <w:spacing w:val="-1"/>
        </w:rPr>
        <w:t> </w:t>
      </w:r>
      <w:r>
        <w:rPr/>
        <w:t>in</w:t>
      </w:r>
      <w:r>
        <w:rPr>
          <w:spacing w:val="-1"/>
        </w:rPr>
        <w:t> </w:t>
      </w:r>
      <w:r>
        <w:rPr/>
        <w:t>the</w:t>
      </w:r>
      <w:r>
        <w:rPr>
          <w:spacing w:val="-1"/>
        </w:rPr>
        <w:t> </w:t>
      </w:r>
      <w:r>
        <w:rPr/>
        <w:t>arbitration</w:t>
      </w:r>
      <w:r>
        <w:rPr>
          <w:spacing w:val="-1"/>
        </w:rPr>
        <w:t> </w:t>
      </w:r>
      <w:r>
        <w:rPr/>
        <w:t>proceedings.</w:t>
      </w:r>
      <w:r>
        <w:rPr>
          <w:spacing w:val="-1"/>
        </w:rPr>
        <w:t> </w:t>
      </w:r>
      <w:r>
        <w:rPr/>
        <w:t>In</w:t>
      </w:r>
      <w:r>
        <w:rPr>
          <w:spacing w:val="-1"/>
        </w:rPr>
        <w:t> </w:t>
      </w:r>
      <w:r>
        <w:rPr/>
        <w:t>cases</w:t>
      </w:r>
      <w:r>
        <w:rPr>
          <w:spacing w:val="-1"/>
        </w:rPr>
        <w:t> </w:t>
      </w:r>
      <w:r>
        <w:rPr/>
        <w:t>of</w:t>
      </w:r>
      <w:r>
        <w:rPr>
          <w:spacing w:val="-1"/>
        </w:rPr>
        <w:t> </w:t>
      </w:r>
      <w:r>
        <w:rPr/>
        <w:t>“inordinate </w:t>
      </w:r>
      <w:bookmarkStart w:name="_bookmark32" w:id="34"/>
      <w:bookmarkEnd w:id="34"/>
      <w:r>
        <w:rPr/>
        <w:t>and</w:t>
      </w:r>
      <w:r>
        <w:rPr/>
        <w:t> inexcusable delay” of this kind, arbitrators now have a statutory power to dismiss the claim for </w:t>
      </w:r>
      <w:bookmarkStart w:name="_bookmark33" w:id="35"/>
      <w:bookmarkEnd w:id="35"/>
      <w:r>
        <w:rPr/>
        <w:t>want</w:t>
      </w:r>
      <w:r>
        <w:rPr/>
        <w:t> of prosecution </w:t>
      </w:r>
      <w:r>
        <w:rPr>
          <w:color w:val="005DA1"/>
          <w:u w:val="single" w:color="005DA1"/>
          <w:vertAlign w:val="superscript"/>
        </w:rPr>
        <w:t>26</w:t>
      </w:r>
      <w:r>
        <w:rPr>
          <w:color w:val="005DA1"/>
          <w:vertAlign w:val="baseline"/>
        </w:rPr>
        <w:t> </w:t>
      </w:r>
      <w:r>
        <w:rPr>
          <w:vertAlign w:val="baseline"/>
        </w:rPr>
        <w:t>and it is also open to the parties expressly to provide for “lapse” of the claim if </w:t>
      </w:r>
      <w:bookmarkStart w:name="_bookmark34" w:id="36"/>
      <w:bookmarkEnd w:id="36"/>
      <w:r>
        <w:rPr>
          <w:vertAlign w:val="baseline"/>
        </w:rPr>
        <w:t>steps</w:t>
      </w:r>
      <w:r>
        <w:rPr>
          <w:vertAlign w:val="baseline"/>
        </w:rPr>
        <w:t> in the proceedings are not taken within a specified period.</w:t>
      </w:r>
      <w:r>
        <w:rPr>
          <w:spacing w:val="-1"/>
          <w:vertAlign w:val="baseline"/>
        </w:rPr>
        <w:t> </w:t>
      </w:r>
      <w:r>
        <w:rPr>
          <w:color w:val="005DA1"/>
          <w:u w:val="single" w:color="005DA1"/>
          <w:vertAlign w:val="superscript"/>
        </w:rPr>
        <w:t>27</w:t>
      </w:r>
      <w:r>
        <w:rPr>
          <w:color w:val="005DA1"/>
          <w:vertAlign w:val="baseline"/>
        </w:rPr>
        <w:t> </w:t>
      </w:r>
      <w:r>
        <w:rPr>
          <w:vertAlign w:val="baseline"/>
        </w:rPr>
        <w:t>Conversely, however, the statutory power to dismiss the claim for want of prosecution may be excluded by agreement, </w:t>
      </w:r>
      <w:r>
        <w:rPr>
          <w:color w:val="005DA1"/>
          <w:u w:val="single" w:color="005DA1"/>
          <w:vertAlign w:val="superscript"/>
        </w:rPr>
        <w:t>28</w:t>
      </w:r>
      <w:r>
        <w:rPr>
          <w:color w:val="005DA1"/>
          <w:vertAlign w:val="baseline"/>
        </w:rPr>
        <w:t> </w:t>
      </w:r>
      <w:r>
        <w:rPr>
          <w:vertAlign w:val="baseline"/>
        </w:rPr>
        <w:t>and where it is </w:t>
      </w:r>
      <w:bookmarkStart w:name="_bookmark35" w:id="37"/>
      <w:bookmarkEnd w:id="37"/>
      <w:r>
        <w:rPr>
          <w:vertAlign w:val="baseline"/>
        </w:rPr>
        <w:t>so</w:t>
      </w:r>
      <w:r>
        <w:rPr>
          <w:vertAlign w:val="baseline"/>
        </w:rPr>
        <w:t> excluded the question of abandonment can still arise in the present context. Such a question could </w:t>
      </w:r>
      <w:bookmarkStart w:name="_bookmark36" w:id="38"/>
      <w:bookmarkEnd w:id="38"/>
      <w:r>
        <w:rPr>
          <w:vertAlign w:val="baseline"/>
        </w:rPr>
        <w:t>also</w:t>
      </w:r>
      <w:r>
        <w:rPr>
          <w:spacing w:val="-2"/>
          <w:vertAlign w:val="baseline"/>
        </w:rPr>
        <w:t> </w:t>
      </w:r>
      <w:r>
        <w:rPr>
          <w:vertAlign w:val="baseline"/>
        </w:rPr>
        <w:t>arise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context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alleged</w:t>
      </w:r>
      <w:r>
        <w:rPr>
          <w:spacing w:val="-2"/>
          <w:vertAlign w:val="baseline"/>
        </w:rPr>
        <w:t> </w:t>
      </w:r>
      <w:r>
        <w:rPr>
          <w:vertAlign w:val="baseline"/>
        </w:rPr>
        <w:t>abandonment</w:t>
      </w:r>
      <w:r>
        <w:rPr>
          <w:spacing w:val="-2"/>
          <w:vertAlign w:val="baseline"/>
        </w:rPr>
        <w:t> </w:t>
      </w:r>
      <w:r>
        <w:rPr>
          <w:vertAlign w:val="baseline"/>
        </w:rPr>
        <w:t>of</w:t>
      </w:r>
      <w:r>
        <w:rPr>
          <w:spacing w:val="-2"/>
          <w:vertAlign w:val="baseline"/>
        </w:rPr>
        <w:t> </w:t>
      </w:r>
      <w:r>
        <w:rPr>
          <w:vertAlign w:val="baseline"/>
        </w:rPr>
        <w:t>some</w:t>
      </w:r>
      <w:r>
        <w:rPr>
          <w:spacing w:val="-2"/>
          <w:vertAlign w:val="baseline"/>
        </w:rPr>
        <w:t> </w:t>
      </w:r>
      <w:r>
        <w:rPr>
          <w:vertAlign w:val="baseline"/>
        </w:rPr>
        <w:t>other</w:t>
      </w:r>
      <w:r>
        <w:rPr>
          <w:spacing w:val="-2"/>
          <w:vertAlign w:val="baseline"/>
        </w:rPr>
        <w:t> </w:t>
      </w:r>
      <w:r>
        <w:rPr>
          <w:vertAlign w:val="baseline"/>
        </w:rPr>
        <w:t>type</w:t>
      </w:r>
      <w:r>
        <w:rPr>
          <w:spacing w:val="-2"/>
          <w:vertAlign w:val="baseline"/>
        </w:rPr>
        <w:t> </w:t>
      </w:r>
      <w:r>
        <w:rPr>
          <w:vertAlign w:val="baseline"/>
        </w:rPr>
        <w:t>of</w:t>
      </w:r>
      <w:r>
        <w:rPr>
          <w:spacing w:val="-2"/>
          <w:vertAlign w:val="baseline"/>
        </w:rPr>
        <w:t> </w:t>
      </w:r>
      <w:r>
        <w:rPr>
          <w:vertAlign w:val="baseline"/>
        </w:rPr>
        <w:t>right</w:t>
      </w:r>
      <w:r>
        <w:rPr>
          <w:spacing w:val="-2"/>
          <w:vertAlign w:val="baseline"/>
        </w:rPr>
        <w:t> </w:t>
      </w:r>
      <w:r>
        <w:rPr>
          <w:vertAlign w:val="baseline"/>
        </w:rPr>
        <w:t>or</w:t>
      </w:r>
      <w:r>
        <w:rPr>
          <w:spacing w:val="-2"/>
          <w:vertAlign w:val="baseline"/>
        </w:rPr>
        <w:t> </w:t>
      </w:r>
      <w:r>
        <w:rPr>
          <w:vertAlign w:val="baseline"/>
        </w:rPr>
        <w:t>remedy,</w:t>
      </w:r>
      <w:r>
        <w:rPr>
          <w:spacing w:val="-3"/>
          <w:vertAlign w:val="baseline"/>
        </w:rPr>
        <w:t> </w:t>
      </w:r>
      <w:r>
        <w:rPr>
          <w:color w:val="005DA1"/>
          <w:u w:val="single" w:color="005DA1"/>
          <w:vertAlign w:val="superscript"/>
        </w:rPr>
        <w:t>29</w:t>
      </w:r>
      <w:r>
        <w:rPr>
          <w:color w:val="005DA1"/>
          <w:spacing w:val="-2"/>
          <w:vertAlign w:val="baseline"/>
        </w:rPr>
        <w:t> </w:t>
      </w:r>
      <w:r>
        <w:rPr>
          <w:vertAlign w:val="baseline"/>
        </w:rPr>
        <w:t>to</w:t>
      </w:r>
      <w:r>
        <w:rPr>
          <w:spacing w:val="-2"/>
          <w:vertAlign w:val="baseline"/>
        </w:rPr>
        <w:t> </w:t>
      </w:r>
      <w:r>
        <w:rPr>
          <w:vertAlign w:val="baseline"/>
        </w:rPr>
        <w:t>which no similar legislative provision extends. Mere inactivity by one party is unlikely, </w:t>
      </w:r>
      <w:r>
        <w:rPr>
          <w:color w:val="005DA1"/>
          <w:u w:val="single" w:color="005DA1"/>
          <w:vertAlign w:val="superscript"/>
        </w:rPr>
        <w:t>30</w:t>
      </w:r>
      <w:r>
        <w:rPr>
          <w:color w:val="005DA1"/>
          <w:vertAlign w:val="baseline"/>
        </w:rPr>
        <w:t> </w:t>
      </w:r>
      <w:r>
        <w:rPr>
          <w:vertAlign w:val="baseline"/>
        </w:rPr>
        <w:t>when standing alone, to amount to an offer of abandonment, for it is equivocal and generally explicable on other </w:t>
      </w:r>
      <w:bookmarkStart w:name="_bookmark37" w:id="39"/>
      <w:bookmarkEnd w:id="39"/>
      <w:r>
        <w:rPr>
          <w:vertAlign w:val="baseline"/>
        </w:rPr>
        <w:t>grounds,</w:t>
      </w:r>
      <w:r>
        <w:rPr>
          <w:vertAlign w:val="baseline"/>
        </w:rPr>
        <w:t> such as inertia or forgetfulness, or the tactical consideration that the party alleged to have made the offer does not wish to reactivate his opponent’s counterclaims. </w:t>
      </w:r>
      <w:r>
        <w:rPr>
          <w:color w:val="005DA1"/>
          <w:u w:val="single" w:color="005DA1"/>
          <w:vertAlign w:val="superscript"/>
        </w:rPr>
        <w:t>31</w:t>
      </w:r>
      <w:r>
        <w:rPr>
          <w:color w:val="005DA1"/>
          <w:vertAlign w:val="baseline"/>
        </w:rPr>
        <w:t> </w:t>
      </w:r>
      <w:r>
        <w:rPr>
          <w:vertAlign w:val="baseline"/>
        </w:rPr>
        <w:t>Consequently, it will not </w:t>
      </w:r>
      <w:bookmarkStart w:name="_bookmark38" w:id="40"/>
      <w:bookmarkEnd w:id="40"/>
      <w:r>
        <w:rPr>
          <w:vertAlign w:val="baseline"/>
        </w:rPr>
        <w:t>normally</w:t>
      </w:r>
      <w:r>
        <w:rPr>
          <w:vertAlign w:val="baseline"/>
        </w:rPr>
        <w:t> suffice to induce a reasonable person in the position of the other party to believe that an</w:t>
      </w:r>
      <w:r>
        <w:rPr>
          <w:spacing w:val="40"/>
          <w:vertAlign w:val="baseline"/>
        </w:rPr>
        <w:t> </w:t>
      </w:r>
      <w:bookmarkStart w:name="_bookmark39" w:id="41"/>
      <w:bookmarkEnd w:id="41"/>
      <w:r>
        <w:rPr>
          <w:vertAlign w:val="baseline"/>
        </w:rPr>
        <w:t>offer</w:t>
      </w:r>
      <w:r>
        <w:rPr>
          <w:vertAlign w:val="baseline"/>
        </w:rPr>
        <w:t> is being made </w:t>
      </w:r>
      <w:r>
        <w:rPr>
          <w:color w:val="005DA1"/>
          <w:u w:val="single" w:color="005DA1"/>
          <w:vertAlign w:val="superscript"/>
        </w:rPr>
        <w:t>32</w:t>
      </w:r>
      <w:r>
        <w:rPr>
          <w:vertAlign w:val="baseline"/>
        </w:rPr>
        <w:t>; and the mere fact that the other party nevertheless had this belief cannot </w:t>
      </w:r>
      <w:bookmarkStart w:name="_bookmark40" w:id="42"/>
      <w:bookmarkEnd w:id="42"/>
      <w:r>
        <w:rPr>
          <w:vertAlign w:val="baseline"/>
        </w:rPr>
        <w:t>suffice</w:t>
      </w:r>
      <w:r>
        <w:rPr>
          <w:spacing w:val="-1"/>
          <w:vertAlign w:val="baseline"/>
        </w:rPr>
        <w:t> </w:t>
      </w:r>
      <w:r>
        <w:rPr>
          <w:vertAlign w:val="baseline"/>
        </w:rPr>
        <w:t>to</w:t>
      </w:r>
      <w:r>
        <w:rPr>
          <w:spacing w:val="-1"/>
          <w:vertAlign w:val="baseline"/>
        </w:rPr>
        <w:t> </w:t>
      </w:r>
      <w:r>
        <w:rPr>
          <w:vertAlign w:val="baseline"/>
        </w:rPr>
        <w:t>turn</w:t>
      </w:r>
      <w:r>
        <w:rPr>
          <w:spacing w:val="-1"/>
          <w:vertAlign w:val="baseline"/>
        </w:rPr>
        <w:t> </w:t>
      </w:r>
      <w:r>
        <w:rPr>
          <w:vertAlign w:val="baseline"/>
        </w:rPr>
        <w:t>the</w:t>
      </w:r>
      <w:r>
        <w:rPr>
          <w:spacing w:val="-1"/>
          <w:vertAlign w:val="baseline"/>
        </w:rPr>
        <w:t> </w:t>
      </w:r>
      <w:r>
        <w:rPr>
          <w:vertAlign w:val="baseline"/>
        </w:rPr>
        <w:t>former</w:t>
      </w:r>
      <w:r>
        <w:rPr>
          <w:spacing w:val="-1"/>
          <w:vertAlign w:val="baseline"/>
        </w:rPr>
        <w:t> </w:t>
      </w:r>
      <w:r>
        <w:rPr>
          <w:vertAlign w:val="baseline"/>
        </w:rPr>
        <w:t>party’s</w:t>
      </w:r>
      <w:r>
        <w:rPr>
          <w:spacing w:val="-1"/>
          <w:vertAlign w:val="baseline"/>
        </w:rPr>
        <w:t> </w:t>
      </w:r>
      <w:r>
        <w:rPr>
          <w:vertAlign w:val="baseline"/>
        </w:rPr>
        <w:t>inactivity</w:t>
      </w:r>
      <w:r>
        <w:rPr>
          <w:spacing w:val="-1"/>
          <w:vertAlign w:val="baseline"/>
        </w:rPr>
        <w:t> </w:t>
      </w:r>
      <w:r>
        <w:rPr>
          <w:vertAlign w:val="baseline"/>
        </w:rPr>
        <w:t>into</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offer.</w:t>
      </w:r>
      <w:r>
        <w:rPr>
          <w:spacing w:val="-1"/>
          <w:vertAlign w:val="baseline"/>
        </w:rPr>
        <w:t> </w:t>
      </w:r>
      <w:r>
        <w:rPr>
          <w:color w:val="005DA1"/>
          <w:u w:val="single" w:color="005DA1"/>
          <w:vertAlign w:val="superscript"/>
        </w:rPr>
        <w:t>33</w:t>
      </w:r>
      <w:r>
        <w:rPr>
          <w:color w:val="005DA1"/>
          <w:spacing w:val="-1"/>
          <w:vertAlign w:val="baseline"/>
        </w:rPr>
        <w:t> </w:t>
      </w:r>
      <w:r>
        <w:rPr>
          <w:vertAlign w:val="baseline"/>
        </w:rPr>
        <w:t>However,</w:t>
      </w:r>
      <w:r>
        <w:rPr>
          <w:spacing w:val="-1"/>
          <w:vertAlign w:val="baseline"/>
        </w:rPr>
        <w:t> </w:t>
      </w:r>
      <w:r>
        <w:rPr>
          <w:vertAlign w:val="baseline"/>
        </w:rPr>
        <w:t>the</w:t>
      </w:r>
      <w:r>
        <w:rPr>
          <w:spacing w:val="-1"/>
          <w:vertAlign w:val="baseline"/>
        </w:rPr>
        <w:t> </w:t>
      </w:r>
      <w:r>
        <w:rPr>
          <w:vertAlign w:val="baseline"/>
        </w:rPr>
        <w:t>arbitration</w:t>
      </w:r>
      <w:r>
        <w:rPr>
          <w:spacing w:val="-1"/>
          <w:vertAlign w:val="baseline"/>
        </w:rPr>
        <w:t> </w:t>
      </w:r>
      <w:r>
        <w:rPr>
          <w:vertAlign w:val="baseline"/>
        </w:rPr>
        <w:t>cases</w:t>
      </w:r>
      <w:r>
        <w:rPr>
          <w:spacing w:val="-1"/>
          <w:vertAlign w:val="baseline"/>
        </w:rPr>
        <w:t> </w:t>
      </w:r>
      <w:r>
        <w:rPr>
          <w:vertAlign w:val="baseline"/>
        </w:rPr>
        <w:t>indicate </w:t>
      </w:r>
      <w:bookmarkStart w:name="_bookmark41" w:id="43"/>
      <w:bookmarkEnd w:id="43"/>
      <w:r>
        <w:rPr>
          <w:vertAlign w:val="baseline"/>
        </w:rPr>
        <w:t>that,</w:t>
      </w:r>
      <w:r>
        <w:rPr>
          <w:spacing w:val="14"/>
          <w:vertAlign w:val="baseline"/>
        </w:rPr>
        <w:t> </w:t>
      </w:r>
      <w:r>
        <w:rPr>
          <w:vertAlign w:val="baseline"/>
        </w:rPr>
        <w:t>on</w:t>
      </w:r>
      <w:r>
        <w:rPr>
          <w:spacing w:val="14"/>
          <w:vertAlign w:val="baseline"/>
        </w:rPr>
        <w:t> </w:t>
      </w:r>
      <w:r>
        <w:rPr>
          <w:vertAlign w:val="baseline"/>
        </w:rPr>
        <w:t>the</w:t>
      </w:r>
      <w:r>
        <w:rPr>
          <w:spacing w:val="14"/>
          <w:vertAlign w:val="baseline"/>
        </w:rPr>
        <w:t> </w:t>
      </w:r>
      <w:r>
        <w:rPr>
          <w:vertAlign w:val="baseline"/>
        </w:rPr>
        <w:t>objective</w:t>
      </w:r>
      <w:r>
        <w:rPr>
          <w:spacing w:val="15"/>
          <w:vertAlign w:val="baseline"/>
        </w:rPr>
        <w:t> </w:t>
      </w:r>
      <w:r>
        <w:rPr>
          <w:vertAlign w:val="baseline"/>
        </w:rPr>
        <w:t>test,</w:t>
      </w:r>
      <w:r>
        <w:rPr>
          <w:spacing w:val="14"/>
          <w:vertAlign w:val="baseline"/>
        </w:rPr>
        <w:t> </w:t>
      </w:r>
      <w:r>
        <w:rPr>
          <w:color w:val="005DA1"/>
          <w:u w:val="single" w:color="005DA1"/>
          <w:vertAlign w:val="superscript"/>
        </w:rPr>
        <w:t>34</w:t>
      </w:r>
      <w:r>
        <w:rPr>
          <w:color w:val="005DA1"/>
          <w:spacing w:val="14"/>
          <w:vertAlign w:val="baseline"/>
        </w:rPr>
        <w:t> </w:t>
      </w:r>
      <w:r>
        <w:rPr>
          <w:vertAlign w:val="baseline"/>
        </w:rPr>
        <w:t>inactivity</w:t>
      </w:r>
      <w:r>
        <w:rPr>
          <w:spacing w:val="14"/>
          <w:vertAlign w:val="baseline"/>
        </w:rPr>
        <w:t> </w:t>
      </w:r>
      <w:r>
        <w:rPr>
          <w:vertAlign w:val="baseline"/>
        </w:rPr>
        <w:t>may</w:t>
      </w:r>
      <w:r>
        <w:rPr>
          <w:spacing w:val="15"/>
          <w:vertAlign w:val="baseline"/>
        </w:rPr>
        <w:t> </w:t>
      </w:r>
      <w:r>
        <w:rPr>
          <w:vertAlign w:val="baseline"/>
        </w:rPr>
        <w:t>amount</w:t>
      </w:r>
      <w:r>
        <w:rPr>
          <w:spacing w:val="14"/>
          <w:vertAlign w:val="baseline"/>
        </w:rPr>
        <w:t> </w:t>
      </w:r>
      <w:r>
        <w:rPr>
          <w:vertAlign w:val="baseline"/>
        </w:rPr>
        <w:t>to</w:t>
      </w:r>
      <w:r>
        <w:rPr>
          <w:spacing w:val="14"/>
          <w:vertAlign w:val="baseline"/>
        </w:rPr>
        <w:t> </w:t>
      </w:r>
      <w:r>
        <w:rPr>
          <w:vertAlign w:val="baseline"/>
        </w:rPr>
        <w:t>an</w:t>
      </w:r>
      <w:r>
        <w:rPr>
          <w:spacing w:val="15"/>
          <w:vertAlign w:val="baseline"/>
        </w:rPr>
        <w:t> </w:t>
      </w:r>
      <w:r>
        <w:rPr>
          <w:vertAlign w:val="baseline"/>
        </w:rPr>
        <w:t>offer</w:t>
      </w:r>
      <w:r>
        <w:rPr>
          <w:spacing w:val="14"/>
          <w:vertAlign w:val="baseline"/>
        </w:rPr>
        <w:t> </w:t>
      </w:r>
      <w:r>
        <w:rPr>
          <w:vertAlign w:val="baseline"/>
        </w:rPr>
        <w:t>of</w:t>
      </w:r>
      <w:r>
        <w:rPr>
          <w:spacing w:val="14"/>
          <w:vertAlign w:val="baseline"/>
        </w:rPr>
        <w:t> </w:t>
      </w:r>
      <w:r>
        <w:rPr>
          <w:vertAlign w:val="baseline"/>
        </w:rPr>
        <w:t>abandonment</w:t>
      </w:r>
      <w:r>
        <w:rPr>
          <w:spacing w:val="14"/>
          <w:vertAlign w:val="baseline"/>
        </w:rPr>
        <w:t> </w:t>
      </w:r>
      <w:r>
        <w:rPr>
          <w:vertAlign w:val="baseline"/>
        </w:rPr>
        <w:t>when</w:t>
      </w:r>
      <w:r>
        <w:rPr>
          <w:spacing w:val="15"/>
          <w:vertAlign w:val="baseline"/>
        </w:rPr>
        <w:t> </w:t>
      </w:r>
      <w:r>
        <w:rPr>
          <w:vertAlign w:val="baseline"/>
        </w:rPr>
        <w:t>combined</w:t>
      </w:r>
      <w:r>
        <w:rPr>
          <w:spacing w:val="14"/>
          <w:vertAlign w:val="baseline"/>
        </w:rPr>
        <w:t> </w:t>
      </w:r>
      <w:r>
        <w:rPr>
          <w:spacing w:val="-4"/>
          <w:vertAlign w:val="baseline"/>
        </w:rPr>
        <w:t>with</w:t>
      </w:r>
    </w:p>
    <w:p>
      <w:pPr>
        <w:pStyle w:val="BodyText"/>
        <w:spacing w:before="109"/>
        <w:ind w:left="165"/>
        <w:jc w:val="both"/>
        <w:rPr>
          <w:position w:val="-2"/>
        </w:rPr>
      </w:pPr>
      <w:r>
        <w:rPr/>
        <w:t>other circumstances (such as the destruction of relevant files). </w:t>
      </w:r>
      <w:r>
        <w:rPr>
          <w:color w:val="005DA1"/>
          <w:u w:val="single" w:color="005DA1"/>
          <w:vertAlign w:val="superscript"/>
        </w:rPr>
        <w:t>35</w:t>
      </w:r>
      <w:r>
        <w:rPr>
          <w:color w:val="005DA1"/>
          <w:spacing w:val="80"/>
          <w:w w:val="150"/>
          <w:vertAlign w:val="baseline"/>
        </w:rPr>
        <w:t> </w:t>
      </w:r>
      <w:r>
        <w:rPr>
          <w:color w:val="005DA1"/>
          <w:position w:val="-2"/>
          <w:vertAlign w:val="baseline"/>
        </w:rPr>
        <w:drawing>
          <wp:inline distT="0" distB="0" distL="0" distR="0">
            <wp:extent cx="107988" cy="107988"/>
            <wp:effectExtent l="0" t="0" r="0" b="0"/>
            <wp:docPr id="27" name="Image 27"/>
            <wp:cNvGraphicFramePr>
              <a:graphicFrameLocks/>
            </wp:cNvGraphicFramePr>
            <a:graphic>
              <a:graphicData uri="http://schemas.openxmlformats.org/drawingml/2006/picture">
                <pic:pic>
                  <pic:nvPicPr>
                    <pic:cNvPr id="27" name="Image 2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4"/>
        <w:rPr>
          <w:sz w:val="18"/>
        </w:rPr>
      </w:pPr>
    </w:p>
    <w:p>
      <w:pPr>
        <w:spacing w:before="0"/>
        <w:ind w:left="165" w:right="0" w:firstLine="0"/>
        <w:jc w:val="left"/>
        <w:rPr>
          <w:rFonts w:ascii="Arial"/>
          <w:b/>
          <w:sz w:val="18"/>
        </w:rPr>
      </w:pPr>
      <w:r>
        <w:rPr>
          <w:rFonts w:ascii="Arial"/>
          <w:b/>
          <w:sz w:val="18"/>
        </w:rPr>
        <w:t>Offer and invitation to </w:t>
      </w:r>
      <w:r>
        <w:rPr>
          <w:rFonts w:ascii="Arial"/>
          <w:b/>
          <w:spacing w:val="-2"/>
          <w:sz w:val="18"/>
        </w:rPr>
        <w:t>treat</w:t>
      </w:r>
    </w:p>
    <w:p>
      <w:pPr>
        <w:pStyle w:val="BodyText"/>
        <w:spacing w:before="41"/>
        <w:rPr>
          <w:rFonts w:ascii="Arial"/>
          <w:b/>
          <w:sz w:val="18"/>
        </w:rPr>
      </w:pPr>
    </w:p>
    <w:p>
      <w:pPr>
        <w:pStyle w:val="Heading2"/>
      </w:pPr>
      <w:r>
        <w:rPr/>
        <w:t>2-</w:t>
      </w:r>
      <w:r>
        <w:rPr>
          <w:spacing w:val="-5"/>
        </w:rPr>
        <w:t>007</w:t>
      </w:r>
    </w:p>
    <w:p>
      <w:pPr>
        <w:pStyle w:val="BodyText"/>
        <w:spacing w:line="235" w:lineRule="auto" w:before="203"/>
        <w:ind w:left="164" w:right="167"/>
        <w:jc w:val="both"/>
      </w:pPr>
      <w:r>
        <w:rPr/>
        <w:t>When</w:t>
      </w:r>
      <w:r>
        <w:rPr>
          <w:spacing w:val="-1"/>
        </w:rPr>
        <w:t> </w:t>
      </w:r>
      <w:r>
        <w:rPr/>
        <w:t>parties</w:t>
      </w:r>
      <w:r>
        <w:rPr>
          <w:spacing w:val="-1"/>
        </w:rPr>
        <w:t> </w:t>
      </w:r>
      <w:r>
        <w:rPr/>
        <w:t>negotiate</w:t>
      </w:r>
      <w:r>
        <w:rPr>
          <w:spacing w:val="-1"/>
        </w:rPr>
        <w:t> </w:t>
      </w:r>
      <w:r>
        <w:rPr/>
        <w:t>with</w:t>
      </w:r>
      <w:r>
        <w:rPr>
          <w:spacing w:val="-1"/>
        </w:rPr>
        <w:t> </w:t>
      </w:r>
      <w:r>
        <w:rPr/>
        <w:t>a</w:t>
      </w:r>
      <w:r>
        <w:rPr>
          <w:spacing w:val="-1"/>
        </w:rPr>
        <w:t> </w:t>
      </w:r>
      <w:r>
        <w:rPr/>
        <w:t>view</w:t>
      </w:r>
      <w:r>
        <w:rPr>
          <w:spacing w:val="-1"/>
        </w:rPr>
        <w:t> </w:t>
      </w:r>
      <w:r>
        <w:rPr/>
        <w:t>to</w:t>
      </w:r>
      <w:r>
        <w:rPr>
          <w:spacing w:val="-1"/>
        </w:rPr>
        <w:t> </w:t>
      </w:r>
      <w:r>
        <w:rPr/>
        <w:t>making</w:t>
      </w:r>
      <w:r>
        <w:rPr>
          <w:spacing w:val="-1"/>
        </w:rPr>
        <w:t> </w:t>
      </w:r>
      <w:r>
        <w:rPr/>
        <w:t>a</w:t>
      </w:r>
      <w:r>
        <w:rPr>
          <w:spacing w:val="-1"/>
        </w:rPr>
        <w:t> </w:t>
      </w:r>
      <w:r>
        <w:rPr/>
        <w:t>contract,</w:t>
      </w:r>
      <w:r>
        <w:rPr>
          <w:spacing w:val="-1"/>
        </w:rPr>
        <w:t> </w:t>
      </w:r>
      <w:r>
        <w:rPr/>
        <w:t>many</w:t>
      </w:r>
      <w:r>
        <w:rPr>
          <w:spacing w:val="-1"/>
        </w:rPr>
        <w:t> </w:t>
      </w:r>
      <w:r>
        <w:rPr/>
        <w:t>preliminary</w:t>
      </w:r>
      <w:r>
        <w:rPr>
          <w:spacing w:val="-1"/>
        </w:rPr>
        <w:t> </w:t>
      </w:r>
      <w:r>
        <w:rPr/>
        <w:t>communications</w:t>
      </w:r>
      <w:r>
        <w:rPr>
          <w:spacing w:val="-1"/>
        </w:rPr>
        <w:t> </w:t>
      </w:r>
      <w:r>
        <w:rPr/>
        <w:t>may</w:t>
      </w:r>
      <w:r>
        <w:rPr>
          <w:spacing w:val="-1"/>
        </w:rPr>
        <w:t> </w:t>
      </w:r>
      <w:r>
        <w:rPr/>
        <w:t>pass </w:t>
      </w:r>
      <w:bookmarkStart w:name="_bookmark42" w:id="44"/>
      <w:bookmarkEnd w:id="44"/>
      <w:r>
        <w:rPr/>
        <w:t>between</w:t>
      </w:r>
      <w:r>
        <w:rPr/>
        <w:t> them before a definite offer is made. One party may simply ask, or respond to, a request for information, or he may invite the other to make an offer. For example, in </w:t>
      </w:r>
      <w:r>
        <w:rPr>
          <w:rFonts w:ascii="Arial" w:hAnsi="Arial"/>
          <w:i/>
        </w:rPr>
        <w:t>Harvey v Facey </w:t>
      </w:r>
      <w:r>
        <w:rPr>
          <w:color w:val="005DA1"/>
          <w:u w:val="single" w:color="005DA1"/>
          <w:vertAlign w:val="superscript"/>
        </w:rPr>
        <w:t>36</w:t>
      </w:r>
      <w:r>
        <w:rPr>
          <w:color w:val="005DA1"/>
          <w:vertAlign w:val="baseline"/>
        </w:rPr>
        <w:t> </w:t>
      </w:r>
      <w:r>
        <w:rPr>
          <w:vertAlign w:val="baseline"/>
        </w:rPr>
        <w:t>the claimants telegraphed to the defendants, “Will you sell us Bumper Hall Pen? Telegraph lowest cash price”. The defendants replied, “Lowest cash price for Bumper Hall Pen £900”. The claimants </w:t>
      </w:r>
      <w:r>
        <w:rPr>
          <w:vertAlign w:val="baseline"/>
        </w:rPr>
        <w:t>then telegraphed, “We agree to buy Bumper Hall Pen for £900 asked for by you”. The Judicial Committee of the Privy Council held that the defendants’ telegram was not an offer but merely a statement as to the price for which they might be prepared to sell; that the claimants’ second telegram was an offer to </w:t>
      </w:r>
      <w:bookmarkStart w:name="_bookmark43" w:id="45"/>
      <w:bookmarkEnd w:id="45"/>
      <w:r>
        <w:rPr>
          <w:vertAlign w:val="baseline"/>
        </w:rPr>
        <w:t>buy</w:t>
      </w:r>
      <w:r>
        <w:rPr>
          <w:vertAlign w:val="baseline"/>
        </w:rPr>
        <w:t> but that, as this had never been accepted by the defendants, there was no contract. Similarly, in </w:t>
      </w:r>
      <w:r>
        <w:rPr>
          <w:rFonts w:ascii="Arial" w:hAnsi="Arial"/>
          <w:i/>
          <w:vertAlign w:val="baseline"/>
        </w:rPr>
        <w:t>Gibson v Manchester City Council </w:t>
      </w:r>
      <w:r>
        <w:rPr>
          <w:color w:val="005DA1"/>
          <w:u w:val="single" w:color="005DA1"/>
          <w:vertAlign w:val="superscript"/>
        </w:rPr>
        <w:t>37</w:t>
      </w:r>
      <w:r>
        <w:rPr>
          <w:color w:val="005DA1"/>
          <w:vertAlign w:val="baseline"/>
        </w:rPr>
        <w:t> </w:t>
      </w:r>
      <w:r>
        <w:rPr>
          <w:vertAlign w:val="baseline"/>
        </w:rPr>
        <w:t>it was held that a letter in which a local authority stated (in reply to an enquiry from the tenant of a council house) that it “may be prepared to sell” the house to him at</w:t>
      </w:r>
      <w:r>
        <w:rPr>
          <w:spacing w:val="40"/>
          <w:vertAlign w:val="baseline"/>
        </w:rPr>
        <w:t> </w:t>
      </w:r>
      <w:r>
        <w:rPr>
          <w:vertAlign w:val="baseline"/>
        </w:rPr>
        <w:t>a specified price was not an offer to sell the house: its purpose was simply to invite the making of a “formal application”, amounting to an offer, from the tenant. Moreover, the letter did not contain sufficient</w:t>
      </w:r>
      <w:r>
        <w:rPr>
          <w:spacing w:val="9"/>
          <w:vertAlign w:val="baseline"/>
        </w:rPr>
        <w:t> </w:t>
      </w:r>
      <w:r>
        <w:rPr>
          <w:vertAlign w:val="baseline"/>
        </w:rPr>
        <w:t>detail</w:t>
      </w:r>
      <w:r>
        <w:rPr>
          <w:spacing w:val="9"/>
          <w:vertAlign w:val="baseline"/>
        </w:rPr>
        <w:t> </w:t>
      </w:r>
      <w:r>
        <w:rPr>
          <w:vertAlign w:val="baseline"/>
        </w:rPr>
        <w:t>to</w:t>
      </w:r>
      <w:r>
        <w:rPr>
          <w:spacing w:val="9"/>
          <w:vertAlign w:val="baseline"/>
        </w:rPr>
        <w:t> </w:t>
      </w:r>
      <w:r>
        <w:rPr>
          <w:vertAlign w:val="baseline"/>
        </w:rPr>
        <w:t>constitute</w:t>
      </w:r>
      <w:r>
        <w:rPr>
          <w:spacing w:val="9"/>
          <w:vertAlign w:val="baseline"/>
        </w:rPr>
        <w:t> </w:t>
      </w:r>
      <w:r>
        <w:rPr>
          <w:vertAlign w:val="baseline"/>
        </w:rPr>
        <w:t>an</w:t>
      </w:r>
      <w:r>
        <w:rPr>
          <w:spacing w:val="9"/>
          <w:vertAlign w:val="baseline"/>
        </w:rPr>
        <w:t> </w:t>
      </w:r>
      <w:r>
        <w:rPr>
          <w:vertAlign w:val="baseline"/>
        </w:rPr>
        <w:t>offer;</w:t>
      </w:r>
      <w:r>
        <w:rPr>
          <w:spacing w:val="9"/>
          <w:vertAlign w:val="baseline"/>
        </w:rPr>
        <w:t> </w:t>
      </w:r>
      <w:r>
        <w:rPr>
          <w:vertAlign w:val="baseline"/>
        </w:rPr>
        <w:t>it</w:t>
      </w:r>
      <w:r>
        <w:rPr>
          <w:spacing w:val="9"/>
          <w:vertAlign w:val="baseline"/>
        </w:rPr>
        <w:t> </w:t>
      </w:r>
      <w:r>
        <w:rPr>
          <w:vertAlign w:val="baseline"/>
        </w:rPr>
        <w:t>made:</w:t>
      </w:r>
      <w:r>
        <w:rPr>
          <w:spacing w:val="9"/>
          <w:vertAlign w:val="baseline"/>
        </w:rPr>
        <w:t> </w:t>
      </w:r>
      <w:r>
        <w:rPr>
          <w:vertAlign w:val="baseline"/>
        </w:rPr>
        <w:t>“no</w:t>
      </w:r>
      <w:r>
        <w:rPr>
          <w:spacing w:val="9"/>
          <w:vertAlign w:val="baseline"/>
        </w:rPr>
        <w:t> </w:t>
      </w:r>
      <w:r>
        <w:rPr>
          <w:vertAlign w:val="baseline"/>
        </w:rPr>
        <w:t>mention</w:t>
      </w:r>
      <w:r>
        <w:rPr>
          <w:spacing w:val="9"/>
          <w:vertAlign w:val="baseline"/>
        </w:rPr>
        <w:t> </w:t>
      </w:r>
      <w:r>
        <w:rPr>
          <w:vertAlign w:val="baseline"/>
        </w:rPr>
        <w:t>at</w:t>
      </w:r>
      <w:r>
        <w:rPr>
          <w:spacing w:val="9"/>
          <w:vertAlign w:val="baseline"/>
        </w:rPr>
        <w:t> </w:t>
      </w:r>
      <w:r>
        <w:rPr>
          <w:vertAlign w:val="baseline"/>
        </w:rPr>
        <w:t>all</w:t>
      </w:r>
      <w:r>
        <w:rPr>
          <w:spacing w:val="9"/>
          <w:vertAlign w:val="baseline"/>
        </w:rPr>
        <w:t> </w:t>
      </w:r>
      <w:r>
        <w:rPr>
          <w:vertAlign w:val="baseline"/>
        </w:rPr>
        <w:t>of</w:t>
      </w:r>
      <w:r>
        <w:rPr>
          <w:spacing w:val="9"/>
          <w:vertAlign w:val="baseline"/>
        </w:rPr>
        <w:t> </w:t>
      </w:r>
      <w:r>
        <w:rPr>
          <w:vertAlign w:val="baseline"/>
        </w:rPr>
        <w:t>the</w:t>
      </w:r>
      <w:r>
        <w:rPr>
          <w:spacing w:val="9"/>
          <w:vertAlign w:val="baseline"/>
        </w:rPr>
        <w:t> </w:t>
      </w:r>
      <w:r>
        <w:rPr>
          <w:vertAlign w:val="baseline"/>
        </w:rPr>
        <w:t>special</w:t>
      </w:r>
      <w:r>
        <w:rPr>
          <w:spacing w:val="9"/>
          <w:vertAlign w:val="baseline"/>
        </w:rPr>
        <w:t> </w:t>
      </w:r>
      <w:r>
        <w:rPr>
          <w:vertAlign w:val="baseline"/>
        </w:rPr>
        <w:t>conditions</w:t>
      </w:r>
      <w:r>
        <w:rPr>
          <w:spacing w:val="9"/>
          <w:vertAlign w:val="baseline"/>
        </w:rPr>
        <w:t> </w:t>
      </w:r>
      <w:r>
        <w:rPr>
          <w:vertAlign w:val="baseline"/>
        </w:rPr>
        <w:t>which</w:t>
      </w:r>
      <w:r>
        <w:rPr>
          <w:spacing w:val="9"/>
          <w:vertAlign w:val="baseline"/>
        </w:rPr>
        <w:t> </w:t>
      </w:r>
      <w:r>
        <w:rPr>
          <w:spacing w:val="-4"/>
          <w:vertAlign w:val="baseline"/>
        </w:rPr>
        <w:t>were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44" w:id="46"/>
      <w:bookmarkEnd w:id="46"/>
      <w:r>
        <w:rPr/>
      </w:r>
      <w:r>
        <w:rPr/>
        <w:t>undoubtedly in due course going to be included in the formal contract and the conveyance”. </w:t>
      </w:r>
      <w:r>
        <w:rPr>
          <w:color w:val="005DA1"/>
          <w:u w:val="single" w:color="005DA1"/>
          <w:vertAlign w:val="superscript"/>
        </w:rPr>
        <w:t>38</w:t>
      </w:r>
      <w:r>
        <w:rPr>
          <w:color w:val="005DA1"/>
          <w:vertAlign w:val="baseline"/>
        </w:rPr>
        <w:t> </w:t>
      </w:r>
      <w:r>
        <w:rPr>
          <w:vertAlign w:val="baseline"/>
        </w:rPr>
        <w:t>On </w:t>
      </w:r>
      <w:r>
        <w:rPr>
          <w:vertAlign w:val="baseline"/>
        </w:rPr>
        <w:t>the </w:t>
      </w:r>
      <w:bookmarkStart w:name="_bookmark45" w:id="47"/>
      <w:bookmarkEnd w:id="47"/>
      <w:r>
        <w:rPr>
          <w:vertAlign w:val="baseline"/>
        </w:rPr>
        <w:t>same</w:t>
      </w:r>
      <w:r>
        <w:rPr>
          <w:vertAlign w:val="baseline"/>
        </w:rPr>
        <w:t> principle, it has been held that a draft document, sent in the course of contractual negotiations with the clear intention of eliciting further comment from the recipient, was not an offer </w:t>
      </w:r>
      <w:r>
        <w:rPr>
          <w:color w:val="005DA1"/>
          <w:u w:val="single" w:color="005DA1"/>
          <w:vertAlign w:val="superscript"/>
        </w:rPr>
        <w:t>39</w:t>
      </w:r>
      <w:r>
        <w:rPr>
          <w:vertAlign w:val="baseline"/>
        </w:rPr>
        <w:t>; that, where</w:t>
      </w:r>
      <w:r>
        <w:rPr>
          <w:spacing w:val="40"/>
          <w:vertAlign w:val="baseline"/>
        </w:rPr>
        <w:t> </w:t>
      </w:r>
      <w:bookmarkStart w:name="_bookmark46" w:id="48"/>
      <w:bookmarkEnd w:id="48"/>
      <w:r>
        <w:rPr>
          <w:vertAlign w:val="baseline"/>
        </w:rPr>
        <w:t>a</w:t>
      </w:r>
      <w:r>
        <w:rPr>
          <w:vertAlign w:val="baseline"/>
        </w:rPr>
        <w:t> letter sent in the course of negotiations for the settlement of a dispute was “insufficiently certain to be capable of amounting to an offer …” it was “at best an invitation to treat” </w:t>
      </w:r>
      <w:r>
        <w:rPr>
          <w:color w:val="005DA1"/>
          <w:u w:val="single" w:color="005DA1"/>
          <w:vertAlign w:val="superscript"/>
        </w:rPr>
        <w:t>40</w:t>
      </w:r>
      <w:r>
        <w:rPr>
          <w:vertAlign w:val="baseline"/>
        </w:rPr>
        <w:t>; and that a telephoned </w:t>
      </w:r>
      <w:bookmarkStart w:name="_bookmark47" w:id="49"/>
      <w:bookmarkEnd w:id="49"/>
      <w:r>
        <w:rPr>
          <w:vertAlign w:val="baseline"/>
        </w:rPr>
        <w:t>request</w:t>
      </w:r>
      <w:r>
        <w:rPr>
          <w:vertAlign w:val="baseline"/>
        </w:rPr>
        <w:t> for the supply of goods suitable for a prospective customer’s purpose was only a “preliminary enquiry”, </w:t>
      </w:r>
      <w:r>
        <w:rPr>
          <w:color w:val="005DA1"/>
          <w:u w:val="single" w:color="005DA1"/>
          <w:vertAlign w:val="superscript"/>
        </w:rPr>
        <w:t>41</w:t>
      </w:r>
      <w:r>
        <w:rPr>
          <w:color w:val="005DA1"/>
          <w:vertAlign w:val="baseline"/>
        </w:rPr>
        <w:t> </w:t>
      </w:r>
      <w:r>
        <w:rPr>
          <w:vertAlign w:val="baseline"/>
        </w:rPr>
        <w:t>the offer being made by conduct when the supplier subsequently despatched the goods. </w:t>
      </w:r>
      <w:bookmarkStart w:name="_bookmark48" w:id="50"/>
      <w:bookmarkEnd w:id="50"/>
      <w:r>
        <w:rPr>
          <w:vertAlign w:val="baseline"/>
        </w:rPr>
        <w:t>The</w:t>
      </w:r>
      <w:r>
        <w:rPr>
          <w:vertAlign w:val="baseline"/>
        </w:rPr>
        <w:t> last of these possibilities may be illustrated by </w:t>
      </w:r>
      <w:r>
        <w:rPr>
          <w:rFonts w:ascii="Arial" w:hAnsi="Arial"/>
          <w:i/>
          <w:vertAlign w:val="baseline"/>
        </w:rPr>
        <w:t>Photolibrary Group Ltd v Burda Senator Verlag GmbH</w:t>
      </w:r>
      <w:r>
        <w:rPr>
          <w:vertAlign w:val="baseline"/>
        </w:rPr>
        <w:t>, </w:t>
      </w:r>
      <w:r>
        <w:rPr>
          <w:color w:val="005DA1"/>
          <w:u w:val="single" w:color="005DA1"/>
          <w:vertAlign w:val="superscript"/>
        </w:rPr>
        <w:t>42</w:t>
      </w:r>
      <w:r>
        <w:rPr>
          <w:color w:val="005DA1"/>
          <w:vertAlign w:val="baseline"/>
        </w:rPr>
        <w:t> </w:t>
      </w:r>
      <w:r>
        <w:rPr>
          <w:vertAlign w:val="baseline"/>
        </w:rPr>
        <w:t>where the claimants had for some years supplied photographs to D1 and D2 for publication in their magazines. The course of business was for D3 (acting as agent for D1 and D2) to fax</w:t>
      </w:r>
      <w:r>
        <w:rPr>
          <w:spacing w:val="40"/>
          <w:vertAlign w:val="baseline"/>
        </w:rPr>
        <w:t> </w:t>
      </w:r>
      <w:r>
        <w:rPr>
          <w:vertAlign w:val="baseline"/>
        </w:rPr>
        <w:t>requests for photographs to the claimants, who would then send transparencies to D3 to be</w:t>
      </w:r>
      <w:r>
        <w:rPr>
          <w:spacing w:val="80"/>
          <w:vertAlign w:val="baseline"/>
        </w:rPr>
        <w:t> </w:t>
      </w:r>
      <w:r>
        <w:rPr>
          <w:vertAlign w:val="baseline"/>
        </w:rPr>
        <w:t>forwarded</w:t>
      </w:r>
      <w:r>
        <w:rPr>
          <w:spacing w:val="-2"/>
          <w:vertAlign w:val="baseline"/>
        </w:rPr>
        <w:t> </w:t>
      </w:r>
      <w:r>
        <w:rPr>
          <w:vertAlign w:val="baseline"/>
        </w:rPr>
        <w:t>to</w:t>
      </w:r>
      <w:r>
        <w:rPr>
          <w:spacing w:val="-2"/>
          <w:vertAlign w:val="baseline"/>
        </w:rPr>
        <w:t> </w:t>
      </w:r>
      <w:r>
        <w:rPr>
          <w:vertAlign w:val="baseline"/>
        </w:rPr>
        <w:t>D1</w:t>
      </w:r>
      <w:r>
        <w:rPr>
          <w:spacing w:val="-2"/>
          <w:vertAlign w:val="baseline"/>
        </w:rPr>
        <w:t> </w:t>
      </w:r>
      <w:r>
        <w:rPr>
          <w:vertAlign w:val="baseline"/>
        </w:rPr>
        <w:t>and</w:t>
      </w:r>
      <w:r>
        <w:rPr>
          <w:spacing w:val="-2"/>
          <w:vertAlign w:val="baseline"/>
        </w:rPr>
        <w:t> </w:t>
      </w:r>
      <w:r>
        <w:rPr>
          <w:vertAlign w:val="baseline"/>
        </w:rPr>
        <w:t>D2.</w:t>
      </w:r>
      <w:r>
        <w:rPr>
          <w:spacing w:val="-2"/>
          <w:vertAlign w:val="baseline"/>
        </w:rPr>
        <w:t> </w:t>
      </w:r>
      <w:r>
        <w:rPr>
          <w:vertAlign w:val="baseline"/>
        </w:rPr>
        <w:t>A</w:t>
      </w:r>
      <w:r>
        <w:rPr>
          <w:spacing w:val="-2"/>
          <w:vertAlign w:val="baseline"/>
        </w:rPr>
        <w:t> </w:t>
      </w:r>
      <w:r>
        <w:rPr>
          <w:vertAlign w:val="baseline"/>
        </w:rPr>
        <w:t>substantial</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transparencies</w:t>
      </w:r>
      <w:r>
        <w:rPr>
          <w:spacing w:val="-2"/>
          <w:vertAlign w:val="baseline"/>
        </w:rPr>
        <w:t> </w:t>
      </w:r>
      <w:r>
        <w:rPr>
          <w:vertAlign w:val="baseline"/>
        </w:rPr>
        <w:t>having</w:t>
      </w:r>
      <w:r>
        <w:rPr>
          <w:spacing w:val="-2"/>
          <w:vertAlign w:val="baseline"/>
        </w:rPr>
        <w:t> </w:t>
      </w:r>
      <w:r>
        <w:rPr>
          <w:vertAlign w:val="baseline"/>
        </w:rPr>
        <w:t>been</w:t>
      </w:r>
      <w:r>
        <w:rPr>
          <w:spacing w:val="-2"/>
          <w:vertAlign w:val="baseline"/>
        </w:rPr>
        <w:t> </w:t>
      </w:r>
      <w:r>
        <w:rPr>
          <w:vertAlign w:val="baseline"/>
        </w:rPr>
        <w:t>lost</w:t>
      </w:r>
      <w:r>
        <w:rPr>
          <w:spacing w:val="-2"/>
          <w:vertAlign w:val="baseline"/>
        </w:rPr>
        <w:t> </w:t>
      </w:r>
      <w:r>
        <w:rPr>
          <w:vertAlign w:val="baseline"/>
        </w:rPr>
        <w:t>in</w:t>
      </w:r>
      <w:r>
        <w:rPr>
          <w:spacing w:val="-2"/>
          <w:vertAlign w:val="baseline"/>
        </w:rPr>
        <w:t> </w:t>
      </w:r>
      <w:r>
        <w:rPr>
          <w:vertAlign w:val="baseline"/>
        </w:rPr>
        <w:t>transmission,</w:t>
      </w:r>
      <w:r>
        <w:rPr>
          <w:spacing w:val="-2"/>
          <w:vertAlign w:val="baseline"/>
        </w:rPr>
        <w:t> </w:t>
      </w:r>
      <w:r>
        <w:rPr>
          <w:vertAlign w:val="baseline"/>
        </w:rPr>
        <w:t>the questions arose whether any contracts had come into existence; and, if so, on what terms. In answering the former question, in the affirmative, Jack J. said that the situation could be analysed in two ways. The “most straightforward” analysis was that “the delivery of the transparencies </w:t>
      </w:r>
      <w:bookmarkStart w:name="_bookmark49" w:id="51"/>
      <w:bookmarkEnd w:id="51"/>
      <w:r>
        <w:rPr>
          <w:vertAlign w:val="baseline"/>
        </w:rPr>
        <w:t>accompanied</w:t>
      </w:r>
      <w:r>
        <w:rPr>
          <w:vertAlign w:val="baseline"/>
        </w:rPr>
        <w:t> by a delivery note is to be treated as an offer which was accepted by the acceptance of the transparencies and their onward transmission.”. </w:t>
      </w:r>
      <w:r>
        <w:rPr>
          <w:color w:val="005DA1"/>
          <w:u w:val="single" w:color="005DA1"/>
          <w:vertAlign w:val="superscript"/>
        </w:rPr>
        <w:t>43</w:t>
      </w:r>
      <w:r>
        <w:rPr>
          <w:color w:val="005DA1"/>
          <w:vertAlign w:val="baseline"/>
        </w:rPr>
        <w:t> </w:t>
      </w:r>
      <w:r>
        <w:rPr>
          <w:vertAlign w:val="baseline"/>
        </w:rPr>
        <w:t>On this view, the faxed requests are no more than invitations to treat, presumably because of their lack of certainty as to the terms of the contract. The second, and “equally viable” analysis was that “the faxed requests for transparencies to be </w:t>
      </w:r>
      <w:bookmarkStart w:name="_bookmark50" w:id="52"/>
      <w:bookmarkEnd w:id="52"/>
      <w:r>
        <w:rPr>
          <w:vertAlign w:val="baseline"/>
        </w:rPr>
        <w:t>submitted</w:t>
      </w:r>
      <w:r>
        <w:rPr>
          <w:vertAlign w:val="baseline"/>
        </w:rPr>
        <w:t> were offers to submit them on the usual terms of the delivery notes, which offers were accepted by the submission of the transparencies accompanied by the notes”. </w:t>
      </w:r>
      <w:r>
        <w:rPr>
          <w:color w:val="005DA1"/>
          <w:u w:val="single" w:color="005DA1"/>
          <w:vertAlign w:val="superscript"/>
        </w:rPr>
        <w:t>44</w:t>
      </w:r>
    </w:p>
    <w:p>
      <w:pPr>
        <w:pStyle w:val="BodyText"/>
        <w:spacing w:before="82"/>
      </w:pPr>
    </w:p>
    <w:p>
      <w:pPr>
        <w:pStyle w:val="BodyText"/>
        <w:spacing w:line="235" w:lineRule="auto"/>
        <w:ind w:left="165" w:right="167"/>
        <w:jc w:val="both"/>
      </w:pPr>
      <w:bookmarkStart w:name="_bookmark51" w:id="53"/>
      <w:bookmarkEnd w:id="53"/>
      <w:r>
        <w:rPr/>
      </w:r>
      <w:r>
        <w:rPr/>
        <w:t>On this view, the required degree of certainty was supplied by “an established course of dealing </w:t>
      </w:r>
      <w:r>
        <w:rPr/>
        <w:t>on the terms of the delivery notes”. </w:t>
      </w:r>
      <w:r>
        <w:rPr>
          <w:color w:val="005DA1"/>
          <w:u w:val="single" w:color="005DA1"/>
          <w:vertAlign w:val="superscript"/>
        </w:rPr>
        <w:t>45</w:t>
      </w:r>
    </w:p>
    <w:p>
      <w:pPr>
        <w:pStyle w:val="BodyText"/>
        <w:spacing w:before="81"/>
      </w:pPr>
    </w:p>
    <w:p>
      <w:pPr>
        <w:pStyle w:val="Heading2"/>
      </w:pPr>
      <w:r>
        <w:rPr/>
        <w:t>2-</w:t>
      </w:r>
      <w:r>
        <w:rPr>
          <w:spacing w:val="-5"/>
        </w:rPr>
        <w:t>008</w:t>
      </w:r>
    </w:p>
    <w:p>
      <w:pPr>
        <w:pStyle w:val="BodyText"/>
        <w:spacing w:line="235" w:lineRule="auto" w:before="203"/>
        <w:ind w:left="165" w:right="167"/>
        <w:jc w:val="both"/>
      </w:pPr>
      <w:r>
        <w:rPr/>
        <w:t>A communication by which a party is invited to make an offer is commonly called an invitation to treat. It is distinguishable from an offer primarily because it is not made with the intention that it is to</w:t>
      </w:r>
      <w:r>
        <w:rPr>
          <w:spacing w:val="40"/>
        </w:rPr>
        <w:t> </w:t>
      </w:r>
      <w:r>
        <w:rPr/>
        <w:t>become</w:t>
      </w:r>
      <w:r>
        <w:rPr>
          <w:spacing w:val="-1"/>
        </w:rPr>
        <w:t> </w:t>
      </w:r>
      <w:r>
        <w:rPr/>
        <w:t>binding</w:t>
      </w:r>
      <w:r>
        <w:rPr>
          <w:spacing w:val="-1"/>
        </w:rPr>
        <w:t> </w:t>
      </w:r>
      <w:r>
        <w:rPr/>
        <w:t>as</w:t>
      </w:r>
      <w:r>
        <w:rPr>
          <w:spacing w:val="-1"/>
        </w:rPr>
        <w:t> </w:t>
      </w:r>
      <w:r>
        <w:rPr/>
        <w:t>soon</w:t>
      </w:r>
      <w:r>
        <w:rPr>
          <w:spacing w:val="-1"/>
        </w:rPr>
        <w:t> </w:t>
      </w:r>
      <w:r>
        <w:rPr/>
        <w:t>as</w:t>
      </w:r>
      <w:r>
        <w:rPr>
          <w:spacing w:val="-1"/>
        </w:rPr>
        <w:t> </w:t>
      </w:r>
      <w:r>
        <w:rPr/>
        <w:t>the</w:t>
      </w:r>
      <w:r>
        <w:rPr>
          <w:spacing w:val="-1"/>
        </w:rPr>
        <w:t> </w:t>
      </w:r>
      <w:r>
        <w:rPr/>
        <w:t>person</w:t>
      </w:r>
      <w:r>
        <w:rPr>
          <w:spacing w:val="-1"/>
        </w:rPr>
        <w:t> </w:t>
      </w:r>
      <w:r>
        <w:rPr/>
        <w:t>to</w:t>
      </w:r>
      <w:r>
        <w:rPr>
          <w:spacing w:val="-1"/>
        </w:rPr>
        <w:t> </w:t>
      </w:r>
      <w:r>
        <w:rPr/>
        <w:t>whom</w:t>
      </w:r>
      <w:r>
        <w:rPr>
          <w:spacing w:val="-1"/>
        </w:rPr>
        <w:t> </w:t>
      </w:r>
      <w:r>
        <w:rPr/>
        <w:t>it</w:t>
      </w:r>
      <w:r>
        <w:rPr>
          <w:spacing w:val="-1"/>
        </w:rPr>
        <w:t> </w:t>
      </w:r>
      <w:r>
        <w:rPr/>
        <w:t>is</w:t>
      </w:r>
      <w:r>
        <w:rPr>
          <w:spacing w:val="-1"/>
        </w:rPr>
        <w:t> </w:t>
      </w:r>
      <w:r>
        <w:rPr/>
        <w:t>addressed</w:t>
      </w:r>
      <w:r>
        <w:rPr>
          <w:spacing w:val="-1"/>
        </w:rPr>
        <w:t> </w:t>
      </w:r>
      <w:r>
        <w:rPr/>
        <w:t>simply</w:t>
      </w:r>
      <w:r>
        <w:rPr>
          <w:spacing w:val="-1"/>
        </w:rPr>
        <w:t> </w:t>
      </w:r>
      <w:r>
        <w:rPr/>
        <w:t>communicates</w:t>
      </w:r>
      <w:r>
        <w:rPr>
          <w:spacing w:val="-1"/>
        </w:rPr>
        <w:t> </w:t>
      </w:r>
      <w:r>
        <w:rPr/>
        <w:t>his</w:t>
      </w:r>
      <w:r>
        <w:rPr>
          <w:spacing w:val="-1"/>
        </w:rPr>
        <w:t> </w:t>
      </w:r>
      <w:r>
        <w:rPr/>
        <w:t>assent</w:t>
      </w:r>
      <w:r>
        <w:rPr>
          <w:spacing w:val="-1"/>
        </w:rPr>
        <w:t> </w:t>
      </w:r>
      <w:r>
        <w:rPr/>
        <w:t>to</w:t>
      </w:r>
      <w:r>
        <w:rPr>
          <w:spacing w:val="-1"/>
        </w:rPr>
        <w:t> </w:t>
      </w:r>
      <w:r>
        <w:rPr/>
        <w:t>its terms. A statement is clearly not an offer if it expressly provides that the person who makes it is</w:t>
      </w:r>
      <w:r>
        <w:rPr>
          <w:spacing w:val="-1"/>
        </w:rPr>
        <w:t> </w:t>
      </w:r>
      <w:r>
        <w:rPr>
          <w:rFonts w:ascii="Arial" w:hAnsi="Arial"/>
          <w:i/>
        </w:rPr>
        <w:t>not </w:t>
      </w:r>
      <w:r>
        <w:rPr/>
        <w:t>to </w:t>
      </w:r>
      <w:bookmarkStart w:name="_bookmark52" w:id="54"/>
      <w:bookmarkEnd w:id="54"/>
      <w:r>
        <w:rPr/>
        <w:t>be</w:t>
      </w:r>
      <w:r>
        <w:rPr/>
        <w:t> bound merely by the other party’s notification of assent but only when he himself has signed the document in which the statement is contained. </w:t>
      </w:r>
      <w:r>
        <w:rPr>
          <w:color w:val="005DA1"/>
          <w:u w:val="single" w:color="005DA1"/>
          <w:vertAlign w:val="superscript"/>
        </w:rPr>
        <w:t>46</w:t>
      </w:r>
    </w:p>
    <w:p>
      <w:pPr>
        <w:pStyle w:val="BodyText"/>
      </w:pPr>
    </w:p>
    <w:p>
      <w:pPr>
        <w:pStyle w:val="BodyText"/>
        <w:spacing w:before="36"/>
      </w:pPr>
    </w:p>
    <w:p>
      <w:pPr>
        <w:spacing w:before="0"/>
        <w:ind w:left="165" w:right="0" w:firstLine="0"/>
        <w:jc w:val="left"/>
        <w:rPr>
          <w:rFonts w:ascii="Arial"/>
          <w:b/>
          <w:sz w:val="18"/>
        </w:rPr>
      </w:pPr>
      <w:r>
        <w:rPr>
          <w:rFonts w:ascii="Arial"/>
          <w:b/>
          <w:sz w:val="18"/>
        </w:rPr>
        <w:t>Wording not </w:t>
      </w:r>
      <w:r>
        <w:rPr>
          <w:rFonts w:ascii="Arial"/>
          <w:b/>
          <w:spacing w:val="-2"/>
          <w:sz w:val="18"/>
        </w:rPr>
        <w:t>conclusive</w:t>
      </w:r>
    </w:p>
    <w:p>
      <w:pPr>
        <w:pStyle w:val="BodyText"/>
        <w:spacing w:before="41"/>
        <w:rPr>
          <w:rFonts w:ascii="Arial"/>
          <w:b/>
          <w:sz w:val="18"/>
        </w:rPr>
      </w:pPr>
    </w:p>
    <w:p>
      <w:pPr>
        <w:pStyle w:val="Heading2"/>
      </w:pPr>
      <w:r>
        <w:rPr/>
        <w:t>2-</w:t>
      </w:r>
      <w:r>
        <w:rPr>
          <w:spacing w:val="-5"/>
        </w:rPr>
        <w:t>009</w:t>
      </w:r>
    </w:p>
    <w:p>
      <w:pPr>
        <w:pStyle w:val="BodyText"/>
        <w:spacing w:line="235" w:lineRule="auto" w:before="203"/>
        <w:ind w:left="164" w:right="167"/>
        <w:jc w:val="both"/>
      </w:pPr>
      <w:r>
        <w:rPr/>
        <w:t>Apart from cases of the kind just described, the wording of a statement does not conclusively </w:t>
      </w:r>
      <w:bookmarkStart w:name="_bookmark53" w:id="55"/>
      <w:bookmarkEnd w:id="55"/>
      <w:r>
        <w:rPr/>
        <w:t>determine</w:t>
      </w:r>
      <w:r>
        <w:rPr/>
        <w:t> the distinction between an offer and an invitation to treat. Thus a statement may be an </w:t>
      </w:r>
      <w:bookmarkStart w:name="_bookmark54" w:id="56"/>
      <w:bookmarkEnd w:id="56"/>
      <w:r>
        <w:rPr/>
        <w:t>invitation</w:t>
      </w:r>
      <w:r>
        <w:rPr/>
        <w:t> to treat although it contains the word “offer” </w:t>
      </w:r>
      <w:r>
        <w:rPr>
          <w:color w:val="005DA1"/>
          <w:u w:val="single" w:color="005DA1"/>
          <w:vertAlign w:val="superscript"/>
        </w:rPr>
        <w:t>47</w:t>
      </w:r>
      <w:r>
        <w:rPr>
          <w:vertAlign w:val="baseline"/>
        </w:rPr>
        <w:t>; while a statement may </w:t>
      </w:r>
      <w:r>
        <w:rPr>
          <w:rFonts w:ascii="Arial" w:hAnsi="Arial"/>
          <w:i/>
          <w:vertAlign w:val="baseline"/>
        </w:rPr>
        <w:t>be </w:t>
      </w:r>
      <w:r>
        <w:rPr>
          <w:vertAlign w:val="baseline"/>
        </w:rPr>
        <w:t>an offer although it </w:t>
      </w:r>
      <w:bookmarkStart w:name="_bookmark55" w:id="57"/>
      <w:bookmarkEnd w:id="57"/>
      <w:r>
        <w:rPr>
          <w:vertAlign w:val="baseline"/>
        </w:rPr>
        <w:t>is</w:t>
      </w:r>
      <w:r>
        <w:rPr>
          <w:vertAlign w:val="baseline"/>
        </w:rPr>
        <w:t> expressed as an “acceptance,” </w:t>
      </w:r>
      <w:r>
        <w:rPr>
          <w:color w:val="005DA1"/>
          <w:u w:val="single" w:color="005DA1"/>
          <w:vertAlign w:val="superscript"/>
        </w:rPr>
        <w:t>48</w:t>
      </w:r>
      <w:r>
        <w:rPr>
          <w:color w:val="005DA1"/>
          <w:vertAlign w:val="baseline"/>
        </w:rPr>
        <w:t> </w:t>
      </w:r>
      <w:r>
        <w:rPr>
          <w:vertAlign w:val="baseline"/>
        </w:rPr>
        <w:t>or although it requests the person to whom it is addressed to </w:t>
      </w:r>
      <w:bookmarkStart w:name="_bookmark56" w:id="58"/>
      <w:bookmarkEnd w:id="58"/>
      <w:r>
        <w:rPr>
          <w:vertAlign w:val="baseline"/>
        </w:rPr>
        <w:t>make</w:t>
      </w:r>
      <w:r>
        <w:rPr>
          <w:vertAlign w:val="baseline"/>
        </w:rPr>
        <w:t> an “offer”. </w:t>
      </w:r>
      <w:r>
        <w:rPr>
          <w:color w:val="005DA1"/>
          <w:u w:val="single" w:color="005DA1"/>
          <w:vertAlign w:val="superscript"/>
        </w:rPr>
        <w:t>49</w:t>
      </w:r>
      <w:r>
        <w:rPr>
          <w:color w:val="005DA1"/>
          <w:vertAlign w:val="baseline"/>
        </w:rPr>
        <w:t> </w:t>
      </w:r>
      <w:r>
        <w:rPr>
          <w:vertAlign w:val="baseline"/>
        </w:rPr>
        <w:t>The point that use of the word “offer” in a document does not conclusively determine its legal nature is illustrated by </w:t>
      </w:r>
      <w:r>
        <w:rPr>
          <w:rFonts w:ascii="Arial" w:hAnsi="Arial"/>
          <w:i/>
          <w:vertAlign w:val="baseline"/>
        </w:rPr>
        <w:t>Datec Electronic Holdings Ltd v United Parcels Ltd </w:t>
      </w:r>
      <w:r>
        <w:rPr>
          <w:color w:val="005DA1"/>
          <w:u w:val="single" w:color="005DA1"/>
          <w:vertAlign w:val="superscript"/>
        </w:rPr>
        <w:t>50</w:t>
      </w:r>
      <w:r>
        <w:rPr>
          <w:color w:val="005DA1"/>
          <w:vertAlign w:val="baseline"/>
        </w:rPr>
        <w:t> </w:t>
      </w:r>
      <w:r>
        <w:rPr>
          <w:vertAlign w:val="baseline"/>
        </w:rPr>
        <w:t>where carriers of goods had issued standard terms, clause 3 of which stated that the carriers did not </w:t>
      </w:r>
      <w:r>
        <w:rPr>
          <w:vertAlign w:val="baseline"/>
        </w:rPr>
        <w:t>“offer carriage of goods” except subject to specified restrictions, one of which was that the value of any package was not to exceed $50,000. After the shippers had indicated their acceptance of these</w:t>
      </w:r>
      <w:r>
        <w:rPr>
          <w:spacing w:val="40"/>
          <w:vertAlign w:val="baseline"/>
        </w:rPr>
        <w:t> </w:t>
      </w:r>
      <w:r>
        <w:rPr>
          <w:vertAlign w:val="baseline"/>
        </w:rPr>
        <w:t>terms, they “booked” a number of packages; these were then collected from their premises by an employee of the carriers who was unaware that the value of each package exceeded $50,000. The </w:t>
      </w:r>
      <w:bookmarkStart w:name="_bookmark57" w:id="59"/>
      <w:bookmarkEnd w:id="59"/>
      <w:r>
        <w:rPr>
          <w:vertAlign w:val="baseline"/>
        </w:rPr>
        <w:t>House</w:t>
      </w:r>
      <w:r>
        <w:rPr>
          <w:vertAlign w:val="baseline"/>
        </w:rPr>
        <w:t> of Lords rejected the argument that there was no contract because the carriers’ “offer” to carry </w:t>
      </w:r>
      <w:bookmarkStart w:name="_bookmark58" w:id="60"/>
      <w:bookmarkEnd w:id="60"/>
      <w:r>
        <w:rPr>
          <w:vertAlign w:val="baseline"/>
        </w:rPr>
        <w:t>could</w:t>
      </w:r>
      <w:r>
        <w:rPr>
          <w:vertAlign w:val="baseline"/>
        </w:rPr>
        <w:t> not be accepted by tendering packages which were not in conformity with that offer. </w:t>
      </w:r>
      <w:r>
        <w:rPr>
          <w:color w:val="005DA1"/>
          <w:u w:val="single" w:color="005DA1"/>
          <w:vertAlign w:val="superscript"/>
        </w:rPr>
        <w:t>51</w:t>
      </w:r>
      <w:r>
        <w:rPr>
          <w:color w:val="005DA1"/>
          <w:vertAlign w:val="baseline"/>
        </w:rPr>
        <w:t> </w:t>
      </w:r>
      <w:r>
        <w:rPr>
          <w:vertAlign w:val="baseline"/>
        </w:rPr>
        <w:t>Both the </w:t>
      </w:r>
      <w:bookmarkStart w:name="_bookmark59" w:id="61"/>
      <w:bookmarkEnd w:id="61"/>
      <w:r>
        <w:rPr>
          <w:vertAlign w:val="baseline"/>
        </w:rPr>
        <w:t>Court</w:t>
      </w:r>
      <w:r>
        <w:rPr>
          <w:vertAlign w:val="baseline"/>
        </w:rPr>
        <w:t> of Appeal </w:t>
      </w:r>
      <w:r>
        <w:rPr>
          <w:color w:val="005DA1"/>
          <w:u w:val="single" w:color="005DA1"/>
          <w:vertAlign w:val="superscript"/>
        </w:rPr>
        <w:t>52</w:t>
      </w:r>
      <w:r>
        <w:rPr>
          <w:color w:val="005DA1"/>
          <w:vertAlign w:val="baseline"/>
        </w:rPr>
        <w:t> </w:t>
      </w:r>
      <w:r>
        <w:rPr>
          <w:vertAlign w:val="baseline"/>
        </w:rPr>
        <w:t>and the House of Lords </w:t>
      </w:r>
      <w:r>
        <w:rPr>
          <w:color w:val="005DA1"/>
          <w:u w:val="single" w:color="005DA1"/>
          <w:vertAlign w:val="superscript"/>
        </w:rPr>
        <w:t>53</w:t>
      </w:r>
      <w:r>
        <w:rPr>
          <w:color w:val="005DA1"/>
          <w:vertAlign w:val="baseline"/>
        </w:rPr>
        <w:t> </w:t>
      </w:r>
      <w:r>
        <w:rPr>
          <w:vertAlign w:val="baseline"/>
        </w:rPr>
        <w:t>approved the view at first instance that, the phrase</w:t>
      </w:r>
      <w:r>
        <w:rPr>
          <w:spacing w:val="40"/>
          <w:vertAlign w:val="baseline"/>
        </w:rPr>
        <w:t> </w:t>
      </w:r>
      <w:bookmarkStart w:name="_bookmark60" w:id="62"/>
      <w:bookmarkEnd w:id="62"/>
      <w:r>
        <w:rPr>
          <w:vertAlign w:val="baseline"/>
        </w:rPr>
        <w:t>“offer”</w:t>
      </w:r>
      <w:r>
        <w:rPr>
          <w:vertAlign w:val="baseline"/>
        </w:rPr>
        <w:t> from clause 3 had not been used in its technical legal sense. </w:t>
      </w:r>
      <w:r>
        <w:rPr>
          <w:color w:val="005DA1"/>
          <w:u w:val="single" w:color="005DA1"/>
          <w:vertAlign w:val="superscript"/>
        </w:rPr>
        <w:t>54</w:t>
      </w:r>
      <w:r>
        <w:rPr>
          <w:color w:val="005DA1"/>
          <w:vertAlign w:val="baseline"/>
        </w:rPr>
        <w:t> </w:t>
      </w:r>
      <w:r>
        <w:rPr>
          <w:vertAlign w:val="baseline"/>
        </w:rPr>
        <w:t>The fact that the packages</w:t>
      </w:r>
      <w:r>
        <w:rPr>
          <w:spacing w:val="40"/>
          <w:vertAlign w:val="baseline"/>
        </w:rPr>
        <w:t> </w:t>
      </w:r>
      <w:r>
        <w:rPr>
          <w:vertAlign w:val="baseline"/>
        </w:rPr>
        <w:t>were not in conformity with clause 3 did not prevent the conclusion of a contract. </w:t>
      </w:r>
      <w:r>
        <w:rPr>
          <w:color w:val="005DA1"/>
          <w:u w:val="single" w:color="005DA1"/>
          <w:vertAlign w:val="superscript"/>
        </w:rPr>
        <w:t>55</w:t>
      </w:r>
      <w:r>
        <w:rPr>
          <w:color w:val="005DA1"/>
          <w:vertAlign w:val="baseline"/>
        </w:rPr>
        <w:t> </w:t>
      </w:r>
      <w:r>
        <w:rPr>
          <w:vertAlign w:val="baseline"/>
        </w:rPr>
        <w:t>In the words of </w:t>
      </w:r>
      <w:bookmarkStart w:name="_bookmark61" w:id="63"/>
      <w:bookmarkEnd w:id="63"/>
      <w:r>
        <w:rPr>
          <w:vertAlign w:val="baseline"/>
        </w:rPr>
        <w:t>Lord</w:t>
      </w:r>
      <w:r>
        <w:rPr>
          <w:vertAlign w:val="baseline"/>
        </w:rPr>
        <w:t> Mance, “the more natural inference” was that “the whole of clause 3 provides a contractual regime governing the carriage of non-conforming goods”. </w:t>
      </w:r>
      <w:r>
        <w:rPr>
          <w:color w:val="005DA1"/>
          <w:u w:val="single" w:color="005DA1"/>
          <w:vertAlign w:val="superscript"/>
        </w:rPr>
        <w:t>56</w:t>
      </w:r>
      <w:r>
        <w:rPr>
          <w:color w:val="005DA1"/>
          <w:vertAlign w:val="baseline"/>
        </w:rPr>
        <w:t> </w:t>
      </w:r>
      <w:r>
        <w:rPr>
          <w:vertAlign w:val="baseline"/>
        </w:rPr>
        <w:t>One analysis </w:t>
      </w:r>
      <w:r>
        <w:rPr>
          <w:color w:val="005DA1"/>
          <w:u w:val="single" w:color="005DA1"/>
          <w:vertAlign w:val="superscript"/>
        </w:rPr>
        <w:t>57</w:t>
      </w:r>
      <w:r>
        <w:rPr>
          <w:color w:val="005DA1"/>
          <w:vertAlign w:val="baseline"/>
        </w:rPr>
        <w:t> </w:t>
      </w:r>
      <w:r>
        <w:rPr>
          <w:vertAlign w:val="baseline"/>
        </w:rPr>
        <w:t>is that the restrictions in clause 3 could, in spite of the use of the word “offer”, be regarded as part of an invitation to treat,</w:t>
      </w:r>
      <w:r>
        <w:rPr>
          <w:spacing w:val="40"/>
          <w:vertAlign w:val="baseline"/>
        </w:rPr>
        <w:t> </w:t>
      </w:r>
      <w:r>
        <w:rPr>
          <w:vertAlign w:val="baseline"/>
        </w:rPr>
        <w:t>while the shippers’ tender of non-conforming goods could be regarded as an offer to enter into a contract for the carriage of those goods which was then accepted by the carriers’ conduct of </w:t>
      </w:r>
      <w:r>
        <w:rPr>
          <w:spacing w:val="-2"/>
          <w:vertAlign w:val="baseline"/>
        </w:rPr>
        <w:t>collecting</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the goods. This interpretation is also supported by other provisions of clause 3: in particular, those entitling the carrier to “suspend” the carriage of non-confirming goods and making the shippers </w:t>
      </w:r>
      <w:r>
        <w:rPr/>
        <w:t>liable for</w:t>
      </w:r>
      <w:r>
        <w:rPr>
          <w:spacing w:val="-1"/>
        </w:rPr>
        <w:t> </w:t>
      </w:r>
      <w:r>
        <w:rPr/>
        <w:t>charges</w:t>
      </w:r>
      <w:r>
        <w:rPr>
          <w:spacing w:val="-1"/>
        </w:rPr>
        <w:t> </w:t>
      </w:r>
      <w:r>
        <w:rPr/>
        <w:t>in</w:t>
      </w:r>
      <w:r>
        <w:rPr>
          <w:spacing w:val="-1"/>
        </w:rPr>
        <w:t> </w:t>
      </w:r>
      <w:r>
        <w:rPr/>
        <w:t>respect</w:t>
      </w:r>
      <w:r>
        <w:rPr>
          <w:spacing w:val="-1"/>
        </w:rPr>
        <w:t> </w:t>
      </w:r>
      <w:r>
        <w:rPr/>
        <w:t>of</w:t>
      </w:r>
      <w:r>
        <w:rPr>
          <w:spacing w:val="-1"/>
        </w:rPr>
        <w:t> </w:t>
      </w:r>
      <w:r>
        <w:rPr/>
        <w:t>such</w:t>
      </w:r>
      <w:r>
        <w:rPr>
          <w:spacing w:val="-1"/>
        </w:rPr>
        <w:t> </w:t>
      </w:r>
      <w:r>
        <w:rPr/>
        <w:t>goods.</w:t>
      </w:r>
      <w:r>
        <w:rPr>
          <w:spacing w:val="-1"/>
        </w:rPr>
        <w:t> </w:t>
      </w:r>
      <w:r>
        <w:rPr/>
        <w:t>There</w:t>
      </w:r>
      <w:r>
        <w:rPr>
          <w:spacing w:val="-1"/>
        </w:rPr>
        <w:t> </w:t>
      </w:r>
      <w:r>
        <w:rPr/>
        <w:t>would,</w:t>
      </w:r>
      <w:r>
        <w:rPr>
          <w:spacing w:val="-1"/>
        </w:rPr>
        <w:t> </w:t>
      </w:r>
      <w:r>
        <w:rPr/>
        <w:t>on</w:t>
      </w:r>
      <w:r>
        <w:rPr>
          <w:spacing w:val="-1"/>
        </w:rPr>
        <w:t> </w:t>
      </w:r>
      <w:r>
        <w:rPr/>
        <w:t>the</w:t>
      </w:r>
      <w:r>
        <w:rPr>
          <w:spacing w:val="-1"/>
        </w:rPr>
        <w:t> </w:t>
      </w:r>
      <w:r>
        <w:rPr/>
        <w:t>other</w:t>
      </w:r>
      <w:r>
        <w:rPr>
          <w:spacing w:val="-1"/>
        </w:rPr>
        <w:t> </w:t>
      </w:r>
      <w:r>
        <w:rPr/>
        <w:t>hand,</w:t>
      </w:r>
      <w:r>
        <w:rPr>
          <w:spacing w:val="-1"/>
        </w:rPr>
        <w:t> </w:t>
      </w:r>
      <w:r>
        <w:rPr/>
        <w:t>have</w:t>
      </w:r>
      <w:r>
        <w:rPr>
          <w:spacing w:val="-1"/>
        </w:rPr>
        <w:t> </w:t>
      </w:r>
      <w:r>
        <w:rPr/>
        <w:t>been</w:t>
      </w:r>
      <w:r>
        <w:rPr>
          <w:spacing w:val="-1"/>
        </w:rPr>
        <w:t> </w:t>
      </w:r>
      <w:r>
        <w:rPr/>
        <w:t>no</w:t>
      </w:r>
      <w:r>
        <w:rPr>
          <w:spacing w:val="-1"/>
        </w:rPr>
        <w:t> </w:t>
      </w:r>
      <w:r>
        <w:rPr/>
        <w:t>such</w:t>
      </w:r>
      <w:r>
        <w:rPr>
          <w:spacing w:val="-1"/>
        </w:rPr>
        <w:t> </w:t>
      </w:r>
      <w:r>
        <w:rPr/>
        <w:t>acceptance </w:t>
      </w:r>
      <w:bookmarkStart w:name="_bookmark62" w:id="64"/>
      <w:bookmarkEnd w:id="64"/>
      <w:r>
        <w:rPr/>
        <w:t>by</w:t>
      </w:r>
      <w:r>
        <w:rPr/>
        <w:t> the carriers’ conduct if, knowing of the non-conformity of the goods, they had refused to collect them; there would have been “no contract”. </w:t>
      </w:r>
      <w:r>
        <w:rPr>
          <w:color w:val="005DA1"/>
          <w:u w:val="single" w:color="005DA1"/>
          <w:vertAlign w:val="superscript"/>
        </w:rPr>
        <w:t>58</w:t>
      </w:r>
    </w:p>
    <w:p>
      <w:pPr>
        <w:pStyle w:val="BodyText"/>
      </w:pPr>
    </w:p>
    <w:p>
      <w:pPr>
        <w:pStyle w:val="BodyText"/>
        <w:spacing w:before="37"/>
      </w:pPr>
    </w:p>
    <w:p>
      <w:pPr>
        <w:spacing w:before="0"/>
        <w:ind w:left="165" w:right="0" w:firstLine="0"/>
        <w:jc w:val="left"/>
        <w:rPr>
          <w:rFonts w:ascii="Arial"/>
          <w:b/>
          <w:sz w:val="18"/>
        </w:rPr>
      </w:pPr>
      <w:r>
        <w:rPr>
          <w:rFonts w:ascii="Arial"/>
          <w:b/>
          <w:sz w:val="18"/>
        </w:rPr>
        <w:t>Distinction between offer and invitation to </w:t>
      </w:r>
      <w:r>
        <w:rPr>
          <w:rFonts w:ascii="Arial"/>
          <w:b/>
          <w:spacing w:val="-2"/>
          <w:sz w:val="18"/>
        </w:rPr>
        <w:t>treat</w:t>
      </w:r>
    </w:p>
    <w:p>
      <w:pPr>
        <w:pStyle w:val="BodyText"/>
        <w:spacing w:before="41"/>
        <w:rPr>
          <w:rFonts w:ascii="Arial"/>
          <w:b/>
          <w:sz w:val="18"/>
        </w:rPr>
      </w:pPr>
    </w:p>
    <w:p>
      <w:pPr>
        <w:pStyle w:val="Heading2"/>
      </w:pPr>
      <w:r>
        <w:rPr/>
        <w:t>2-</w:t>
      </w:r>
      <w:r>
        <w:rPr>
          <w:spacing w:val="-5"/>
        </w:rPr>
        <w:t>010</w:t>
      </w:r>
    </w:p>
    <w:p>
      <w:pPr>
        <w:pStyle w:val="BodyText"/>
        <w:spacing w:line="235" w:lineRule="auto" w:before="203"/>
        <w:ind w:left="165" w:right="167"/>
        <w:jc w:val="both"/>
      </w:pPr>
      <w:r>
        <w:rPr/>
        <w:t>As the discussion in para.2-009 above shows, the distinction between offer and invitation to treat </w:t>
      </w:r>
      <w:r>
        <w:rPr/>
        <w:t>is often hard to draw, as it depends primarily on the elusive criterion of the intention of the person making the statement in question. But, in certain stereotyped situations, the distinction is determined, at</w:t>
      </w:r>
      <w:r>
        <w:rPr>
          <w:spacing w:val="-2"/>
        </w:rPr>
        <w:t> </w:t>
      </w:r>
      <w:r>
        <w:rPr/>
        <w:t>least</w:t>
      </w:r>
      <w:r>
        <w:rPr>
          <w:spacing w:val="-2"/>
        </w:rPr>
        <w:t> </w:t>
      </w:r>
      <w:r>
        <w:rPr/>
        <w:t>prima</w:t>
      </w:r>
      <w:r>
        <w:rPr>
          <w:spacing w:val="-2"/>
        </w:rPr>
        <w:t> </w:t>
      </w:r>
      <w:r>
        <w:rPr/>
        <w:t>facie,</w:t>
      </w:r>
      <w:r>
        <w:rPr>
          <w:spacing w:val="-2"/>
        </w:rPr>
        <w:t> </w:t>
      </w:r>
      <w:r>
        <w:rPr/>
        <w:t>by</w:t>
      </w:r>
      <w:r>
        <w:rPr>
          <w:spacing w:val="-2"/>
        </w:rPr>
        <w:t> </w:t>
      </w:r>
      <w:r>
        <w:rPr/>
        <w:t>rules</w:t>
      </w:r>
      <w:r>
        <w:rPr>
          <w:spacing w:val="-2"/>
        </w:rPr>
        <w:t> </w:t>
      </w:r>
      <w:r>
        <w:rPr/>
        <w:t>of</w:t>
      </w:r>
      <w:r>
        <w:rPr>
          <w:spacing w:val="-2"/>
        </w:rPr>
        <w:t> </w:t>
      </w:r>
      <w:r>
        <w:rPr/>
        <w:t>law.</w:t>
      </w:r>
      <w:r>
        <w:rPr>
          <w:spacing w:val="-2"/>
        </w:rPr>
        <w:t> </w:t>
      </w:r>
      <w:r>
        <w:rPr/>
        <w:t>Such</w:t>
      </w:r>
      <w:r>
        <w:rPr>
          <w:spacing w:val="-2"/>
        </w:rPr>
        <w:t> </w:t>
      </w:r>
      <w:r>
        <w:rPr/>
        <w:t>rules</w:t>
      </w:r>
      <w:r>
        <w:rPr>
          <w:spacing w:val="-2"/>
        </w:rPr>
        <w:t> </w:t>
      </w:r>
      <w:r>
        <w:rPr/>
        <w:t>can</w:t>
      </w:r>
      <w:r>
        <w:rPr>
          <w:spacing w:val="-2"/>
        </w:rPr>
        <w:t> </w:t>
      </w:r>
      <w:r>
        <w:rPr/>
        <w:t>be</w:t>
      </w:r>
      <w:r>
        <w:rPr>
          <w:spacing w:val="-2"/>
        </w:rPr>
        <w:t> </w:t>
      </w:r>
      <w:r>
        <w:rPr/>
        <w:t>displaced</w:t>
      </w:r>
      <w:r>
        <w:rPr>
          <w:spacing w:val="-2"/>
        </w:rPr>
        <w:t> </w:t>
      </w:r>
      <w:r>
        <w:rPr/>
        <w:t>by</w:t>
      </w:r>
      <w:r>
        <w:rPr>
          <w:spacing w:val="-2"/>
        </w:rPr>
        <w:t> </w:t>
      </w:r>
      <w:r>
        <w:rPr/>
        <w:t>evidence</w:t>
      </w:r>
      <w:r>
        <w:rPr>
          <w:spacing w:val="-2"/>
        </w:rPr>
        <w:t> </w:t>
      </w:r>
      <w:r>
        <w:rPr/>
        <w:t>of</w:t>
      </w:r>
      <w:r>
        <w:rPr>
          <w:spacing w:val="-2"/>
        </w:rPr>
        <w:t> </w:t>
      </w:r>
      <w:r>
        <w:rPr/>
        <w:t>contrary</w:t>
      </w:r>
      <w:r>
        <w:rPr>
          <w:spacing w:val="-2"/>
        </w:rPr>
        <w:t> </w:t>
      </w:r>
      <w:r>
        <w:rPr/>
        <w:t>intention;</w:t>
      </w:r>
      <w:r>
        <w:rPr>
          <w:spacing w:val="-2"/>
        </w:rPr>
        <w:t> </w:t>
      </w:r>
      <w:r>
        <w:rPr/>
        <w:t>but in the absence of such evidence they will determine the distinction between offer and invitation to treat, and they will do so without reference to the intention of the maker of the statement. This is true, for example, in the cases of auction sales and shop window displays. These and other illustrations of the distinction are discussed in paras 2-011—2-024 below.</w:t>
      </w:r>
    </w:p>
    <w:p>
      <w:pPr>
        <w:pStyle w:val="BodyText"/>
      </w:pPr>
    </w:p>
    <w:p>
      <w:pPr>
        <w:pStyle w:val="BodyText"/>
        <w:spacing w:before="35"/>
      </w:pPr>
    </w:p>
    <w:p>
      <w:pPr>
        <w:spacing w:before="1"/>
        <w:ind w:left="165" w:right="0" w:firstLine="0"/>
        <w:jc w:val="left"/>
        <w:rPr>
          <w:rFonts w:ascii="Arial"/>
          <w:b/>
          <w:sz w:val="18"/>
        </w:rPr>
      </w:pPr>
      <w:r>
        <w:rPr>
          <w:rFonts w:ascii="Arial"/>
          <w:b/>
          <w:sz w:val="18"/>
        </w:rPr>
        <w:t>Display of goods for sale: general </w:t>
      </w:r>
      <w:r>
        <w:rPr>
          <w:rFonts w:ascii="Arial"/>
          <w:b/>
          <w:spacing w:val="-4"/>
          <w:sz w:val="18"/>
        </w:rPr>
        <w:t>rule</w:t>
      </w:r>
    </w:p>
    <w:p>
      <w:pPr>
        <w:pStyle w:val="BodyText"/>
        <w:spacing w:before="41"/>
        <w:rPr>
          <w:rFonts w:ascii="Arial"/>
          <w:b/>
          <w:sz w:val="18"/>
        </w:rPr>
      </w:pPr>
    </w:p>
    <w:p>
      <w:pPr>
        <w:pStyle w:val="Heading2"/>
      </w:pPr>
      <w:r>
        <w:rPr/>
        <w:t>2-</w:t>
      </w:r>
      <w:r>
        <w:rPr>
          <w:spacing w:val="-5"/>
        </w:rPr>
        <w:t>011</w:t>
      </w:r>
    </w:p>
    <w:p>
      <w:pPr>
        <w:pStyle w:val="BodyText"/>
        <w:spacing w:line="235" w:lineRule="auto" w:before="202"/>
        <w:ind w:left="165" w:right="167"/>
        <w:jc w:val="both"/>
      </w:pPr>
      <w:bookmarkStart w:name="_bookmark63" w:id="65"/>
      <w:bookmarkEnd w:id="65"/>
      <w:r>
        <w:rPr/>
      </w:r>
      <w:bookmarkStart w:name="_bookmark64" w:id="66"/>
      <w:bookmarkEnd w:id="66"/>
      <w:r>
        <w:rPr/>
      </w:r>
      <w:r>
        <w:rPr/>
        <w:t>As</w:t>
      </w:r>
      <w:r>
        <w:rPr>
          <w:spacing w:val="-1"/>
        </w:rPr>
        <w:t> </w:t>
      </w:r>
      <w:r>
        <w:rPr/>
        <w:t>a</w:t>
      </w:r>
      <w:r>
        <w:rPr>
          <w:spacing w:val="-1"/>
        </w:rPr>
        <w:t> </w:t>
      </w:r>
      <w:r>
        <w:rPr/>
        <w:t>general</w:t>
      </w:r>
      <w:r>
        <w:rPr>
          <w:spacing w:val="-1"/>
        </w:rPr>
        <w:t> </w:t>
      </w:r>
      <w:r>
        <w:rPr/>
        <w:t>rule,</w:t>
      </w:r>
      <w:r>
        <w:rPr>
          <w:spacing w:val="-1"/>
        </w:rPr>
        <w:t> </w:t>
      </w:r>
      <w:r>
        <w:rPr/>
        <w:t>a</w:t>
      </w:r>
      <w:r>
        <w:rPr>
          <w:spacing w:val="-1"/>
        </w:rPr>
        <w:t> </w:t>
      </w:r>
      <w:r>
        <w:rPr/>
        <w:t>display</w:t>
      </w:r>
      <w:r>
        <w:rPr>
          <w:spacing w:val="-1"/>
        </w:rPr>
        <w:t> </w:t>
      </w:r>
      <w:r>
        <w:rPr/>
        <w:t>of</w:t>
      </w:r>
      <w:r>
        <w:rPr>
          <w:spacing w:val="-1"/>
        </w:rPr>
        <w:t> </w:t>
      </w:r>
      <w:r>
        <w:rPr/>
        <w:t>goods</w:t>
      </w:r>
      <w:r>
        <w:rPr>
          <w:spacing w:val="-1"/>
        </w:rPr>
        <w:t> </w:t>
      </w:r>
      <w:r>
        <w:rPr/>
        <w:t>at</w:t>
      </w:r>
      <w:r>
        <w:rPr>
          <w:spacing w:val="-1"/>
        </w:rPr>
        <w:t> </w:t>
      </w:r>
      <w:r>
        <w:rPr/>
        <w:t>a</w:t>
      </w:r>
      <w:r>
        <w:rPr>
          <w:spacing w:val="-1"/>
        </w:rPr>
        <w:t> </w:t>
      </w:r>
      <w:r>
        <w:rPr/>
        <w:t>fixed</w:t>
      </w:r>
      <w:r>
        <w:rPr>
          <w:spacing w:val="-1"/>
        </w:rPr>
        <w:t> </w:t>
      </w:r>
      <w:r>
        <w:rPr/>
        <w:t>price</w:t>
      </w:r>
      <w:r>
        <w:rPr>
          <w:spacing w:val="-1"/>
        </w:rPr>
        <w:t> </w:t>
      </w:r>
      <w:r>
        <w:rPr/>
        <w:t>in</w:t>
      </w:r>
      <w:r>
        <w:rPr>
          <w:spacing w:val="-1"/>
        </w:rPr>
        <w:t> </w:t>
      </w:r>
      <w:r>
        <w:rPr/>
        <w:t>a</w:t>
      </w:r>
      <w:r>
        <w:rPr>
          <w:spacing w:val="-1"/>
        </w:rPr>
        <w:t> </w:t>
      </w:r>
      <w:r>
        <w:rPr/>
        <w:t>shop</w:t>
      </w:r>
      <w:r>
        <w:rPr>
          <w:spacing w:val="-1"/>
        </w:rPr>
        <w:t> </w:t>
      </w:r>
      <w:r>
        <w:rPr/>
        <w:t>window</w:t>
      </w:r>
      <w:r>
        <w:rPr>
          <w:spacing w:val="-2"/>
        </w:rPr>
        <w:t> </w:t>
      </w:r>
      <w:r>
        <w:rPr>
          <w:color w:val="005DA1"/>
          <w:u w:val="single" w:color="005DA1"/>
          <w:vertAlign w:val="superscript"/>
        </w:rPr>
        <w:t>59</w:t>
      </w:r>
      <w:r>
        <w:rPr>
          <w:color w:val="005DA1"/>
          <w:spacing w:val="-1"/>
          <w:vertAlign w:val="baseline"/>
        </w:rPr>
        <w:t> </w:t>
      </w:r>
      <w:r>
        <w:rPr>
          <w:vertAlign w:val="baseline"/>
        </w:rPr>
        <w:t>or</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shelf</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self-service store </w:t>
      </w:r>
      <w:r>
        <w:rPr>
          <w:color w:val="005DA1"/>
          <w:u w:val="single" w:color="005DA1"/>
          <w:vertAlign w:val="superscript"/>
        </w:rPr>
        <w:t>60</w:t>
      </w:r>
      <w:r>
        <w:rPr>
          <w:color w:val="005DA1"/>
          <w:vertAlign w:val="baseline"/>
        </w:rPr>
        <w:t> </w:t>
      </w:r>
      <w:r>
        <w:rPr>
          <w:vertAlign w:val="baseline"/>
        </w:rPr>
        <w:t>is an invitation to treat and not an offer. The display is an invitation to the customer to </w:t>
      </w:r>
      <w:r>
        <w:rPr>
          <w:vertAlign w:val="baseline"/>
        </w:rPr>
        <w:t>make</w:t>
      </w:r>
      <w:r>
        <w:rPr>
          <w:spacing w:val="40"/>
          <w:vertAlign w:val="baseline"/>
        </w:rPr>
        <w:t> </w:t>
      </w:r>
      <w:r>
        <w:rPr>
          <w:vertAlign w:val="baseline"/>
        </w:rPr>
        <w:t>an offer, which the retailer may then accept or reject. There is judicial support for the view that an </w:t>
      </w:r>
      <w:bookmarkStart w:name="_bookmark65" w:id="67"/>
      <w:bookmarkEnd w:id="67"/>
      <w:r>
        <w:rPr>
          <w:vertAlign w:val="baseline"/>
        </w:rPr>
        <w:t>indication</w:t>
      </w:r>
      <w:r>
        <w:rPr>
          <w:vertAlign w:val="baseline"/>
        </w:rPr>
        <w:t> of the price at which petrol is to be sold at a filling station is likewise only an invitation to </w:t>
      </w:r>
      <w:bookmarkStart w:name="_bookmark66" w:id="68"/>
      <w:bookmarkEnd w:id="68"/>
      <w:r>
        <w:rPr>
          <w:vertAlign w:val="baseline"/>
        </w:rPr>
        <w:t>treat,</w:t>
      </w:r>
      <w:r>
        <w:rPr>
          <w:vertAlign w:val="baseline"/>
        </w:rPr>
        <w:t> </w:t>
      </w:r>
      <w:r>
        <w:rPr>
          <w:color w:val="005DA1"/>
          <w:u w:val="single" w:color="005DA1"/>
          <w:vertAlign w:val="superscript"/>
        </w:rPr>
        <w:t>61</w:t>
      </w:r>
      <w:r>
        <w:rPr>
          <w:color w:val="005DA1"/>
          <w:vertAlign w:val="baseline"/>
        </w:rPr>
        <w:t> </w:t>
      </w:r>
      <w:r>
        <w:rPr>
          <w:vertAlign w:val="baseline"/>
        </w:rPr>
        <w:t>the offer to buy being made by the customer and accepted by the seller’s conduct in putting </w:t>
      </w:r>
      <w:bookmarkStart w:name="_bookmark67" w:id="69"/>
      <w:bookmarkEnd w:id="69"/>
      <w:r>
        <w:rPr>
          <w:vertAlign w:val="baseline"/>
        </w:rPr>
        <w:t>the</w:t>
      </w:r>
      <w:r>
        <w:rPr>
          <w:vertAlign w:val="baseline"/>
        </w:rPr>
        <w:t> petrol into the tank. </w:t>
      </w:r>
      <w:r>
        <w:rPr>
          <w:color w:val="005DA1"/>
          <w:u w:val="single" w:color="005DA1"/>
          <w:vertAlign w:val="superscript"/>
        </w:rPr>
        <w:t>62</w:t>
      </w:r>
      <w:r>
        <w:rPr>
          <w:color w:val="005DA1"/>
          <w:vertAlign w:val="baseline"/>
        </w:rPr>
        <w:t> </w:t>
      </w:r>
      <w:r>
        <w:rPr>
          <w:vertAlign w:val="baseline"/>
        </w:rPr>
        <w:t>But this analysis hardly fits the now more common situation in which the station operates a self-service system </w:t>
      </w:r>
      <w:r>
        <w:rPr>
          <w:color w:val="005DA1"/>
          <w:u w:val="single" w:color="005DA1"/>
          <w:vertAlign w:val="superscript"/>
        </w:rPr>
        <w:t>63</w:t>
      </w:r>
      <w:r>
        <w:rPr>
          <w:vertAlign w:val="baseline"/>
        </w:rPr>
        <w:t>; for once the customer has put petrol into his tank, the seller has no effective choice of refusing to deal with him.</w:t>
      </w:r>
    </w:p>
    <w:p>
      <w:pPr>
        <w:pStyle w:val="BodyText"/>
      </w:pPr>
    </w:p>
    <w:p>
      <w:pPr>
        <w:pStyle w:val="BodyText"/>
        <w:spacing w:before="36"/>
      </w:pPr>
    </w:p>
    <w:p>
      <w:pPr>
        <w:spacing w:before="0"/>
        <w:ind w:left="165" w:right="0" w:firstLine="0"/>
        <w:jc w:val="left"/>
        <w:rPr>
          <w:rFonts w:ascii="Arial"/>
          <w:b/>
          <w:sz w:val="18"/>
        </w:rPr>
      </w:pPr>
      <w:r>
        <w:rPr>
          <w:rFonts w:ascii="Arial"/>
          <w:b/>
          <w:sz w:val="18"/>
        </w:rPr>
        <w:t>Display of goods for sale: exceptional </w:t>
      </w:r>
      <w:r>
        <w:rPr>
          <w:rFonts w:ascii="Arial"/>
          <w:b/>
          <w:spacing w:val="-2"/>
          <w:sz w:val="18"/>
        </w:rPr>
        <w:t>cases</w:t>
      </w:r>
    </w:p>
    <w:p>
      <w:pPr>
        <w:pStyle w:val="BodyText"/>
        <w:spacing w:before="41"/>
        <w:rPr>
          <w:rFonts w:ascii="Arial"/>
          <w:b/>
          <w:sz w:val="18"/>
        </w:rPr>
      </w:pPr>
    </w:p>
    <w:p>
      <w:pPr>
        <w:pStyle w:val="Heading2"/>
      </w:pPr>
      <w:r>
        <w:rPr/>
        <w:t>2-</w:t>
      </w:r>
      <w:r>
        <w:rPr>
          <w:spacing w:val="-5"/>
        </w:rPr>
        <w:t>012</w:t>
      </w:r>
    </w:p>
    <w:p>
      <w:pPr>
        <w:pStyle w:val="BodyText"/>
        <w:spacing w:line="235" w:lineRule="auto" w:before="203"/>
        <w:ind w:left="165" w:right="167"/>
        <w:jc w:val="both"/>
      </w:pPr>
      <w:r>
        <w:rPr/>
        <w:t>The general rule stated in para.2-011 above relating to shop and similar displays is well established; but it can be excluded by special circumstances: e.g. if the retailer has stated unequivocally that </w:t>
      </w:r>
      <w:r>
        <w:rPr/>
        <w:t>he </w:t>
      </w:r>
      <w:bookmarkStart w:name="_bookmark68" w:id="70"/>
      <w:bookmarkEnd w:id="70"/>
      <w:r>
        <w:rPr/>
        <w:t>will</w:t>
      </w:r>
      <w:r>
        <w:rPr/>
        <w:t> sell to the first customer who tenders the specified price. The distinction between an offer and an invitation to treat depends, in the last resort, on the intention of the maker of the statement </w:t>
      </w:r>
      <w:r>
        <w:rPr>
          <w:color w:val="005DA1"/>
          <w:u w:val="single" w:color="005DA1"/>
          <w:vertAlign w:val="superscript"/>
        </w:rPr>
        <w:t>64</w:t>
      </w:r>
      <w:r>
        <w:rPr>
          <w:vertAlign w:val="baseline"/>
        </w:rPr>
        <w:t>; and where his intention to be bound immediately on acceptance is sufficiently clear a shop window or</w:t>
      </w:r>
      <w:r>
        <w:rPr>
          <w:spacing w:val="40"/>
          <w:vertAlign w:val="baseline"/>
        </w:rPr>
        <w:t> </w:t>
      </w:r>
      <w:bookmarkStart w:name="_bookmark69" w:id="71"/>
      <w:bookmarkEnd w:id="71"/>
      <w:r>
        <w:rPr>
          <w:vertAlign w:val="baseline"/>
        </w:rPr>
        <w:t>shelf</w:t>
      </w:r>
      <w:r>
        <w:rPr>
          <w:vertAlign w:val="baseline"/>
        </w:rPr>
        <w:t> display may be an offer. For example, a notice in a shop window stating that “We will beat any </w:t>
      </w:r>
      <w:bookmarkStart w:name="_bookmark70" w:id="72"/>
      <w:bookmarkEnd w:id="72"/>
      <w:r>
        <w:rPr>
          <w:vertAlign w:val="baseline"/>
        </w:rPr>
        <w:t>TV</w:t>
      </w:r>
      <w:r>
        <w:rPr>
          <w:vertAlign w:val="baseline"/>
        </w:rPr>
        <w:t> price by £20 on the spot” has been described as “a continuing offer”. </w:t>
      </w:r>
      <w:r>
        <w:rPr>
          <w:color w:val="005DA1"/>
          <w:u w:val="single" w:color="005DA1"/>
          <w:vertAlign w:val="superscript"/>
        </w:rPr>
        <w:t>65</w:t>
      </w:r>
      <w:r>
        <w:rPr>
          <w:color w:val="005DA1"/>
          <w:vertAlign w:val="baseline"/>
        </w:rPr>
        <w:t> </w:t>
      </w:r>
      <w:r>
        <w:rPr>
          <w:vertAlign w:val="baseline"/>
        </w:rPr>
        <w:t>The customer may,</w:t>
      </w:r>
      <w:r>
        <w:rPr>
          <w:spacing w:val="40"/>
          <w:vertAlign w:val="baseline"/>
        </w:rPr>
        <w:t> </w:t>
      </w:r>
      <w:r>
        <w:rPr>
          <w:vertAlign w:val="baseline"/>
        </w:rPr>
        <w:t>indeed,</w:t>
      </w:r>
      <w:r>
        <w:rPr>
          <w:spacing w:val="-2"/>
          <w:vertAlign w:val="baseline"/>
        </w:rPr>
        <w:t> </w:t>
      </w:r>
      <w:r>
        <w:rPr>
          <w:vertAlign w:val="baseline"/>
        </w:rPr>
        <w:t>still</w:t>
      </w:r>
      <w:r>
        <w:rPr>
          <w:spacing w:val="-2"/>
          <w:vertAlign w:val="baseline"/>
        </w:rPr>
        <w:t> </w:t>
      </w:r>
      <w:r>
        <w:rPr>
          <w:vertAlign w:val="baseline"/>
        </w:rPr>
        <w:t>lose</w:t>
      </w:r>
      <w:r>
        <w:rPr>
          <w:spacing w:val="-2"/>
          <w:vertAlign w:val="baseline"/>
        </w:rPr>
        <w:t> </w:t>
      </w:r>
      <w:r>
        <w:rPr>
          <w:vertAlign w:val="baseline"/>
        </w:rPr>
        <w:t>his</w:t>
      </w:r>
      <w:r>
        <w:rPr>
          <w:spacing w:val="-2"/>
          <w:vertAlign w:val="baseline"/>
        </w:rPr>
        <w:t> </w:t>
      </w:r>
      <w:r>
        <w:rPr>
          <w:vertAlign w:val="baseline"/>
        </w:rPr>
        <w:t>bargain</w:t>
      </w:r>
      <w:r>
        <w:rPr>
          <w:spacing w:val="-2"/>
          <w:vertAlign w:val="baseline"/>
        </w:rPr>
        <w:t> </w:t>
      </w:r>
      <w:r>
        <w:rPr>
          <w:vertAlign w:val="baseline"/>
        </w:rPr>
        <w:t>since</w:t>
      </w:r>
      <w:r>
        <w:rPr>
          <w:spacing w:val="-2"/>
          <w:vertAlign w:val="baseline"/>
        </w:rPr>
        <w:t> </w:t>
      </w:r>
      <w:r>
        <w:rPr>
          <w:vertAlign w:val="baseline"/>
        </w:rPr>
        <w:t>the</w:t>
      </w:r>
      <w:r>
        <w:rPr>
          <w:spacing w:val="-2"/>
          <w:vertAlign w:val="baseline"/>
        </w:rPr>
        <w:t> </w:t>
      </w:r>
      <w:r>
        <w:rPr>
          <w:vertAlign w:val="baseline"/>
        </w:rPr>
        <w:t>offer</w:t>
      </w:r>
      <w:r>
        <w:rPr>
          <w:spacing w:val="-2"/>
          <w:vertAlign w:val="baseline"/>
        </w:rPr>
        <w:t> </w:t>
      </w:r>
      <w:r>
        <w:rPr>
          <w:vertAlign w:val="baseline"/>
        </w:rPr>
        <w:t>can</w:t>
      </w:r>
      <w:r>
        <w:rPr>
          <w:spacing w:val="-2"/>
          <w:vertAlign w:val="baseline"/>
        </w:rPr>
        <w:t> </w:t>
      </w:r>
      <w:r>
        <w:rPr>
          <w:vertAlign w:val="baseline"/>
        </w:rPr>
        <w:t>be</w:t>
      </w:r>
      <w:r>
        <w:rPr>
          <w:spacing w:val="-2"/>
          <w:vertAlign w:val="baseline"/>
        </w:rPr>
        <w:t> </w:t>
      </w:r>
      <w:r>
        <w:rPr>
          <w:vertAlign w:val="baseline"/>
        </w:rPr>
        <w:t>withdrawn</w:t>
      </w:r>
      <w:r>
        <w:rPr>
          <w:spacing w:val="-2"/>
          <w:vertAlign w:val="baseline"/>
        </w:rPr>
        <w:t> </w:t>
      </w:r>
      <w:r>
        <w:rPr>
          <w:vertAlign w:val="baseline"/>
        </w:rPr>
        <w:t>at</w:t>
      </w:r>
      <w:r>
        <w:rPr>
          <w:spacing w:val="-2"/>
          <w:vertAlign w:val="baseline"/>
        </w:rPr>
        <w:t> </w:t>
      </w:r>
      <w:r>
        <w:rPr>
          <w:vertAlign w:val="baseline"/>
        </w:rPr>
        <w:t>any</w:t>
      </w:r>
      <w:r>
        <w:rPr>
          <w:spacing w:val="-2"/>
          <w:vertAlign w:val="baseline"/>
        </w:rPr>
        <w:t> </w:t>
      </w:r>
      <w:r>
        <w:rPr>
          <w:vertAlign w:val="baseline"/>
        </w:rPr>
        <w:t>time</w:t>
      </w:r>
      <w:r>
        <w:rPr>
          <w:spacing w:val="-2"/>
          <w:vertAlign w:val="baseline"/>
        </w:rPr>
        <w:t> </w:t>
      </w:r>
      <w:r>
        <w:rPr>
          <w:vertAlign w:val="baseline"/>
        </w:rPr>
        <w:t>before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accepted</w:t>
      </w:r>
      <w:r>
        <w:rPr>
          <w:spacing w:val="-4"/>
          <w:vertAlign w:val="baseline"/>
        </w:rPr>
        <w:t> </w:t>
      </w:r>
      <w:r>
        <w:rPr>
          <w:color w:val="005DA1"/>
          <w:u w:val="single" w:color="005DA1"/>
          <w:vertAlign w:val="superscript"/>
        </w:rPr>
        <w:t>66</w:t>
      </w:r>
      <w:r>
        <w:rPr>
          <w:vertAlign w:val="baseline"/>
        </w:rPr>
        <w:t>;</w:t>
      </w:r>
      <w:r>
        <w:rPr>
          <w:spacing w:val="-2"/>
          <w:vertAlign w:val="baseline"/>
        </w:rPr>
        <w:t> </w:t>
      </w:r>
      <w:r>
        <w:rPr>
          <w:vertAlign w:val="baseline"/>
        </w:rPr>
        <w:t>but</w:t>
      </w:r>
      <w:r>
        <w:rPr>
          <w:spacing w:val="-2"/>
          <w:vertAlign w:val="baseline"/>
        </w:rPr>
        <w:t> </w:t>
      </w:r>
      <w:r>
        <w:rPr>
          <w:vertAlign w:val="baseline"/>
        </w:rPr>
        <w:t>if </w:t>
      </w:r>
      <w:bookmarkStart w:name="_bookmark71" w:id="73"/>
      <w:bookmarkEnd w:id="73"/>
      <w:r>
        <w:rPr>
          <w:vertAlign w:val="baseline"/>
        </w:rPr>
        <w:t>it</w:t>
      </w:r>
      <w:r>
        <w:rPr>
          <w:vertAlign w:val="baseline"/>
        </w:rPr>
        <w:t> is so withdrawn the person displaying the notice may incur criminal liability under legislation passed for the protection of consumers. </w:t>
      </w:r>
      <w:r>
        <w:rPr>
          <w:color w:val="005DA1"/>
          <w:u w:val="single" w:color="005DA1"/>
          <w:vertAlign w:val="superscript"/>
        </w:rPr>
        <w:t>67</w:t>
      </w:r>
      <w:r>
        <w:rPr>
          <w:color w:val="005DA1"/>
          <w:vertAlign w:val="baseline"/>
        </w:rPr>
        <w:t> </w:t>
      </w:r>
      <w:r>
        <w:rPr>
          <w:vertAlign w:val="baseline"/>
        </w:rPr>
        <w:t>In the case of a self-service shop, acceptance of any offer that might be made by the terms of the display would normally take place, not when the customer took the </w:t>
      </w:r>
      <w:bookmarkStart w:name="_bookmark72" w:id="74"/>
      <w:bookmarkEnd w:id="74"/>
      <w:r>
        <w:rPr>
          <w:vertAlign w:val="baseline"/>
        </w:rPr>
        <w:t>goods</w:t>
      </w:r>
      <w:r>
        <w:rPr>
          <w:vertAlign w:val="baseline"/>
        </w:rPr>
        <w:t> off the shelf, but only when he did some less equivocal act, such as presenting them for payment. </w:t>
      </w:r>
      <w:r>
        <w:rPr>
          <w:color w:val="005DA1"/>
          <w:u w:val="single" w:color="005DA1"/>
          <w:vertAlign w:val="superscript"/>
        </w:rPr>
        <w:t>68</w:t>
      </w:r>
    </w:p>
    <w:p>
      <w:pPr>
        <w:pStyle w:val="BodyText"/>
      </w:pPr>
    </w:p>
    <w:p>
      <w:pPr>
        <w:pStyle w:val="BodyText"/>
        <w:spacing w:before="34"/>
      </w:pPr>
    </w:p>
    <w:p>
      <w:pPr>
        <w:spacing w:before="0"/>
        <w:ind w:left="165" w:right="0" w:firstLine="0"/>
        <w:jc w:val="left"/>
        <w:rPr>
          <w:rFonts w:ascii="Arial"/>
          <w:b/>
          <w:sz w:val="18"/>
        </w:rPr>
      </w:pPr>
      <w:r>
        <w:rPr>
          <w:rFonts w:ascii="Arial"/>
          <w:b/>
          <w:sz w:val="18"/>
        </w:rPr>
        <w:t>Other </w:t>
      </w:r>
      <w:r>
        <w:rPr>
          <w:rFonts w:ascii="Arial"/>
          <w:b/>
          <w:spacing w:val="-2"/>
          <w:sz w:val="18"/>
        </w:rPr>
        <w:t>displays</w:t>
      </w:r>
    </w:p>
    <w:p>
      <w:pPr>
        <w:pStyle w:val="BodyText"/>
        <w:spacing w:before="41"/>
        <w:rPr>
          <w:rFonts w:ascii="Arial"/>
          <w:b/>
          <w:sz w:val="18"/>
        </w:rPr>
      </w:pPr>
    </w:p>
    <w:p>
      <w:pPr>
        <w:pStyle w:val="Heading2"/>
      </w:pPr>
      <w:r>
        <w:rPr/>
        <w:t>2-</w:t>
      </w:r>
      <w:r>
        <w:rPr>
          <w:spacing w:val="-5"/>
        </w:rPr>
        <w:t>013</w:t>
      </w:r>
    </w:p>
    <w:p>
      <w:pPr>
        <w:pStyle w:val="BodyText"/>
        <w:spacing w:line="235" w:lineRule="auto" w:before="203"/>
        <w:ind w:left="165" w:right="167"/>
        <w:jc w:val="both"/>
      </w:pPr>
      <w:r>
        <w:rPr/>
        <w:t>The principles stated in paras 2-011 and 2-012 above can also apply to other displays. Thus, where </w:t>
      </w:r>
      <w:r>
        <w:rPr/>
        <w:t>a menu</w:t>
      </w:r>
      <w:r>
        <w:rPr>
          <w:spacing w:val="24"/>
        </w:rPr>
        <w:t> </w:t>
      </w:r>
      <w:r>
        <w:rPr/>
        <w:t>is</w:t>
      </w:r>
      <w:r>
        <w:rPr>
          <w:spacing w:val="24"/>
        </w:rPr>
        <w:t> </w:t>
      </w:r>
      <w:r>
        <w:rPr/>
        <w:t>displayed</w:t>
      </w:r>
      <w:r>
        <w:rPr>
          <w:spacing w:val="24"/>
        </w:rPr>
        <w:t> </w:t>
      </w:r>
      <w:r>
        <w:rPr/>
        <w:t>outside</w:t>
      </w:r>
      <w:r>
        <w:rPr>
          <w:spacing w:val="24"/>
        </w:rPr>
        <w:t> </w:t>
      </w:r>
      <w:r>
        <w:rPr/>
        <w:t>a</w:t>
      </w:r>
      <w:r>
        <w:rPr>
          <w:spacing w:val="24"/>
        </w:rPr>
        <w:t> </w:t>
      </w:r>
      <w:r>
        <w:rPr/>
        <w:t>restaurant,</w:t>
      </w:r>
      <w:r>
        <w:rPr>
          <w:spacing w:val="24"/>
        </w:rPr>
        <w:t> </w:t>
      </w:r>
      <w:r>
        <w:rPr/>
        <w:t>or</w:t>
      </w:r>
      <w:r>
        <w:rPr>
          <w:spacing w:val="24"/>
        </w:rPr>
        <w:t> </w:t>
      </w:r>
      <w:r>
        <w:rPr/>
        <w:t>handed</w:t>
      </w:r>
      <w:r>
        <w:rPr>
          <w:spacing w:val="24"/>
        </w:rPr>
        <w:t> </w:t>
      </w:r>
      <w:r>
        <w:rPr/>
        <w:t>to</w:t>
      </w:r>
      <w:r>
        <w:rPr>
          <w:spacing w:val="24"/>
        </w:rPr>
        <w:t> </w:t>
      </w:r>
      <w:r>
        <w:rPr/>
        <w:t>a</w:t>
      </w:r>
      <w:r>
        <w:rPr>
          <w:spacing w:val="24"/>
        </w:rPr>
        <w:t> </w:t>
      </w:r>
      <w:r>
        <w:rPr/>
        <w:t>customer,</w:t>
      </w:r>
      <w:r>
        <w:rPr>
          <w:spacing w:val="24"/>
        </w:rPr>
        <w:t> </w:t>
      </w:r>
      <w:r>
        <w:rPr/>
        <w:t>it</w:t>
      </w:r>
      <w:r>
        <w:rPr>
          <w:spacing w:val="24"/>
        </w:rPr>
        <w:t> </w:t>
      </w:r>
      <w:r>
        <w:rPr/>
        <w:t>seems</w:t>
      </w:r>
      <w:r>
        <w:rPr>
          <w:spacing w:val="24"/>
        </w:rPr>
        <w:t> </w:t>
      </w:r>
      <w:r>
        <w:rPr/>
        <w:t>that</w:t>
      </w:r>
      <w:r>
        <w:rPr>
          <w:spacing w:val="24"/>
        </w:rPr>
        <w:t> </w:t>
      </w:r>
      <w:r>
        <w:rPr/>
        <w:t>the</w:t>
      </w:r>
      <w:r>
        <w:rPr>
          <w:spacing w:val="24"/>
        </w:rPr>
        <w:t> </w:t>
      </w:r>
      <w:r>
        <w:rPr/>
        <w:t>proprietor</w:t>
      </w:r>
      <w:r>
        <w:rPr>
          <w:spacing w:val="24"/>
        </w:rPr>
        <w:t> </w:t>
      </w:r>
      <w:r>
        <w:rPr>
          <w:spacing w:val="-4"/>
        </w:rPr>
        <w:t>only</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4" w:right="167"/>
        <w:jc w:val="both"/>
      </w:pPr>
      <w:bookmarkStart w:name="_bookmark73" w:id="75"/>
      <w:bookmarkEnd w:id="75"/>
      <w:r>
        <w:rPr/>
      </w:r>
      <w:bookmarkStart w:name="_bookmark74" w:id="76"/>
      <w:bookmarkEnd w:id="76"/>
      <w:r>
        <w:rPr/>
      </w:r>
      <w:r>
        <w:rPr/>
        <w:t>makes an invitation to treat, </w:t>
      </w:r>
      <w:r>
        <w:rPr>
          <w:color w:val="005DA1"/>
          <w:u w:val="single" w:color="005DA1"/>
          <w:vertAlign w:val="superscript"/>
        </w:rPr>
        <w:t>69</w:t>
      </w:r>
      <w:r>
        <w:rPr>
          <w:color w:val="005DA1"/>
          <w:vertAlign w:val="baseline"/>
        </w:rPr>
        <w:t> </w:t>
      </w:r>
      <w:r>
        <w:rPr>
          <w:vertAlign w:val="baseline"/>
        </w:rPr>
        <w:t>the offer coming from the customer. On the other hand, a notice at the </w:t>
      </w:r>
      <w:bookmarkStart w:name="_bookmark75" w:id="77"/>
      <w:bookmarkEnd w:id="77"/>
      <w:r>
        <w:rPr>
          <w:vertAlign w:val="baseline"/>
        </w:rPr>
        <w:t>entrance</w:t>
      </w:r>
      <w:r>
        <w:rPr>
          <w:vertAlign w:val="baseline"/>
        </w:rPr>
        <w:t> to an automatic car park may be an offer which can be accepted by driving in </w:t>
      </w:r>
      <w:r>
        <w:rPr>
          <w:color w:val="005DA1"/>
          <w:u w:val="single" w:color="005DA1"/>
          <w:vertAlign w:val="superscript"/>
        </w:rPr>
        <w:t>70</w:t>
      </w:r>
      <w:r>
        <w:rPr>
          <w:vertAlign w:val="baseline"/>
        </w:rPr>
        <w:t>; and a display of deck-chairs for </w:t>
      </w:r>
      <w:r>
        <w:rPr>
          <w:rFonts w:ascii="Arial" w:hAnsi="Arial"/>
          <w:i/>
          <w:vertAlign w:val="baseline"/>
        </w:rPr>
        <w:t>hire </w:t>
      </w:r>
      <w:r>
        <w:rPr>
          <w:vertAlign w:val="baseline"/>
        </w:rPr>
        <w:t>has been held to be an offer. </w:t>
      </w:r>
      <w:r>
        <w:rPr>
          <w:color w:val="005DA1"/>
          <w:u w:val="single" w:color="005DA1"/>
          <w:vertAlign w:val="superscript"/>
        </w:rPr>
        <w:t>71</w:t>
      </w:r>
      <w:r>
        <w:rPr>
          <w:color w:val="005DA1"/>
          <w:vertAlign w:val="baseline"/>
        </w:rPr>
        <w:t> </w:t>
      </w:r>
      <w:r>
        <w:rPr>
          <w:vertAlign w:val="baseline"/>
        </w:rPr>
        <w:t>There is no perfectly general answer to </w:t>
      </w:r>
      <w:bookmarkStart w:name="_bookmark76" w:id="78"/>
      <w:bookmarkEnd w:id="78"/>
      <w:r>
        <w:rPr>
          <w:vertAlign w:val="baseline"/>
        </w:rPr>
        <w:t>the</w:t>
      </w:r>
      <w:r>
        <w:rPr>
          <w:vertAlign w:val="baseline"/>
        </w:rPr>
        <w:t> question whether such displays are offers or invitations to treat; the answer depends in each case on the intention with which the display was made. </w:t>
      </w:r>
      <w:r>
        <w:rPr>
          <w:color w:val="005DA1"/>
          <w:u w:val="single" w:color="005DA1"/>
          <w:vertAlign w:val="superscript"/>
        </w:rPr>
        <w:t>72</w:t>
      </w:r>
      <w:r>
        <w:rPr>
          <w:color w:val="005DA1"/>
          <w:vertAlign w:val="baseline"/>
        </w:rPr>
        <w:t> </w:t>
      </w:r>
      <w:r>
        <w:rPr>
          <w:vertAlign w:val="baseline"/>
        </w:rPr>
        <w:t>In </w:t>
      </w:r>
      <w:r>
        <w:rPr>
          <w:rFonts w:ascii="Arial" w:hAnsi="Arial"/>
          <w:i/>
          <w:vertAlign w:val="baseline"/>
        </w:rPr>
        <w:t>University of Edinburgh v Onifade </w:t>
      </w:r>
      <w:r>
        <w:rPr>
          <w:color w:val="005DA1"/>
          <w:u w:val="single" w:color="005DA1"/>
          <w:vertAlign w:val="superscript"/>
        </w:rPr>
        <w:t>73</w:t>
      </w:r>
      <w:r>
        <w:rPr>
          <w:color w:val="005DA1"/>
          <w:vertAlign w:val="baseline"/>
        </w:rPr>
        <w:t> </w:t>
      </w:r>
      <w:r>
        <w:rPr>
          <w:vertAlign w:val="baseline"/>
        </w:rPr>
        <w:t>a notice displayed by a landowner on its land stated that any persons parking their cars there without permit </w:t>
      </w:r>
      <w:bookmarkStart w:name="_bookmark77" w:id="79"/>
      <w:bookmarkEnd w:id="79"/>
      <w:r>
        <w:rPr>
          <w:vertAlign w:val="baseline"/>
        </w:rPr>
        <w:t>would</w:t>
      </w:r>
      <w:r>
        <w:rPr>
          <w:vertAlign w:val="baseline"/>
        </w:rPr>
        <w:t> be liable to a “fine” of £30 per day. A motorist who had so parked his car was held liable for </w:t>
      </w:r>
      <w:r>
        <w:rPr>
          <w:vertAlign w:val="baseline"/>
        </w:rPr>
        <w:t>the specified amount as his conduct amounted to an acceptance </w:t>
      </w:r>
      <w:r>
        <w:rPr>
          <w:color w:val="005DA1"/>
          <w:u w:val="single" w:color="005DA1"/>
          <w:vertAlign w:val="superscript"/>
        </w:rPr>
        <w:t>74</w:t>
      </w:r>
      <w:r>
        <w:rPr>
          <w:vertAlign w:val="baseline"/>
        </w:rPr>
        <w:t>; so that it must have been assumed that the notice was an offer. However, with respect, it is open to question whether the landowner had any objective intention to enter into a contract with persons parking without permit. Rather, the landowner’s intention seems to have been to deter unauthorised parking. The point could be significant</w:t>
      </w:r>
      <w:r>
        <w:rPr>
          <w:spacing w:val="-2"/>
          <w:vertAlign w:val="baseline"/>
        </w:rPr>
        <w:t> </w:t>
      </w:r>
      <w:r>
        <w:rPr>
          <w:vertAlign w:val="baseline"/>
        </w:rPr>
        <w:t>if</w:t>
      </w:r>
      <w:r>
        <w:rPr>
          <w:spacing w:val="-2"/>
          <w:vertAlign w:val="baseline"/>
        </w:rPr>
        <w:t> </w:t>
      </w:r>
      <w:r>
        <w:rPr>
          <w:vertAlign w:val="baseline"/>
        </w:rPr>
        <w:t>an</w:t>
      </w:r>
      <w:r>
        <w:rPr>
          <w:spacing w:val="-2"/>
          <w:vertAlign w:val="baseline"/>
        </w:rPr>
        <w:t> </w:t>
      </w:r>
      <w:r>
        <w:rPr>
          <w:vertAlign w:val="baseline"/>
        </w:rPr>
        <w:t>action</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brought</w:t>
      </w:r>
      <w:r>
        <w:rPr>
          <w:spacing w:val="-2"/>
          <w:vertAlign w:val="baseline"/>
        </w:rPr>
        <w:t> </w:t>
      </w:r>
      <w:r>
        <w:rPr>
          <w:vertAlign w:val="baseline"/>
        </w:rPr>
        <w:t>against</w:t>
      </w:r>
      <w:r>
        <w:rPr>
          <w:spacing w:val="-2"/>
          <w:vertAlign w:val="baseline"/>
        </w:rPr>
        <w:t> </w:t>
      </w:r>
      <w:r>
        <w:rPr>
          <w:vertAlign w:val="baseline"/>
        </w:rPr>
        <w:t>the</w:t>
      </w:r>
      <w:r>
        <w:rPr>
          <w:spacing w:val="-2"/>
          <w:vertAlign w:val="baseline"/>
        </w:rPr>
        <w:t> </w:t>
      </w:r>
      <w:r>
        <w:rPr>
          <w:vertAlign w:val="baseline"/>
        </w:rPr>
        <w:t>landowner,</w:t>
      </w:r>
      <w:r>
        <w:rPr>
          <w:spacing w:val="-2"/>
          <w:vertAlign w:val="baseline"/>
        </w:rPr>
        <w:t> </w:t>
      </w:r>
      <w:r>
        <w:rPr>
          <w:vertAlign w:val="baseline"/>
        </w:rPr>
        <w:t>e.g.</w:t>
      </w:r>
      <w:r>
        <w:rPr>
          <w:spacing w:val="-2"/>
          <w:vertAlign w:val="baseline"/>
        </w:rPr>
        <w:t> </w:t>
      </w:r>
      <w:r>
        <w:rPr>
          <w:vertAlign w:val="baseline"/>
        </w:rPr>
        <w:t>in</w:t>
      </w:r>
      <w:r>
        <w:rPr>
          <w:spacing w:val="-2"/>
          <w:vertAlign w:val="baseline"/>
        </w:rPr>
        <w:t> </w:t>
      </w:r>
      <w:r>
        <w:rPr>
          <w:vertAlign w:val="baseline"/>
        </w:rPr>
        <w:t>respect</w:t>
      </w:r>
      <w:r>
        <w:rPr>
          <w:spacing w:val="-2"/>
          <w:vertAlign w:val="baseline"/>
        </w:rPr>
        <w:t> </w:t>
      </w:r>
      <w:r>
        <w:rPr>
          <w:vertAlign w:val="baseline"/>
        </w:rPr>
        <w:t>of</w:t>
      </w:r>
      <w:r>
        <w:rPr>
          <w:spacing w:val="-2"/>
          <w:vertAlign w:val="baseline"/>
        </w:rPr>
        <w:t> </w:t>
      </w:r>
      <w:r>
        <w:rPr>
          <w:vertAlign w:val="baseline"/>
        </w:rPr>
        <w:t>loss</w:t>
      </w:r>
      <w:r>
        <w:rPr>
          <w:spacing w:val="-2"/>
          <w:vertAlign w:val="baseline"/>
        </w:rPr>
        <w:t> </w:t>
      </w:r>
      <w:r>
        <w:rPr>
          <w:vertAlign w:val="baseline"/>
        </w:rPr>
        <w:t>of</w:t>
      </w:r>
      <w:r>
        <w:rPr>
          <w:spacing w:val="-2"/>
          <w:vertAlign w:val="baseline"/>
        </w:rPr>
        <w:t> </w:t>
      </w:r>
      <w:r>
        <w:rPr>
          <w:vertAlign w:val="baseline"/>
        </w:rPr>
        <w:t>or</w:t>
      </w:r>
      <w:r>
        <w:rPr>
          <w:spacing w:val="-2"/>
          <w:vertAlign w:val="baseline"/>
        </w:rPr>
        <w:t> </w:t>
      </w:r>
      <w:r>
        <w:rPr>
          <w:vertAlign w:val="baseline"/>
        </w:rPr>
        <w:t>damage</w:t>
      </w:r>
      <w:r>
        <w:rPr>
          <w:spacing w:val="-2"/>
          <w:vertAlign w:val="baseline"/>
        </w:rPr>
        <w:t> </w:t>
      </w:r>
      <w:r>
        <w:rPr>
          <w:vertAlign w:val="baseline"/>
        </w:rPr>
        <w:t>to the car.</w:t>
      </w:r>
    </w:p>
    <w:p>
      <w:pPr>
        <w:pStyle w:val="BodyText"/>
      </w:pPr>
    </w:p>
    <w:p>
      <w:pPr>
        <w:pStyle w:val="BodyText"/>
        <w:spacing w:before="34"/>
      </w:pPr>
    </w:p>
    <w:p>
      <w:pPr>
        <w:spacing w:before="0"/>
        <w:ind w:left="165" w:right="0" w:firstLine="0"/>
        <w:jc w:val="left"/>
        <w:rPr>
          <w:rFonts w:ascii="Arial"/>
          <w:b/>
          <w:sz w:val="18"/>
        </w:rPr>
      </w:pPr>
      <w:r>
        <w:rPr>
          <w:rFonts w:ascii="Arial"/>
          <w:b/>
          <w:sz w:val="18"/>
        </w:rPr>
        <w:t>Advertisements: bilateral </w:t>
      </w:r>
      <w:r>
        <w:rPr>
          <w:rFonts w:ascii="Arial"/>
          <w:b/>
          <w:spacing w:val="-2"/>
          <w:sz w:val="18"/>
        </w:rPr>
        <w:t>contracts</w:t>
      </w:r>
    </w:p>
    <w:p>
      <w:pPr>
        <w:pStyle w:val="BodyText"/>
        <w:spacing w:before="41"/>
        <w:rPr>
          <w:rFonts w:ascii="Arial"/>
          <w:b/>
          <w:sz w:val="18"/>
        </w:rPr>
      </w:pPr>
    </w:p>
    <w:p>
      <w:pPr>
        <w:pStyle w:val="Heading2"/>
      </w:pPr>
      <w:r>
        <w:rPr/>
        <w:t>2-</w:t>
      </w:r>
      <w:r>
        <w:rPr>
          <w:spacing w:val="-5"/>
        </w:rPr>
        <w:t>014</w:t>
      </w:r>
    </w:p>
    <w:p>
      <w:pPr>
        <w:pStyle w:val="BodyText"/>
        <w:spacing w:line="235" w:lineRule="auto" w:before="203"/>
        <w:ind w:left="165" w:right="167"/>
        <w:jc w:val="both"/>
      </w:pPr>
      <w:bookmarkStart w:name="_bookmark78" w:id="80"/>
      <w:bookmarkEnd w:id="80"/>
      <w:r>
        <w:rPr/>
      </w:r>
      <w:r>
        <w:rPr/>
        <w:t>Advertisements intended to lead to the making of bilateral contracts tend to be regarded as invitations </w:t>
      </w:r>
      <w:bookmarkStart w:name="_bookmark79" w:id="81"/>
      <w:bookmarkEnd w:id="81"/>
      <w:r>
        <w:rPr/>
        <w:t>to</w:t>
      </w:r>
      <w:r>
        <w:rPr/>
        <w:t> treat. Thus a newspaper advertisement that goods are for sale is not generally an offer </w:t>
      </w:r>
      <w:r>
        <w:rPr>
          <w:color w:val="005DA1"/>
          <w:u w:val="single" w:color="005DA1"/>
          <w:vertAlign w:val="superscript"/>
        </w:rPr>
        <w:t>75</w:t>
      </w:r>
      <w:r>
        <w:rPr>
          <w:vertAlign w:val="baseline"/>
        </w:rPr>
        <w:t>; an </w:t>
      </w:r>
      <w:bookmarkStart w:name="_bookmark80" w:id="82"/>
      <w:bookmarkEnd w:id="82"/>
      <w:r>
        <w:rPr>
          <w:vertAlign w:val="baseline"/>
        </w:rPr>
        <w:t>advertisement</w:t>
      </w:r>
      <w:r>
        <w:rPr>
          <w:vertAlign w:val="baseline"/>
        </w:rPr>
        <w:t> that a scholarship examination will be held is not an offer to a candidate </w:t>
      </w:r>
      <w:r>
        <w:rPr>
          <w:color w:val="005DA1"/>
          <w:u w:val="single" w:color="005DA1"/>
          <w:vertAlign w:val="superscript"/>
        </w:rPr>
        <w:t>76</w:t>
      </w:r>
      <w:r>
        <w:rPr>
          <w:vertAlign w:val="baseline"/>
        </w:rPr>
        <w:t>; and </w:t>
      </w:r>
      <w:r>
        <w:rPr>
          <w:vertAlign w:val="baseline"/>
        </w:rPr>
        <w:t>the circulation of a price list by a wine merchant has been held only to be an invitation to treat. </w:t>
      </w:r>
      <w:r>
        <w:rPr>
          <w:color w:val="005DA1"/>
          <w:u w:val="single" w:color="005DA1"/>
          <w:vertAlign w:val="superscript"/>
        </w:rPr>
        <w:t>77</w:t>
      </w:r>
      <w:r>
        <w:rPr>
          <w:color w:val="005DA1"/>
          <w:vertAlign w:val="baseline"/>
        </w:rPr>
        <w:t> </w:t>
      </w:r>
      <w:r>
        <w:rPr>
          <w:vertAlign w:val="baseline"/>
        </w:rPr>
        <w:t>It has been said that, if such statements were offers, a merchant could be liable to everyone who purported </w:t>
      </w:r>
      <w:bookmarkStart w:name="_bookmark81" w:id="83"/>
      <w:bookmarkEnd w:id="83"/>
      <w:r>
        <w:rPr>
          <w:vertAlign w:val="baseline"/>
        </w:rPr>
        <w:t>to</w:t>
      </w:r>
      <w:r>
        <w:rPr>
          <w:vertAlign w:val="baseline"/>
        </w:rPr>
        <w:t> accept his offer even though his stocks were insufficient to meet the requirements of all the “acceptors”. </w:t>
      </w:r>
      <w:r>
        <w:rPr>
          <w:color w:val="005DA1"/>
          <w:u w:val="single" w:color="005DA1"/>
          <w:vertAlign w:val="superscript"/>
        </w:rPr>
        <w:t>78</w:t>
      </w:r>
      <w:r>
        <w:rPr>
          <w:color w:val="005DA1"/>
          <w:vertAlign w:val="baseline"/>
        </w:rPr>
        <w:t> </w:t>
      </w:r>
      <w:r>
        <w:rPr>
          <w:vertAlign w:val="baseline"/>
        </w:rPr>
        <w:t>But this result would not necessarily follow; for it can be construed as an offer that is “subject to availability”, and so expires as soon as the merchant’s stock is exhausted. There is, again, no absolute rule determining the character of advertisements of bilateral contracts: they are normally </w:t>
      </w:r>
      <w:bookmarkStart w:name="_bookmark82" w:id="84"/>
      <w:bookmarkEnd w:id="84"/>
      <w:r>
        <w:rPr>
          <w:vertAlign w:val="baseline"/>
        </w:rPr>
        <w:t>invitations</w:t>
      </w:r>
      <w:r>
        <w:rPr>
          <w:vertAlign w:val="baseline"/>
        </w:rPr>
        <w:t> to treat, but they may be offers if the advertiser’s intention to be bound immediately on acceptance is sufficiently clear. </w:t>
      </w:r>
      <w:r>
        <w:rPr>
          <w:color w:val="005DA1"/>
          <w:u w:val="single" w:color="005DA1"/>
          <w:vertAlign w:val="superscript"/>
        </w:rPr>
        <w:t>79</w:t>
      </w:r>
    </w:p>
    <w:p>
      <w:pPr>
        <w:pStyle w:val="BodyText"/>
      </w:pPr>
    </w:p>
    <w:p>
      <w:pPr>
        <w:pStyle w:val="BodyText"/>
        <w:spacing w:before="34"/>
      </w:pPr>
    </w:p>
    <w:p>
      <w:pPr>
        <w:spacing w:before="0"/>
        <w:ind w:left="165" w:right="0" w:firstLine="0"/>
        <w:jc w:val="left"/>
        <w:rPr>
          <w:rFonts w:ascii="Arial"/>
          <w:b/>
          <w:sz w:val="18"/>
        </w:rPr>
      </w:pPr>
      <w:r>
        <w:rPr>
          <w:rFonts w:ascii="Arial"/>
          <w:b/>
          <w:sz w:val="18"/>
        </w:rPr>
        <w:t>Advertisements: unilateral </w:t>
      </w:r>
      <w:r>
        <w:rPr>
          <w:rFonts w:ascii="Arial"/>
          <w:b/>
          <w:spacing w:val="-2"/>
          <w:sz w:val="18"/>
        </w:rPr>
        <w:t>contracts</w:t>
      </w:r>
    </w:p>
    <w:p>
      <w:pPr>
        <w:pStyle w:val="BodyText"/>
        <w:spacing w:before="42"/>
        <w:rPr>
          <w:rFonts w:ascii="Arial"/>
          <w:b/>
          <w:sz w:val="18"/>
        </w:rPr>
      </w:pPr>
    </w:p>
    <w:p>
      <w:pPr>
        <w:pStyle w:val="Heading2"/>
      </w:pPr>
      <w:r>
        <w:rPr/>
        <w:t>2-</w:t>
      </w:r>
      <w:r>
        <w:rPr>
          <w:spacing w:val="-5"/>
        </w:rPr>
        <w:t>015</w:t>
      </w:r>
    </w:p>
    <w:p>
      <w:pPr>
        <w:pStyle w:val="BodyText"/>
        <w:spacing w:line="235" w:lineRule="auto" w:before="202"/>
        <w:ind w:left="164" w:right="167"/>
        <w:jc w:val="both"/>
      </w:pPr>
      <w:r>
        <w:rPr/>
        <w:t>Two reasons support the position that advertisements intended to lead to the making of </w:t>
      </w:r>
      <w:r>
        <w:rPr/>
        <w:t>bilateral contracts are commonly regarded as invitations to treat. First, such advertisements often lead to further bargaining, e.g. where a house is advertised for sale. Secondly, the advertiser may</w:t>
      </w:r>
      <w:r>
        <w:rPr>
          <w:spacing w:val="80"/>
        </w:rPr>
        <w:t> </w:t>
      </w:r>
      <w:r>
        <w:rPr/>
        <w:t>legitimately wish, before becoming bound, to assure himself that the other party is able (financially or </w:t>
      </w:r>
      <w:bookmarkStart w:name="_bookmark83" w:id="85"/>
      <w:bookmarkEnd w:id="85"/>
      <w:r>
        <w:rPr/>
        <w:t>otherwise)</w:t>
      </w:r>
      <w:r>
        <w:rPr/>
        <w:t> to perform his obligations under any contract which may result. Neither of these reasons </w:t>
      </w:r>
      <w:bookmarkStart w:name="_bookmark84" w:id="86"/>
      <w:bookmarkEnd w:id="86"/>
      <w:r>
        <w:rPr/>
        <w:t>applies</w:t>
      </w:r>
      <w:r>
        <w:rPr/>
        <w:t> in the case of a unilateral contract </w:t>
      </w:r>
      <w:r>
        <w:rPr>
          <w:color w:val="005DA1"/>
          <w:u w:val="single" w:color="005DA1"/>
          <w:vertAlign w:val="superscript"/>
        </w:rPr>
        <w:t>80</w:t>
      </w:r>
      <w:r>
        <w:rPr>
          <w:vertAlign w:val="baseline"/>
        </w:rPr>
        <w:t>; and advertisements of such contracts are therefore commonly held to be offers. In the leading case of </w:t>
      </w:r>
      <w:r>
        <w:rPr>
          <w:rFonts w:ascii="Arial" w:hAnsi="Arial"/>
          <w:i/>
          <w:vertAlign w:val="baseline"/>
        </w:rPr>
        <w:t>Carlill v Carbolic Smoke Ball Co Ltd</w:t>
      </w:r>
      <w:r>
        <w:rPr>
          <w:vertAlign w:val="baseline"/>
        </w:rPr>
        <w:t>, </w:t>
      </w:r>
      <w:r>
        <w:rPr>
          <w:color w:val="005DA1"/>
          <w:u w:val="single" w:color="005DA1"/>
          <w:vertAlign w:val="superscript"/>
        </w:rPr>
        <w:t>81</w:t>
      </w:r>
      <w:r>
        <w:rPr>
          <w:color w:val="005DA1"/>
          <w:vertAlign w:val="baseline"/>
        </w:rPr>
        <w:t> </w:t>
      </w:r>
      <w:r>
        <w:rPr>
          <w:vertAlign w:val="baseline"/>
        </w:rPr>
        <w:t>for</w:t>
      </w:r>
      <w:r>
        <w:rPr>
          <w:spacing w:val="40"/>
          <w:vertAlign w:val="baseline"/>
        </w:rPr>
        <w:t> </w:t>
      </w:r>
      <w:r>
        <w:rPr>
          <w:vertAlign w:val="baseline"/>
        </w:rPr>
        <w:t>example, the defendants issued an advertisement promising to pay £100 to any person who, in </w:t>
      </w:r>
      <w:bookmarkStart w:name="_bookmark85" w:id="87"/>
      <w:bookmarkEnd w:id="87"/>
      <w:r>
        <w:rPr>
          <w:vertAlign w:val="baseline"/>
        </w:rPr>
        <w:t>accordance</w:t>
      </w:r>
      <w:r>
        <w:rPr>
          <w:vertAlign w:val="baseline"/>
        </w:rPr>
        <w:t> with certain directions, used a carbolic smoke ball made by them and then caught influenza. This was held to be an offer, the defendants’ intention to be bound </w:t>
      </w:r>
      <w:r>
        <w:rPr>
          <w:color w:val="005DA1"/>
          <w:u w:val="single" w:color="005DA1"/>
          <w:vertAlign w:val="superscript"/>
        </w:rPr>
        <w:t>82</w:t>
      </w:r>
      <w:r>
        <w:rPr>
          <w:color w:val="005DA1"/>
          <w:vertAlign w:val="baseline"/>
        </w:rPr>
        <w:t> </w:t>
      </w:r>
      <w:r>
        <w:rPr>
          <w:vertAlign w:val="baseline"/>
        </w:rPr>
        <w:t>being made particularly clear by their statement that they had deposited £1,000 with their bankers “shewing our </w:t>
      </w:r>
      <w:bookmarkStart w:name="_bookmark86" w:id="88"/>
      <w:bookmarkEnd w:id="88"/>
      <w:r>
        <w:rPr>
          <w:vertAlign w:val="baseline"/>
        </w:rPr>
        <w:t>sincerity</w:t>
      </w:r>
      <w:r>
        <w:rPr>
          <w:vertAlign w:val="baseline"/>
        </w:rPr>
        <w:t> in the matter”. A case nearer the borderline was </w:t>
      </w:r>
      <w:r>
        <w:rPr>
          <w:rFonts w:ascii="Arial" w:hAnsi="Arial"/>
          <w:i/>
          <w:vertAlign w:val="baseline"/>
        </w:rPr>
        <w:t>Bowerman v Association of British Travel Agents Ltd </w:t>
      </w:r>
      <w:r>
        <w:rPr>
          <w:color w:val="005DA1"/>
          <w:u w:val="single" w:color="005DA1"/>
          <w:vertAlign w:val="superscript"/>
        </w:rPr>
        <w:t>83</w:t>
      </w:r>
      <w:r>
        <w:rPr>
          <w:color w:val="005DA1"/>
          <w:vertAlign w:val="baseline"/>
        </w:rPr>
        <w:t> </w:t>
      </w:r>
      <w:r>
        <w:rPr>
          <w:vertAlign w:val="baseline"/>
        </w:rPr>
        <w:t>where a package holiday had been booked with a tour operator who was a member of the defendant association (ABTA). A notice displayed on the tour operator’s premises stated, inter alia, that in the event of the financial failure of an ABTA member before commencement of the </w:t>
      </w:r>
      <w:bookmarkStart w:name="_bookmark87" w:id="89"/>
      <w:bookmarkEnd w:id="89"/>
      <w:r>
        <w:rPr>
          <w:vertAlign w:val="baseline"/>
        </w:rPr>
        <w:t>holiday,</w:t>
      </w:r>
      <w:r>
        <w:rPr>
          <w:vertAlign w:val="baseline"/>
        </w:rPr>
        <w:t> “ABTA arranges for you to be reimbursed the money you have paid for your holiday”. A majority</w:t>
      </w:r>
      <w:r>
        <w:rPr>
          <w:spacing w:val="7"/>
          <w:vertAlign w:val="baseline"/>
        </w:rPr>
        <w:t> </w:t>
      </w:r>
      <w:r>
        <w:rPr>
          <w:vertAlign w:val="baseline"/>
        </w:rPr>
        <w:t>of</w:t>
      </w:r>
      <w:r>
        <w:rPr>
          <w:spacing w:val="7"/>
          <w:vertAlign w:val="baseline"/>
        </w:rPr>
        <w:t> </w:t>
      </w:r>
      <w:r>
        <w:rPr>
          <w:vertAlign w:val="baseline"/>
        </w:rPr>
        <w:t>the</w:t>
      </w:r>
      <w:r>
        <w:rPr>
          <w:spacing w:val="7"/>
          <w:vertAlign w:val="baseline"/>
        </w:rPr>
        <w:t> </w:t>
      </w:r>
      <w:r>
        <w:rPr>
          <w:vertAlign w:val="baseline"/>
        </w:rPr>
        <w:t>Court</w:t>
      </w:r>
      <w:r>
        <w:rPr>
          <w:spacing w:val="7"/>
          <w:vertAlign w:val="baseline"/>
        </w:rPr>
        <w:t> </w:t>
      </w:r>
      <w:r>
        <w:rPr>
          <w:vertAlign w:val="baseline"/>
        </w:rPr>
        <w:t>of</w:t>
      </w:r>
      <w:r>
        <w:rPr>
          <w:spacing w:val="7"/>
          <w:vertAlign w:val="baseline"/>
        </w:rPr>
        <w:t> </w:t>
      </w:r>
      <w:r>
        <w:rPr>
          <w:vertAlign w:val="baseline"/>
        </w:rPr>
        <w:t>Appeal</w:t>
      </w:r>
      <w:r>
        <w:rPr>
          <w:spacing w:val="7"/>
          <w:vertAlign w:val="baseline"/>
        </w:rPr>
        <w:t> </w:t>
      </w:r>
      <w:r>
        <w:rPr>
          <w:vertAlign w:val="baseline"/>
        </w:rPr>
        <w:t>held</w:t>
      </w:r>
      <w:r>
        <w:rPr>
          <w:spacing w:val="7"/>
          <w:vertAlign w:val="baseline"/>
        </w:rPr>
        <w:t> </w:t>
      </w:r>
      <w:r>
        <w:rPr>
          <w:vertAlign w:val="baseline"/>
        </w:rPr>
        <w:t>that</w:t>
      </w:r>
      <w:r>
        <w:rPr>
          <w:spacing w:val="7"/>
          <w:vertAlign w:val="baseline"/>
        </w:rPr>
        <w:t> </w:t>
      </w:r>
      <w:r>
        <w:rPr>
          <w:vertAlign w:val="baseline"/>
        </w:rPr>
        <w:t>these</w:t>
      </w:r>
      <w:r>
        <w:rPr>
          <w:spacing w:val="7"/>
          <w:vertAlign w:val="baseline"/>
        </w:rPr>
        <w:t> </w:t>
      </w:r>
      <w:r>
        <w:rPr>
          <w:vertAlign w:val="baseline"/>
        </w:rPr>
        <w:t>words</w:t>
      </w:r>
      <w:r>
        <w:rPr>
          <w:spacing w:val="7"/>
          <w:vertAlign w:val="baseline"/>
        </w:rPr>
        <w:t> </w:t>
      </w:r>
      <w:r>
        <w:rPr>
          <w:vertAlign w:val="baseline"/>
        </w:rPr>
        <w:t>constituted</w:t>
      </w:r>
      <w:r>
        <w:rPr>
          <w:spacing w:val="7"/>
          <w:vertAlign w:val="baseline"/>
        </w:rPr>
        <w:t> </w:t>
      </w:r>
      <w:r>
        <w:rPr>
          <w:vertAlign w:val="baseline"/>
        </w:rPr>
        <w:t>an</w:t>
      </w:r>
      <w:r>
        <w:rPr>
          <w:spacing w:val="7"/>
          <w:vertAlign w:val="baseline"/>
        </w:rPr>
        <w:t> </w:t>
      </w:r>
      <w:r>
        <w:rPr>
          <w:vertAlign w:val="baseline"/>
        </w:rPr>
        <w:t>offer</w:t>
      </w:r>
      <w:r>
        <w:rPr>
          <w:spacing w:val="7"/>
          <w:vertAlign w:val="baseline"/>
        </w:rPr>
        <w:t> </w:t>
      </w:r>
      <w:r>
        <w:rPr>
          <w:vertAlign w:val="baseline"/>
        </w:rPr>
        <w:t>since,</w:t>
      </w:r>
      <w:r>
        <w:rPr>
          <w:spacing w:val="7"/>
          <w:vertAlign w:val="baseline"/>
        </w:rPr>
        <w:t> </w:t>
      </w:r>
      <w:r>
        <w:rPr>
          <w:vertAlign w:val="baseline"/>
        </w:rPr>
        <w:t>on</w:t>
      </w:r>
      <w:r>
        <w:rPr>
          <w:spacing w:val="7"/>
          <w:vertAlign w:val="baseline"/>
        </w:rPr>
        <w:t> </w:t>
      </w:r>
      <w:r>
        <w:rPr>
          <w:vertAlign w:val="baseline"/>
        </w:rPr>
        <w:t>the</w:t>
      </w:r>
      <w:r>
        <w:rPr>
          <w:spacing w:val="7"/>
          <w:vertAlign w:val="baseline"/>
        </w:rPr>
        <w:t> </w:t>
      </w:r>
      <w:r>
        <w:rPr>
          <w:vertAlign w:val="baseline"/>
        </w:rPr>
        <w:t>objective</w:t>
      </w:r>
      <w:r>
        <w:rPr>
          <w:spacing w:val="7"/>
          <w:vertAlign w:val="baseline"/>
        </w:rPr>
        <w:t> </w:t>
      </w:r>
      <w:r>
        <w:rPr>
          <w:spacing w:val="-2"/>
          <w:vertAlign w:val="baseline"/>
        </w:rPr>
        <w:t>test,</w:t>
      </w:r>
    </w:p>
    <w:p>
      <w:pPr>
        <w:pStyle w:val="BodyText"/>
        <w:spacing w:line="235" w:lineRule="auto"/>
        <w:ind w:left="165" w:right="167"/>
        <w:jc w:val="both"/>
      </w:pPr>
      <w:r>
        <w:rPr>
          <w:color w:val="005DA1"/>
          <w:u w:val="single" w:color="005DA1"/>
          <w:vertAlign w:val="superscript"/>
        </w:rPr>
        <w:t>84</w:t>
      </w:r>
      <w:r>
        <w:rPr>
          <w:color w:val="005DA1"/>
          <w:vertAlign w:val="baseline"/>
        </w:rPr>
        <w:t> </w:t>
      </w:r>
      <w:r>
        <w:rPr>
          <w:vertAlign w:val="baseline"/>
        </w:rPr>
        <w:t>they would reasonably be regarded as such by a member of the public booking a holiday with an ABTA member.</w:t>
      </w:r>
    </w:p>
    <w:p>
      <w:pPr>
        <w:pStyle w:val="BodyText"/>
      </w:pPr>
    </w:p>
    <w:p>
      <w:pPr>
        <w:pStyle w:val="BodyText"/>
        <w:spacing w:before="32"/>
      </w:pPr>
    </w:p>
    <w:p>
      <w:pPr>
        <w:spacing w:before="0"/>
        <w:ind w:left="165" w:right="0" w:firstLine="0"/>
        <w:jc w:val="left"/>
        <w:rPr>
          <w:rFonts w:ascii="Arial"/>
          <w:b/>
          <w:sz w:val="18"/>
        </w:rPr>
      </w:pPr>
      <w:r>
        <w:rPr>
          <w:rFonts w:ascii="Arial"/>
          <w:b/>
          <w:spacing w:val="-2"/>
          <w:sz w:val="18"/>
        </w:rPr>
        <w:t>Rewards</w:t>
      </w:r>
    </w:p>
    <w:p>
      <w:pPr>
        <w:pStyle w:val="BodyText"/>
        <w:spacing w:before="41"/>
        <w:rPr>
          <w:rFonts w:ascii="Arial"/>
          <w:b/>
          <w:sz w:val="18"/>
        </w:rPr>
      </w:pPr>
    </w:p>
    <w:p>
      <w:pPr>
        <w:pStyle w:val="Heading2"/>
      </w:pPr>
      <w:r>
        <w:rPr/>
        <w:t>2-</w:t>
      </w:r>
      <w:r>
        <w:rPr>
          <w:spacing w:val="-5"/>
        </w:rPr>
        <w:t>016</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bookmarkStart w:name="_bookmark88" w:id="90"/>
      <w:bookmarkEnd w:id="90"/>
      <w:r>
        <w:rPr/>
      </w:r>
      <w:r>
        <w:rPr/>
        <w:t>Advertisements of rewards for the return of lost or stolen property, or for information leading to the capture or conviction of a criminal, are commonly regarded as offers. </w:t>
      </w:r>
      <w:r>
        <w:rPr>
          <w:color w:val="005DA1"/>
          <w:u w:val="single" w:color="005DA1"/>
          <w:vertAlign w:val="superscript"/>
        </w:rPr>
        <w:t>85</w:t>
      </w:r>
      <w:r>
        <w:rPr>
          <w:color w:val="005DA1"/>
          <w:vertAlign w:val="baseline"/>
        </w:rPr>
        <w:t> </w:t>
      </w:r>
      <w:r>
        <w:rPr>
          <w:vertAlign w:val="baseline"/>
        </w:rPr>
        <w:t>Some difficulty arises if, in </w:t>
      </w:r>
      <w:bookmarkStart w:name="_bookmark89" w:id="91"/>
      <w:bookmarkEnd w:id="91"/>
      <w:r>
        <w:rPr>
          <w:vertAlign w:val="baseline"/>
        </w:rPr>
        <w:t>cases</w:t>
      </w:r>
      <w:r>
        <w:rPr>
          <w:vertAlign w:val="baseline"/>
        </w:rPr>
        <w:t> of this kind, the information is given by several persons in succession. In one case it was held that the first person to give the information was alone entitled to the reward </w:t>
      </w:r>
      <w:r>
        <w:rPr>
          <w:color w:val="005DA1"/>
          <w:u w:val="single" w:color="005DA1"/>
          <w:vertAlign w:val="superscript"/>
        </w:rPr>
        <w:t>86</w:t>
      </w:r>
      <w:r>
        <w:rPr>
          <w:color w:val="005DA1"/>
          <w:vertAlign w:val="baseline"/>
        </w:rPr>
        <w:t> </w:t>
      </w:r>
      <w:r>
        <w:rPr>
          <w:vertAlign w:val="baseline"/>
        </w:rPr>
        <w:t>as the offeror did not </w:t>
      </w:r>
      <w:bookmarkStart w:name="_bookmark90" w:id="92"/>
      <w:bookmarkEnd w:id="92"/>
      <w:r>
        <w:rPr>
          <w:vertAlign w:val="baseline"/>
        </w:rPr>
        <w:t>intend</w:t>
      </w:r>
      <w:r>
        <w:rPr>
          <w:vertAlign w:val="baseline"/>
        </w:rPr>
        <w:t> to pay more than once. This is no doubt the most likely construction; but an advertisement could be so worded as to impose a more extensive liability. The defendants’ liability in </w:t>
      </w:r>
      <w:r>
        <w:rPr>
          <w:rFonts w:ascii="Arial" w:hAnsi="Arial"/>
          <w:i/>
          <w:vertAlign w:val="baseline"/>
        </w:rPr>
        <w:t>Carlill’s </w:t>
      </w:r>
      <w:r>
        <w:rPr>
          <w:color w:val="005DA1"/>
          <w:u w:val="single" w:color="005DA1"/>
          <w:vertAlign w:val="superscript"/>
        </w:rPr>
        <w:t>87</w:t>
      </w:r>
      <w:r>
        <w:rPr>
          <w:color w:val="005DA1"/>
          <w:vertAlign w:val="baseline"/>
        </w:rPr>
        <w:t> </w:t>
      </w:r>
      <w:r>
        <w:rPr>
          <w:vertAlign w:val="baseline"/>
        </w:rPr>
        <w:t>case would not have been limited to 10 persons merely because the advertisement stated that they had deposited only £1,000.</w:t>
      </w:r>
    </w:p>
    <w:p>
      <w:pPr>
        <w:pStyle w:val="BodyText"/>
      </w:pPr>
    </w:p>
    <w:p>
      <w:pPr>
        <w:pStyle w:val="BodyText"/>
        <w:spacing w:before="36"/>
      </w:pPr>
    </w:p>
    <w:p>
      <w:pPr>
        <w:spacing w:before="0"/>
        <w:ind w:left="165" w:right="0" w:firstLine="0"/>
        <w:jc w:val="both"/>
        <w:rPr>
          <w:rFonts w:ascii="Arial"/>
          <w:b/>
          <w:sz w:val="18"/>
        </w:rPr>
      </w:pPr>
      <w:r>
        <w:rPr>
          <w:rFonts w:ascii="Arial"/>
          <w:b/>
          <w:sz w:val="18"/>
        </w:rPr>
        <w:t>Other liability in connection with </w:t>
      </w:r>
      <w:r>
        <w:rPr>
          <w:rFonts w:ascii="Arial"/>
          <w:b/>
          <w:spacing w:val="-2"/>
          <w:sz w:val="18"/>
        </w:rPr>
        <w:t>advertisements</w:t>
      </w:r>
    </w:p>
    <w:p>
      <w:pPr>
        <w:pStyle w:val="BodyText"/>
        <w:spacing w:before="41"/>
        <w:rPr>
          <w:rFonts w:ascii="Arial"/>
          <w:b/>
          <w:sz w:val="18"/>
        </w:rPr>
      </w:pPr>
    </w:p>
    <w:p>
      <w:pPr>
        <w:pStyle w:val="Heading2"/>
      </w:pPr>
      <w:r>
        <w:rPr/>
        <w:t>2-</w:t>
      </w:r>
      <w:r>
        <w:rPr>
          <w:spacing w:val="-5"/>
        </w:rPr>
        <w:t>017</w:t>
      </w:r>
    </w:p>
    <w:p>
      <w:pPr>
        <w:pStyle w:val="BodyText"/>
        <w:spacing w:line="235" w:lineRule="auto" w:before="203"/>
        <w:ind w:left="164" w:right="167"/>
        <w:jc w:val="both"/>
      </w:pPr>
      <w:bookmarkStart w:name="_bookmark91" w:id="93"/>
      <w:bookmarkEnd w:id="93"/>
      <w:r>
        <w:rPr/>
      </w:r>
      <w:r>
        <w:rPr/>
        <w:t>A statement about goods made by the manufacturer in response to a direct enquiry from the ultimate </w:t>
      </w:r>
      <w:bookmarkStart w:name="_bookmark92" w:id="94"/>
      <w:bookmarkEnd w:id="94"/>
      <w:r>
        <w:rPr/>
        <w:t>purchaser</w:t>
      </w:r>
      <w:r>
        <w:rPr/>
        <w:t> has sometimes been held to amount to a collateral contract </w:t>
      </w:r>
      <w:r>
        <w:rPr>
          <w:color w:val="005DA1"/>
          <w:u w:val="single" w:color="005DA1"/>
          <w:vertAlign w:val="superscript"/>
        </w:rPr>
        <w:t>88</w:t>
      </w:r>
      <w:r>
        <w:rPr>
          <w:vertAlign w:val="baseline"/>
        </w:rPr>
        <w:t>; but not a general advertisement</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manufacturer.</w:t>
      </w:r>
      <w:r>
        <w:rPr>
          <w:spacing w:val="-2"/>
          <w:vertAlign w:val="baseline"/>
        </w:rPr>
        <w:t> </w:t>
      </w:r>
      <w:r>
        <w:rPr>
          <w:color w:val="005DA1"/>
          <w:u w:val="single" w:color="005DA1"/>
          <w:vertAlign w:val="superscript"/>
        </w:rPr>
        <w:t>89</w:t>
      </w:r>
      <w:r>
        <w:rPr>
          <w:color w:val="005DA1"/>
          <w:spacing w:val="-2"/>
          <w:vertAlign w:val="baseline"/>
        </w:rPr>
        <w:t> </w:t>
      </w:r>
      <w:r>
        <w:rPr>
          <w:vertAlign w:val="baseline"/>
        </w:rPr>
        <w:t>However,</w:t>
      </w:r>
      <w:r>
        <w:rPr>
          <w:spacing w:val="-2"/>
          <w:vertAlign w:val="baseline"/>
        </w:rPr>
        <w:t> </w:t>
      </w:r>
      <w:r>
        <w:rPr>
          <w:vertAlign w:val="baseline"/>
        </w:rPr>
        <w:t>a</w:t>
      </w:r>
      <w:r>
        <w:rPr>
          <w:spacing w:val="-2"/>
          <w:vertAlign w:val="baseline"/>
        </w:rPr>
        <w:t> </w:t>
      </w:r>
      <w:r>
        <w:rPr>
          <w:vertAlign w:val="baseline"/>
        </w:rPr>
        <w:t>person</w:t>
      </w:r>
      <w:r>
        <w:rPr>
          <w:spacing w:val="-2"/>
          <w:vertAlign w:val="baseline"/>
        </w:rPr>
        <w:t> </w:t>
      </w:r>
      <w:r>
        <w:rPr>
          <w:vertAlign w:val="baseline"/>
        </w:rPr>
        <w:t>who</w:t>
      </w:r>
      <w:r>
        <w:rPr>
          <w:spacing w:val="-2"/>
          <w:vertAlign w:val="baseline"/>
        </w:rPr>
        <w:t> </w:t>
      </w:r>
      <w:r>
        <w:rPr>
          <w:vertAlign w:val="baseline"/>
        </w:rPr>
        <w:t>issues</w:t>
      </w:r>
      <w:r>
        <w:rPr>
          <w:spacing w:val="-2"/>
          <w:vertAlign w:val="baseline"/>
        </w:rPr>
        <w:t> </w:t>
      </w:r>
      <w:r>
        <w:rPr>
          <w:vertAlign w:val="baseline"/>
        </w:rPr>
        <w:t>an</w:t>
      </w:r>
      <w:r>
        <w:rPr>
          <w:spacing w:val="-2"/>
          <w:vertAlign w:val="baseline"/>
        </w:rPr>
        <w:t> </w:t>
      </w:r>
      <w:r>
        <w:rPr>
          <w:vertAlign w:val="baseline"/>
        </w:rPr>
        <w:t>advertisement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under some form of liability even though the advertisement does not amount to an offer. For example, a person who indicates by such an advertisement that he intends to sell goods when he in fact has no such intention might be liable in deceit to someone who suffered loss by acting in reliance on the </w:t>
      </w:r>
      <w:bookmarkStart w:name="_bookmark93" w:id="95"/>
      <w:bookmarkEnd w:id="95"/>
      <w:r>
        <w:rPr>
          <w:vertAlign w:val="baseline"/>
        </w:rPr>
        <w:t>statement;</w:t>
      </w:r>
      <w:r>
        <w:rPr>
          <w:vertAlign w:val="baseline"/>
        </w:rPr>
        <w:t> and he might incur criminal liability under legislation passed for the protection of </w:t>
      </w:r>
      <w:bookmarkStart w:name="_bookmark94" w:id="96"/>
      <w:bookmarkEnd w:id="96"/>
      <w:r>
        <w:rPr>
          <w:vertAlign w:val="baseline"/>
        </w:rPr>
        <w:t>consumers,</w:t>
      </w:r>
      <w:r>
        <w:rPr>
          <w:vertAlign w:val="baseline"/>
        </w:rPr>
        <w:t> </w:t>
      </w:r>
      <w:r>
        <w:rPr>
          <w:color w:val="005DA1"/>
          <w:u w:val="single" w:color="005DA1"/>
          <w:vertAlign w:val="superscript"/>
        </w:rPr>
        <w:t>90</w:t>
      </w:r>
      <w:r>
        <w:rPr>
          <w:color w:val="005DA1"/>
          <w:vertAlign w:val="baseline"/>
        </w:rPr>
        <w:t> </w:t>
      </w:r>
      <w:r>
        <w:rPr>
          <w:vertAlign w:val="baseline"/>
        </w:rPr>
        <w:t>or even of traders who are misled by statements made by their suppliers in the course </w:t>
      </w:r>
      <w:bookmarkStart w:name="_bookmark95" w:id="97"/>
      <w:bookmarkEnd w:id="97"/>
      <w:r>
        <w:rPr>
          <w:vertAlign w:val="baseline"/>
        </w:rPr>
        <w:t>of</w:t>
      </w:r>
      <w:r>
        <w:rPr>
          <w:vertAlign w:val="baseline"/>
        </w:rPr>
        <w:t> marketing. </w:t>
      </w:r>
      <w:r>
        <w:rPr>
          <w:color w:val="005DA1"/>
          <w:u w:val="single" w:color="005DA1"/>
          <w:vertAlign w:val="superscript"/>
        </w:rPr>
        <w:t>91</w:t>
      </w:r>
      <w:r>
        <w:rPr>
          <w:color w:val="005DA1"/>
          <w:vertAlign w:val="baseline"/>
        </w:rPr>
        <w:t> </w:t>
      </w:r>
      <w:r>
        <w:rPr>
          <w:vertAlign w:val="baseline"/>
        </w:rPr>
        <w:t>He may also be liable for false statements in advertisements relating to the characteristics of the subject-matter, or to the terms on which it is to be supplied. </w:t>
      </w:r>
      <w:r>
        <w:rPr>
          <w:color w:val="005DA1"/>
          <w:u w:val="single" w:color="005DA1"/>
          <w:vertAlign w:val="superscript"/>
        </w:rPr>
        <w:t>92</w:t>
      </w:r>
      <w:r>
        <w:rPr>
          <w:color w:val="005DA1"/>
          <w:vertAlign w:val="baseline"/>
        </w:rPr>
        <w:t> </w:t>
      </w:r>
      <w:r>
        <w:rPr>
          <w:vertAlign w:val="baseline"/>
        </w:rPr>
        <w:t>Two further possibilities arise where the advertisement leads to the making of a contract for the sale or supply of goods to a consumer. First, the advertisement may amount to a “consumer guarantee” and so take </w:t>
      </w:r>
      <w:bookmarkStart w:name="_bookmark96" w:id="98"/>
      <w:bookmarkEnd w:id="98"/>
      <w:r>
        <w:rPr>
          <w:vertAlign w:val="baseline"/>
        </w:rPr>
        <w:t>effect</w:t>
      </w:r>
      <w:r>
        <w:rPr>
          <w:vertAlign w:val="baseline"/>
        </w:rPr>
        <w:t> as a “contractual obligation” owed by the guarantor by virtue of the Sale and Supply of Goods</w:t>
      </w:r>
      <w:r>
        <w:rPr>
          <w:spacing w:val="80"/>
          <w:vertAlign w:val="baseline"/>
        </w:rPr>
        <w:t> </w:t>
      </w:r>
      <w:bookmarkStart w:name="_bookmark97" w:id="99"/>
      <w:bookmarkEnd w:id="99"/>
      <w:r>
        <w:rPr>
          <w:vertAlign w:val="baseline"/>
        </w:rPr>
        <w:t>to</w:t>
      </w:r>
      <w:r>
        <w:rPr>
          <w:vertAlign w:val="baseline"/>
        </w:rPr>
        <w:t> Consumers Regulations 2002. </w:t>
      </w:r>
      <w:r>
        <w:rPr>
          <w:color w:val="005DA1"/>
          <w:u w:val="single" w:color="005DA1"/>
          <w:vertAlign w:val="superscript"/>
        </w:rPr>
        <w:t>93</w:t>
      </w:r>
      <w:r>
        <w:rPr>
          <w:color w:val="005DA1"/>
          <w:vertAlign w:val="baseline"/>
        </w:rPr>
        <w:t> </w:t>
      </w:r>
      <w:r>
        <w:rPr>
          <w:vertAlign w:val="baseline"/>
        </w:rPr>
        <w:t>The Consumer Rights Act 2015 revokes the 2002 Regulations </w:t>
      </w:r>
      <w:r>
        <w:rPr>
          <w:color w:val="005DA1"/>
          <w:u w:val="single" w:color="005DA1"/>
          <w:vertAlign w:val="superscript"/>
        </w:rPr>
        <w:t>94</w:t>
      </w:r>
      <w:r>
        <w:rPr>
          <w:vertAlign w:val="baseline"/>
        </w:rPr>
        <w:t>; but stipulates that when a trader supplies goods to a consumer </w:t>
      </w:r>
      <w:r>
        <w:rPr>
          <w:color w:val="005DA1"/>
          <w:u w:val="single" w:color="005DA1"/>
          <w:vertAlign w:val="superscript"/>
        </w:rPr>
        <w:t>95</w:t>
      </w:r>
      <w:r>
        <w:rPr>
          <w:vertAlign w:val="baseline"/>
        </w:rPr>
        <w:t>:</w:t>
      </w:r>
    </w:p>
    <w:p>
      <w:pPr>
        <w:pStyle w:val="BodyText"/>
      </w:pPr>
    </w:p>
    <w:p>
      <w:pPr>
        <w:pStyle w:val="BodyText"/>
        <w:spacing w:before="121"/>
      </w:pPr>
    </w:p>
    <w:p>
      <w:pPr>
        <w:pStyle w:val="BodyText"/>
        <w:spacing w:line="235" w:lineRule="auto"/>
        <w:ind w:left="1245" w:right="168"/>
        <w:jc w:val="both"/>
      </w:pPr>
      <w:r>
        <w:rPr/>
        <w:t>“the guarantee takes effect, at the time the goods are delivered, as a </w:t>
      </w:r>
      <w:r>
        <w:rPr/>
        <w:t>contractual </w:t>
      </w:r>
      <w:bookmarkStart w:name="_bookmark98" w:id="100"/>
      <w:bookmarkEnd w:id="100"/>
      <w:r>
        <w:rPr/>
        <w:t>obligation</w:t>
      </w:r>
      <w:r>
        <w:rPr/>
        <w:t> owed by the </w:t>
      </w:r>
      <w:r>
        <w:rPr>
          <w:rFonts w:ascii="Arial" w:hAnsi="Arial"/>
          <w:i/>
        </w:rPr>
        <w:t>guarantor </w:t>
      </w:r>
      <w:r>
        <w:rPr/>
        <w:t>under the conditions set out in the guarantee statement and in any </w:t>
      </w:r>
      <w:r>
        <w:rPr>
          <w:rFonts w:ascii="Arial" w:hAnsi="Arial"/>
          <w:i/>
        </w:rPr>
        <w:t>associated advertising”</w:t>
      </w:r>
      <w:r>
        <w:rPr/>
        <w:t>(italics added). </w:t>
      </w:r>
      <w:r>
        <w:rPr>
          <w:color w:val="005DA1"/>
          <w:u w:val="single" w:color="005DA1"/>
          <w:vertAlign w:val="superscript"/>
        </w:rPr>
        <w:t>96</w:t>
      </w:r>
    </w:p>
    <w:p>
      <w:pPr>
        <w:pStyle w:val="BodyText"/>
        <w:spacing w:before="115"/>
      </w:pPr>
    </w:p>
    <w:p>
      <w:pPr>
        <w:pStyle w:val="BodyText"/>
        <w:spacing w:line="235" w:lineRule="auto" w:before="1"/>
        <w:ind w:left="165" w:right="167"/>
        <w:jc w:val="both"/>
      </w:pPr>
      <w:bookmarkStart w:name="_bookmark99" w:id="101"/>
      <w:bookmarkEnd w:id="101"/>
      <w:r>
        <w:rPr/>
      </w:r>
      <w:r>
        <w:rPr/>
        <w:t>Liability in connection with advertisements can also arise under a “commercial guarantee” within </w:t>
      </w:r>
      <w:r>
        <w:rPr/>
        <w:t>the Consumer Protection (Information, Cancellation and Additional Charges) Regulations 2013. </w:t>
      </w:r>
      <w:r>
        <w:rPr>
          <w:color w:val="005DA1"/>
          <w:u w:val="single" w:color="005DA1"/>
          <w:vertAlign w:val="superscript"/>
        </w:rPr>
        <w:t>97</w:t>
      </w:r>
      <w:r>
        <w:rPr>
          <w:color w:val="005DA1"/>
          <w:vertAlign w:val="baseline"/>
        </w:rPr>
        <w:t> </w:t>
      </w:r>
      <w:r>
        <w:rPr>
          <w:vertAlign w:val="baseline"/>
        </w:rPr>
        <w:t>Regulation 5 defines such a guarantee as:</w:t>
      </w:r>
    </w:p>
    <w:p>
      <w:pPr>
        <w:pStyle w:val="BodyText"/>
      </w:pPr>
    </w:p>
    <w:p>
      <w:pPr>
        <w:pStyle w:val="BodyText"/>
        <w:spacing w:before="125"/>
      </w:pPr>
    </w:p>
    <w:p>
      <w:pPr>
        <w:pStyle w:val="BodyText"/>
        <w:spacing w:line="235" w:lineRule="auto"/>
        <w:ind w:left="1245" w:right="167"/>
        <w:jc w:val="both"/>
      </w:pPr>
      <w:r>
        <w:rPr/>
        <w:t>“an</w:t>
      </w:r>
      <w:r>
        <w:rPr>
          <w:spacing w:val="-2"/>
        </w:rPr>
        <w:t> </w:t>
      </w:r>
      <w:r>
        <w:rPr/>
        <w:t>undertaking</w:t>
      </w:r>
      <w:r>
        <w:rPr>
          <w:spacing w:val="-2"/>
        </w:rPr>
        <w:t> </w:t>
      </w:r>
      <w:r>
        <w:rPr/>
        <w:t>given</w:t>
      </w:r>
      <w:r>
        <w:rPr>
          <w:spacing w:val="-2"/>
        </w:rPr>
        <w:t> </w:t>
      </w:r>
      <w:r>
        <w:rPr/>
        <w:t>by</w:t>
      </w:r>
      <w:r>
        <w:rPr>
          <w:spacing w:val="-2"/>
        </w:rPr>
        <w:t> </w:t>
      </w:r>
      <w:r>
        <w:rPr/>
        <w:t>the</w:t>
      </w:r>
      <w:r>
        <w:rPr>
          <w:spacing w:val="-2"/>
        </w:rPr>
        <w:t> </w:t>
      </w:r>
      <w:r>
        <w:rPr/>
        <w:t>trader</w:t>
      </w:r>
      <w:r>
        <w:rPr>
          <w:spacing w:val="-3"/>
        </w:rPr>
        <w:t> </w:t>
      </w:r>
      <w:r>
        <w:rPr>
          <w:rFonts w:ascii="Arial" w:hAnsi="Arial"/>
          <w:i/>
        </w:rPr>
        <w:t>or</w:t>
      </w:r>
      <w:r>
        <w:rPr>
          <w:rFonts w:ascii="Arial" w:hAnsi="Arial"/>
          <w:i/>
          <w:spacing w:val="-2"/>
        </w:rPr>
        <w:t> </w:t>
      </w:r>
      <w:r>
        <w:rPr>
          <w:rFonts w:ascii="Arial" w:hAnsi="Arial"/>
          <w:i/>
        </w:rPr>
        <w:t>producer</w:t>
      </w:r>
      <w:r>
        <w:rPr>
          <w:rFonts w:ascii="Arial" w:hAnsi="Arial"/>
          <w:i/>
          <w:spacing w:val="-2"/>
        </w:rPr>
        <w:t> </w:t>
      </w:r>
      <w:r>
        <w:rPr/>
        <w:t>to</w:t>
      </w:r>
      <w:r>
        <w:rPr>
          <w:spacing w:val="-2"/>
        </w:rPr>
        <w:t> </w:t>
      </w:r>
      <w:r>
        <w:rPr/>
        <w:t>the</w:t>
      </w:r>
      <w:r>
        <w:rPr>
          <w:spacing w:val="-2"/>
        </w:rPr>
        <w:t> </w:t>
      </w:r>
      <w:r>
        <w:rPr/>
        <w:t>consumer</w:t>
      </w:r>
      <w:r>
        <w:rPr>
          <w:spacing w:val="-2"/>
        </w:rPr>
        <w:t> </w:t>
      </w:r>
      <w:r>
        <w:rPr/>
        <w:t>…</w:t>
      </w:r>
      <w:r>
        <w:rPr>
          <w:spacing w:val="-2"/>
        </w:rPr>
        <w:t> </w:t>
      </w:r>
      <w:r>
        <w:rPr/>
        <w:t>to</w:t>
      </w:r>
      <w:r>
        <w:rPr>
          <w:spacing w:val="-2"/>
        </w:rPr>
        <w:t> </w:t>
      </w:r>
      <w:r>
        <w:rPr/>
        <w:t>reimburse</w:t>
      </w:r>
      <w:r>
        <w:rPr>
          <w:spacing w:val="-2"/>
        </w:rPr>
        <w:t> </w:t>
      </w:r>
      <w:r>
        <w:rPr/>
        <w:t>the</w:t>
      </w:r>
      <w:r>
        <w:rPr>
          <w:spacing w:val="-2"/>
        </w:rPr>
        <w:t> </w:t>
      </w:r>
      <w:r>
        <w:rPr/>
        <w:t>price paid or to replace, repair or service goods … if they do not meet the specifications or any other requirements … set out in the guarantee statement or in the relevant </w:t>
      </w:r>
      <w:r>
        <w:rPr>
          <w:rFonts w:ascii="Arial" w:hAnsi="Arial"/>
          <w:i/>
        </w:rPr>
        <w:t>advertising </w:t>
      </w:r>
      <w:r>
        <w:rPr/>
        <w:t>available at the time of the contract or before it is entered into”(italics added).</w:t>
      </w:r>
    </w:p>
    <w:p>
      <w:pPr>
        <w:pStyle w:val="BodyText"/>
      </w:pPr>
    </w:p>
    <w:p>
      <w:pPr>
        <w:pStyle w:val="BodyText"/>
        <w:spacing w:before="205"/>
      </w:pPr>
    </w:p>
    <w:p>
      <w:pPr>
        <w:pStyle w:val="BodyText"/>
        <w:spacing w:line="235" w:lineRule="auto"/>
        <w:ind w:left="165" w:right="167"/>
        <w:jc w:val="both"/>
      </w:pPr>
      <w:bookmarkStart w:name="_bookmark100" w:id="102"/>
      <w:bookmarkEnd w:id="102"/>
      <w:r>
        <w:rPr/>
      </w:r>
      <w:r>
        <w:rPr/>
        <w:t>When such an undertaking is given by the “trader” to the “consumer”, then the undertaking (i.e. </w:t>
      </w:r>
      <w:r>
        <w:rPr/>
        <w:t>the guarantee) will take effect as a term </w:t>
      </w:r>
      <w:r>
        <w:rPr>
          <w:color w:val="005DA1"/>
          <w:u w:val="single" w:color="005DA1"/>
          <w:vertAlign w:val="superscript"/>
        </w:rPr>
        <w:t>98</w:t>
      </w:r>
      <w:r>
        <w:rPr>
          <w:color w:val="005DA1"/>
          <w:vertAlign w:val="baseline"/>
        </w:rPr>
        <w:t> </w:t>
      </w:r>
      <w:r>
        <w:rPr>
          <w:vertAlign w:val="baseline"/>
        </w:rPr>
        <w:t>in the “sales contract”, defined in reg.5 as a contract between these parties. But this reasoning cannot apply where the undertaking is given by the </w:t>
      </w:r>
      <w:r>
        <w:rPr>
          <w:rFonts w:ascii="Arial" w:hAnsi="Arial"/>
          <w:i/>
          <w:vertAlign w:val="baseline"/>
        </w:rPr>
        <w:t>producer </w:t>
      </w:r>
      <w:r>
        <w:rPr>
          <w:vertAlign w:val="baseline"/>
        </w:rPr>
        <w:t>in </w:t>
      </w:r>
      <w:r>
        <w:rPr>
          <w:rFonts w:ascii="Arial" w:hAnsi="Arial"/>
          <w:i/>
          <w:vertAlign w:val="baseline"/>
        </w:rPr>
        <w:t>advertising </w:t>
      </w:r>
      <w:r>
        <w:rPr>
          <w:vertAlign w:val="baseline"/>
        </w:rPr>
        <w:t>where there is no “sales contract” between the producer and the consumer. While reg.15 of the 2002 Regulations and s.30(3) of the 2015 Act provide that a “consumer guarantee” takes effect as a “contractual obligation” owed by the guarantor, the 2013 Regulations do not attempt to provide any</w:t>
      </w:r>
      <w:r>
        <w:rPr>
          <w:spacing w:val="-1"/>
          <w:vertAlign w:val="baseline"/>
        </w:rPr>
        <w:t> </w:t>
      </w:r>
      <w:r>
        <w:rPr>
          <w:vertAlign w:val="baseline"/>
        </w:rPr>
        <w:t>such</w:t>
      </w:r>
      <w:r>
        <w:rPr>
          <w:spacing w:val="-1"/>
          <w:vertAlign w:val="baseline"/>
        </w:rPr>
        <w:t> </w:t>
      </w:r>
      <w:r>
        <w:rPr>
          <w:vertAlign w:val="baseline"/>
        </w:rPr>
        <w:t>(or</w:t>
      </w:r>
      <w:r>
        <w:rPr>
          <w:spacing w:val="-1"/>
          <w:vertAlign w:val="baseline"/>
        </w:rPr>
        <w:t> </w:t>
      </w:r>
      <w:r>
        <w:rPr>
          <w:vertAlign w:val="baseline"/>
        </w:rPr>
        <w:t>any</w:t>
      </w:r>
      <w:r>
        <w:rPr>
          <w:spacing w:val="-1"/>
          <w:vertAlign w:val="baseline"/>
        </w:rPr>
        <w:t> </w:t>
      </w:r>
      <w:r>
        <w:rPr>
          <w:vertAlign w:val="baseline"/>
        </w:rPr>
        <w:t>other)</w:t>
      </w:r>
      <w:r>
        <w:rPr>
          <w:spacing w:val="-1"/>
          <w:vertAlign w:val="baseline"/>
        </w:rPr>
        <w:t> </w:t>
      </w:r>
      <w:r>
        <w:rPr>
          <w:vertAlign w:val="baseline"/>
        </w:rPr>
        <w:t>legal</w:t>
      </w:r>
      <w:r>
        <w:rPr>
          <w:spacing w:val="-1"/>
          <w:vertAlign w:val="baseline"/>
        </w:rPr>
        <w:t> </w:t>
      </w:r>
      <w:r>
        <w:rPr>
          <w:vertAlign w:val="baseline"/>
        </w:rPr>
        <w:t>basis</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producer’s</w:t>
      </w:r>
      <w:r>
        <w:rPr>
          <w:spacing w:val="-1"/>
          <w:vertAlign w:val="baseline"/>
        </w:rPr>
        <w:t> </w:t>
      </w:r>
      <w:r>
        <w:rPr>
          <w:vertAlign w:val="baseline"/>
        </w:rPr>
        <w:t>liability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statements </w:t>
      </w:r>
      <w:bookmarkStart w:name="_bookmark101" w:id="103"/>
      <w:bookmarkEnd w:id="103"/>
      <w:r>
        <w:rPr>
          <w:vertAlign w:val="baseline"/>
        </w:rPr>
        <w:t>made</w:t>
      </w:r>
      <w:r>
        <w:rPr>
          <w:spacing w:val="-1"/>
          <w:vertAlign w:val="baseline"/>
        </w:rPr>
        <w:t> </w:t>
      </w:r>
      <w:r>
        <w:rPr>
          <w:vertAlign w:val="baseline"/>
        </w:rPr>
        <w:t>in</w:t>
      </w:r>
      <w:r>
        <w:rPr>
          <w:spacing w:val="-1"/>
          <w:vertAlign w:val="baseline"/>
        </w:rPr>
        <w:t> </w:t>
      </w:r>
      <w:r>
        <w:rPr>
          <w:vertAlign w:val="baseline"/>
        </w:rPr>
        <w:t>advertising</w:t>
      </w:r>
      <w:r>
        <w:rPr>
          <w:spacing w:val="-1"/>
          <w:vertAlign w:val="baseline"/>
        </w:rPr>
        <w:t> </w:t>
      </w:r>
      <w:r>
        <w:rPr>
          <w:vertAlign w:val="baseline"/>
        </w:rPr>
        <w:t>by</w:t>
      </w:r>
      <w:r>
        <w:rPr>
          <w:spacing w:val="-1"/>
          <w:vertAlign w:val="baseline"/>
        </w:rPr>
        <w:t> </w:t>
      </w:r>
      <w:r>
        <w:rPr>
          <w:vertAlign w:val="baseline"/>
        </w:rPr>
        <w:t>or</w:t>
      </w:r>
      <w:r>
        <w:rPr>
          <w:spacing w:val="-1"/>
          <w:vertAlign w:val="baseline"/>
        </w:rPr>
        <w:t> </w:t>
      </w:r>
      <w:r>
        <w:rPr>
          <w:vertAlign w:val="baseline"/>
        </w:rPr>
        <w:t>on</w:t>
      </w:r>
      <w:r>
        <w:rPr>
          <w:spacing w:val="-1"/>
          <w:vertAlign w:val="baseline"/>
        </w:rPr>
        <w:t> </w:t>
      </w:r>
      <w:r>
        <w:rPr>
          <w:vertAlign w:val="baseline"/>
        </w:rPr>
        <w:t>behalf</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“producer”</w:t>
      </w:r>
      <w:r>
        <w:rPr>
          <w:spacing w:val="-1"/>
          <w:vertAlign w:val="baseline"/>
        </w:rPr>
        <w:t> </w:t>
      </w:r>
      <w:r>
        <w:rPr>
          <w:vertAlign w:val="baseline"/>
        </w:rPr>
        <w:t>when</w:t>
      </w:r>
      <w:r>
        <w:rPr>
          <w:spacing w:val="-1"/>
          <w:vertAlign w:val="baseline"/>
        </w:rPr>
        <w:t> </w:t>
      </w:r>
      <w:r>
        <w:rPr>
          <w:vertAlign w:val="baseline"/>
        </w:rPr>
        <w:t>that</w:t>
      </w:r>
      <w:r>
        <w:rPr>
          <w:spacing w:val="-1"/>
          <w:vertAlign w:val="baseline"/>
        </w:rPr>
        <w:t> </w:t>
      </w:r>
      <w:r>
        <w:rPr>
          <w:vertAlign w:val="baseline"/>
        </w:rPr>
        <w:t>person</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a</w:t>
      </w:r>
      <w:r>
        <w:rPr>
          <w:spacing w:val="-1"/>
          <w:vertAlign w:val="baseline"/>
        </w:rPr>
        <w:t> </w:t>
      </w:r>
      <w:r>
        <w:rPr>
          <w:vertAlign w:val="baseline"/>
        </w:rPr>
        <w:t>party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of sale. </w:t>
      </w:r>
      <w:r>
        <w:rPr>
          <w:color w:val="005DA1"/>
          <w:u w:val="single" w:color="005DA1"/>
          <w:vertAlign w:val="superscript"/>
        </w:rPr>
        <w:t>99</w:t>
      </w:r>
      <w:r>
        <w:rPr>
          <w:color w:val="005DA1"/>
          <w:vertAlign w:val="baseline"/>
        </w:rPr>
        <w:t> </w:t>
      </w:r>
      <w:r>
        <w:rPr>
          <w:vertAlign w:val="baseline"/>
        </w:rPr>
        <w:t>Secondly, public statements on the specific characteristics of the goods made “in advertising” may be a “relevant circumstance” for the purpose of determining whether the goods are of</w:t>
      </w:r>
      <w:r>
        <w:rPr>
          <w:spacing w:val="80"/>
          <w:vertAlign w:val="baseline"/>
        </w:rPr>
        <w:t> </w:t>
      </w:r>
      <w:bookmarkStart w:name="_bookmark102" w:id="104"/>
      <w:bookmarkEnd w:id="104"/>
      <w:r>
        <w:rPr>
          <w:vertAlign w:val="baseline"/>
        </w:rPr>
        <w:t>satisfactory</w:t>
      </w:r>
      <w:r>
        <w:rPr>
          <w:vertAlign w:val="baseline"/>
        </w:rPr>
        <w:t> quality and so whether the seller is in breach of the statutorily implied term that the goods are</w:t>
      </w:r>
      <w:r>
        <w:rPr>
          <w:spacing w:val="19"/>
          <w:vertAlign w:val="baseline"/>
        </w:rPr>
        <w:t> </w:t>
      </w:r>
      <w:r>
        <w:rPr>
          <w:vertAlign w:val="baseline"/>
        </w:rPr>
        <w:t>of</w:t>
      </w:r>
      <w:r>
        <w:rPr>
          <w:spacing w:val="20"/>
          <w:vertAlign w:val="baseline"/>
        </w:rPr>
        <w:t> </w:t>
      </w:r>
      <w:r>
        <w:rPr>
          <w:vertAlign w:val="baseline"/>
        </w:rPr>
        <w:t>such</w:t>
      </w:r>
      <w:r>
        <w:rPr>
          <w:spacing w:val="20"/>
          <w:vertAlign w:val="baseline"/>
        </w:rPr>
        <w:t> </w:t>
      </w:r>
      <w:r>
        <w:rPr>
          <w:vertAlign w:val="baseline"/>
        </w:rPr>
        <w:t>quality.</w:t>
      </w:r>
      <w:r>
        <w:rPr>
          <w:spacing w:val="20"/>
          <w:vertAlign w:val="baseline"/>
        </w:rPr>
        <w:t> </w:t>
      </w:r>
      <w:r>
        <w:rPr>
          <w:color w:val="005DA1"/>
          <w:u w:val="single" w:color="005DA1"/>
          <w:vertAlign w:val="superscript"/>
        </w:rPr>
        <w:t>100</w:t>
      </w:r>
      <w:r>
        <w:rPr>
          <w:color w:val="005DA1"/>
          <w:spacing w:val="20"/>
          <w:vertAlign w:val="baseline"/>
        </w:rPr>
        <w:t> </w:t>
      </w:r>
      <w:r>
        <w:rPr>
          <w:vertAlign w:val="baseline"/>
        </w:rPr>
        <w:t>The</w:t>
      </w:r>
      <w:r>
        <w:rPr>
          <w:spacing w:val="19"/>
          <w:vertAlign w:val="baseline"/>
        </w:rPr>
        <w:t> </w:t>
      </w:r>
      <w:r>
        <w:rPr>
          <w:vertAlign w:val="baseline"/>
        </w:rPr>
        <w:t>Consumer</w:t>
      </w:r>
      <w:r>
        <w:rPr>
          <w:spacing w:val="20"/>
          <w:vertAlign w:val="baseline"/>
        </w:rPr>
        <w:t> </w:t>
      </w:r>
      <w:r>
        <w:rPr>
          <w:vertAlign w:val="baseline"/>
        </w:rPr>
        <w:t>Rights</w:t>
      </w:r>
      <w:r>
        <w:rPr>
          <w:spacing w:val="20"/>
          <w:vertAlign w:val="baseline"/>
        </w:rPr>
        <w:t> </w:t>
      </w:r>
      <w:r>
        <w:rPr>
          <w:vertAlign w:val="baseline"/>
        </w:rPr>
        <w:t>Act</w:t>
      </w:r>
      <w:r>
        <w:rPr>
          <w:spacing w:val="20"/>
          <w:vertAlign w:val="baseline"/>
        </w:rPr>
        <w:t> </w:t>
      </w:r>
      <w:r>
        <w:rPr>
          <w:vertAlign w:val="baseline"/>
        </w:rPr>
        <w:t>2015</w:t>
      </w:r>
      <w:r>
        <w:rPr>
          <w:spacing w:val="20"/>
          <w:vertAlign w:val="baseline"/>
        </w:rPr>
        <w:t> </w:t>
      </w:r>
      <w:r>
        <w:rPr>
          <w:vertAlign w:val="baseline"/>
        </w:rPr>
        <w:t>also</w:t>
      </w:r>
      <w:r>
        <w:rPr>
          <w:spacing w:val="20"/>
          <w:vertAlign w:val="baseline"/>
        </w:rPr>
        <w:t> </w:t>
      </w:r>
      <w:r>
        <w:rPr>
          <w:vertAlign w:val="baseline"/>
        </w:rPr>
        <w:t>replaces</w:t>
      </w:r>
      <w:r>
        <w:rPr>
          <w:spacing w:val="19"/>
          <w:vertAlign w:val="baseline"/>
        </w:rPr>
        <w:t> </w:t>
      </w:r>
      <w:r>
        <w:rPr>
          <w:vertAlign w:val="baseline"/>
        </w:rPr>
        <w:t>this</w:t>
      </w:r>
      <w:r>
        <w:rPr>
          <w:spacing w:val="20"/>
          <w:vertAlign w:val="baseline"/>
        </w:rPr>
        <w:t> </w:t>
      </w:r>
      <w:r>
        <w:rPr>
          <w:vertAlign w:val="baseline"/>
        </w:rPr>
        <w:t>regime,</w:t>
      </w:r>
      <w:r>
        <w:rPr>
          <w:spacing w:val="20"/>
          <w:vertAlign w:val="baseline"/>
        </w:rPr>
        <w:t> </w:t>
      </w:r>
      <w:r>
        <w:rPr>
          <w:color w:val="005DA1"/>
          <w:u w:val="single" w:color="005DA1"/>
          <w:vertAlign w:val="superscript"/>
        </w:rPr>
        <w:t>101</w:t>
      </w:r>
      <w:r>
        <w:rPr>
          <w:color w:val="005DA1"/>
          <w:spacing w:val="20"/>
          <w:vertAlign w:val="baseline"/>
        </w:rPr>
        <w:t> </w:t>
      </w:r>
      <w:r>
        <w:rPr>
          <w:vertAlign w:val="baseline"/>
        </w:rPr>
        <w:t>and</w:t>
      </w:r>
      <w:r>
        <w:rPr>
          <w:spacing w:val="20"/>
          <w:vertAlign w:val="baseline"/>
        </w:rPr>
        <w:t> </w:t>
      </w:r>
      <w:r>
        <w:rPr>
          <w:spacing w:val="-2"/>
          <w:vertAlign w:val="baseline"/>
        </w:rPr>
        <w:t>stipulates</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64" w:right="167"/>
        <w:jc w:val="both"/>
      </w:pPr>
      <w:bookmarkStart w:name="_bookmark103" w:id="105"/>
      <w:bookmarkEnd w:id="105"/>
      <w:r>
        <w:rPr/>
      </w:r>
      <w:r>
        <w:rPr/>
        <w:t>that where goods are supplied by a trader to a consumer, </w:t>
      </w:r>
      <w:r>
        <w:rPr>
          <w:color w:val="005DA1"/>
          <w:u w:val="single" w:color="005DA1"/>
          <w:vertAlign w:val="superscript"/>
        </w:rPr>
        <w:t>102</w:t>
      </w:r>
      <w:r>
        <w:rPr>
          <w:color w:val="005DA1"/>
          <w:vertAlign w:val="baseline"/>
        </w:rPr>
        <w:t> </w:t>
      </w:r>
      <w:r>
        <w:rPr>
          <w:vertAlign w:val="baseline"/>
        </w:rPr>
        <w:t>“any public statement made in </w:t>
      </w:r>
      <w:bookmarkStart w:name="_bookmark104" w:id="106"/>
      <w:bookmarkEnd w:id="106"/>
      <w:r>
        <w:rPr>
          <w:vertAlign w:val="baseline"/>
        </w:rPr>
        <w:t>advertising”</w:t>
      </w:r>
      <w:r>
        <w:rPr>
          <w:vertAlign w:val="baseline"/>
        </w:rPr>
        <w:t> will be a relevant circumstance for determining whether the goods are of </w:t>
      </w:r>
      <w:r>
        <w:rPr>
          <w:vertAlign w:val="baseline"/>
        </w:rPr>
        <w:t>satisfactory quality </w:t>
      </w:r>
      <w:r>
        <w:rPr>
          <w:color w:val="005DA1"/>
          <w:u w:val="single" w:color="005DA1"/>
          <w:vertAlign w:val="superscript"/>
        </w:rPr>
        <w:t>103</w:t>
      </w:r>
      <w:r>
        <w:rPr>
          <w:vertAlign w:val="baseline"/>
        </w:rPr>
        <w:t>; the position is the same where “digital content” is supplied by a trader to a consumer. </w:t>
      </w:r>
      <w:r>
        <w:rPr>
          <w:color w:val="005DA1"/>
          <w:u w:val="single" w:color="005DA1"/>
          <w:vertAlign w:val="superscript"/>
        </w:rPr>
        <w:t>104</w:t>
      </w:r>
    </w:p>
    <w:p>
      <w:pPr>
        <w:pStyle w:val="BodyText"/>
      </w:pPr>
    </w:p>
    <w:p>
      <w:pPr>
        <w:pStyle w:val="BodyText"/>
        <w:spacing w:before="38"/>
      </w:pPr>
    </w:p>
    <w:p>
      <w:pPr>
        <w:spacing w:before="0"/>
        <w:ind w:left="165" w:right="0" w:firstLine="0"/>
        <w:jc w:val="left"/>
        <w:rPr>
          <w:rFonts w:ascii="Arial"/>
          <w:b/>
          <w:sz w:val="18"/>
        </w:rPr>
      </w:pPr>
      <w:r>
        <w:rPr>
          <w:rFonts w:ascii="Arial"/>
          <w:b/>
          <w:sz w:val="18"/>
        </w:rPr>
        <w:t>Timetables and passenger </w:t>
      </w:r>
      <w:r>
        <w:rPr>
          <w:rFonts w:ascii="Arial"/>
          <w:b/>
          <w:spacing w:val="-2"/>
          <w:sz w:val="18"/>
        </w:rPr>
        <w:t>tickets</w:t>
      </w:r>
    </w:p>
    <w:p>
      <w:pPr>
        <w:pStyle w:val="BodyText"/>
        <w:spacing w:before="41"/>
        <w:rPr>
          <w:rFonts w:ascii="Arial"/>
          <w:b/>
          <w:sz w:val="18"/>
        </w:rPr>
      </w:pPr>
    </w:p>
    <w:p>
      <w:pPr>
        <w:pStyle w:val="Heading2"/>
      </w:pPr>
      <w:r>
        <w:rPr/>
        <w:t>2-</w:t>
      </w:r>
      <w:r>
        <w:rPr>
          <w:spacing w:val="-5"/>
        </w:rPr>
        <w:t>018</w:t>
      </w:r>
    </w:p>
    <w:p>
      <w:pPr>
        <w:pStyle w:val="BodyText"/>
        <w:spacing w:line="235" w:lineRule="auto" w:before="203"/>
        <w:ind w:left="165" w:right="167"/>
        <w:jc w:val="both"/>
      </w:pPr>
      <w:r>
        <w:rPr/>
        <w:t>There is a remarkable diversity of views on the question just when a contract of carriage is concluded </w:t>
      </w:r>
      <w:bookmarkStart w:name="_bookmark105" w:id="107"/>
      <w:bookmarkEnd w:id="107"/>
      <w:r>
        <w:rPr/>
        <w:t>between</w:t>
      </w:r>
      <w:r>
        <w:rPr/>
        <w:t> a carrier and an intending passenger. It has been said that railway carriers made offers by </w:t>
      </w:r>
      <w:bookmarkStart w:name="_bookmark106" w:id="108"/>
      <w:bookmarkEnd w:id="108"/>
      <w:r>
        <w:rPr/>
        <w:t>issuing</w:t>
      </w:r>
      <w:r>
        <w:rPr/>
        <w:t> advertisements stating the times and conditions under which trains would run </w:t>
      </w:r>
      <w:r>
        <w:rPr>
          <w:color w:val="005DA1"/>
          <w:u w:val="single" w:color="005DA1"/>
          <w:vertAlign w:val="superscript"/>
        </w:rPr>
        <w:t>105</w:t>
      </w:r>
      <w:r>
        <w:rPr>
          <w:vertAlign w:val="baseline"/>
        </w:rPr>
        <w:t>; and that a road carrier made offers to intending passengers by the act of running buses.</w:t>
      </w:r>
      <w:r>
        <w:rPr>
          <w:spacing w:val="-1"/>
          <w:vertAlign w:val="baseline"/>
        </w:rPr>
        <w:t> </w:t>
      </w:r>
      <w:r>
        <w:rPr>
          <w:color w:val="005DA1"/>
          <w:u w:val="single" w:color="005DA1"/>
          <w:vertAlign w:val="superscript"/>
        </w:rPr>
        <w:t>106</w:t>
      </w:r>
      <w:r>
        <w:rPr>
          <w:color w:val="005DA1"/>
          <w:vertAlign w:val="baseline"/>
        </w:rPr>
        <w:t> </w:t>
      </w:r>
      <w:r>
        <w:rPr>
          <w:vertAlign w:val="baseline"/>
        </w:rPr>
        <w:t>Such offers could </w:t>
      </w:r>
      <w:r>
        <w:rPr>
          <w:vertAlign w:val="baseline"/>
        </w:rPr>
        <w:t>be accepted by an indication on the part of the passenger that he wished to travel: e.g. by applying for a </w:t>
      </w:r>
      <w:bookmarkStart w:name="_bookmark107" w:id="109"/>
      <w:bookmarkEnd w:id="109"/>
      <w:r>
        <w:rPr>
          <w:vertAlign w:val="baseline"/>
        </w:rPr>
        <w:t>ticket</w:t>
      </w:r>
      <w:r>
        <w:rPr>
          <w:vertAlign w:val="baseline"/>
        </w:rPr>
        <w:t> or getting on the bus. Another view is that the carrier makes the offer at a later stage, by issuing </w:t>
      </w:r>
      <w:bookmarkStart w:name="_bookmark108" w:id="110"/>
      <w:bookmarkEnd w:id="110"/>
      <w:r>
        <w:rPr>
          <w:vertAlign w:val="baseline"/>
        </w:rPr>
        <w:t>the</w:t>
      </w:r>
      <w:r>
        <w:rPr>
          <w:spacing w:val="15"/>
          <w:vertAlign w:val="baseline"/>
        </w:rPr>
        <w:t> </w:t>
      </w:r>
      <w:r>
        <w:rPr>
          <w:vertAlign w:val="baseline"/>
        </w:rPr>
        <w:t>ticket;</w:t>
      </w:r>
      <w:r>
        <w:rPr>
          <w:spacing w:val="15"/>
          <w:vertAlign w:val="baseline"/>
        </w:rPr>
        <w:t> </w:t>
      </w:r>
      <w:r>
        <w:rPr>
          <w:vertAlign w:val="baseline"/>
        </w:rPr>
        <w:t>and</w:t>
      </w:r>
      <w:r>
        <w:rPr>
          <w:spacing w:val="15"/>
          <w:vertAlign w:val="baseline"/>
        </w:rPr>
        <w:t> </w:t>
      </w:r>
      <w:r>
        <w:rPr>
          <w:vertAlign w:val="baseline"/>
        </w:rPr>
        <w:t>that</w:t>
      </w:r>
      <w:r>
        <w:rPr>
          <w:spacing w:val="15"/>
          <w:vertAlign w:val="baseline"/>
        </w:rPr>
        <w:t> </w:t>
      </w:r>
      <w:r>
        <w:rPr>
          <w:vertAlign w:val="baseline"/>
        </w:rPr>
        <w:t>this</w:t>
      </w:r>
      <w:r>
        <w:rPr>
          <w:spacing w:val="15"/>
          <w:vertAlign w:val="baseline"/>
        </w:rPr>
        <w:t> </w:t>
      </w:r>
      <w:r>
        <w:rPr>
          <w:vertAlign w:val="baseline"/>
        </w:rPr>
        <w:t>offer</w:t>
      </w:r>
      <w:r>
        <w:rPr>
          <w:spacing w:val="15"/>
          <w:vertAlign w:val="baseline"/>
        </w:rPr>
        <w:t> </w:t>
      </w:r>
      <w:r>
        <w:rPr>
          <w:vertAlign w:val="baseline"/>
        </w:rPr>
        <w:t>is</w:t>
      </w:r>
      <w:r>
        <w:rPr>
          <w:spacing w:val="15"/>
          <w:vertAlign w:val="baseline"/>
        </w:rPr>
        <w:t> </w:t>
      </w:r>
      <w:r>
        <w:rPr>
          <w:vertAlign w:val="baseline"/>
        </w:rPr>
        <w:t>accepted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passenger’s</w:t>
      </w:r>
      <w:r>
        <w:rPr>
          <w:spacing w:val="15"/>
          <w:vertAlign w:val="baseline"/>
        </w:rPr>
        <w:t> </w:t>
      </w:r>
      <w:r>
        <w:rPr>
          <w:vertAlign w:val="baseline"/>
        </w:rPr>
        <w:t>retention</w:t>
      </w:r>
      <w:r>
        <w:rPr>
          <w:spacing w:val="15"/>
          <w:vertAlign w:val="baseline"/>
        </w:rPr>
        <w:t> </w:t>
      </w:r>
      <w:r>
        <w:rPr>
          <w:vertAlign w:val="baseline"/>
        </w:rPr>
        <w:t>of</w:t>
      </w:r>
      <w:r>
        <w:rPr>
          <w:spacing w:val="15"/>
          <w:vertAlign w:val="baseline"/>
        </w:rPr>
        <w:t> </w:t>
      </w:r>
      <w:r>
        <w:rPr>
          <w:vertAlign w:val="baseline"/>
        </w:rPr>
        <w:t>the</w:t>
      </w:r>
      <w:r>
        <w:rPr>
          <w:spacing w:val="15"/>
          <w:vertAlign w:val="baseline"/>
        </w:rPr>
        <w:t> </w:t>
      </w:r>
      <w:r>
        <w:rPr>
          <w:vertAlign w:val="baseline"/>
        </w:rPr>
        <w:t>ticket</w:t>
      </w:r>
      <w:r>
        <w:rPr>
          <w:spacing w:val="15"/>
          <w:vertAlign w:val="baseline"/>
        </w:rPr>
        <w:t> </w:t>
      </w:r>
      <w:r>
        <w:rPr>
          <w:vertAlign w:val="baseline"/>
        </w:rPr>
        <w:t>without</w:t>
      </w:r>
      <w:r>
        <w:rPr>
          <w:spacing w:val="15"/>
          <w:vertAlign w:val="baseline"/>
        </w:rPr>
        <w:t> </w:t>
      </w:r>
      <w:r>
        <w:rPr>
          <w:spacing w:val="-2"/>
          <w:vertAlign w:val="baseline"/>
        </w:rPr>
        <w:t>objection,</w:t>
      </w:r>
    </w:p>
    <w:p>
      <w:pPr>
        <w:pStyle w:val="BodyText"/>
        <w:spacing w:line="235" w:lineRule="auto"/>
        <w:ind w:left="165" w:right="167"/>
        <w:jc w:val="both"/>
      </w:pPr>
      <w:r>
        <w:rPr>
          <w:color w:val="005DA1"/>
          <w:u w:val="single" w:color="005DA1"/>
          <w:vertAlign w:val="superscript"/>
        </w:rPr>
        <w:t>107</w:t>
      </w:r>
      <w:r>
        <w:rPr>
          <w:color w:val="005DA1"/>
          <w:vertAlign w:val="baseline"/>
        </w:rPr>
        <w:t> </w:t>
      </w:r>
      <w:r>
        <w:rPr>
          <w:vertAlign w:val="baseline"/>
        </w:rPr>
        <w:t>or even later, when he claims the accommodation offered in the ticket. </w:t>
      </w:r>
      <w:r>
        <w:rPr>
          <w:color w:val="005DA1"/>
          <w:u w:val="single" w:color="005DA1"/>
          <w:vertAlign w:val="superscript"/>
        </w:rPr>
        <w:t>108</w:t>
      </w:r>
      <w:r>
        <w:rPr>
          <w:color w:val="005DA1"/>
          <w:vertAlign w:val="baseline"/>
        </w:rPr>
        <w:t> </w:t>
      </w:r>
      <w:r>
        <w:rPr>
          <w:vertAlign w:val="baseline"/>
        </w:rPr>
        <w:t>On this view, the passenger makes no more than an invitation to treat when he asks for a ticket to be issued to him;</w:t>
      </w:r>
      <w:r>
        <w:rPr>
          <w:spacing w:val="40"/>
          <w:vertAlign w:val="baseline"/>
        </w:rPr>
        <w:t> </w:t>
      </w:r>
      <w:bookmarkStart w:name="_bookmark109" w:id="111"/>
      <w:bookmarkEnd w:id="111"/>
      <w:r>
        <w:rPr>
          <w:vertAlign w:val="baseline"/>
        </w:rPr>
        <w:t>and</w:t>
      </w:r>
      <w:r>
        <w:rPr>
          <w:vertAlign w:val="baseline"/>
        </w:rPr>
        <w:t> the offer contained in the ticket may be made to, and accepted by, the passenger even though</w:t>
      </w:r>
      <w:r>
        <w:rPr>
          <w:spacing w:val="40"/>
          <w:vertAlign w:val="baseline"/>
        </w:rPr>
        <w:t> </w:t>
      </w:r>
      <w:r>
        <w:rPr>
          <w:vertAlign w:val="baseline"/>
        </w:rPr>
        <w:t>the fare is paid by a third party (e.g. the passenger’s employer). </w:t>
      </w:r>
      <w:r>
        <w:rPr>
          <w:color w:val="005DA1"/>
          <w:u w:val="single" w:color="005DA1"/>
          <w:vertAlign w:val="superscript"/>
        </w:rPr>
        <w:t>109</w:t>
      </w:r>
      <w:r>
        <w:rPr>
          <w:color w:val="005DA1"/>
          <w:vertAlign w:val="baseline"/>
        </w:rPr>
        <w:t> </w:t>
      </w:r>
      <w:r>
        <w:rPr>
          <w:vertAlign w:val="baseline"/>
        </w:rPr>
        <w:t>Where the booking is made in </w:t>
      </w:r>
      <w:bookmarkStart w:name="_bookmark110" w:id="112"/>
      <w:bookmarkEnd w:id="112"/>
      <w:r>
        <w:rPr>
          <w:vertAlign w:val="baseline"/>
        </w:rPr>
        <w:t>advance,</w:t>
      </w:r>
      <w:r>
        <w:rPr>
          <w:vertAlign w:val="baseline"/>
        </w:rPr>
        <w:t> e.g. through a travel agent, yet a third view has been expressed: that the contract </w:t>
      </w:r>
      <w:r>
        <w:rPr>
          <w:vertAlign w:val="baseline"/>
        </w:rPr>
        <w:t>is </w:t>
      </w:r>
      <w:bookmarkStart w:name="_bookmark111" w:id="113"/>
      <w:bookmarkEnd w:id="113"/>
      <w:r>
        <w:rPr>
          <w:vertAlign w:val="baseline"/>
        </w:rPr>
        <w:t>concluded</w:t>
      </w:r>
      <w:r>
        <w:rPr>
          <w:vertAlign w:val="baseline"/>
        </w:rPr>
        <w:t> when the carrier indicates, even before issuing the ticket, that he “accepts” the booking,</w:t>
      </w:r>
      <w:r>
        <w:rPr>
          <w:spacing w:val="-1"/>
          <w:vertAlign w:val="baseline"/>
        </w:rPr>
        <w:t> </w:t>
      </w:r>
      <w:r>
        <w:rPr>
          <w:color w:val="005DA1"/>
          <w:u w:val="single" w:color="005DA1"/>
          <w:vertAlign w:val="superscript"/>
        </w:rPr>
        <w:t>110</w:t>
      </w:r>
      <w:r>
        <w:rPr>
          <w:color w:val="005DA1"/>
          <w:vertAlign w:val="baseline"/>
        </w:rPr>
        <w:t> </w:t>
      </w:r>
      <w:r>
        <w:rPr>
          <w:vertAlign w:val="baseline"/>
        </w:rPr>
        <w:t>or when he issues the ticket </w:t>
      </w:r>
      <w:r>
        <w:rPr>
          <w:color w:val="005DA1"/>
          <w:u w:val="single" w:color="005DA1"/>
          <w:vertAlign w:val="superscript"/>
        </w:rPr>
        <w:t>111</w:t>
      </w:r>
      <w:r>
        <w:rPr>
          <w:vertAlign w:val="baseline"/>
        </w:rPr>
        <w:t>: on this view, it is the passenger who makes the offer. The authorities yield no single rule; one can only say that the exact time of contracting depends in each case on the wording of the relevant document and on the circumstances in which it was issued.</w:t>
      </w:r>
    </w:p>
    <w:p>
      <w:pPr>
        <w:pStyle w:val="BodyText"/>
      </w:pPr>
    </w:p>
    <w:p>
      <w:pPr>
        <w:pStyle w:val="BodyText"/>
        <w:spacing w:before="32"/>
      </w:pPr>
    </w:p>
    <w:p>
      <w:pPr>
        <w:spacing w:before="0"/>
        <w:ind w:left="165" w:right="0" w:firstLine="0"/>
        <w:jc w:val="left"/>
        <w:rPr>
          <w:rFonts w:ascii="Arial"/>
          <w:b/>
          <w:sz w:val="18"/>
        </w:rPr>
      </w:pPr>
      <w:r>
        <w:rPr>
          <w:rFonts w:ascii="Arial"/>
          <w:b/>
          <w:spacing w:val="-2"/>
          <w:sz w:val="18"/>
        </w:rPr>
        <w:t>Auctions</w:t>
      </w:r>
    </w:p>
    <w:p>
      <w:pPr>
        <w:pStyle w:val="BodyText"/>
        <w:spacing w:before="41"/>
        <w:rPr>
          <w:rFonts w:ascii="Arial"/>
          <w:b/>
          <w:sz w:val="18"/>
        </w:rPr>
      </w:pPr>
    </w:p>
    <w:p>
      <w:pPr>
        <w:pStyle w:val="Heading2"/>
        <w:spacing w:before="1"/>
      </w:pPr>
      <w:r>
        <w:rPr/>
        <w:t>2-</w:t>
      </w:r>
      <w:r>
        <w:rPr>
          <w:spacing w:val="-5"/>
        </w:rPr>
        <w:t>019</w:t>
      </w:r>
    </w:p>
    <w:p>
      <w:pPr>
        <w:pStyle w:val="BodyText"/>
        <w:spacing w:line="235" w:lineRule="auto" w:before="202"/>
        <w:ind w:left="165" w:right="167"/>
        <w:jc w:val="both"/>
      </w:pPr>
      <w:bookmarkStart w:name="_bookmark112" w:id="114"/>
      <w:bookmarkEnd w:id="114"/>
      <w:r>
        <w:rPr/>
      </w:r>
      <w:r>
        <w:rPr/>
        <w:t>At an auction sale the general rule is that the auctioneer’s request for bids is not an offer that can be </w:t>
      </w:r>
      <w:bookmarkStart w:name="_bookmark113" w:id="115"/>
      <w:bookmarkEnd w:id="115"/>
      <w:r>
        <w:rPr/>
        <w:t>accepted</w:t>
      </w:r>
      <w:r>
        <w:rPr/>
        <w:t> by the highest bidder. </w:t>
      </w:r>
      <w:r>
        <w:rPr>
          <w:color w:val="005DA1"/>
          <w:u w:val="single" w:color="005DA1"/>
          <w:vertAlign w:val="superscript"/>
        </w:rPr>
        <w:t>112</w:t>
      </w:r>
      <w:r>
        <w:rPr>
          <w:color w:val="005DA1"/>
          <w:vertAlign w:val="baseline"/>
        </w:rPr>
        <w:t> </w:t>
      </w:r>
      <w:r>
        <w:rPr>
          <w:vertAlign w:val="baseline"/>
        </w:rPr>
        <w:t>Instead, it is a bid that constitutes an offer, which the auctioneer </w:t>
      </w:r>
      <w:bookmarkStart w:name="_bookmark114" w:id="116"/>
      <w:bookmarkEnd w:id="116"/>
      <w:r>
        <w:rPr>
          <w:vertAlign w:val="baseline"/>
        </w:rPr>
        <w:t>may,</w:t>
      </w:r>
      <w:r>
        <w:rPr>
          <w:vertAlign w:val="baseline"/>
        </w:rPr>
        <w:t> but generally </w:t>
      </w:r>
      <w:r>
        <w:rPr>
          <w:color w:val="005DA1"/>
          <w:u w:val="single" w:color="005DA1"/>
          <w:vertAlign w:val="superscript"/>
        </w:rPr>
        <w:t>113</w:t>
      </w:r>
      <w:r>
        <w:rPr>
          <w:color w:val="005DA1"/>
          <w:vertAlign w:val="baseline"/>
        </w:rPr>
        <w:t> </w:t>
      </w:r>
      <w:r>
        <w:rPr>
          <w:vertAlign w:val="baseline"/>
        </w:rPr>
        <w:t>is not bound to, accept. Accordingly s.57(2) of the Sale of Goods Act 1979 provides that a sale by auction is completed </w:t>
      </w:r>
      <w:r>
        <w:rPr>
          <w:color w:val="005DA1"/>
          <w:u w:val="single" w:color="005DA1"/>
          <w:vertAlign w:val="superscript"/>
        </w:rPr>
        <w:t>114</w:t>
      </w:r>
      <w:r>
        <w:rPr>
          <w:color w:val="005DA1"/>
          <w:vertAlign w:val="baseline"/>
        </w:rPr>
        <w:t> </w:t>
      </w:r>
      <w:r>
        <w:rPr>
          <w:vertAlign w:val="baseline"/>
        </w:rPr>
        <w:t>when the auctioneer announces its completion by the </w:t>
      </w:r>
      <w:bookmarkStart w:name="_bookmark115" w:id="117"/>
      <w:bookmarkEnd w:id="117"/>
      <w:r>
        <w:rPr>
          <w:vertAlign w:val="baseline"/>
        </w:rPr>
        <w:t>fall</w:t>
      </w:r>
      <w:r>
        <w:rPr>
          <w:vertAlign w:val="baseline"/>
        </w:rPr>
        <w:t> of the hammer, or in other customary manner; and that until then the bidder may retract his bid. </w:t>
      </w:r>
      <w:bookmarkStart w:name="_bookmark116" w:id="118"/>
      <w:bookmarkEnd w:id="118"/>
      <w:r>
        <w:rPr>
          <w:vertAlign w:val="baseline"/>
        </w:rPr>
        <w:t>Similarly,</w:t>
      </w:r>
      <w:r>
        <w:rPr>
          <w:vertAlign w:val="baseline"/>
        </w:rPr>
        <w:t> the auctioneer can generally </w:t>
      </w:r>
      <w:r>
        <w:rPr>
          <w:color w:val="005DA1"/>
          <w:u w:val="single" w:color="005DA1"/>
          <w:vertAlign w:val="superscript"/>
        </w:rPr>
        <w:t>115</w:t>
      </w:r>
      <w:r>
        <w:rPr>
          <w:color w:val="005DA1"/>
          <w:vertAlign w:val="baseline"/>
        </w:rPr>
        <w:t> </w:t>
      </w:r>
      <w:r>
        <w:rPr>
          <w:vertAlign w:val="baseline"/>
        </w:rPr>
        <w:t>withdraw the lot before he accepts the bid. It seems, moreover, that the offer made by each bidder lapses </w:t>
      </w:r>
      <w:r>
        <w:rPr>
          <w:color w:val="005DA1"/>
          <w:u w:val="single" w:color="005DA1"/>
          <w:vertAlign w:val="superscript"/>
        </w:rPr>
        <w:t>116</w:t>
      </w:r>
      <w:r>
        <w:rPr>
          <w:color w:val="005DA1"/>
          <w:vertAlign w:val="baseline"/>
        </w:rPr>
        <w:t> </w:t>
      </w:r>
      <w:r>
        <w:rPr>
          <w:vertAlign w:val="baseline"/>
        </w:rPr>
        <w:t>as soon as a higher bid is made. Thus, if a higher bid is made and then withdrawn, the auctioneer can no longer accept the next highest. The Consumer Contracts (Information, Cancellation and Additional Charges) Regulations 2013 </w:t>
      </w:r>
      <w:r>
        <w:rPr>
          <w:vertAlign w:val="baseline"/>
        </w:rPr>
        <w:t>defines </w:t>
      </w:r>
      <w:bookmarkStart w:name="_bookmark117" w:id="119"/>
      <w:bookmarkEnd w:id="119"/>
      <w:r>
        <w:rPr>
          <w:vertAlign w:val="baseline"/>
        </w:rPr>
        <w:t>“public</w:t>
      </w:r>
      <w:r>
        <w:rPr>
          <w:vertAlign w:val="baseline"/>
        </w:rPr>
        <w:t> auction” as “a method of sale where goods or services are offered by a trader to consumers </w:t>
      </w:r>
      <w:bookmarkStart w:name="_bookmark118" w:id="120"/>
      <w:bookmarkEnd w:id="120"/>
      <w:r>
        <w:rPr>
          <w:vertAlign w:val="baseline"/>
        </w:rPr>
        <w:t>through</w:t>
      </w:r>
      <w:r>
        <w:rPr>
          <w:vertAlign w:val="baseline"/>
        </w:rPr>
        <w:t> a transparent … bidding procedure …”. </w:t>
      </w:r>
      <w:r>
        <w:rPr>
          <w:color w:val="005DA1"/>
          <w:u w:val="single" w:color="005DA1"/>
          <w:vertAlign w:val="superscript"/>
        </w:rPr>
        <w:t>117</w:t>
      </w:r>
      <w:r>
        <w:rPr>
          <w:color w:val="005DA1"/>
          <w:vertAlign w:val="baseline"/>
        </w:rPr>
        <w:t> </w:t>
      </w:r>
      <w:r>
        <w:rPr>
          <w:vertAlign w:val="baseline"/>
        </w:rPr>
        <w:t>The word “offered” is here used in what is presumably regarded as a popular sense, rather than in the legal sense stated. </w:t>
      </w:r>
      <w:r>
        <w:rPr>
          <w:color w:val="005DA1"/>
          <w:u w:val="single" w:color="005DA1"/>
          <w:vertAlign w:val="superscript"/>
        </w:rPr>
        <w:t>118</w:t>
      </w:r>
      <w:r>
        <w:rPr>
          <w:color w:val="005DA1"/>
          <w:vertAlign w:val="baseline"/>
        </w:rPr>
        <w:t> </w:t>
      </w:r>
      <w:r>
        <w:rPr>
          <w:vertAlign w:val="baseline"/>
        </w:rPr>
        <w:t>The definition concludes with the words “(c) the successful bidder is bound to purchase the goods or services”. The word “successful” shows that the mere making of a bid does not conclude the contract since, if a higher bid were then made, the former bid would not be “successful”. However, it is unclear whether </w:t>
      </w:r>
      <w:bookmarkStart w:name="_bookmark119" w:id="121"/>
      <w:bookmarkEnd w:id="121"/>
      <w:r>
        <w:rPr>
          <w:vertAlign w:val="baseline"/>
        </w:rPr>
        <w:t>the</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concluded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highest</w:t>
      </w:r>
      <w:r>
        <w:rPr>
          <w:spacing w:val="-1"/>
          <w:vertAlign w:val="baseline"/>
        </w:rPr>
        <w:t> </w:t>
      </w:r>
      <w:r>
        <w:rPr>
          <w:vertAlign w:val="baseline"/>
        </w:rPr>
        <w:t>bid</w:t>
      </w:r>
      <w:r>
        <w:rPr>
          <w:spacing w:val="-1"/>
          <w:vertAlign w:val="baseline"/>
        </w:rPr>
        <w:t> </w:t>
      </w:r>
      <w:r>
        <w:rPr>
          <w:vertAlign w:val="baseline"/>
        </w:rPr>
        <w:t>being</w:t>
      </w:r>
      <w:r>
        <w:rPr>
          <w:spacing w:val="-1"/>
          <w:vertAlign w:val="baseline"/>
        </w:rPr>
        <w:t> </w:t>
      </w:r>
      <w:r>
        <w:rPr>
          <w:vertAlign w:val="baseline"/>
        </w:rPr>
        <w:t>made</w:t>
      </w:r>
      <w:r>
        <w:rPr>
          <w:spacing w:val="-1"/>
          <w:vertAlign w:val="baseline"/>
        </w:rPr>
        <w:t> </w:t>
      </w:r>
      <w:r>
        <w:rPr>
          <w:vertAlign w:val="baseline"/>
        </w:rPr>
        <w:t>or</w:t>
      </w:r>
      <w:r>
        <w:rPr>
          <w:spacing w:val="-1"/>
          <w:vertAlign w:val="baseline"/>
        </w:rPr>
        <w:t> </w:t>
      </w:r>
      <w:r>
        <w:rPr>
          <w:vertAlign w:val="baseline"/>
        </w:rPr>
        <w:t>whether</w:t>
      </w:r>
      <w:r>
        <w:rPr>
          <w:spacing w:val="-1"/>
          <w:vertAlign w:val="baseline"/>
        </w:rPr>
        <w:t> </w:t>
      </w:r>
      <w:r>
        <w:rPr>
          <w:vertAlign w:val="baseline"/>
        </w:rPr>
        <w:t>some</w:t>
      </w:r>
      <w:r>
        <w:rPr>
          <w:spacing w:val="-1"/>
          <w:vertAlign w:val="baseline"/>
        </w:rPr>
        <w:t> </w:t>
      </w:r>
      <w:r>
        <w:rPr>
          <w:vertAlign w:val="baseline"/>
        </w:rPr>
        <w:t>further</w:t>
      </w:r>
      <w:r>
        <w:rPr>
          <w:spacing w:val="-1"/>
          <w:vertAlign w:val="baseline"/>
        </w:rPr>
        <w:t> </w:t>
      </w:r>
      <w:r>
        <w:rPr>
          <w:vertAlign w:val="baseline"/>
        </w:rPr>
        <w:t>act</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auctioneer </w:t>
      </w:r>
      <w:bookmarkStart w:name="_bookmark120" w:id="122"/>
      <w:bookmarkEnd w:id="122"/>
      <w:r>
        <w:rPr>
          <w:vertAlign w:val="baseline"/>
        </w:rPr>
        <w:t>is</w:t>
      </w:r>
      <w:r>
        <w:rPr>
          <w:vertAlign w:val="baseline"/>
        </w:rPr>
        <w:t> required, as is the case under the Sale of Goods Act 1979. </w:t>
      </w:r>
      <w:r>
        <w:rPr>
          <w:color w:val="005DA1"/>
          <w:u w:val="single" w:color="005DA1"/>
          <w:vertAlign w:val="superscript"/>
        </w:rPr>
        <w:t>119</w:t>
      </w:r>
      <w:r>
        <w:rPr>
          <w:color w:val="005DA1"/>
          <w:vertAlign w:val="baseline"/>
        </w:rPr>
        <w:t> </w:t>
      </w:r>
      <w:r>
        <w:rPr>
          <w:vertAlign w:val="baseline"/>
        </w:rPr>
        <w:t>Section 30(4)(c) of the Consumer Rights Act 2015 refers to the situation “where the goods are offered within the United Kingdom” </w:t>
      </w:r>
      <w:r>
        <w:rPr>
          <w:color w:val="005DA1"/>
          <w:u w:val="single" w:color="005DA1"/>
          <w:vertAlign w:val="superscript"/>
        </w:rPr>
        <w:t>120</w:t>
      </w:r>
      <w:r>
        <w:rPr>
          <w:vertAlign w:val="baseline"/>
        </w:rPr>
        <w:t>; and it seems that “offered” is here again used in its popular, rather than its legal, sense.</w:t>
      </w:r>
    </w:p>
    <w:p>
      <w:pPr>
        <w:pStyle w:val="BodyText"/>
      </w:pPr>
    </w:p>
    <w:p>
      <w:pPr>
        <w:pStyle w:val="BodyText"/>
        <w:spacing w:before="31"/>
      </w:pPr>
    </w:p>
    <w:p>
      <w:pPr>
        <w:spacing w:before="1"/>
        <w:ind w:left="165" w:right="0" w:firstLine="0"/>
        <w:jc w:val="left"/>
        <w:rPr>
          <w:rFonts w:ascii="Arial"/>
          <w:b/>
          <w:sz w:val="18"/>
        </w:rPr>
      </w:pPr>
      <w:r>
        <w:rPr>
          <w:rFonts w:ascii="Arial"/>
          <w:b/>
          <w:sz w:val="18"/>
        </w:rPr>
        <w:t>Auctions with and without </w:t>
      </w:r>
      <w:r>
        <w:rPr>
          <w:rFonts w:ascii="Arial"/>
          <w:b/>
          <w:spacing w:val="-2"/>
          <w:sz w:val="18"/>
        </w:rPr>
        <w:t>reserve</w:t>
      </w:r>
    </w:p>
    <w:p>
      <w:pPr>
        <w:pStyle w:val="BodyText"/>
        <w:spacing w:before="41"/>
        <w:rPr>
          <w:rFonts w:ascii="Arial"/>
          <w:b/>
          <w:sz w:val="18"/>
        </w:rPr>
      </w:pPr>
    </w:p>
    <w:p>
      <w:pPr>
        <w:pStyle w:val="Heading2"/>
      </w:pPr>
      <w:r>
        <w:rPr/>
        <w:t>2-</w:t>
      </w:r>
      <w:r>
        <w:rPr>
          <w:spacing w:val="-5"/>
        </w:rPr>
        <w:t>020</w:t>
      </w:r>
    </w:p>
    <w:p>
      <w:pPr>
        <w:pStyle w:val="BodyText"/>
        <w:spacing w:line="235" w:lineRule="auto" w:before="203"/>
        <w:ind w:left="164" w:right="167"/>
        <w:jc w:val="both"/>
      </w:pPr>
      <w:bookmarkStart w:name="_bookmark121" w:id="123"/>
      <w:bookmarkEnd w:id="123"/>
      <w:r>
        <w:rPr/>
      </w:r>
      <w:r>
        <w:rPr/>
        <w:t>When property is put up for auction subject to a reserve price, there is no contract if the auctioneer by mistake purports to accept a bid lower than the reserve price. </w:t>
      </w:r>
      <w:r>
        <w:rPr>
          <w:color w:val="005DA1"/>
          <w:u w:val="single" w:color="005DA1"/>
          <w:vertAlign w:val="superscript"/>
        </w:rPr>
        <w:t>121</w:t>
      </w:r>
      <w:r>
        <w:rPr>
          <w:color w:val="005DA1"/>
          <w:vertAlign w:val="baseline"/>
        </w:rPr>
        <w:t> </w:t>
      </w:r>
      <w:r>
        <w:rPr>
          <w:vertAlign w:val="baseline"/>
        </w:rPr>
        <w:t>Where the auction is </w:t>
      </w:r>
      <w:r>
        <w:rPr>
          <w:vertAlign w:val="baseline"/>
        </w:rPr>
        <w:t>without</w:t>
      </w:r>
      <w:r>
        <w:rPr>
          <w:spacing w:val="40"/>
          <w:vertAlign w:val="baseline"/>
        </w:rPr>
        <w:t> </w:t>
      </w:r>
      <w:r>
        <w:rPr>
          <w:vertAlign w:val="baseline"/>
        </w:rPr>
        <w:t>reserve, there is no contract </w:t>
      </w:r>
      <w:r>
        <w:rPr>
          <w:rFonts w:ascii="Arial"/>
          <w:i/>
          <w:vertAlign w:val="baseline"/>
        </w:rPr>
        <w:t>of sale </w:t>
      </w:r>
      <w:r>
        <w:rPr>
          <w:vertAlign w:val="baseline"/>
        </w:rPr>
        <w:t>between the highest bidder and the </w:t>
      </w:r>
      <w:r>
        <w:rPr>
          <w:rFonts w:ascii="Arial"/>
          <w:i/>
          <w:vertAlign w:val="baseline"/>
        </w:rPr>
        <w:t>owner </w:t>
      </w:r>
      <w:r>
        <w:rPr>
          <w:vertAlign w:val="baseline"/>
        </w:rPr>
        <w:t>of the property if the auctioneer</w:t>
      </w:r>
      <w:r>
        <w:rPr>
          <w:spacing w:val="21"/>
          <w:vertAlign w:val="baseline"/>
        </w:rPr>
        <w:t> </w:t>
      </w:r>
      <w:r>
        <w:rPr>
          <w:vertAlign w:val="baseline"/>
        </w:rPr>
        <w:t>refuses</w:t>
      </w:r>
      <w:r>
        <w:rPr>
          <w:spacing w:val="21"/>
          <w:vertAlign w:val="baseline"/>
        </w:rPr>
        <w:t> </w:t>
      </w:r>
      <w:r>
        <w:rPr>
          <w:vertAlign w:val="baseline"/>
        </w:rPr>
        <w:t>to</w:t>
      </w:r>
      <w:r>
        <w:rPr>
          <w:spacing w:val="21"/>
          <w:vertAlign w:val="baseline"/>
        </w:rPr>
        <w:t> </w:t>
      </w:r>
      <w:r>
        <w:rPr>
          <w:vertAlign w:val="baseline"/>
        </w:rPr>
        <w:t>accept</w:t>
      </w:r>
      <w:r>
        <w:rPr>
          <w:spacing w:val="21"/>
          <w:vertAlign w:val="baseline"/>
        </w:rPr>
        <w:t> </w:t>
      </w:r>
      <w:r>
        <w:rPr>
          <w:vertAlign w:val="baseline"/>
        </w:rPr>
        <w:t>the</w:t>
      </w:r>
      <w:r>
        <w:rPr>
          <w:spacing w:val="21"/>
          <w:vertAlign w:val="baseline"/>
        </w:rPr>
        <w:t> </w:t>
      </w:r>
      <w:r>
        <w:rPr>
          <w:vertAlign w:val="baseline"/>
        </w:rPr>
        <w:t>highest</w:t>
      </w:r>
      <w:r>
        <w:rPr>
          <w:spacing w:val="21"/>
          <w:vertAlign w:val="baseline"/>
        </w:rPr>
        <w:t> </w:t>
      </w:r>
      <w:r>
        <w:rPr>
          <w:vertAlign w:val="baseline"/>
        </w:rPr>
        <w:t>bid.</w:t>
      </w:r>
      <w:r>
        <w:rPr>
          <w:spacing w:val="21"/>
          <w:vertAlign w:val="baseline"/>
        </w:rPr>
        <w:t> </w:t>
      </w:r>
      <w:r>
        <w:rPr>
          <w:vertAlign w:val="baseline"/>
        </w:rPr>
        <w:t>But</w:t>
      </w:r>
      <w:r>
        <w:rPr>
          <w:spacing w:val="21"/>
          <w:vertAlign w:val="baseline"/>
        </w:rPr>
        <w:t> </w:t>
      </w:r>
      <w:r>
        <w:rPr>
          <w:vertAlign w:val="baseline"/>
        </w:rPr>
        <w:t>it</w:t>
      </w:r>
      <w:r>
        <w:rPr>
          <w:spacing w:val="21"/>
          <w:vertAlign w:val="baseline"/>
        </w:rPr>
        <w:t> </w:t>
      </w:r>
      <w:r>
        <w:rPr>
          <w:vertAlign w:val="baseline"/>
        </w:rPr>
        <w:t>has</w:t>
      </w:r>
      <w:r>
        <w:rPr>
          <w:spacing w:val="21"/>
          <w:vertAlign w:val="baseline"/>
        </w:rPr>
        <w:t> </w:t>
      </w:r>
      <w:r>
        <w:rPr>
          <w:vertAlign w:val="baseline"/>
        </w:rPr>
        <w:t>been</w:t>
      </w:r>
      <w:r>
        <w:rPr>
          <w:spacing w:val="21"/>
          <w:vertAlign w:val="baseline"/>
        </w:rPr>
        <w:t> </w:t>
      </w:r>
      <w:r>
        <w:rPr>
          <w:vertAlign w:val="baseline"/>
        </w:rPr>
        <w:t>held</w:t>
      </w:r>
      <w:r>
        <w:rPr>
          <w:spacing w:val="21"/>
          <w:vertAlign w:val="baseline"/>
        </w:rPr>
        <w:t> </w:t>
      </w:r>
      <w:r>
        <w:rPr>
          <w:vertAlign w:val="baseline"/>
        </w:rPr>
        <w:t>that</w:t>
      </w:r>
      <w:r>
        <w:rPr>
          <w:spacing w:val="21"/>
          <w:vertAlign w:val="baseline"/>
        </w:rPr>
        <w:t> </w:t>
      </w:r>
      <w:r>
        <w:rPr>
          <w:vertAlign w:val="baseline"/>
        </w:rPr>
        <w:t>the</w:t>
      </w:r>
      <w:r>
        <w:rPr>
          <w:spacing w:val="20"/>
          <w:vertAlign w:val="baseline"/>
        </w:rPr>
        <w:t> </w:t>
      </w:r>
      <w:r>
        <w:rPr>
          <w:rFonts w:ascii="Arial"/>
          <w:i/>
          <w:vertAlign w:val="baseline"/>
        </w:rPr>
        <w:t>auctioneer</w:t>
      </w:r>
      <w:r>
        <w:rPr>
          <w:rFonts w:ascii="Arial"/>
          <w:i/>
          <w:spacing w:val="21"/>
          <w:vertAlign w:val="baseline"/>
        </w:rPr>
        <w:t> </w:t>
      </w:r>
      <w:r>
        <w:rPr>
          <w:vertAlign w:val="baseline"/>
        </w:rPr>
        <w:t>is</w:t>
      </w:r>
      <w:r>
        <w:rPr>
          <w:spacing w:val="21"/>
          <w:vertAlign w:val="baseline"/>
        </w:rPr>
        <w:t> </w:t>
      </w:r>
      <w:r>
        <w:rPr>
          <w:vertAlign w:val="baseline"/>
        </w:rPr>
        <w:t>liable</w:t>
      </w:r>
      <w:r>
        <w:rPr>
          <w:spacing w:val="21"/>
          <w:vertAlign w:val="baseline"/>
        </w:rPr>
        <w:t> </w:t>
      </w:r>
      <w:r>
        <w:rPr>
          <w:vertAlign w:val="baseline"/>
        </w:rPr>
        <w:t>on</w:t>
      </w:r>
      <w:r>
        <w:rPr>
          <w:spacing w:val="21"/>
          <w:vertAlign w:val="baseline"/>
        </w:rPr>
        <w:t> </w:t>
      </w:r>
      <w:r>
        <w:rPr>
          <w:spacing w:val="-10"/>
          <w:vertAlign w:val="baseline"/>
        </w:rPr>
        <w:t>a</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22" w:id="124"/>
      <w:bookmarkEnd w:id="124"/>
      <w:r>
        <w:rPr/>
      </w:r>
      <w:r>
        <w:rPr/>
        <w:t>separate or collateral contract between him and the highest bidder that the sale will be without reserve. </w:t>
      </w:r>
      <w:r>
        <w:rPr>
          <w:color w:val="005DA1"/>
          <w:u w:val="single" w:color="005DA1"/>
          <w:vertAlign w:val="superscript"/>
        </w:rPr>
        <w:t>122</w:t>
      </w:r>
      <w:r>
        <w:rPr>
          <w:color w:val="005DA1"/>
          <w:vertAlign w:val="baseline"/>
        </w:rPr>
        <w:t> </w:t>
      </w:r>
      <w:r>
        <w:rPr>
          <w:vertAlign w:val="baseline"/>
        </w:rPr>
        <w:t>Although a mere advertisement of an auction is not an offer to hold it, </w:t>
      </w:r>
      <w:r>
        <w:rPr>
          <w:color w:val="005DA1"/>
          <w:u w:val="single" w:color="005DA1"/>
          <w:vertAlign w:val="superscript"/>
        </w:rPr>
        <w:t>123</w:t>
      </w:r>
      <w:r>
        <w:rPr>
          <w:color w:val="005DA1"/>
          <w:vertAlign w:val="baseline"/>
        </w:rPr>
        <w:t> </w:t>
      </w:r>
      <w:r>
        <w:rPr>
          <w:vertAlign w:val="baseline"/>
        </w:rPr>
        <w:t>the actual request</w:t>
      </w:r>
      <w:r>
        <w:rPr>
          <w:spacing w:val="-1"/>
          <w:vertAlign w:val="baseline"/>
        </w:rPr>
        <w:t> </w:t>
      </w:r>
      <w:r>
        <w:rPr>
          <w:vertAlign w:val="baseline"/>
        </w:rPr>
        <w:t>for</w:t>
      </w:r>
      <w:r>
        <w:rPr>
          <w:spacing w:val="-1"/>
          <w:vertAlign w:val="baseline"/>
        </w:rPr>
        <w:t> </w:t>
      </w:r>
      <w:r>
        <w:rPr>
          <w:vertAlign w:val="baseline"/>
        </w:rPr>
        <w:t>bids</w:t>
      </w:r>
      <w:r>
        <w:rPr>
          <w:spacing w:val="-1"/>
          <w:vertAlign w:val="baseline"/>
        </w:rPr>
        <w:t> </w:t>
      </w:r>
      <w:r>
        <w:rPr>
          <w:vertAlign w:val="baseline"/>
        </w:rPr>
        <w:t>at</w:t>
      </w:r>
      <w:r>
        <w:rPr>
          <w:spacing w:val="-1"/>
          <w:vertAlign w:val="baseline"/>
        </w:rPr>
        <w:t> </w:t>
      </w:r>
      <w:r>
        <w:rPr>
          <w:vertAlign w:val="baseline"/>
        </w:rPr>
        <w:t>the</w:t>
      </w:r>
      <w:r>
        <w:rPr>
          <w:spacing w:val="-1"/>
          <w:vertAlign w:val="baseline"/>
        </w:rPr>
        <w:t> </w:t>
      </w:r>
      <w:r>
        <w:rPr>
          <w:vertAlign w:val="baseline"/>
        </w:rPr>
        <w:t>auction</w:t>
      </w:r>
      <w:r>
        <w:rPr>
          <w:spacing w:val="-1"/>
          <w:vertAlign w:val="baseline"/>
        </w:rPr>
        <w:t> </w:t>
      </w:r>
      <w:r>
        <w:rPr>
          <w:vertAlign w:val="baseline"/>
        </w:rPr>
        <w:t>itself</w:t>
      </w:r>
      <w:r>
        <w:rPr>
          <w:spacing w:val="-1"/>
          <w:vertAlign w:val="baseline"/>
        </w:rPr>
        <w:t> </w:t>
      </w:r>
      <w:r>
        <w:rPr>
          <w:vertAlign w:val="baseline"/>
        </w:rPr>
        <w:t>seems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an</w:t>
      </w:r>
      <w:r>
        <w:rPr>
          <w:spacing w:val="-1"/>
          <w:vertAlign w:val="baseline"/>
        </w:rPr>
        <w:t> </w:t>
      </w:r>
      <w:r>
        <w:rPr>
          <w:vertAlign w:val="baseline"/>
        </w:rPr>
        <w:t>offer</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auctioneer</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will</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owner’s </w:t>
      </w:r>
      <w:bookmarkStart w:name="_bookmark123" w:id="125"/>
      <w:bookmarkEnd w:id="125"/>
      <w:r>
        <w:rPr>
          <w:vertAlign w:val="baseline"/>
        </w:rPr>
        <w:t>behalf)</w:t>
      </w:r>
      <w:r>
        <w:rPr>
          <w:vertAlign w:val="baseline"/>
        </w:rPr>
        <w:t> accept the highest bid; and this offer is accepted by bidding. The question whether there is</w:t>
      </w:r>
      <w:r>
        <w:rPr>
          <w:spacing w:val="40"/>
          <w:vertAlign w:val="baseline"/>
        </w:rPr>
        <w:t> </w:t>
      </w:r>
      <w:r>
        <w:rPr>
          <w:vertAlign w:val="baseline"/>
        </w:rPr>
        <w:t>any consideration for the auctioneer’s promise to the highest bidder is discussed in Ch.4. </w:t>
      </w:r>
      <w:r>
        <w:rPr>
          <w:color w:val="005DA1"/>
          <w:u w:val="single" w:color="005DA1"/>
          <w:vertAlign w:val="superscript"/>
        </w:rPr>
        <w:t>124</w:t>
      </w:r>
    </w:p>
    <w:p>
      <w:pPr>
        <w:pStyle w:val="BodyText"/>
      </w:pPr>
    </w:p>
    <w:p>
      <w:pPr>
        <w:pStyle w:val="BodyText"/>
        <w:spacing w:before="37"/>
      </w:pPr>
    </w:p>
    <w:p>
      <w:pPr>
        <w:spacing w:before="0"/>
        <w:ind w:left="165" w:right="0" w:firstLine="0"/>
        <w:jc w:val="left"/>
        <w:rPr>
          <w:rFonts w:ascii="Arial"/>
          <w:b/>
          <w:sz w:val="18"/>
        </w:rPr>
      </w:pPr>
      <w:r>
        <w:rPr>
          <w:rFonts w:ascii="Arial"/>
          <w:b/>
          <w:sz w:val="18"/>
        </w:rPr>
        <w:t>Provision for resale in case of </w:t>
      </w:r>
      <w:r>
        <w:rPr>
          <w:rFonts w:ascii="Arial"/>
          <w:b/>
          <w:spacing w:val="-2"/>
          <w:sz w:val="18"/>
        </w:rPr>
        <w:t>dispute</w:t>
      </w:r>
    </w:p>
    <w:p>
      <w:pPr>
        <w:pStyle w:val="BodyText"/>
        <w:spacing w:before="41"/>
        <w:rPr>
          <w:rFonts w:ascii="Arial"/>
          <w:b/>
          <w:sz w:val="18"/>
        </w:rPr>
      </w:pPr>
    </w:p>
    <w:p>
      <w:pPr>
        <w:pStyle w:val="Heading2"/>
      </w:pPr>
      <w:r>
        <w:rPr/>
        <w:t>2-</w:t>
      </w:r>
      <w:r>
        <w:rPr>
          <w:spacing w:val="-5"/>
        </w:rPr>
        <w:t>021</w:t>
      </w:r>
    </w:p>
    <w:p>
      <w:pPr>
        <w:pStyle w:val="BodyText"/>
        <w:spacing w:line="235" w:lineRule="auto" w:before="203"/>
        <w:ind w:left="164" w:right="167"/>
        <w:jc w:val="both"/>
      </w:pPr>
      <w:bookmarkStart w:name="_bookmark124" w:id="126"/>
      <w:bookmarkEnd w:id="126"/>
      <w:r>
        <w:rPr/>
      </w:r>
      <w:r>
        <w:rPr/>
        <w:t>An auction sale may be conducted subject to the express stipulation that, “if any dispute </w:t>
      </w:r>
      <w:r>
        <w:rPr>
          <w:color w:val="005DA1"/>
          <w:u w:val="single" w:color="005DA1"/>
          <w:vertAlign w:val="superscript"/>
        </w:rPr>
        <w:t>125</w:t>
      </w:r>
      <w:r>
        <w:rPr>
          <w:color w:val="005DA1"/>
          <w:vertAlign w:val="baseline"/>
        </w:rPr>
        <w:t> </w:t>
      </w:r>
      <w:r>
        <w:rPr>
          <w:vertAlign w:val="baseline"/>
        </w:rPr>
        <w:t>arises </w:t>
      </w:r>
      <w:bookmarkStart w:name="_bookmark125" w:id="127"/>
      <w:bookmarkEnd w:id="127"/>
      <w:r>
        <w:rPr>
          <w:vertAlign w:val="baseline"/>
        </w:rPr>
        <w:t>between</w:t>
      </w:r>
      <w:r>
        <w:rPr>
          <w:vertAlign w:val="baseline"/>
        </w:rPr>
        <w:t> two or more bidders, the lot in dispute shall be immediately put up again and resold”. If the dispute arises after the lot has been knocked down to one bidder, it seems that there is a contract </w:t>
      </w:r>
      <w:r>
        <w:rPr>
          <w:color w:val="005DA1"/>
          <w:u w:val="single" w:color="005DA1"/>
          <w:vertAlign w:val="superscript"/>
        </w:rPr>
        <w:t>126</w:t>
      </w:r>
      <w:r>
        <w:rPr>
          <w:color w:val="005DA1"/>
          <w:vertAlign w:val="baseline"/>
        </w:rPr>
        <w:t> </w:t>
      </w:r>
      <w:r>
        <w:rPr>
          <w:vertAlign w:val="baseline"/>
        </w:rPr>
        <w:t>with him, subject to the condition subsequent that the sale may be annulled if a dispute immediately breaks out between two or more bidders.</w:t>
      </w:r>
    </w:p>
    <w:p>
      <w:pPr>
        <w:pStyle w:val="BodyText"/>
      </w:pPr>
    </w:p>
    <w:p>
      <w:pPr>
        <w:pStyle w:val="BodyText"/>
        <w:spacing w:before="37"/>
      </w:pPr>
    </w:p>
    <w:p>
      <w:pPr>
        <w:spacing w:before="0"/>
        <w:ind w:left="164" w:right="0" w:firstLine="0"/>
        <w:jc w:val="left"/>
        <w:rPr>
          <w:rFonts w:ascii="Arial"/>
          <w:b/>
          <w:sz w:val="18"/>
        </w:rPr>
      </w:pPr>
      <w:r>
        <w:rPr>
          <w:rFonts w:ascii="Arial"/>
          <w:b/>
          <w:spacing w:val="-2"/>
          <w:sz w:val="18"/>
        </w:rPr>
        <w:t>Tenders</w:t>
      </w:r>
    </w:p>
    <w:p>
      <w:pPr>
        <w:pStyle w:val="BodyText"/>
        <w:spacing w:before="41"/>
        <w:rPr>
          <w:rFonts w:ascii="Arial"/>
          <w:b/>
          <w:sz w:val="18"/>
        </w:rPr>
      </w:pPr>
    </w:p>
    <w:p>
      <w:pPr>
        <w:pStyle w:val="Heading2"/>
        <w:ind w:left="164"/>
      </w:pPr>
      <w:r>
        <w:rPr/>
        <w:t>2-</w:t>
      </w:r>
      <w:r>
        <w:rPr>
          <w:spacing w:val="-5"/>
        </w:rPr>
        <w:t>022</w:t>
      </w:r>
    </w:p>
    <w:p>
      <w:pPr>
        <w:pStyle w:val="BodyText"/>
        <w:spacing w:line="235" w:lineRule="auto" w:before="203"/>
        <w:ind w:left="164" w:right="167"/>
        <w:jc w:val="both"/>
      </w:pPr>
      <w:bookmarkStart w:name="_bookmark126" w:id="128"/>
      <w:bookmarkEnd w:id="128"/>
      <w:r>
        <w:rPr/>
      </w:r>
      <w:r>
        <w:rPr/>
        <w:t>At common law, a statement that goods are to be sold by tender is not normally an offer to sell to the </w:t>
      </w:r>
      <w:bookmarkStart w:name="_bookmark127" w:id="129"/>
      <w:bookmarkEnd w:id="129"/>
      <w:r>
        <w:rPr/>
        <w:t>person</w:t>
      </w:r>
      <w:r>
        <w:rPr/>
        <w:t> making the highest tender </w:t>
      </w:r>
      <w:r>
        <w:rPr>
          <w:color w:val="005DA1"/>
          <w:u w:val="single" w:color="005DA1"/>
          <w:vertAlign w:val="superscript"/>
        </w:rPr>
        <w:t>127</w:t>
      </w:r>
      <w:r>
        <w:rPr>
          <w:vertAlign w:val="baseline"/>
        </w:rPr>
        <w:t>; it merely indicates a readiness to receive offers. Similarly, an invitation</w:t>
      </w:r>
      <w:r>
        <w:rPr>
          <w:spacing w:val="-3"/>
          <w:vertAlign w:val="baseline"/>
        </w:rPr>
        <w:t> </w:t>
      </w:r>
      <w:r>
        <w:rPr>
          <w:vertAlign w:val="baseline"/>
        </w:rPr>
        <w:t>for</w:t>
      </w:r>
      <w:r>
        <w:rPr>
          <w:spacing w:val="-3"/>
          <w:vertAlign w:val="baseline"/>
        </w:rPr>
        <w:t> </w:t>
      </w:r>
      <w:r>
        <w:rPr>
          <w:vertAlign w:val="baseline"/>
        </w:rPr>
        <w:t>tenders</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supply</w:t>
      </w:r>
      <w:r>
        <w:rPr>
          <w:spacing w:val="-3"/>
          <w:vertAlign w:val="baseline"/>
        </w:rPr>
        <w:t> </w:t>
      </w:r>
      <w:r>
        <w:rPr>
          <w:vertAlign w:val="baseline"/>
        </w:rPr>
        <w:t>of</w:t>
      </w:r>
      <w:r>
        <w:rPr>
          <w:spacing w:val="-3"/>
          <w:vertAlign w:val="baseline"/>
        </w:rPr>
        <w:t> </w:t>
      </w:r>
      <w:r>
        <w:rPr>
          <w:vertAlign w:val="baseline"/>
        </w:rPr>
        <w:t>goods</w:t>
      </w:r>
      <w:r>
        <w:rPr>
          <w:spacing w:val="-3"/>
          <w:vertAlign w:val="baseline"/>
        </w:rPr>
        <w:t> </w:t>
      </w:r>
      <w:r>
        <w:rPr>
          <w:vertAlign w:val="baseline"/>
        </w:rPr>
        <w:t>or</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execution</w:t>
      </w:r>
      <w:r>
        <w:rPr>
          <w:spacing w:val="-3"/>
          <w:vertAlign w:val="baseline"/>
        </w:rPr>
        <w:t> </w:t>
      </w:r>
      <w:r>
        <w:rPr>
          <w:vertAlign w:val="baseline"/>
        </w:rPr>
        <w:t>of</w:t>
      </w:r>
      <w:r>
        <w:rPr>
          <w:spacing w:val="-3"/>
          <w:vertAlign w:val="baseline"/>
        </w:rPr>
        <w:t> </w:t>
      </w:r>
      <w:r>
        <w:rPr>
          <w:vertAlign w:val="baseline"/>
        </w:rPr>
        <w:t>works</w:t>
      </w:r>
      <w:r>
        <w:rPr>
          <w:spacing w:val="-3"/>
          <w:vertAlign w:val="baseline"/>
        </w:rPr>
        <w:t> </w:t>
      </w:r>
      <w:r>
        <w:rPr>
          <w:vertAlign w:val="baseline"/>
        </w:rPr>
        <w:t>is,</w:t>
      </w:r>
      <w:r>
        <w:rPr>
          <w:spacing w:val="-3"/>
          <w:vertAlign w:val="baseline"/>
        </w:rPr>
        <w:t> </w:t>
      </w:r>
      <w:r>
        <w:rPr>
          <w:vertAlign w:val="baseline"/>
        </w:rPr>
        <w:t>generally,</w:t>
      </w:r>
      <w:r>
        <w:rPr>
          <w:spacing w:val="-3"/>
          <w:vertAlign w:val="baseline"/>
        </w:rPr>
        <w:t> </w:t>
      </w:r>
      <w:r>
        <w:rPr>
          <w:vertAlign w:val="baseline"/>
        </w:rPr>
        <w:t>not</w:t>
      </w:r>
      <w:r>
        <w:rPr>
          <w:spacing w:val="-3"/>
          <w:vertAlign w:val="baseline"/>
        </w:rPr>
        <w:t> </w:t>
      </w:r>
      <w:r>
        <w:rPr>
          <w:vertAlign w:val="baseline"/>
        </w:rPr>
        <w:t>an</w:t>
      </w:r>
      <w:r>
        <w:rPr>
          <w:spacing w:val="-3"/>
          <w:vertAlign w:val="baseline"/>
        </w:rPr>
        <w:t> </w:t>
      </w:r>
      <w:r>
        <w:rPr>
          <w:vertAlign w:val="baseline"/>
        </w:rPr>
        <w:t>offer,</w:t>
      </w:r>
      <w:r>
        <w:rPr>
          <w:spacing w:val="-4"/>
          <w:vertAlign w:val="baseline"/>
        </w:rPr>
        <w:t> </w:t>
      </w:r>
      <w:r>
        <w:rPr>
          <w:color w:val="005DA1"/>
          <w:u w:val="single" w:color="005DA1"/>
          <w:vertAlign w:val="superscript"/>
        </w:rPr>
        <w:t>128</w:t>
      </w:r>
      <w:r>
        <w:rPr>
          <w:color w:val="005DA1"/>
          <w:vertAlign w:val="baseline"/>
        </w:rPr>
        <w:t> </w:t>
      </w:r>
      <w:r>
        <w:rPr>
          <w:vertAlign w:val="baseline"/>
        </w:rPr>
        <w:t>even though the preparation of the tender may involve very considerable expense. The person </w:t>
      </w:r>
      <w:r>
        <w:rPr>
          <w:vertAlign w:val="baseline"/>
        </w:rPr>
        <w:t>who submits the tender makes the offer and there is no contract until the person asking for the tenders accepts one of them. These rules may, however, be excluded by evidence of contrary intention: e.g. </w:t>
      </w:r>
      <w:bookmarkStart w:name="_bookmark128" w:id="130"/>
      <w:bookmarkEnd w:id="130"/>
      <w:r>
        <w:rPr>
          <w:vertAlign w:val="baseline"/>
        </w:rPr>
        <w:t>where</w:t>
      </w:r>
      <w:r>
        <w:rPr>
          <w:vertAlign w:val="baseline"/>
        </w:rPr>
        <w:t> the person who invites the tenders states in the invitation that he binds himself to accept the </w:t>
      </w:r>
      <w:bookmarkStart w:name="_bookmark129" w:id="131"/>
      <w:bookmarkEnd w:id="131"/>
      <w:r>
        <w:rPr>
          <w:vertAlign w:val="baseline"/>
        </w:rPr>
        <w:t>highest</w:t>
      </w:r>
      <w:r>
        <w:rPr>
          <w:vertAlign w:val="baseline"/>
        </w:rPr>
        <w:t> offer to buy </w:t>
      </w:r>
      <w:r>
        <w:rPr>
          <w:color w:val="005DA1"/>
          <w:u w:val="single" w:color="005DA1"/>
          <w:vertAlign w:val="superscript"/>
        </w:rPr>
        <w:t>129</w:t>
      </w:r>
      <w:r>
        <w:rPr>
          <w:color w:val="005DA1"/>
          <w:vertAlign w:val="baseline"/>
        </w:rPr>
        <w:t> </w:t>
      </w:r>
      <w:r>
        <w:rPr>
          <w:vertAlign w:val="baseline"/>
        </w:rPr>
        <w:t>(or, as the case may be, the lowest offer to sell or to provide the specified services).</w:t>
      </w:r>
      <w:r>
        <w:rPr>
          <w:spacing w:val="-3"/>
          <w:vertAlign w:val="baseline"/>
        </w:rPr>
        <w:t> </w:t>
      </w:r>
      <w:r>
        <w:rPr>
          <w:color w:val="005DA1"/>
          <w:u w:val="single" w:color="005DA1"/>
          <w:vertAlign w:val="superscript"/>
        </w:rPr>
        <w:t>130</w:t>
      </w:r>
      <w:r>
        <w:rPr>
          <w:color w:val="005DA1"/>
          <w:spacing w:val="-3"/>
          <w:vertAlign w:val="baseline"/>
        </w:rPr>
        <w:t> </w:t>
      </w:r>
      <w:r>
        <w:rPr>
          <w:vertAlign w:val="baseline"/>
        </w:rPr>
        <w:t>In</w:t>
      </w:r>
      <w:r>
        <w:rPr>
          <w:spacing w:val="-3"/>
          <w:vertAlign w:val="baseline"/>
        </w:rPr>
        <w:t> </w:t>
      </w:r>
      <w:r>
        <w:rPr>
          <w:vertAlign w:val="baseline"/>
        </w:rPr>
        <w:t>such</w:t>
      </w:r>
      <w:r>
        <w:rPr>
          <w:spacing w:val="-3"/>
          <w:vertAlign w:val="baseline"/>
        </w:rPr>
        <w:t> </w:t>
      </w:r>
      <w:r>
        <w:rPr>
          <w:vertAlign w:val="baseline"/>
        </w:rPr>
        <w:t>cases,</w:t>
      </w:r>
      <w:r>
        <w:rPr>
          <w:spacing w:val="-3"/>
          <w:vertAlign w:val="baseline"/>
        </w:rPr>
        <w:t> </w:t>
      </w:r>
      <w:r>
        <w:rPr>
          <w:vertAlign w:val="baseline"/>
        </w:rPr>
        <w:t>the</w:t>
      </w:r>
      <w:r>
        <w:rPr>
          <w:spacing w:val="-3"/>
          <w:vertAlign w:val="baseline"/>
        </w:rPr>
        <w:t> </w:t>
      </w:r>
      <w:r>
        <w:rPr>
          <w:vertAlign w:val="baseline"/>
        </w:rPr>
        <w:t>invitation</w:t>
      </w:r>
      <w:r>
        <w:rPr>
          <w:spacing w:val="-3"/>
          <w:vertAlign w:val="baseline"/>
        </w:rPr>
        <w:t> </w:t>
      </w:r>
      <w:r>
        <w:rPr>
          <w:vertAlign w:val="baseline"/>
        </w:rPr>
        <w:t>for</w:t>
      </w:r>
      <w:r>
        <w:rPr>
          <w:spacing w:val="-3"/>
          <w:vertAlign w:val="baseline"/>
        </w:rPr>
        <w:t> </w:t>
      </w:r>
      <w:r>
        <w:rPr>
          <w:vertAlign w:val="baseline"/>
        </w:rPr>
        <w:t>tenders</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regarded</w:t>
      </w:r>
      <w:r>
        <w:rPr>
          <w:spacing w:val="-4"/>
          <w:vertAlign w:val="baseline"/>
        </w:rPr>
        <w:t> </w:t>
      </w:r>
      <w:r>
        <w:rPr>
          <w:rFonts w:ascii="Arial"/>
          <w:i/>
          <w:vertAlign w:val="baseline"/>
        </w:rPr>
        <w:t>either</w:t>
      </w:r>
      <w:r>
        <w:rPr>
          <w:rFonts w:ascii="Arial"/>
          <w:i/>
          <w:spacing w:val="-3"/>
          <w:vertAlign w:val="baseline"/>
        </w:rPr>
        <w:t> </w:t>
      </w:r>
      <w:r>
        <w:rPr>
          <w:vertAlign w:val="baseline"/>
        </w:rPr>
        <w:t>as</w:t>
      </w:r>
      <w:r>
        <w:rPr>
          <w:spacing w:val="-3"/>
          <w:vertAlign w:val="baseline"/>
        </w:rPr>
        <w:t> </w:t>
      </w:r>
      <w:r>
        <w:rPr>
          <w:vertAlign w:val="baseline"/>
        </w:rPr>
        <w:t>itself</w:t>
      </w:r>
      <w:r>
        <w:rPr>
          <w:spacing w:val="-3"/>
          <w:vertAlign w:val="baseline"/>
        </w:rPr>
        <w:t> </w:t>
      </w:r>
      <w:r>
        <w:rPr>
          <w:vertAlign w:val="baseline"/>
        </w:rPr>
        <w:t>an</w:t>
      </w:r>
      <w:r>
        <w:rPr>
          <w:spacing w:val="-3"/>
          <w:vertAlign w:val="baseline"/>
        </w:rPr>
        <w:t> </w:t>
      </w:r>
      <w:r>
        <w:rPr>
          <w:vertAlign w:val="baseline"/>
        </w:rPr>
        <w:t>offer</w:t>
      </w:r>
      <w:r>
        <w:rPr>
          <w:spacing w:val="-3"/>
          <w:vertAlign w:val="baseline"/>
        </w:rPr>
        <w:t> </w:t>
      </w:r>
      <w:r>
        <w:rPr>
          <w:rFonts w:ascii="Arial"/>
          <w:i/>
          <w:vertAlign w:val="baseline"/>
        </w:rPr>
        <w:t>or</w:t>
      </w:r>
      <w:r>
        <w:rPr>
          <w:rFonts w:ascii="Arial"/>
          <w:i/>
          <w:spacing w:val="-3"/>
          <w:vertAlign w:val="baseline"/>
        </w:rPr>
        <w:t> </w:t>
      </w:r>
      <w:r>
        <w:rPr>
          <w:vertAlign w:val="baseline"/>
        </w:rPr>
        <w:t>as</w:t>
      </w:r>
      <w:r>
        <w:rPr>
          <w:spacing w:val="-3"/>
          <w:vertAlign w:val="baseline"/>
        </w:rPr>
        <w:t> </w:t>
      </w:r>
      <w:r>
        <w:rPr>
          <w:vertAlign w:val="baseline"/>
        </w:rPr>
        <w:t>an invitation to submit offers coupled with an undertaking to accept the highest (or, as the case may be, </w:t>
      </w:r>
      <w:bookmarkStart w:name="_bookmark130" w:id="132"/>
      <w:bookmarkEnd w:id="132"/>
      <w:r>
        <w:rPr>
          <w:vertAlign w:val="baseline"/>
        </w:rPr>
        <w:t>the</w:t>
      </w:r>
      <w:r>
        <w:rPr>
          <w:vertAlign w:val="baseline"/>
        </w:rPr>
        <w:t> lowest) offer; and the contract is concluded as soon as the highest offer to buy (or lowest offer to </w:t>
      </w:r>
      <w:bookmarkStart w:name="_bookmark131" w:id="133"/>
      <w:bookmarkEnd w:id="133"/>
      <w:r>
        <w:rPr>
          <w:vertAlign w:val="baseline"/>
        </w:rPr>
        <w:t>sell,</w:t>
      </w:r>
      <w:r>
        <w:rPr>
          <w:spacing w:val="-4"/>
          <w:vertAlign w:val="baseline"/>
        </w:rPr>
        <w:t> </w:t>
      </w:r>
      <w:r>
        <w:rPr>
          <w:vertAlign w:val="baseline"/>
        </w:rPr>
        <w:t>etc.)</w:t>
      </w:r>
      <w:r>
        <w:rPr>
          <w:spacing w:val="-4"/>
          <w:vertAlign w:val="baseline"/>
        </w:rPr>
        <w:t> </w:t>
      </w:r>
      <w:r>
        <w:rPr>
          <w:vertAlign w:val="baseline"/>
        </w:rPr>
        <w:t>is</w:t>
      </w:r>
      <w:r>
        <w:rPr>
          <w:spacing w:val="-4"/>
          <w:vertAlign w:val="baseline"/>
        </w:rPr>
        <w:t> </w:t>
      </w:r>
      <w:r>
        <w:rPr>
          <w:vertAlign w:val="baseline"/>
        </w:rPr>
        <w:t>communicated.</w:t>
      </w:r>
      <w:r>
        <w:rPr>
          <w:spacing w:val="-5"/>
          <w:vertAlign w:val="baseline"/>
        </w:rPr>
        <w:t> </w:t>
      </w:r>
      <w:r>
        <w:rPr>
          <w:color w:val="005DA1"/>
          <w:u w:val="single" w:color="005DA1"/>
          <w:vertAlign w:val="superscript"/>
        </w:rPr>
        <w:t>131</w:t>
      </w:r>
      <w:r>
        <w:rPr>
          <w:color w:val="005DA1"/>
          <w:spacing w:val="-5"/>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also</w:t>
      </w:r>
      <w:r>
        <w:rPr>
          <w:spacing w:val="-4"/>
          <w:vertAlign w:val="baseline"/>
        </w:rPr>
        <w:t> </w:t>
      </w:r>
      <w:r>
        <w:rPr>
          <w:vertAlign w:val="baseline"/>
        </w:rPr>
        <w:t>an</w:t>
      </w:r>
      <w:r>
        <w:rPr>
          <w:spacing w:val="-4"/>
          <w:vertAlign w:val="baseline"/>
        </w:rPr>
        <w:t> </w:t>
      </w:r>
      <w:r>
        <w:rPr>
          <w:vertAlign w:val="baseline"/>
        </w:rPr>
        <w:t>intermediate</w:t>
      </w:r>
      <w:r>
        <w:rPr>
          <w:spacing w:val="-4"/>
          <w:vertAlign w:val="baseline"/>
        </w:rPr>
        <w:t> </w:t>
      </w:r>
      <w:r>
        <w:rPr>
          <w:vertAlign w:val="baseline"/>
        </w:rPr>
        <w:t>possibility.</w:t>
      </w:r>
      <w:r>
        <w:rPr>
          <w:spacing w:val="-4"/>
          <w:vertAlign w:val="baseline"/>
        </w:rPr>
        <w:t> </w:t>
      </w:r>
      <w:r>
        <w:rPr>
          <w:vertAlign w:val="baseline"/>
        </w:rPr>
        <w:t>This</w:t>
      </w:r>
      <w:r>
        <w:rPr>
          <w:spacing w:val="-4"/>
          <w:vertAlign w:val="baseline"/>
        </w:rPr>
        <w:t> </w:t>
      </w:r>
      <w:r>
        <w:rPr>
          <w:vertAlign w:val="baseline"/>
        </w:rPr>
        <w:t>is</w:t>
      </w:r>
      <w:r>
        <w:rPr>
          <w:spacing w:val="-4"/>
          <w:vertAlign w:val="baseline"/>
        </w:rPr>
        <w:t> </w:t>
      </w:r>
      <w:r>
        <w:rPr>
          <w:vertAlign w:val="baseline"/>
        </w:rPr>
        <w:t>illustrated</w:t>
      </w:r>
      <w:r>
        <w:rPr>
          <w:spacing w:val="-4"/>
          <w:vertAlign w:val="baseline"/>
        </w:rPr>
        <w:t> </w:t>
      </w:r>
      <w:r>
        <w:rPr>
          <w:vertAlign w:val="baseline"/>
        </w:rPr>
        <w:t>by</w:t>
      </w:r>
      <w:r>
        <w:rPr>
          <w:spacing w:val="-5"/>
          <w:vertAlign w:val="baseline"/>
        </w:rPr>
        <w:t> </w:t>
      </w:r>
      <w:r>
        <w:rPr>
          <w:rFonts w:ascii="Arial"/>
          <w:i/>
          <w:vertAlign w:val="baseline"/>
        </w:rPr>
        <w:t>Blackpool and Fylde Aero Club Ltd v Blackpool BC </w:t>
      </w:r>
      <w:r>
        <w:rPr>
          <w:color w:val="005DA1"/>
          <w:u w:val="single" w:color="005DA1"/>
          <w:vertAlign w:val="superscript"/>
        </w:rPr>
        <w:t>132</w:t>
      </w:r>
      <w:r>
        <w:rPr>
          <w:color w:val="005DA1"/>
          <w:vertAlign w:val="baseline"/>
        </w:rPr>
        <w:t> </w:t>
      </w:r>
      <w:r>
        <w:rPr>
          <w:vertAlign w:val="baseline"/>
        </w:rPr>
        <w:t>in which an invitation to submit tenders was sent by a local authority to seven selected parties; the invitation stated that tenders submitted after a specified deadline would not be considered. It was held that the authority was contractually bound to consider (though not to accept) a tender submitted before the deadline. The unilateral offer to consider conforming tenders was accepted when a conforming tender was submitted.</w:t>
      </w:r>
    </w:p>
    <w:p>
      <w:pPr>
        <w:pStyle w:val="BodyText"/>
      </w:pPr>
    </w:p>
    <w:p>
      <w:pPr>
        <w:pStyle w:val="BodyText"/>
        <w:spacing w:before="32"/>
      </w:pPr>
    </w:p>
    <w:p>
      <w:pPr>
        <w:spacing w:before="0"/>
        <w:ind w:left="165" w:right="0" w:firstLine="0"/>
        <w:jc w:val="left"/>
        <w:rPr>
          <w:rFonts w:ascii="Arial"/>
          <w:b/>
          <w:sz w:val="18"/>
        </w:rPr>
      </w:pPr>
      <w:r>
        <w:rPr>
          <w:rFonts w:ascii="Arial"/>
          <w:b/>
          <w:sz w:val="18"/>
        </w:rPr>
        <w:t>Public </w:t>
      </w:r>
      <w:r>
        <w:rPr>
          <w:rFonts w:ascii="Arial"/>
          <w:b/>
          <w:spacing w:val="-2"/>
          <w:sz w:val="18"/>
        </w:rPr>
        <w:t>procurement</w:t>
      </w:r>
    </w:p>
    <w:p>
      <w:pPr>
        <w:pStyle w:val="BodyText"/>
        <w:spacing w:before="41"/>
        <w:rPr>
          <w:rFonts w:ascii="Arial"/>
          <w:b/>
          <w:sz w:val="18"/>
        </w:rPr>
      </w:pPr>
    </w:p>
    <w:p>
      <w:pPr>
        <w:pStyle w:val="Heading2"/>
      </w:pPr>
      <w:r>
        <w:rPr/>
        <w:t>2-</w:t>
      </w:r>
      <w:r>
        <w:rPr>
          <w:spacing w:val="-5"/>
        </w:rPr>
        <w:t>023</w:t>
      </w:r>
    </w:p>
    <w:p>
      <w:pPr>
        <w:pStyle w:val="BodyText"/>
        <w:spacing w:line="235" w:lineRule="auto" w:before="203"/>
        <w:ind w:left="164" w:right="167"/>
        <w:jc w:val="both"/>
      </w:pPr>
      <w:bookmarkStart w:name="_bookmark132" w:id="134"/>
      <w:bookmarkEnd w:id="134"/>
      <w:r>
        <w:rPr/>
      </w:r>
      <w:r>
        <w:rPr/>
        <w:t>The common law position stated in para.2-022 above is modified by legislation, for example, </w:t>
      </w:r>
      <w:r>
        <w:rPr/>
        <w:t>by Regulations </w:t>
      </w:r>
      <w:r>
        <w:rPr>
          <w:color w:val="005DA1"/>
          <w:u w:val="single" w:color="005DA1"/>
          <w:vertAlign w:val="superscript"/>
        </w:rPr>
        <w:t>133</w:t>
      </w:r>
      <w:r>
        <w:rPr>
          <w:color w:val="005DA1"/>
          <w:vertAlign w:val="baseline"/>
        </w:rPr>
        <w:t> </w:t>
      </w:r>
      <w:r>
        <w:rPr>
          <w:vertAlign w:val="baseline"/>
        </w:rPr>
        <w:t>which give effect to European Community Directives, the object of which is to prevent discrimination in the award of major contracts for public works, supplies and services in one member state against nationals of another member state. These Regulations restrict the freedom of the body seeking tenders to decide which tender it will accept and they provide a remedy in damages for a </w:t>
      </w:r>
      <w:bookmarkStart w:name="_bookmark133" w:id="135"/>
      <w:bookmarkEnd w:id="135"/>
      <w:r>
        <w:rPr>
          <w:vertAlign w:val="baseline"/>
        </w:rPr>
        <w:t>person</w:t>
      </w:r>
      <w:r>
        <w:rPr>
          <w:vertAlign w:val="baseline"/>
        </w:rPr>
        <w:t> who has made a tender and is prejudiced by breach of the Regulations. A fuller account of the topic is given in Ch.11. </w:t>
      </w:r>
      <w:r>
        <w:rPr>
          <w:color w:val="005DA1"/>
          <w:u w:val="single" w:color="005DA1"/>
          <w:vertAlign w:val="superscript"/>
        </w:rPr>
        <w:t>134</w:t>
      </w:r>
    </w:p>
    <w:p>
      <w:pPr>
        <w:pStyle w:val="BodyText"/>
      </w:pPr>
    </w:p>
    <w:p>
      <w:pPr>
        <w:pStyle w:val="BodyText"/>
        <w:spacing w:before="36"/>
      </w:pPr>
    </w:p>
    <w:p>
      <w:pPr>
        <w:spacing w:before="0"/>
        <w:ind w:left="165" w:right="0" w:firstLine="0"/>
        <w:jc w:val="left"/>
        <w:rPr>
          <w:rFonts w:ascii="Arial"/>
          <w:b/>
          <w:sz w:val="18"/>
        </w:rPr>
      </w:pPr>
      <w:r>
        <w:rPr>
          <w:rFonts w:ascii="Arial"/>
          <w:b/>
          <w:sz w:val="18"/>
        </w:rPr>
        <w:t>Share </w:t>
      </w:r>
      <w:r>
        <w:rPr>
          <w:rFonts w:ascii="Arial"/>
          <w:b/>
          <w:spacing w:val="-2"/>
          <w:sz w:val="18"/>
        </w:rPr>
        <w:t>offers</w:t>
      </w:r>
    </w:p>
    <w:p>
      <w:pPr>
        <w:pStyle w:val="BodyText"/>
        <w:spacing w:before="41"/>
        <w:rPr>
          <w:rFonts w:ascii="Arial"/>
          <w:b/>
          <w:sz w:val="18"/>
        </w:rPr>
      </w:pPr>
    </w:p>
    <w:p>
      <w:pPr>
        <w:pStyle w:val="Heading2"/>
      </w:pPr>
      <w:r>
        <w:rPr/>
        <w:t>2-</w:t>
      </w:r>
      <w:r>
        <w:rPr>
          <w:spacing w:val="-5"/>
        </w:rPr>
        <w:t>024</w:t>
      </w:r>
    </w:p>
    <w:p>
      <w:pPr>
        <w:pStyle w:val="BodyText"/>
        <w:spacing w:line="235" w:lineRule="auto" w:before="203"/>
        <w:ind w:left="165" w:right="167"/>
        <w:jc w:val="both"/>
      </w:pPr>
      <w:bookmarkStart w:name="_bookmark134" w:id="136"/>
      <w:bookmarkEnd w:id="136"/>
      <w:r>
        <w:rPr/>
      </w:r>
      <w:r>
        <w:rPr/>
        <w:t>A company which, in commercial language, </w:t>
      </w:r>
      <w:r>
        <w:rPr>
          <w:color w:val="005DA1"/>
          <w:u w:val="single" w:color="005DA1"/>
          <w:vertAlign w:val="superscript"/>
        </w:rPr>
        <w:t>135</w:t>
      </w:r>
      <w:r>
        <w:rPr>
          <w:color w:val="005DA1"/>
          <w:vertAlign w:val="baseline"/>
        </w:rPr>
        <w:t> </w:t>
      </w:r>
      <w:r>
        <w:rPr>
          <w:vertAlign w:val="baseline"/>
        </w:rPr>
        <w:t>makes an “offer to the public” of new shares does not in</w:t>
      </w:r>
      <w:r>
        <w:rPr>
          <w:spacing w:val="8"/>
          <w:vertAlign w:val="baseline"/>
        </w:rPr>
        <w:t> </w:t>
      </w:r>
      <w:r>
        <w:rPr>
          <w:vertAlign w:val="baseline"/>
        </w:rPr>
        <w:t>law</w:t>
      </w:r>
      <w:r>
        <w:rPr>
          <w:spacing w:val="8"/>
          <w:vertAlign w:val="baseline"/>
        </w:rPr>
        <w:t> </w:t>
      </w:r>
      <w:r>
        <w:rPr>
          <w:vertAlign w:val="baseline"/>
        </w:rPr>
        <w:t>“offer”</w:t>
      </w:r>
      <w:r>
        <w:rPr>
          <w:spacing w:val="8"/>
          <w:vertAlign w:val="baseline"/>
        </w:rPr>
        <w:t> </w:t>
      </w:r>
      <w:r>
        <w:rPr>
          <w:vertAlign w:val="baseline"/>
        </w:rPr>
        <w:t>to</w:t>
      </w:r>
      <w:r>
        <w:rPr>
          <w:spacing w:val="8"/>
          <w:vertAlign w:val="baseline"/>
        </w:rPr>
        <w:t> </w:t>
      </w:r>
      <w:r>
        <w:rPr>
          <w:vertAlign w:val="baseline"/>
        </w:rPr>
        <w:t>allot</w:t>
      </w:r>
      <w:r>
        <w:rPr>
          <w:spacing w:val="8"/>
          <w:vertAlign w:val="baseline"/>
        </w:rPr>
        <w:t> </w:t>
      </w:r>
      <w:r>
        <w:rPr>
          <w:vertAlign w:val="baseline"/>
        </w:rPr>
        <w:t>the</w:t>
      </w:r>
      <w:r>
        <w:rPr>
          <w:spacing w:val="8"/>
          <w:vertAlign w:val="baseline"/>
        </w:rPr>
        <w:t> </w:t>
      </w:r>
      <w:r>
        <w:rPr>
          <w:vertAlign w:val="baseline"/>
        </w:rPr>
        <w:t>shares.</w:t>
      </w:r>
      <w:r>
        <w:rPr>
          <w:spacing w:val="8"/>
          <w:vertAlign w:val="baseline"/>
        </w:rPr>
        <w:t> </w:t>
      </w:r>
      <w:r>
        <w:rPr>
          <w:vertAlign w:val="baseline"/>
        </w:rPr>
        <w:t>It</w:t>
      </w:r>
      <w:r>
        <w:rPr>
          <w:spacing w:val="8"/>
          <w:vertAlign w:val="baseline"/>
        </w:rPr>
        <w:t> </w:t>
      </w:r>
      <w:r>
        <w:rPr>
          <w:vertAlign w:val="baseline"/>
        </w:rPr>
        <w:t>invites</w:t>
      </w:r>
      <w:r>
        <w:rPr>
          <w:spacing w:val="8"/>
          <w:vertAlign w:val="baseline"/>
        </w:rPr>
        <w:t> </w:t>
      </w:r>
      <w:r>
        <w:rPr>
          <w:vertAlign w:val="baseline"/>
        </w:rPr>
        <w:t>members</w:t>
      </w:r>
      <w:r>
        <w:rPr>
          <w:spacing w:val="8"/>
          <w:vertAlign w:val="baseline"/>
        </w:rPr>
        <w:t> </w:t>
      </w:r>
      <w:r>
        <w:rPr>
          <w:vertAlign w:val="baseline"/>
        </w:rPr>
        <w:t>of</w:t>
      </w:r>
      <w:r>
        <w:rPr>
          <w:spacing w:val="8"/>
          <w:vertAlign w:val="baseline"/>
        </w:rPr>
        <w:t> </w:t>
      </w:r>
      <w:r>
        <w:rPr>
          <w:vertAlign w:val="baseline"/>
        </w:rPr>
        <w:t>the</w:t>
      </w:r>
      <w:r>
        <w:rPr>
          <w:spacing w:val="8"/>
          <w:vertAlign w:val="baseline"/>
        </w:rPr>
        <w:t> </w:t>
      </w:r>
      <w:r>
        <w:rPr>
          <w:vertAlign w:val="baseline"/>
        </w:rPr>
        <w:t>public</w:t>
      </w:r>
      <w:r>
        <w:rPr>
          <w:spacing w:val="8"/>
          <w:vertAlign w:val="baseline"/>
        </w:rPr>
        <w:t> </w:t>
      </w:r>
      <w:r>
        <w:rPr>
          <w:vertAlign w:val="baseline"/>
        </w:rPr>
        <w:t>to</w:t>
      </w:r>
      <w:r>
        <w:rPr>
          <w:spacing w:val="8"/>
          <w:vertAlign w:val="baseline"/>
        </w:rPr>
        <w:t> </w:t>
      </w:r>
      <w:r>
        <w:rPr>
          <w:vertAlign w:val="baseline"/>
        </w:rPr>
        <w:t>apply</w:t>
      </w:r>
      <w:r>
        <w:rPr>
          <w:spacing w:val="8"/>
          <w:vertAlign w:val="baseline"/>
        </w:rPr>
        <w:t> </w:t>
      </w:r>
      <w:r>
        <w:rPr>
          <w:vertAlign w:val="baseline"/>
        </w:rPr>
        <w:t>for</w:t>
      </w:r>
      <w:r>
        <w:rPr>
          <w:spacing w:val="8"/>
          <w:vertAlign w:val="baseline"/>
        </w:rPr>
        <w:t> </w:t>
      </w:r>
      <w:r>
        <w:rPr>
          <w:vertAlign w:val="baseline"/>
        </w:rPr>
        <w:t>them,</w:t>
      </w:r>
      <w:r>
        <w:rPr>
          <w:spacing w:val="8"/>
          <w:vertAlign w:val="baseline"/>
        </w:rPr>
        <w:t> </w:t>
      </w:r>
      <w:r>
        <w:rPr>
          <w:vertAlign w:val="baseline"/>
        </w:rPr>
        <w:t>reserving</w:t>
      </w:r>
      <w:r>
        <w:rPr>
          <w:spacing w:val="8"/>
          <w:vertAlign w:val="baseline"/>
        </w:rPr>
        <w:t> </w:t>
      </w:r>
      <w:r>
        <w:rPr>
          <w:vertAlign w:val="baseline"/>
        </w:rPr>
        <w:t>the</w:t>
      </w:r>
      <w:r>
        <w:rPr>
          <w:spacing w:val="8"/>
          <w:vertAlign w:val="baseline"/>
        </w:rPr>
        <w:t> </w:t>
      </w:r>
      <w:r>
        <w:rPr>
          <w:spacing w:val="-2"/>
          <w:vertAlign w:val="baseline"/>
        </w:rPr>
        <w:t>right</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35" w:id="137"/>
      <w:bookmarkEnd w:id="137"/>
      <w:r>
        <w:rPr/>
      </w:r>
      <w:bookmarkStart w:name="_bookmark136" w:id="138"/>
      <w:bookmarkEnd w:id="138"/>
      <w:r>
        <w:rPr/>
      </w:r>
      <w:r>
        <w:rPr/>
        <w:t>to decide how many, if any, to allot to any particular applicant. </w:t>
      </w:r>
      <w:r>
        <w:rPr>
          <w:color w:val="005DA1"/>
          <w:u w:val="single" w:color="005DA1"/>
          <w:vertAlign w:val="superscript"/>
        </w:rPr>
        <w:t>136</w:t>
      </w:r>
      <w:r>
        <w:rPr>
          <w:color w:val="005DA1"/>
          <w:vertAlign w:val="baseline"/>
        </w:rPr>
        <w:t> </w:t>
      </w:r>
      <w:r>
        <w:rPr>
          <w:vertAlign w:val="baseline"/>
        </w:rPr>
        <w:t>On the other hand a letter informing an</w:t>
      </w:r>
      <w:r>
        <w:rPr>
          <w:spacing w:val="1"/>
          <w:vertAlign w:val="baseline"/>
        </w:rPr>
        <w:t> </w:t>
      </w:r>
      <w:r>
        <w:rPr>
          <w:vertAlign w:val="baseline"/>
        </w:rPr>
        <w:t>existing</w:t>
      </w:r>
      <w:r>
        <w:rPr>
          <w:spacing w:val="1"/>
          <w:vertAlign w:val="baseline"/>
        </w:rPr>
        <w:t> </w:t>
      </w:r>
      <w:r>
        <w:rPr>
          <w:vertAlign w:val="baseline"/>
        </w:rPr>
        <w:t>shareholder</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entitlement</w:t>
      </w:r>
      <w:r>
        <w:rPr>
          <w:spacing w:val="1"/>
          <w:vertAlign w:val="baseline"/>
        </w:rPr>
        <w:t> </w:t>
      </w:r>
      <w:r>
        <w:rPr>
          <w:vertAlign w:val="baseline"/>
        </w:rPr>
        <w:t>under</w:t>
      </w:r>
      <w:r>
        <w:rPr>
          <w:spacing w:val="1"/>
          <w:vertAlign w:val="baseline"/>
        </w:rPr>
        <w:t> </w:t>
      </w:r>
      <w:r>
        <w:rPr>
          <w:vertAlign w:val="baseline"/>
        </w:rPr>
        <w:t>a</w:t>
      </w:r>
      <w:r>
        <w:rPr>
          <w:spacing w:val="1"/>
          <w:vertAlign w:val="baseline"/>
        </w:rPr>
        <w:t> </w:t>
      </w:r>
      <w:r>
        <w:rPr>
          <w:vertAlign w:val="baseline"/>
        </w:rPr>
        <w:t>“rights”</w:t>
      </w:r>
      <w:r>
        <w:rPr>
          <w:spacing w:val="1"/>
          <w:vertAlign w:val="baseline"/>
        </w:rPr>
        <w:t> </w:t>
      </w:r>
      <w:r>
        <w:rPr>
          <w:vertAlign w:val="baseline"/>
        </w:rPr>
        <w:t>issue</w:t>
      </w:r>
      <w:r>
        <w:rPr>
          <w:spacing w:val="1"/>
          <w:vertAlign w:val="baseline"/>
        </w:rPr>
        <w:t> </w:t>
      </w:r>
      <w:r>
        <w:rPr>
          <w:vertAlign w:val="baseline"/>
        </w:rPr>
        <w:t>of</w:t>
      </w:r>
      <w:r>
        <w:rPr>
          <w:spacing w:val="1"/>
          <w:vertAlign w:val="baseline"/>
        </w:rPr>
        <w:t> </w:t>
      </w:r>
      <w:r>
        <w:rPr>
          <w:vertAlign w:val="baseline"/>
        </w:rPr>
        <w:t>new</w:t>
      </w:r>
      <w:r>
        <w:rPr>
          <w:spacing w:val="1"/>
          <w:vertAlign w:val="baseline"/>
        </w:rPr>
        <w:t> </w:t>
      </w:r>
      <w:r>
        <w:rPr>
          <w:vertAlign w:val="baseline"/>
        </w:rPr>
        <w:t>shares</w:t>
      </w:r>
      <w:r>
        <w:rPr>
          <w:spacing w:val="1"/>
          <w:vertAlign w:val="baseline"/>
        </w:rPr>
        <w:t> </w:t>
      </w:r>
      <w:r>
        <w:rPr>
          <w:vertAlign w:val="baseline"/>
        </w:rPr>
        <w:t>is</w:t>
      </w:r>
      <w:r>
        <w:rPr>
          <w:spacing w:val="1"/>
          <w:vertAlign w:val="baseline"/>
        </w:rPr>
        <w:t> </w:t>
      </w:r>
      <w:r>
        <w:rPr>
          <w:vertAlign w:val="baseline"/>
        </w:rPr>
        <w:t>regarded</w:t>
      </w:r>
      <w:r>
        <w:rPr>
          <w:spacing w:val="1"/>
          <w:vertAlign w:val="baseline"/>
        </w:rPr>
        <w:t> </w:t>
      </w:r>
      <w:r>
        <w:rPr>
          <w:vertAlign w:val="baseline"/>
        </w:rPr>
        <w:t>as</w:t>
      </w:r>
      <w:r>
        <w:rPr>
          <w:spacing w:val="1"/>
          <w:vertAlign w:val="baseline"/>
        </w:rPr>
        <w:t> </w:t>
      </w:r>
      <w:r>
        <w:rPr>
          <w:vertAlign w:val="baseline"/>
        </w:rPr>
        <w:t>an</w:t>
      </w:r>
      <w:r>
        <w:rPr>
          <w:spacing w:val="1"/>
          <w:vertAlign w:val="baseline"/>
        </w:rPr>
        <w:t> </w:t>
      </w:r>
      <w:r>
        <w:rPr>
          <w:spacing w:val="-2"/>
          <w:vertAlign w:val="baseline"/>
        </w:rPr>
        <w:t>offer.</w:t>
      </w:r>
    </w:p>
    <w:p>
      <w:pPr>
        <w:pStyle w:val="BodyText"/>
        <w:spacing w:line="235" w:lineRule="auto"/>
        <w:ind w:left="165" w:right="167"/>
        <w:jc w:val="both"/>
      </w:pPr>
      <w:r>
        <w:rPr>
          <w:color w:val="005DA1"/>
          <w:u w:val="single" w:color="005DA1"/>
          <w:vertAlign w:val="superscript"/>
        </w:rPr>
        <w:t>137</w:t>
      </w:r>
      <w:r>
        <w:rPr>
          <w:color w:val="005DA1"/>
          <w:vertAlign w:val="baseline"/>
        </w:rPr>
        <w:t> </w:t>
      </w:r>
      <w:r>
        <w:rPr>
          <w:vertAlign w:val="baseline"/>
        </w:rPr>
        <w:t>This type of communication will set out the precise rights of the persons to whom it is </w:t>
      </w:r>
      <w:r>
        <w:rPr>
          <w:vertAlign w:val="baseline"/>
        </w:rPr>
        <w:t>addressed, so that it may be inferred that the company intends to be bound in relation to any shareholder who takes up his rights.</w:t>
      </w:r>
    </w:p>
    <w:p>
      <w:pPr>
        <w:pStyle w:val="BodyText"/>
      </w:pPr>
    </w:p>
    <w:p>
      <w:pPr>
        <w:pStyle w:val="BodyText"/>
        <w:spacing w:before="37"/>
      </w:pPr>
    </w:p>
    <w:p>
      <w:pPr>
        <w:spacing w:before="0"/>
        <w:ind w:left="165" w:right="0" w:firstLine="0"/>
        <w:jc w:val="both"/>
        <w:rPr>
          <w:rFonts w:ascii="Arial"/>
          <w:b/>
          <w:sz w:val="18"/>
        </w:rPr>
      </w:pPr>
      <w:r>
        <w:rPr>
          <w:rFonts w:ascii="Arial"/>
          <w:b/>
          <w:sz w:val="18"/>
        </w:rPr>
        <w:t>Place of making an </w:t>
      </w:r>
      <w:r>
        <w:rPr>
          <w:rFonts w:ascii="Arial"/>
          <w:b/>
          <w:spacing w:val="-2"/>
          <w:sz w:val="18"/>
        </w:rPr>
        <w:t>offer</w:t>
      </w:r>
    </w:p>
    <w:p>
      <w:pPr>
        <w:pStyle w:val="BodyText"/>
        <w:spacing w:before="41"/>
        <w:rPr>
          <w:rFonts w:ascii="Arial"/>
          <w:b/>
          <w:sz w:val="18"/>
        </w:rPr>
      </w:pPr>
    </w:p>
    <w:p>
      <w:pPr>
        <w:pStyle w:val="Heading2"/>
      </w:pPr>
      <w:r>
        <w:rPr/>
        <w:t>2-</w:t>
      </w:r>
      <w:r>
        <w:rPr>
          <w:spacing w:val="-5"/>
        </w:rPr>
        <w:t>025</w:t>
      </w:r>
    </w:p>
    <w:p>
      <w:pPr>
        <w:pStyle w:val="BodyText"/>
        <w:spacing w:line="235" w:lineRule="auto" w:before="203"/>
        <w:ind w:left="165" w:right="167"/>
        <w:jc w:val="both"/>
      </w:pPr>
      <w:bookmarkStart w:name="_bookmark137" w:id="139"/>
      <w:bookmarkEnd w:id="139"/>
      <w:r>
        <w:rPr/>
      </w:r>
      <w:r>
        <w:rPr/>
        <w:t>It may be important to know exactly </w:t>
      </w:r>
      <w:r>
        <w:rPr>
          <w:rFonts w:ascii="Arial"/>
          <w:i/>
        </w:rPr>
        <w:t>where </w:t>
      </w:r>
      <w:r>
        <w:rPr/>
        <w:t>an offer has been made: for example, in order to</w:t>
      </w:r>
      <w:r>
        <w:rPr>
          <w:spacing w:val="80"/>
        </w:rPr>
        <w:t> </w:t>
      </w:r>
      <w:bookmarkStart w:name="_bookmark138" w:id="140"/>
      <w:bookmarkEnd w:id="140"/>
      <w:r>
        <w:rPr/>
        <w:t>determine</w:t>
      </w:r>
      <w:r>
        <w:rPr/>
        <w:t> whether a contract can be sued on in a particular court. </w:t>
      </w:r>
      <w:r>
        <w:rPr>
          <w:color w:val="005DA1"/>
          <w:u w:val="single" w:color="005DA1"/>
          <w:vertAlign w:val="superscript"/>
        </w:rPr>
        <w:t>138</w:t>
      </w:r>
      <w:r>
        <w:rPr>
          <w:color w:val="005DA1"/>
          <w:vertAlign w:val="baseline"/>
        </w:rPr>
        <w:t> </w:t>
      </w:r>
      <w:r>
        <w:rPr>
          <w:vertAlign w:val="baseline"/>
        </w:rPr>
        <w:t>For this purpose it has </w:t>
      </w:r>
      <w:r>
        <w:rPr>
          <w:vertAlign w:val="baseline"/>
        </w:rPr>
        <w:t>been held that an offer sent through the post had been made where it was posted. </w:t>
      </w:r>
      <w:r>
        <w:rPr>
          <w:color w:val="005DA1"/>
          <w:u w:val="single" w:color="005DA1"/>
          <w:vertAlign w:val="superscript"/>
        </w:rPr>
        <w:t>139</w:t>
      </w:r>
      <w:r>
        <w:rPr>
          <w:color w:val="005DA1"/>
          <w:vertAlign w:val="baseline"/>
        </w:rPr>
        <w:t> </w:t>
      </w:r>
      <w:r>
        <w:rPr>
          <w:vertAlign w:val="baseline"/>
        </w:rPr>
        <w:t>Since requirements</w:t>
      </w:r>
      <w:r>
        <w:rPr>
          <w:spacing w:val="40"/>
          <w:vertAlign w:val="baseline"/>
        </w:rPr>
        <w:t> </w:t>
      </w:r>
      <w:r>
        <w:rPr>
          <w:vertAlign w:val="baseline"/>
        </w:rPr>
        <w:t>of this kind are generally imposed by legislation, it is unsafe to lay down any general rule. The question where an offer was made must, in the last resort, turn on the construction of the relevant </w:t>
      </w:r>
      <w:r>
        <w:rPr>
          <w:spacing w:val="-2"/>
          <w:vertAlign w:val="baseline"/>
        </w:rPr>
        <w:t>legislation.</w:t>
      </w:r>
    </w:p>
    <w:p>
      <w:pPr>
        <w:pStyle w:val="BodyText"/>
      </w:pPr>
    </w:p>
    <w:p>
      <w:pPr>
        <w:pStyle w:val="BodyText"/>
        <w:spacing w:before="37"/>
      </w:pPr>
      <w:r>
        <w:rPr/>
        <mc:AlternateContent>
          <mc:Choice Requires="wps">
            <w:drawing>
              <wp:anchor distT="0" distB="0" distL="0" distR="0" allowOverlap="1" layoutInCell="1" locked="0" behindDoc="1" simplePos="0" relativeHeight="487598080">
                <wp:simplePos x="0" y="0"/>
                <wp:positionH relativeFrom="page">
                  <wp:posOffset>914400</wp:posOffset>
                </wp:positionH>
                <wp:positionV relativeFrom="paragraph">
                  <wp:posOffset>185293</wp:posOffset>
                </wp:positionV>
                <wp:extent cx="5724525" cy="1270"/>
                <wp:effectExtent l="0" t="0" r="0" b="0"/>
                <wp:wrapTopAndBottom/>
                <wp:docPr id="28" name="Graphic 28"/>
                <wp:cNvGraphicFramePr>
                  <a:graphicFrameLocks/>
                </wp:cNvGraphicFramePr>
                <a:graphic>
                  <a:graphicData uri="http://schemas.microsoft.com/office/word/2010/wordprocessingShape">
                    <wps:wsp>
                      <wps:cNvPr id="28" name="Graphic 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0028pt;width:450.75pt;height:.1pt;mso-position-horizontal-relative:page;mso-position-vertical-relative:paragraph;z-index:-15718400;mso-wrap-distance-left:0;mso-wrap-distance-right:0" id="docshape6"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spacing w:line="227" w:lineRule="exact" w:before="0"/>
        <w:ind w:left="165" w:right="0" w:firstLine="0"/>
        <w:jc w:val="both"/>
        <w:rPr>
          <w:sz w:val="20"/>
        </w:rPr>
      </w:pPr>
      <w:bookmarkStart w:name="_bookmark139" w:id="141"/>
      <w:bookmarkEnd w:id="141"/>
      <w:r>
        <w:rPr/>
      </w:r>
      <w:hyperlink w:history="true" w:anchor="_bookmark16">
        <w:r>
          <w:rPr>
            <w:color w:val="005DA1"/>
            <w:position w:val="5"/>
            <w:sz w:val="14"/>
            <w:u w:val="single" w:color="005DA1"/>
          </w:rPr>
          <w:t>10</w:t>
        </w:r>
      </w:hyperlink>
      <w:r>
        <w:rPr>
          <w:position w:val="5"/>
          <w:sz w:val="14"/>
        </w:rPr>
        <w:t>.</w:t>
      </w:r>
      <w:r>
        <w:rPr>
          <w:spacing w:val="76"/>
          <w:position w:val="5"/>
          <w:sz w:val="14"/>
        </w:rPr>
        <w:t>   </w:t>
      </w:r>
      <w:r>
        <w:rPr>
          <w:rFonts w:ascii="Arial" w:hAnsi="Arial"/>
          <w:i/>
          <w:sz w:val="20"/>
        </w:rPr>
        <w:t>Air</w:t>
      </w:r>
      <w:r>
        <w:rPr>
          <w:rFonts w:ascii="Arial" w:hAnsi="Arial"/>
          <w:i/>
          <w:spacing w:val="15"/>
          <w:sz w:val="20"/>
        </w:rPr>
        <w:t> </w:t>
      </w:r>
      <w:r>
        <w:rPr>
          <w:rFonts w:ascii="Arial" w:hAnsi="Arial"/>
          <w:i/>
          <w:sz w:val="20"/>
        </w:rPr>
        <w:t>Transworld</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Bombardier</w:t>
      </w:r>
      <w:r>
        <w:rPr>
          <w:rFonts w:ascii="Arial" w:hAnsi="Arial"/>
          <w:i/>
          <w:spacing w:val="15"/>
          <w:sz w:val="20"/>
        </w:rPr>
        <w:t> </w:t>
      </w:r>
      <w:r>
        <w:rPr>
          <w:rFonts w:ascii="Arial" w:hAnsi="Arial"/>
          <w:i/>
          <w:sz w:val="20"/>
        </w:rPr>
        <w:t>Inc</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EWHC</w:t>
      </w:r>
      <w:r>
        <w:rPr>
          <w:rFonts w:ascii="Arial" w:hAnsi="Arial"/>
          <w:i/>
          <w:spacing w:val="15"/>
          <w:sz w:val="20"/>
        </w:rPr>
        <w:t> </w:t>
      </w:r>
      <w:r>
        <w:rPr>
          <w:rFonts w:ascii="Arial" w:hAnsi="Arial"/>
          <w:i/>
          <w:sz w:val="20"/>
        </w:rPr>
        <w:t>243</w:t>
      </w:r>
      <w:r>
        <w:rPr>
          <w:rFonts w:ascii="Arial" w:hAnsi="Arial"/>
          <w:i/>
          <w:spacing w:val="15"/>
          <w:sz w:val="20"/>
        </w:rPr>
        <w:t> </w:t>
      </w:r>
      <w:r>
        <w:rPr>
          <w:rFonts w:ascii="Arial" w:hAnsi="Arial"/>
          <w:i/>
          <w:sz w:val="20"/>
        </w:rPr>
        <w:t>(Comm),</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1</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349</w:t>
      </w:r>
      <w:r>
        <w:rPr>
          <w:rFonts w:ascii="Arial" w:hAnsi="Arial"/>
          <w:i/>
          <w:spacing w:val="14"/>
          <w:sz w:val="20"/>
        </w:rPr>
        <w:t> </w:t>
      </w:r>
      <w:r>
        <w:rPr>
          <w:spacing w:val="-7"/>
          <w:sz w:val="20"/>
        </w:rPr>
        <w:t>at</w:t>
      </w:r>
    </w:p>
    <w:p>
      <w:pPr>
        <w:spacing w:line="235" w:lineRule="auto" w:before="1"/>
        <w:ind w:left="705" w:right="167" w:firstLine="0"/>
        <w:jc w:val="both"/>
        <w:rPr>
          <w:rFonts w:ascii="Arial" w:hAnsi="Arial"/>
          <w:i/>
          <w:sz w:val="20"/>
        </w:rPr>
      </w:pPr>
      <w:r>
        <w:rPr>
          <w:sz w:val="20"/>
        </w:rPr>
        <w:t>[75]; e.g. </w:t>
      </w:r>
      <w:r>
        <w:rPr>
          <w:rFonts w:ascii="Arial" w:hAnsi="Arial"/>
          <w:i/>
          <w:sz w:val="20"/>
        </w:rPr>
        <w:t>Storer v Manchester City Council [1974] 1 W.L.R. 1403</w:t>
      </w:r>
      <w:r>
        <w:rPr>
          <w:sz w:val="20"/>
        </w:rPr>
        <w:t>; </w:t>
      </w:r>
      <w:r>
        <w:rPr>
          <w:rFonts w:ascii="Arial" w:hAnsi="Arial"/>
          <w:i/>
          <w:sz w:val="20"/>
        </w:rPr>
        <w:t>First Energy (UK) Ltd </w:t>
      </w:r>
      <w:r>
        <w:rPr>
          <w:rFonts w:ascii="Arial" w:hAnsi="Arial"/>
          <w:i/>
          <w:sz w:val="20"/>
        </w:rPr>
        <w:t>v Hungarian International Bank Ltd [1993] 2 Lloyd’s Rep. 195, 201</w:t>
      </w:r>
      <w:r>
        <w:rPr>
          <w:sz w:val="20"/>
        </w:rPr>
        <w:t>; </w:t>
      </w:r>
      <w:r>
        <w:rPr>
          <w:rFonts w:ascii="Arial" w:hAnsi="Arial"/>
          <w:i/>
          <w:sz w:val="20"/>
        </w:rPr>
        <w:t>Glencore Energy UK Ltd v Cirrus Oil Services Ltd [2014] EWHC 87 (Comm), [2014] 1 All E.R. (Comm) 513</w:t>
      </w:r>
      <w:r>
        <w:rPr>
          <w:sz w:val="20"/>
        </w:rPr>
        <w:t>, where a communication was held to be an offer as it was “intended to be capable of acceptance with </w:t>
      </w:r>
      <w:r>
        <w:rPr>
          <w:sz w:val="20"/>
        </w:rPr>
        <w:t>a binding contract being thereby concluded” ([at 59]; cf. at [67]); contrast </w:t>
      </w:r>
      <w:r>
        <w:rPr>
          <w:rFonts w:ascii="Arial" w:hAnsi="Arial"/>
          <w:i/>
          <w:sz w:val="20"/>
        </w:rPr>
        <w:t>André &amp; Cie v </w:t>
      </w:r>
      <w:r>
        <w:rPr>
          <w:rFonts w:ascii="Arial" w:hAnsi="Arial"/>
          <w:i/>
          <w:sz w:val="20"/>
        </w:rPr>
        <w:t>Cook Industries</w:t>
      </w:r>
      <w:r>
        <w:rPr>
          <w:rFonts w:ascii="Arial" w:hAnsi="Arial"/>
          <w:i/>
          <w:spacing w:val="42"/>
          <w:sz w:val="20"/>
        </w:rPr>
        <w:t> </w:t>
      </w:r>
      <w:r>
        <w:rPr>
          <w:rFonts w:ascii="Arial" w:hAnsi="Arial"/>
          <w:i/>
          <w:sz w:val="20"/>
        </w:rPr>
        <w:t>Inc</w:t>
      </w:r>
      <w:r>
        <w:rPr>
          <w:rFonts w:ascii="Arial" w:hAnsi="Arial"/>
          <w:i/>
          <w:spacing w:val="43"/>
          <w:sz w:val="20"/>
        </w:rPr>
        <w:t> </w:t>
      </w:r>
      <w:r>
        <w:rPr>
          <w:rFonts w:ascii="Arial" w:hAnsi="Arial"/>
          <w:i/>
          <w:sz w:val="20"/>
        </w:rPr>
        <w:t>[1987]</w:t>
      </w:r>
      <w:r>
        <w:rPr>
          <w:rFonts w:ascii="Arial" w:hAnsi="Arial"/>
          <w:i/>
          <w:spacing w:val="43"/>
          <w:sz w:val="20"/>
        </w:rPr>
        <w:t> </w:t>
      </w:r>
      <w:r>
        <w:rPr>
          <w:rFonts w:ascii="Arial" w:hAnsi="Arial"/>
          <w:i/>
          <w:sz w:val="20"/>
        </w:rPr>
        <w:t>2</w:t>
      </w:r>
      <w:r>
        <w:rPr>
          <w:rFonts w:ascii="Arial" w:hAnsi="Arial"/>
          <w:i/>
          <w:spacing w:val="43"/>
          <w:sz w:val="20"/>
        </w:rPr>
        <w:t> </w:t>
      </w:r>
      <w:r>
        <w:rPr>
          <w:rFonts w:ascii="Arial" w:hAnsi="Arial"/>
          <w:i/>
          <w:sz w:val="20"/>
        </w:rPr>
        <w:t>Lloyd’s</w:t>
      </w:r>
      <w:r>
        <w:rPr>
          <w:rFonts w:ascii="Arial" w:hAnsi="Arial"/>
          <w:i/>
          <w:spacing w:val="43"/>
          <w:sz w:val="20"/>
        </w:rPr>
        <w:t> </w:t>
      </w:r>
      <w:r>
        <w:rPr>
          <w:rFonts w:ascii="Arial" w:hAnsi="Arial"/>
          <w:i/>
          <w:sz w:val="20"/>
        </w:rPr>
        <w:t>Rep.</w:t>
      </w:r>
      <w:r>
        <w:rPr>
          <w:rFonts w:ascii="Arial" w:hAnsi="Arial"/>
          <w:i/>
          <w:spacing w:val="43"/>
          <w:sz w:val="20"/>
        </w:rPr>
        <w:t> </w:t>
      </w:r>
      <w:r>
        <w:rPr>
          <w:rFonts w:ascii="Arial" w:hAnsi="Arial"/>
          <w:i/>
          <w:sz w:val="20"/>
        </w:rPr>
        <w:t>463</w:t>
      </w:r>
      <w:r>
        <w:rPr>
          <w:sz w:val="20"/>
        </w:rPr>
        <w:t>;</w:t>
      </w:r>
      <w:r>
        <w:rPr>
          <w:spacing w:val="43"/>
          <w:sz w:val="20"/>
        </w:rPr>
        <w:t> </w:t>
      </w:r>
      <w:r>
        <w:rPr>
          <w:rFonts w:ascii="Arial" w:hAnsi="Arial"/>
          <w:i/>
          <w:sz w:val="20"/>
        </w:rPr>
        <w:t>Schuldenfrei</w:t>
      </w:r>
      <w:r>
        <w:rPr>
          <w:rFonts w:ascii="Arial" w:hAnsi="Arial"/>
          <w:i/>
          <w:spacing w:val="43"/>
          <w:sz w:val="20"/>
        </w:rPr>
        <w:t> </w:t>
      </w:r>
      <w:r>
        <w:rPr>
          <w:rFonts w:ascii="Arial" w:hAnsi="Arial"/>
          <w:i/>
          <w:sz w:val="20"/>
        </w:rPr>
        <w:t>v</w:t>
      </w:r>
      <w:r>
        <w:rPr>
          <w:rFonts w:ascii="Arial" w:hAnsi="Arial"/>
          <w:i/>
          <w:spacing w:val="43"/>
          <w:sz w:val="20"/>
        </w:rPr>
        <w:t> </w:t>
      </w:r>
      <w:r>
        <w:rPr>
          <w:rFonts w:ascii="Arial" w:hAnsi="Arial"/>
          <w:i/>
          <w:sz w:val="20"/>
        </w:rPr>
        <w:t>Hilton</w:t>
      </w:r>
      <w:r>
        <w:rPr>
          <w:rFonts w:ascii="Arial" w:hAnsi="Arial"/>
          <w:i/>
          <w:spacing w:val="43"/>
          <w:sz w:val="20"/>
        </w:rPr>
        <w:t> </w:t>
      </w:r>
      <w:r>
        <w:rPr>
          <w:rFonts w:ascii="Arial" w:hAnsi="Arial"/>
          <w:i/>
          <w:sz w:val="20"/>
        </w:rPr>
        <w:t>(Inspector</w:t>
      </w:r>
      <w:r>
        <w:rPr>
          <w:rFonts w:ascii="Arial" w:hAnsi="Arial"/>
          <w:i/>
          <w:spacing w:val="43"/>
          <w:sz w:val="20"/>
        </w:rPr>
        <w:t> </w:t>
      </w:r>
      <w:r>
        <w:rPr>
          <w:rFonts w:ascii="Arial" w:hAnsi="Arial"/>
          <w:i/>
          <w:sz w:val="20"/>
        </w:rPr>
        <w:t>of</w:t>
      </w:r>
      <w:r>
        <w:rPr>
          <w:rFonts w:ascii="Arial" w:hAnsi="Arial"/>
          <w:i/>
          <w:spacing w:val="43"/>
          <w:sz w:val="20"/>
        </w:rPr>
        <w:t> </w:t>
      </w:r>
      <w:r>
        <w:rPr>
          <w:rFonts w:ascii="Arial" w:hAnsi="Arial"/>
          <w:i/>
          <w:sz w:val="20"/>
        </w:rPr>
        <w:t>Taxes)</w:t>
      </w:r>
      <w:r>
        <w:rPr>
          <w:rFonts w:ascii="Arial" w:hAnsi="Arial"/>
          <w:i/>
          <w:spacing w:val="43"/>
          <w:sz w:val="20"/>
        </w:rPr>
        <w:t> </w:t>
      </w:r>
      <w:r>
        <w:rPr>
          <w:rFonts w:ascii="Arial" w:hAnsi="Arial"/>
          <w:i/>
          <w:spacing w:val="-2"/>
          <w:sz w:val="20"/>
        </w:rPr>
        <w:t>[1998</w:t>
      </w:r>
      <w:r>
        <w:rPr>
          <w:rFonts w:ascii="Arial" w:hAnsi="Arial"/>
          <w:i/>
          <w:spacing w:val="-2"/>
          <w:sz w:val="20"/>
        </w:rPr>
        <w:t>]</w:t>
      </w:r>
    </w:p>
    <w:p>
      <w:pPr>
        <w:spacing w:line="235" w:lineRule="auto" w:before="0"/>
        <w:ind w:left="705" w:right="168" w:firstLine="0"/>
        <w:jc w:val="both"/>
        <w:rPr>
          <w:sz w:val="20"/>
        </w:rPr>
      </w:pPr>
      <w:r>
        <w:rPr>
          <w:rFonts w:ascii="Arial" w:hAnsi="Arial"/>
          <w:i/>
          <w:sz w:val="20"/>
        </w:rPr>
        <w:t>S.T.C. 404 </w:t>
      </w:r>
      <w:r>
        <w:rPr>
          <w:sz w:val="20"/>
        </w:rPr>
        <w:t>(statement that something </w:t>
      </w:r>
      <w:r>
        <w:rPr>
          <w:rFonts w:ascii="Arial" w:hAnsi="Arial"/>
          <w:i/>
          <w:sz w:val="20"/>
        </w:rPr>
        <w:t>had </w:t>
      </w:r>
      <w:r>
        <w:rPr>
          <w:sz w:val="20"/>
        </w:rPr>
        <w:t>been done, not an offer). For other illustrations </w:t>
      </w:r>
      <w:r>
        <w:rPr>
          <w:sz w:val="20"/>
        </w:rPr>
        <w:t>of statements held not to amount to offers, see </w:t>
      </w:r>
      <w:r>
        <w:rPr>
          <w:rFonts w:ascii="Arial" w:hAnsi="Arial"/>
          <w:i/>
          <w:sz w:val="20"/>
        </w:rPr>
        <w:t>Destiny 1 Ltd v Lloyd’s TSB Bank Plc [2010] EWHC 1233 </w:t>
      </w:r>
      <w:r>
        <w:rPr>
          <w:sz w:val="20"/>
        </w:rPr>
        <w:t>(proposal forming part of a negotiating “package”); </w:t>
      </w:r>
      <w:r>
        <w:rPr>
          <w:rFonts w:ascii="Arial" w:hAnsi="Arial"/>
          <w:i/>
          <w:sz w:val="20"/>
        </w:rPr>
        <w:t>Global 5000 Ltd v Wadhawan [2011]</w:t>
      </w:r>
      <w:r>
        <w:rPr>
          <w:rFonts w:ascii="Arial" w:hAnsi="Arial"/>
          <w:i/>
          <w:spacing w:val="28"/>
          <w:sz w:val="20"/>
        </w:rPr>
        <w:t> </w:t>
      </w:r>
      <w:r>
        <w:rPr>
          <w:rFonts w:ascii="Arial" w:hAnsi="Arial"/>
          <w:i/>
          <w:sz w:val="20"/>
        </w:rPr>
        <w:t>EWHC</w:t>
      </w:r>
      <w:r>
        <w:rPr>
          <w:rFonts w:ascii="Arial" w:hAnsi="Arial"/>
          <w:i/>
          <w:spacing w:val="28"/>
          <w:sz w:val="20"/>
        </w:rPr>
        <w:t> </w:t>
      </w:r>
      <w:r>
        <w:rPr>
          <w:rFonts w:ascii="Arial" w:hAnsi="Arial"/>
          <w:i/>
          <w:sz w:val="20"/>
        </w:rPr>
        <w:t>853</w:t>
      </w:r>
      <w:r>
        <w:rPr>
          <w:rFonts w:ascii="Arial" w:hAnsi="Arial"/>
          <w:i/>
          <w:spacing w:val="28"/>
          <w:sz w:val="20"/>
        </w:rPr>
        <w:t> </w:t>
      </w:r>
      <w:r>
        <w:rPr>
          <w:rFonts w:ascii="Arial" w:hAnsi="Arial"/>
          <w:i/>
          <w:sz w:val="20"/>
        </w:rPr>
        <w:t>(Comm),</w:t>
      </w:r>
      <w:r>
        <w:rPr>
          <w:rFonts w:ascii="Arial" w:hAnsi="Arial"/>
          <w:i/>
          <w:spacing w:val="28"/>
          <w:sz w:val="20"/>
        </w:rPr>
        <w:t> </w:t>
      </w:r>
      <w:r>
        <w:rPr>
          <w:rFonts w:ascii="Arial" w:hAnsi="Arial"/>
          <w:i/>
          <w:sz w:val="20"/>
        </w:rPr>
        <w:t>[2011]</w:t>
      </w:r>
      <w:r>
        <w:rPr>
          <w:rFonts w:ascii="Arial" w:hAnsi="Arial"/>
          <w:i/>
          <w:spacing w:val="28"/>
          <w:sz w:val="20"/>
        </w:rPr>
        <w:t> </w:t>
      </w:r>
      <w:r>
        <w:rPr>
          <w:rFonts w:ascii="Arial" w:hAnsi="Arial"/>
          <w:i/>
          <w:sz w:val="20"/>
        </w:rPr>
        <w:t>2</w:t>
      </w:r>
      <w:r>
        <w:rPr>
          <w:rFonts w:ascii="Arial" w:hAnsi="Arial"/>
          <w:i/>
          <w:spacing w:val="28"/>
          <w:sz w:val="20"/>
        </w:rPr>
        <w:t> </w:t>
      </w:r>
      <w:r>
        <w:rPr>
          <w:rFonts w:ascii="Arial" w:hAnsi="Arial"/>
          <w:i/>
          <w:sz w:val="20"/>
        </w:rPr>
        <w:t>All</w:t>
      </w:r>
      <w:r>
        <w:rPr>
          <w:rFonts w:ascii="Arial" w:hAnsi="Arial"/>
          <w:i/>
          <w:spacing w:val="28"/>
          <w:sz w:val="20"/>
        </w:rPr>
        <w:t> </w:t>
      </w:r>
      <w:r>
        <w:rPr>
          <w:rFonts w:ascii="Arial" w:hAnsi="Arial"/>
          <w:i/>
          <w:sz w:val="20"/>
        </w:rPr>
        <w:t>E.R.</w:t>
      </w:r>
      <w:r>
        <w:rPr>
          <w:rFonts w:ascii="Arial" w:hAnsi="Arial"/>
          <w:i/>
          <w:spacing w:val="28"/>
          <w:sz w:val="20"/>
        </w:rPr>
        <w:t> </w:t>
      </w:r>
      <w:r>
        <w:rPr>
          <w:rFonts w:ascii="Arial" w:hAnsi="Arial"/>
          <w:i/>
          <w:sz w:val="20"/>
        </w:rPr>
        <w:t>(Comm)</w:t>
      </w:r>
      <w:r>
        <w:rPr>
          <w:rFonts w:ascii="Arial" w:hAnsi="Arial"/>
          <w:i/>
          <w:spacing w:val="28"/>
          <w:sz w:val="20"/>
        </w:rPr>
        <w:t> </w:t>
      </w:r>
      <w:r>
        <w:rPr>
          <w:sz w:val="20"/>
        </w:rPr>
        <w:t>at</w:t>
      </w:r>
      <w:r>
        <w:rPr>
          <w:spacing w:val="28"/>
          <w:sz w:val="20"/>
        </w:rPr>
        <w:t> </w:t>
      </w:r>
      <w:r>
        <w:rPr>
          <w:sz w:val="20"/>
        </w:rPr>
        <w:t>[55]</w:t>
      </w:r>
      <w:r>
        <w:rPr>
          <w:spacing w:val="28"/>
          <w:sz w:val="20"/>
        </w:rPr>
        <w:t> </w:t>
      </w:r>
      <w:r>
        <w:rPr>
          <w:sz w:val="20"/>
        </w:rPr>
        <w:t>(applying</w:t>
      </w:r>
      <w:r>
        <w:rPr>
          <w:spacing w:val="28"/>
          <w:sz w:val="20"/>
        </w:rPr>
        <w:t> </w:t>
      </w:r>
      <w:r>
        <w:rPr>
          <w:sz w:val="20"/>
        </w:rPr>
        <w:t>the</w:t>
      </w:r>
      <w:r>
        <w:rPr>
          <w:spacing w:val="28"/>
          <w:sz w:val="20"/>
        </w:rPr>
        <w:t> </w:t>
      </w:r>
      <w:r>
        <w:rPr>
          <w:sz w:val="20"/>
        </w:rPr>
        <w:t>objective</w:t>
      </w:r>
      <w:r>
        <w:rPr>
          <w:spacing w:val="28"/>
          <w:sz w:val="20"/>
        </w:rPr>
        <w:t> </w:t>
      </w:r>
      <w:r>
        <w:rPr>
          <w:sz w:val="20"/>
        </w:rPr>
        <w:t>test:</w:t>
      </w:r>
      <w:r>
        <w:rPr>
          <w:spacing w:val="28"/>
          <w:sz w:val="20"/>
        </w:rPr>
        <w:t> </w:t>
      </w:r>
      <w:r>
        <w:rPr>
          <w:spacing w:val="-5"/>
          <w:sz w:val="20"/>
        </w:rPr>
        <w:t>at</w:t>
      </w:r>
    </w:p>
    <w:p>
      <w:pPr>
        <w:spacing w:line="235" w:lineRule="auto" w:before="0"/>
        <w:ind w:left="705" w:right="167" w:firstLine="0"/>
        <w:jc w:val="both"/>
        <w:rPr>
          <w:sz w:val="20"/>
        </w:rPr>
      </w:pPr>
      <w:r>
        <w:rPr>
          <w:sz w:val="20"/>
        </w:rPr>
        <w:t>[46]); </w:t>
      </w:r>
      <w:r>
        <w:rPr>
          <w:rFonts w:ascii="Arial" w:hAnsi="Arial"/>
          <w:i/>
          <w:sz w:val="20"/>
        </w:rPr>
        <w:t>[2012] EWCA Civ 13, [2012] 2 All E.R. (Comm) 18 </w:t>
      </w:r>
      <w:r>
        <w:rPr>
          <w:sz w:val="20"/>
        </w:rPr>
        <w:t>at [65], appeal dismissed on </w:t>
      </w:r>
      <w:r>
        <w:rPr>
          <w:sz w:val="20"/>
        </w:rPr>
        <w:t>the different ground that there was “no serious issue to be tried as to the existence of [the alleged] contract …”.</w:t>
      </w:r>
    </w:p>
    <w:p>
      <w:pPr>
        <w:pStyle w:val="BodyText"/>
        <w:spacing w:before="5"/>
      </w:pPr>
    </w:p>
    <w:p>
      <w:pPr>
        <w:spacing w:line="235" w:lineRule="auto" w:before="0"/>
        <w:ind w:left="705" w:right="167" w:hanging="541"/>
        <w:jc w:val="both"/>
        <w:rPr>
          <w:sz w:val="20"/>
        </w:rPr>
      </w:pPr>
      <w:bookmarkStart w:name="_bookmark140" w:id="142"/>
      <w:bookmarkEnd w:id="142"/>
      <w:r>
        <w:rPr/>
      </w:r>
      <w:hyperlink w:history="true" w:anchor="_bookmark17">
        <w:r>
          <w:rPr>
            <w:color w:val="005DA1"/>
            <w:position w:val="5"/>
            <w:sz w:val="14"/>
            <w:u w:val="single" w:color="005DA1"/>
          </w:rPr>
          <w:t>11</w:t>
        </w:r>
      </w:hyperlink>
      <w:r>
        <w:rPr>
          <w:position w:val="5"/>
          <w:sz w:val="14"/>
        </w:rPr>
        <w:t>.</w:t>
      </w:r>
      <w:r>
        <w:rPr>
          <w:spacing w:val="80"/>
          <w:position w:val="5"/>
          <w:sz w:val="14"/>
        </w:rPr>
        <w:t>  </w:t>
      </w:r>
      <w:r>
        <w:rPr>
          <w:sz w:val="20"/>
        </w:rPr>
        <w:t>Above,</w:t>
      </w:r>
      <w:r>
        <w:rPr>
          <w:spacing w:val="27"/>
          <w:sz w:val="20"/>
        </w:rPr>
        <w:t> </w:t>
      </w:r>
      <w:r>
        <w:rPr>
          <w:sz w:val="20"/>
        </w:rPr>
        <w:t>para.2-002;</w:t>
      </w:r>
      <w:r>
        <w:rPr>
          <w:spacing w:val="27"/>
          <w:sz w:val="20"/>
        </w:rPr>
        <w:t> </w:t>
      </w:r>
      <w:r>
        <w:rPr>
          <w:rFonts w:ascii="Arial" w:hAnsi="Arial"/>
          <w:i/>
          <w:sz w:val="20"/>
        </w:rPr>
        <w:t>Ignazio</w:t>
      </w:r>
      <w:r>
        <w:rPr>
          <w:rFonts w:ascii="Arial" w:hAnsi="Arial"/>
          <w:i/>
          <w:spacing w:val="27"/>
          <w:sz w:val="20"/>
        </w:rPr>
        <w:t> </w:t>
      </w:r>
      <w:r>
        <w:rPr>
          <w:rFonts w:ascii="Arial" w:hAnsi="Arial"/>
          <w:i/>
          <w:sz w:val="20"/>
        </w:rPr>
        <w:t>Messina</w:t>
      </w:r>
      <w:r>
        <w:rPr>
          <w:rFonts w:ascii="Arial" w:hAnsi="Arial"/>
          <w:i/>
          <w:spacing w:val="27"/>
          <w:sz w:val="20"/>
        </w:rPr>
        <w:t> </w:t>
      </w:r>
      <w:r>
        <w:rPr>
          <w:rFonts w:ascii="Arial" w:hAnsi="Arial"/>
          <w:i/>
          <w:sz w:val="20"/>
        </w:rPr>
        <w:t>&amp;</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Polskie</w:t>
      </w:r>
      <w:r>
        <w:rPr>
          <w:rFonts w:ascii="Arial" w:hAnsi="Arial"/>
          <w:i/>
          <w:spacing w:val="27"/>
          <w:sz w:val="20"/>
        </w:rPr>
        <w:t> </w:t>
      </w:r>
      <w:r>
        <w:rPr>
          <w:rFonts w:ascii="Arial" w:hAnsi="Arial"/>
          <w:i/>
          <w:sz w:val="20"/>
        </w:rPr>
        <w:t>Linie</w:t>
      </w:r>
      <w:r>
        <w:rPr>
          <w:rFonts w:ascii="Arial" w:hAnsi="Arial"/>
          <w:i/>
          <w:spacing w:val="27"/>
          <w:sz w:val="20"/>
        </w:rPr>
        <w:t> </w:t>
      </w:r>
      <w:r>
        <w:rPr>
          <w:rFonts w:ascii="Arial" w:hAnsi="Arial"/>
          <w:i/>
          <w:sz w:val="20"/>
        </w:rPr>
        <w:t>Oceaniczne</w:t>
      </w:r>
      <w:r>
        <w:rPr>
          <w:rFonts w:ascii="Arial" w:hAnsi="Arial"/>
          <w:i/>
          <w:spacing w:val="27"/>
          <w:sz w:val="20"/>
        </w:rPr>
        <w:t> </w:t>
      </w:r>
      <w:r>
        <w:rPr>
          <w:rFonts w:ascii="Arial" w:hAnsi="Arial"/>
          <w:i/>
          <w:sz w:val="20"/>
        </w:rPr>
        <w:t>[1995]</w:t>
      </w:r>
      <w:r>
        <w:rPr>
          <w:rFonts w:ascii="Arial" w:hAnsi="Arial"/>
          <w:i/>
          <w:spacing w:val="27"/>
          <w:sz w:val="20"/>
        </w:rPr>
        <w:t> </w:t>
      </w:r>
      <w:r>
        <w:rPr>
          <w:rFonts w:ascii="Arial" w:hAnsi="Arial"/>
          <w:i/>
          <w:sz w:val="20"/>
        </w:rPr>
        <w:t>2</w:t>
      </w:r>
      <w:r>
        <w:rPr>
          <w:rFonts w:ascii="Arial" w:hAnsi="Arial"/>
          <w:i/>
          <w:spacing w:val="27"/>
          <w:sz w:val="20"/>
        </w:rPr>
        <w:t> </w:t>
      </w:r>
      <w:r>
        <w:rPr>
          <w:rFonts w:ascii="Arial" w:hAnsi="Arial"/>
          <w:i/>
          <w:sz w:val="20"/>
        </w:rPr>
        <w:t>Lloyd’s</w:t>
      </w:r>
      <w:r>
        <w:rPr>
          <w:rFonts w:ascii="Arial" w:hAnsi="Arial"/>
          <w:i/>
          <w:spacing w:val="27"/>
          <w:sz w:val="20"/>
        </w:rPr>
        <w:t> </w:t>
      </w:r>
      <w:r>
        <w:rPr>
          <w:rFonts w:ascii="Arial" w:hAnsi="Arial"/>
          <w:i/>
          <w:sz w:val="20"/>
        </w:rPr>
        <w:t>Rep. 566, 571</w:t>
      </w:r>
      <w:r>
        <w:rPr>
          <w:sz w:val="20"/>
        </w:rPr>
        <w:t>; </w:t>
      </w:r>
      <w:r>
        <w:rPr>
          <w:rFonts w:ascii="Arial" w:hAnsi="Arial"/>
          <w:i/>
          <w:sz w:val="20"/>
        </w:rPr>
        <w:t>Bowerman v ABTA Ltd [1995] N.L.J. 1815</w:t>
      </w:r>
      <w:r>
        <w:rPr>
          <w:sz w:val="20"/>
        </w:rPr>
        <w:t>; </w:t>
      </w:r>
      <w:r>
        <w:rPr>
          <w:rFonts w:ascii="Arial" w:hAnsi="Arial"/>
          <w:i/>
          <w:sz w:val="20"/>
        </w:rPr>
        <w:t>Covington Marine Corporation v Xiamen Shipbuilding Industry Co Ltd [2005] EWHC 2912 (Comm), [2006] 1 Lloyd’s Rep. 748 </w:t>
      </w:r>
      <w:r>
        <w:rPr>
          <w:sz w:val="20"/>
        </w:rPr>
        <w:t>at [43].</w:t>
      </w:r>
    </w:p>
    <w:p>
      <w:pPr>
        <w:pStyle w:val="BodyText"/>
        <w:spacing w:before="9"/>
      </w:pPr>
    </w:p>
    <w:p>
      <w:pPr>
        <w:spacing w:line="235" w:lineRule="auto" w:before="0"/>
        <w:ind w:left="705" w:right="168" w:hanging="541"/>
        <w:jc w:val="both"/>
        <w:rPr>
          <w:sz w:val="20"/>
        </w:rPr>
      </w:pPr>
      <w:bookmarkStart w:name="_bookmark141" w:id="143"/>
      <w:bookmarkEnd w:id="143"/>
      <w:r>
        <w:rPr/>
      </w:r>
      <w:hyperlink w:history="true" w:anchor="_bookmark18">
        <w:r>
          <w:rPr>
            <w:color w:val="005DA1"/>
            <w:position w:val="5"/>
            <w:sz w:val="14"/>
            <w:u w:val="single" w:color="005DA1"/>
          </w:rPr>
          <w:t>12</w:t>
        </w:r>
      </w:hyperlink>
      <w:r>
        <w:rPr>
          <w:position w:val="5"/>
          <w:sz w:val="14"/>
        </w:rPr>
        <w:t>.</w:t>
      </w:r>
      <w:r>
        <w:rPr>
          <w:spacing w:val="80"/>
          <w:position w:val="5"/>
          <w:sz w:val="14"/>
        </w:rPr>
        <w:t>  </w:t>
      </w:r>
      <w:r>
        <w:rPr>
          <w:sz w:val="20"/>
        </w:rPr>
        <w:t>For offers made by conduct, see below, para.2-005; </w:t>
      </w:r>
      <w:r>
        <w:rPr>
          <w:rFonts w:ascii="Arial" w:hAnsi="Arial"/>
          <w:i/>
          <w:sz w:val="20"/>
        </w:rPr>
        <w:t>The Aramis [1989] 1 Lloyd’s Rep. 213 </w:t>
      </w:r>
      <w:r>
        <w:rPr>
          <w:sz w:val="20"/>
        </w:rPr>
        <w:t>(where the objective test was not satisfied); </w:t>
      </w:r>
      <w:r>
        <w:rPr>
          <w:rFonts w:ascii="Arial" w:hAnsi="Arial"/>
          <w:i/>
          <w:sz w:val="20"/>
        </w:rPr>
        <w:t>G. Percy Trentham Ltd v Archital Luxfer Ltd </w:t>
      </w:r>
      <w:r>
        <w:rPr>
          <w:rFonts w:ascii="Arial" w:hAnsi="Arial"/>
          <w:i/>
          <w:sz w:val="20"/>
        </w:rPr>
        <w:t>[1993]</w:t>
      </w:r>
      <w:r>
        <w:rPr>
          <w:rFonts w:ascii="Arial" w:hAnsi="Arial"/>
          <w:i/>
          <w:spacing w:val="40"/>
          <w:sz w:val="20"/>
        </w:rPr>
        <w:t> </w:t>
      </w:r>
      <w:r>
        <w:rPr>
          <w:rFonts w:ascii="Arial" w:hAnsi="Arial"/>
          <w:i/>
          <w:sz w:val="20"/>
        </w:rPr>
        <w:t>1 Lloyd’s Rep. 25, 27</w:t>
      </w:r>
      <w:r>
        <w:rPr>
          <w:sz w:val="20"/>
        </w:rPr>
        <w:t>.</w:t>
      </w:r>
    </w:p>
    <w:p>
      <w:pPr>
        <w:pStyle w:val="BodyText"/>
        <w:spacing w:before="5"/>
      </w:pPr>
    </w:p>
    <w:p>
      <w:pPr>
        <w:tabs>
          <w:tab w:pos="705" w:val="left" w:leader="none"/>
        </w:tabs>
        <w:spacing w:before="0"/>
        <w:ind w:left="165" w:right="0" w:firstLine="0"/>
        <w:jc w:val="left"/>
        <w:rPr>
          <w:sz w:val="20"/>
        </w:rPr>
      </w:pPr>
      <w:bookmarkStart w:name="_bookmark142" w:id="144"/>
      <w:bookmarkEnd w:id="144"/>
      <w:r>
        <w:rPr/>
      </w:r>
      <w:hyperlink w:history="true" w:anchor="_bookmark19">
        <w:r>
          <w:rPr>
            <w:color w:val="005DA1"/>
            <w:spacing w:val="-5"/>
            <w:position w:val="5"/>
            <w:sz w:val="14"/>
            <w:u w:val="single" w:color="005DA1"/>
          </w:rPr>
          <w:t>13</w:t>
        </w:r>
      </w:hyperlink>
      <w:r>
        <w:rPr>
          <w:spacing w:val="-5"/>
          <w:position w:val="5"/>
          <w:sz w:val="14"/>
        </w:rPr>
        <w:t>.</w:t>
      </w:r>
      <w:r>
        <w:rPr>
          <w:position w:val="5"/>
          <w:sz w:val="14"/>
        </w:rPr>
        <w:tab/>
      </w:r>
      <w:r>
        <w:rPr>
          <w:rFonts w:ascii="Arial"/>
          <w:i/>
          <w:sz w:val="20"/>
        </w:rPr>
        <w:t>Moran</w:t>
      </w:r>
      <w:r>
        <w:rPr>
          <w:rFonts w:ascii="Arial"/>
          <w:i/>
          <w:spacing w:val="-2"/>
          <w:sz w:val="20"/>
        </w:rPr>
        <w:t> </w:t>
      </w:r>
      <w:r>
        <w:rPr>
          <w:rFonts w:ascii="Arial"/>
          <w:i/>
          <w:sz w:val="20"/>
        </w:rPr>
        <w:t>v University College Salford (No.2), The Times, November 23, </w:t>
      </w:r>
      <w:r>
        <w:rPr>
          <w:rFonts w:ascii="Arial"/>
          <w:i/>
          <w:spacing w:val="-2"/>
          <w:sz w:val="20"/>
        </w:rPr>
        <w:t>1993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43" w:id="145"/>
      <w:bookmarkEnd w:id="145"/>
      <w:r>
        <w:rPr/>
      </w:r>
      <w:hyperlink w:history="true" w:anchor="_bookmark20">
        <w:r>
          <w:rPr>
            <w:color w:val="005DA1"/>
            <w:spacing w:val="-5"/>
            <w:position w:val="5"/>
            <w:sz w:val="14"/>
            <w:u w:val="single" w:color="005DA1"/>
          </w:rPr>
          <w:t>14</w:t>
        </w:r>
      </w:hyperlink>
      <w:r>
        <w:rPr>
          <w:spacing w:val="-5"/>
          <w:position w:val="5"/>
          <w:sz w:val="14"/>
        </w:rPr>
        <w:t>.</w:t>
      </w:r>
      <w:r>
        <w:rPr>
          <w:position w:val="5"/>
          <w:sz w:val="14"/>
        </w:rPr>
        <w:tab/>
      </w:r>
      <w:r>
        <w:rPr>
          <w:rFonts w:ascii="Arial" w:hAnsi="Arial"/>
          <w:i/>
          <w:sz w:val="20"/>
        </w:rPr>
        <w:t>O.T. Africa Line Ltd v Vickers Plc [1996] 1 Lloyd’s Rep. </w:t>
      </w:r>
      <w:r>
        <w:rPr>
          <w:rFonts w:ascii="Arial" w:hAnsi="Arial"/>
          <w:i/>
          <w:spacing w:val="-4"/>
          <w:sz w:val="20"/>
        </w:rPr>
        <w:t>700</w:t>
      </w:r>
      <w:r>
        <w:rPr>
          <w:spacing w:val="-4"/>
          <w:sz w:val="20"/>
        </w:rPr>
        <w:t>.</w:t>
      </w:r>
    </w:p>
    <w:p>
      <w:pPr>
        <w:pStyle w:val="BodyText"/>
        <w:spacing w:before="9"/>
      </w:pPr>
    </w:p>
    <w:p>
      <w:pPr>
        <w:spacing w:line="235" w:lineRule="auto" w:before="0"/>
        <w:ind w:left="705" w:right="168" w:hanging="541"/>
        <w:jc w:val="both"/>
        <w:rPr>
          <w:sz w:val="20"/>
        </w:rPr>
      </w:pPr>
      <w:bookmarkStart w:name="_bookmark144" w:id="146"/>
      <w:bookmarkEnd w:id="146"/>
      <w:r>
        <w:rPr/>
      </w:r>
      <w:hyperlink w:history="true" w:anchor="_bookmark21">
        <w:r>
          <w:rPr>
            <w:color w:val="005DA1"/>
            <w:position w:val="5"/>
            <w:sz w:val="14"/>
            <w:u w:val="single" w:color="005DA1"/>
          </w:rPr>
          <w:t>15</w:t>
        </w:r>
      </w:hyperlink>
      <w:r>
        <w:rPr>
          <w:position w:val="5"/>
          <w:sz w:val="14"/>
        </w:rPr>
        <w:t>.</w:t>
      </w:r>
      <w:r>
        <w:rPr>
          <w:spacing w:val="80"/>
          <w:position w:val="5"/>
          <w:sz w:val="14"/>
        </w:rPr>
        <w:t>  </w:t>
      </w:r>
      <w:r>
        <w:rPr>
          <w:sz w:val="20"/>
        </w:rPr>
        <w:t>cf.</w:t>
      </w:r>
      <w:r>
        <w:rPr>
          <w:spacing w:val="-2"/>
          <w:sz w:val="20"/>
        </w:rPr>
        <w:t> </w:t>
      </w:r>
      <w:r>
        <w:rPr>
          <w:rFonts w:ascii="Arial" w:hAnsi="Arial"/>
          <w:i/>
          <w:sz w:val="20"/>
        </w:rPr>
        <w:t>Centrovincial</w:t>
      </w:r>
      <w:r>
        <w:rPr>
          <w:rFonts w:ascii="Arial" w:hAnsi="Arial"/>
          <w:i/>
          <w:spacing w:val="-2"/>
          <w:sz w:val="20"/>
        </w:rPr>
        <w:t> </w:t>
      </w:r>
      <w:r>
        <w:rPr>
          <w:rFonts w:ascii="Arial" w:hAnsi="Arial"/>
          <w:i/>
          <w:sz w:val="20"/>
        </w:rPr>
        <w:t>Estates</w:t>
      </w:r>
      <w:r>
        <w:rPr>
          <w:rFonts w:ascii="Arial" w:hAnsi="Arial"/>
          <w:i/>
          <w:spacing w:val="-2"/>
          <w:sz w:val="20"/>
        </w:rPr>
        <w:t> </w:t>
      </w:r>
      <w:r>
        <w:rPr>
          <w:rFonts w:ascii="Arial" w:hAnsi="Arial"/>
          <w:i/>
          <w:sz w:val="20"/>
        </w:rPr>
        <w:t>Plc</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Merchant</w:t>
      </w:r>
      <w:r>
        <w:rPr>
          <w:rFonts w:ascii="Arial" w:hAnsi="Arial"/>
          <w:i/>
          <w:spacing w:val="-2"/>
          <w:sz w:val="20"/>
        </w:rPr>
        <w:t> </w:t>
      </w:r>
      <w:r>
        <w:rPr>
          <w:rFonts w:ascii="Arial" w:hAnsi="Arial"/>
          <w:i/>
          <w:sz w:val="20"/>
        </w:rPr>
        <w:t>Investors</w:t>
      </w:r>
      <w:r>
        <w:rPr>
          <w:rFonts w:ascii="Arial" w:hAnsi="Arial"/>
          <w:i/>
          <w:spacing w:val="-2"/>
          <w:sz w:val="20"/>
        </w:rPr>
        <w:t> </w:t>
      </w:r>
      <w:r>
        <w:rPr>
          <w:rFonts w:ascii="Arial" w:hAnsi="Arial"/>
          <w:i/>
          <w:sz w:val="20"/>
        </w:rPr>
        <w:t>Assurance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[1983]</w:t>
      </w:r>
      <w:r>
        <w:rPr>
          <w:rFonts w:ascii="Arial" w:hAnsi="Arial"/>
          <w:i/>
          <w:spacing w:val="-2"/>
          <w:sz w:val="20"/>
        </w:rPr>
        <w:t> </w:t>
      </w:r>
      <w:r>
        <w:rPr>
          <w:rFonts w:ascii="Arial" w:hAnsi="Arial"/>
          <w:i/>
          <w:sz w:val="20"/>
        </w:rPr>
        <w:t>Com.L.R.</w:t>
      </w:r>
      <w:r>
        <w:rPr>
          <w:rFonts w:ascii="Arial" w:hAnsi="Arial"/>
          <w:i/>
          <w:spacing w:val="-2"/>
          <w:sz w:val="20"/>
        </w:rPr>
        <w:t> </w:t>
      </w:r>
      <w:r>
        <w:rPr>
          <w:rFonts w:ascii="Arial" w:hAnsi="Arial"/>
          <w:i/>
          <w:sz w:val="20"/>
        </w:rPr>
        <w:t>158</w:t>
      </w:r>
      <w:r>
        <w:rPr>
          <w:sz w:val="20"/>
        </w:rPr>
        <w:t>;</w:t>
      </w:r>
      <w:r>
        <w:rPr>
          <w:spacing w:val="-2"/>
          <w:sz w:val="20"/>
        </w:rPr>
        <w:t> </w:t>
      </w:r>
      <w:r>
        <w:rPr>
          <w:sz w:val="20"/>
        </w:rPr>
        <w:t>cited with approval in </w:t>
      </w:r>
      <w:r>
        <w:rPr>
          <w:rFonts w:ascii="Arial" w:hAnsi="Arial"/>
          <w:i/>
          <w:sz w:val="20"/>
        </w:rPr>
        <w:t>Whittaker v Campbell [1984] Q.B. 318, 327</w:t>
      </w:r>
      <w:r>
        <w:rPr>
          <w:sz w:val="20"/>
        </w:rPr>
        <w:t>, in </w:t>
      </w:r>
      <w:r>
        <w:rPr>
          <w:rFonts w:ascii="Arial" w:hAnsi="Arial"/>
          <w:i/>
          <w:sz w:val="20"/>
        </w:rPr>
        <w:t>Food Corp of India v Antclizo Shipping Corp (The Antclizo) [1987] 2 Lloyd’s Rep. 130, 146, affirmed [1988] 1 W.L.R. 603 </w:t>
      </w:r>
      <w:r>
        <w:rPr>
          <w:sz w:val="20"/>
        </w:rPr>
        <w:t>and in </w:t>
      </w:r>
      <w:r>
        <w:rPr>
          <w:rFonts w:ascii="Arial" w:hAnsi="Arial"/>
          <w:i/>
          <w:sz w:val="20"/>
        </w:rPr>
        <w:t>O.T. Africa Line Ltd v Vickers Plc [1996] 1 Lloyd’s Rep. 700, 702</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5" w:id="147"/>
      <w:bookmarkEnd w:id="147"/>
      <w:r>
        <w:rPr/>
      </w:r>
      <w:hyperlink w:history="true" w:anchor="_bookmark22">
        <w:r>
          <w:rPr>
            <w:color w:val="005DA1"/>
            <w:spacing w:val="-5"/>
            <w:position w:val="5"/>
            <w:sz w:val="14"/>
            <w:u w:val="single" w:color="005DA1"/>
          </w:rPr>
          <w:t>16</w:t>
        </w:r>
      </w:hyperlink>
      <w:r>
        <w:rPr>
          <w:spacing w:val="-5"/>
          <w:position w:val="5"/>
          <w:sz w:val="14"/>
        </w:rPr>
        <w:t>.</w:t>
      </w:r>
      <w:r>
        <w:rPr>
          <w:position w:val="5"/>
          <w:sz w:val="14"/>
        </w:rPr>
        <w:tab/>
      </w:r>
      <w:r>
        <w:rPr>
          <w:rFonts w:ascii="Arial"/>
          <w:i/>
          <w:sz w:val="20"/>
        </w:rPr>
        <w:t>Paal</w:t>
      </w:r>
      <w:r>
        <w:rPr>
          <w:rFonts w:ascii="Arial"/>
          <w:i/>
          <w:spacing w:val="5"/>
          <w:sz w:val="20"/>
        </w:rPr>
        <w:t> </w:t>
      </w:r>
      <w:r>
        <w:rPr>
          <w:rFonts w:ascii="Arial"/>
          <w:i/>
          <w:sz w:val="20"/>
        </w:rPr>
        <w:t>Wilson</w:t>
      </w:r>
      <w:r>
        <w:rPr>
          <w:rFonts w:ascii="Arial"/>
          <w:i/>
          <w:spacing w:val="5"/>
          <w:sz w:val="20"/>
        </w:rPr>
        <w:t> </w:t>
      </w:r>
      <w:r>
        <w:rPr>
          <w:rFonts w:ascii="Arial"/>
          <w:i/>
          <w:sz w:val="20"/>
        </w:rPr>
        <w:t>&amp;</w:t>
      </w:r>
      <w:r>
        <w:rPr>
          <w:rFonts w:ascii="Arial"/>
          <w:i/>
          <w:spacing w:val="5"/>
          <w:sz w:val="20"/>
        </w:rPr>
        <w:t> </w:t>
      </w:r>
      <w:r>
        <w:rPr>
          <w:rFonts w:ascii="Arial"/>
          <w:i/>
          <w:sz w:val="20"/>
        </w:rPr>
        <w:t>Co</w:t>
      </w:r>
      <w:r>
        <w:rPr>
          <w:rFonts w:ascii="Arial"/>
          <w:i/>
          <w:spacing w:val="5"/>
          <w:sz w:val="20"/>
        </w:rPr>
        <w:t> </w:t>
      </w:r>
      <w:r>
        <w:rPr>
          <w:rFonts w:ascii="Arial"/>
          <w:i/>
          <w:sz w:val="20"/>
        </w:rPr>
        <w:t>A/S</w:t>
      </w:r>
      <w:r>
        <w:rPr>
          <w:rFonts w:ascii="Arial"/>
          <w:i/>
          <w:spacing w:val="5"/>
          <w:sz w:val="20"/>
        </w:rPr>
        <w:t> </w:t>
      </w:r>
      <w:r>
        <w:rPr>
          <w:rFonts w:ascii="Arial"/>
          <w:i/>
          <w:sz w:val="20"/>
        </w:rPr>
        <w:t>v</w:t>
      </w:r>
      <w:r>
        <w:rPr>
          <w:rFonts w:ascii="Arial"/>
          <w:i/>
          <w:spacing w:val="5"/>
          <w:sz w:val="20"/>
        </w:rPr>
        <w:t> </w:t>
      </w:r>
      <w:r>
        <w:rPr>
          <w:rFonts w:ascii="Arial"/>
          <w:i/>
          <w:sz w:val="20"/>
        </w:rPr>
        <w:t>Partenreederei</w:t>
      </w:r>
      <w:r>
        <w:rPr>
          <w:rFonts w:ascii="Arial"/>
          <w:i/>
          <w:spacing w:val="5"/>
          <w:sz w:val="20"/>
        </w:rPr>
        <w:t> </w:t>
      </w:r>
      <w:r>
        <w:rPr>
          <w:rFonts w:ascii="Arial"/>
          <w:i/>
          <w:sz w:val="20"/>
        </w:rPr>
        <w:t>Hannah</w:t>
      </w:r>
      <w:r>
        <w:rPr>
          <w:rFonts w:ascii="Arial"/>
          <w:i/>
          <w:spacing w:val="5"/>
          <w:sz w:val="20"/>
        </w:rPr>
        <w:t> </w:t>
      </w:r>
      <w:r>
        <w:rPr>
          <w:rFonts w:ascii="Arial"/>
          <w:i/>
          <w:sz w:val="20"/>
        </w:rPr>
        <w:t>Blumenthal</w:t>
      </w:r>
      <w:r>
        <w:rPr>
          <w:rFonts w:ascii="Arial"/>
          <w:i/>
          <w:spacing w:val="5"/>
          <w:sz w:val="20"/>
        </w:rPr>
        <w:t> </w:t>
      </w:r>
      <w:r>
        <w:rPr>
          <w:rFonts w:ascii="Arial"/>
          <w:i/>
          <w:sz w:val="20"/>
        </w:rPr>
        <w:t>(The</w:t>
      </w:r>
      <w:r>
        <w:rPr>
          <w:rFonts w:ascii="Arial"/>
          <w:i/>
          <w:spacing w:val="5"/>
          <w:sz w:val="20"/>
        </w:rPr>
        <w:t> </w:t>
      </w:r>
      <w:r>
        <w:rPr>
          <w:rFonts w:ascii="Arial"/>
          <w:i/>
          <w:sz w:val="20"/>
        </w:rPr>
        <w:t>Hannah</w:t>
      </w:r>
      <w:r>
        <w:rPr>
          <w:rFonts w:ascii="Arial"/>
          <w:i/>
          <w:spacing w:val="5"/>
          <w:sz w:val="20"/>
        </w:rPr>
        <w:t> </w:t>
      </w:r>
      <w:r>
        <w:rPr>
          <w:rFonts w:ascii="Arial"/>
          <w:i/>
          <w:sz w:val="20"/>
        </w:rPr>
        <w:t>Blumenthal)</w:t>
      </w:r>
      <w:r>
        <w:rPr>
          <w:rFonts w:ascii="Arial"/>
          <w:i/>
          <w:spacing w:val="5"/>
          <w:sz w:val="20"/>
        </w:rPr>
        <w:t> </w:t>
      </w:r>
      <w:r>
        <w:rPr>
          <w:rFonts w:ascii="Arial"/>
          <w:i/>
          <w:sz w:val="20"/>
        </w:rPr>
        <w:t>[1983]</w:t>
      </w:r>
      <w:r>
        <w:rPr>
          <w:rFonts w:ascii="Arial"/>
          <w:i/>
          <w:spacing w:val="5"/>
          <w:sz w:val="20"/>
        </w:rPr>
        <w:t> </w:t>
      </w:r>
      <w:r>
        <w:rPr>
          <w:rFonts w:ascii="Arial"/>
          <w:i/>
          <w:spacing w:val="-10"/>
          <w:sz w:val="20"/>
        </w:rPr>
        <w:t>1</w:t>
      </w:r>
    </w:p>
    <w:p>
      <w:pPr>
        <w:spacing w:line="227" w:lineRule="exact" w:before="0"/>
        <w:ind w:left="705" w:right="0" w:firstLine="0"/>
        <w:jc w:val="left"/>
        <w:rPr>
          <w:sz w:val="20"/>
        </w:rPr>
      </w:pPr>
      <w:r>
        <w:rPr>
          <w:rFonts w:ascii="Arial"/>
          <w:i/>
          <w:sz w:val="20"/>
        </w:rPr>
        <w:t>A.C.</w:t>
      </w:r>
      <w:r>
        <w:rPr>
          <w:rFonts w:ascii="Arial"/>
          <w:i/>
          <w:spacing w:val="-2"/>
          <w:sz w:val="20"/>
        </w:rPr>
        <w:t> </w:t>
      </w:r>
      <w:r>
        <w:rPr>
          <w:rFonts w:ascii="Arial"/>
          <w:i/>
          <w:sz w:val="20"/>
        </w:rPr>
        <w:t>854, </w:t>
      </w:r>
      <w:r>
        <w:rPr>
          <w:rFonts w:ascii="Arial"/>
          <w:i/>
          <w:spacing w:val="-4"/>
          <w:sz w:val="20"/>
        </w:rPr>
        <w:t>924</w:t>
      </w:r>
      <w:r>
        <w:rPr>
          <w:spacing w:val="-4"/>
          <w:sz w:val="20"/>
        </w:rPr>
        <w:t>.</w:t>
      </w:r>
    </w:p>
    <w:p>
      <w:pPr>
        <w:pStyle w:val="BodyText"/>
        <w:spacing w:before="9"/>
      </w:pPr>
    </w:p>
    <w:p>
      <w:pPr>
        <w:spacing w:line="235" w:lineRule="auto" w:before="0"/>
        <w:ind w:left="705" w:right="168" w:hanging="541"/>
        <w:jc w:val="both"/>
        <w:rPr>
          <w:sz w:val="20"/>
        </w:rPr>
      </w:pPr>
      <w:bookmarkStart w:name="_bookmark146" w:id="148"/>
      <w:bookmarkEnd w:id="148"/>
      <w:r>
        <w:rPr/>
      </w:r>
      <w:hyperlink w:history="true" w:anchor="_bookmark23">
        <w:r>
          <w:rPr>
            <w:color w:val="005DA1"/>
            <w:position w:val="5"/>
            <w:sz w:val="14"/>
            <w:u w:val="single" w:color="005DA1"/>
          </w:rPr>
          <w:t>17</w:t>
        </w:r>
      </w:hyperlink>
      <w:r>
        <w:rPr>
          <w:position w:val="5"/>
          <w:sz w:val="14"/>
        </w:rPr>
        <w:t>.</w:t>
      </w:r>
      <w:r>
        <w:rPr>
          <w:spacing w:val="74"/>
          <w:position w:val="5"/>
          <w:sz w:val="14"/>
        </w:rPr>
        <w:t>   </w:t>
      </w:r>
      <w:r>
        <w:rPr>
          <w:rFonts w:ascii="Arial" w:hAnsi="Arial"/>
          <w:i/>
          <w:sz w:val="20"/>
        </w:rPr>
        <w:t>André &amp; Cie SA v Marine Transocean Ltd (The Splendid Sun) [1981] 1 Q.B. 694</w:t>
      </w:r>
      <w:r>
        <w:rPr>
          <w:sz w:val="20"/>
        </w:rPr>
        <w:t>, as explained</w:t>
      </w:r>
      <w:r>
        <w:rPr>
          <w:spacing w:val="40"/>
          <w:sz w:val="20"/>
        </w:rPr>
        <w:t> </w:t>
      </w:r>
      <w:r>
        <w:rPr>
          <w:sz w:val="20"/>
        </w:rPr>
        <w:t>in </w:t>
      </w:r>
      <w:r>
        <w:rPr>
          <w:rFonts w:ascii="Arial" w:hAnsi="Arial"/>
          <w:i/>
          <w:sz w:val="20"/>
        </w:rPr>
        <w:t>The Hannah Blumenthal</w:t>
      </w:r>
      <w:r>
        <w:rPr>
          <w:sz w:val="20"/>
        </w:rPr>
        <w:t>, above; </w:t>
      </w:r>
      <w:r>
        <w:rPr>
          <w:rFonts w:ascii="Arial" w:hAnsi="Arial"/>
          <w:i/>
          <w:sz w:val="20"/>
        </w:rPr>
        <w:t>Challoner v Bower (1984) 269 E.G. 725</w:t>
      </w:r>
      <w:r>
        <w:rPr>
          <w:sz w:val="20"/>
        </w:rPr>
        <w:t>; </w:t>
      </w:r>
      <w:r>
        <w:rPr>
          <w:rFonts w:ascii="Arial" w:hAnsi="Arial"/>
          <w:i/>
          <w:sz w:val="20"/>
        </w:rPr>
        <w:t>Tankrederei Ahrenkeil GmbH v Frahuil SA (The Multibank Holsatia) 2 Lloyd’s Rep. 486, 493 </w:t>
      </w:r>
      <w:r>
        <w:rPr>
          <w:sz w:val="20"/>
        </w:rPr>
        <w:t>(“subjective </w:t>
      </w:r>
      <w:r>
        <w:rPr>
          <w:spacing w:val="-2"/>
          <w:sz w:val="20"/>
        </w:rPr>
        <w:t>understanding”).</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24">
        <w:r>
          <w:rPr>
            <w:color w:val="005DA1"/>
            <w:position w:val="5"/>
            <w:sz w:val="14"/>
            <w:u w:val="single" w:color="005DA1"/>
          </w:rPr>
          <w:t>18</w:t>
        </w:r>
      </w:hyperlink>
      <w:r>
        <w:rPr>
          <w:position w:val="5"/>
          <w:sz w:val="14"/>
        </w:rPr>
        <w:t>.</w:t>
      </w:r>
      <w:r>
        <w:rPr>
          <w:spacing w:val="80"/>
          <w:position w:val="5"/>
          <w:sz w:val="14"/>
        </w:rPr>
        <w:t>  </w:t>
      </w:r>
      <w:r>
        <w:rPr>
          <w:rFonts w:ascii="Arial" w:hAnsi="Arial"/>
          <w:i/>
          <w:sz w:val="20"/>
        </w:rPr>
        <w:t>Ignazio Messina &amp; Co v Polskie Linie Oceaniczne [1995] 2 Lloyd’s Rep. 566, 571</w:t>
      </w:r>
      <w:r>
        <w:rPr>
          <w:sz w:val="20"/>
        </w:rPr>
        <w:t>; </w:t>
      </w:r>
      <w:r>
        <w:rPr>
          <w:rFonts w:ascii="Arial" w:hAnsi="Arial"/>
          <w:i/>
          <w:sz w:val="20"/>
        </w:rPr>
        <w:t>O.T. Africa Line Ltd v Vickers Plc [1996] 1 Lloyd’s Rep. 700, 703</w:t>
      </w:r>
      <w:r>
        <w:rPr>
          <w:sz w:val="20"/>
        </w:rPr>
        <w:t>; </w:t>
      </w:r>
      <w:r>
        <w:rPr>
          <w:rFonts w:ascii="Arial" w:hAnsi="Arial"/>
          <w:i/>
          <w:sz w:val="20"/>
        </w:rPr>
        <w:t>Covington Marine Corporation v </w:t>
      </w:r>
      <w:r>
        <w:rPr>
          <w:rFonts w:ascii="Arial" w:hAnsi="Arial"/>
          <w:i/>
          <w:sz w:val="20"/>
        </w:rPr>
        <w:t>Xiamen Shipbuilding Industry Co Ltd [2005] EWHC 2912 (Comm), [2006] 1 Lloyd’s Rep. 748 </w:t>
      </w:r>
      <w:r>
        <w:rPr>
          <w:sz w:val="20"/>
        </w:rPr>
        <w:t>at [45] (“Subject only to actual knowledge on the part of the buyer [the offeree] that no offer was intended”); </w:t>
      </w:r>
      <w:r>
        <w:rPr>
          <w:rFonts w:ascii="Arial" w:hAnsi="Arial"/>
          <w:i/>
          <w:sz w:val="20"/>
        </w:rPr>
        <w:t>HSBC Bank Plc v 5th Avenue Partners Ltd [2007] EWHC 2819 (Comm) </w:t>
      </w:r>
      <w:r>
        <w:rPr>
          <w:sz w:val="20"/>
        </w:rPr>
        <w:t>at [117] (objective principle “not engaged” where absence of any intention to vary an existing contract was known to both parties, affirmed on other issues </w:t>
      </w:r>
      <w:r>
        <w:rPr>
          <w:rFonts w:ascii="Arial" w:hAnsi="Arial"/>
          <w:i/>
          <w:sz w:val="20"/>
        </w:rPr>
        <w:t>[2009] EWCA Civ 296</w:t>
      </w:r>
      <w:r>
        <w:rPr>
          <w:sz w:val="20"/>
        </w:rPr>
        <w:t>); and see the authorities cited in n.23, below. The passage of the text ending with n.18 is evidently that in the 30th</w:t>
      </w:r>
      <w:r>
        <w:rPr>
          <w:spacing w:val="-1"/>
          <w:sz w:val="20"/>
        </w:rPr>
        <w:t> </w:t>
      </w:r>
      <w:r>
        <w:rPr>
          <w:sz w:val="20"/>
        </w:rPr>
        <w:t>edition</w:t>
      </w:r>
      <w:r>
        <w:rPr>
          <w:spacing w:val="-1"/>
          <w:sz w:val="20"/>
        </w:rPr>
        <w:t> </w:t>
      </w:r>
      <w:r>
        <w:rPr>
          <w:sz w:val="20"/>
        </w:rPr>
        <w:t>of</w:t>
      </w:r>
      <w:r>
        <w:rPr>
          <w:spacing w:val="-1"/>
          <w:sz w:val="20"/>
        </w:rPr>
        <w:t> </w:t>
      </w:r>
      <w:r>
        <w:rPr>
          <w:sz w:val="20"/>
        </w:rPr>
        <w:t>this</w:t>
      </w:r>
      <w:r>
        <w:rPr>
          <w:spacing w:val="-1"/>
          <w:sz w:val="20"/>
        </w:rPr>
        <w:t> </w:t>
      </w:r>
      <w:r>
        <w:rPr>
          <w:sz w:val="20"/>
        </w:rPr>
        <w:t>book</w:t>
      </w:r>
      <w:r>
        <w:rPr>
          <w:spacing w:val="-1"/>
          <w:sz w:val="20"/>
        </w:rPr>
        <w:t> </w:t>
      </w:r>
      <w:r>
        <w:rPr>
          <w:sz w:val="20"/>
        </w:rPr>
        <w:t>to</w:t>
      </w:r>
      <w:r>
        <w:rPr>
          <w:spacing w:val="-1"/>
          <w:sz w:val="20"/>
        </w:rPr>
        <w:t> </w:t>
      </w:r>
      <w:r>
        <w:rPr>
          <w:sz w:val="20"/>
        </w:rPr>
        <w:t>which</w:t>
      </w:r>
      <w:r>
        <w:rPr>
          <w:spacing w:val="-1"/>
          <w:sz w:val="20"/>
        </w:rPr>
        <w:t> </w:t>
      </w:r>
      <w:r>
        <w:rPr>
          <w:sz w:val="20"/>
        </w:rPr>
        <w:t>approving</w:t>
      </w:r>
      <w:r>
        <w:rPr>
          <w:spacing w:val="-1"/>
          <w:sz w:val="20"/>
        </w:rPr>
        <w:t> </w:t>
      </w:r>
      <w:r>
        <w:rPr>
          <w:sz w:val="20"/>
        </w:rPr>
        <w:t>reference</w:t>
      </w:r>
      <w:r>
        <w:rPr>
          <w:spacing w:val="-1"/>
          <w:sz w:val="20"/>
        </w:rPr>
        <w:t> </w:t>
      </w:r>
      <w:r>
        <w:rPr>
          <w:sz w:val="20"/>
        </w:rPr>
        <w:t>is</w:t>
      </w:r>
      <w:r>
        <w:rPr>
          <w:spacing w:val="-1"/>
          <w:sz w:val="20"/>
        </w:rPr>
        <w:t> </w:t>
      </w:r>
      <w:r>
        <w:rPr>
          <w:sz w:val="20"/>
        </w:rPr>
        <w:t>made</w:t>
      </w:r>
      <w:r>
        <w:rPr>
          <w:spacing w:val="-1"/>
          <w:sz w:val="20"/>
        </w:rPr>
        <w:t> </w:t>
      </w:r>
      <w:r>
        <w:rPr>
          <w:sz w:val="20"/>
        </w:rPr>
        <w:t>in</w:t>
      </w:r>
      <w:r>
        <w:rPr>
          <w:spacing w:val="-2"/>
          <w:sz w:val="20"/>
        </w:rPr>
        <w:t> </w:t>
      </w:r>
      <w:r>
        <w:rPr>
          <w:rFonts w:ascii="Arial" w:hAnsi="Arial"/>
          <w:i/>
          <w:sz w:val="20"/>
        </w:rPr>
        <w:t>Attrill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Dresdner</w:t>
      </w:r>
      <w:r>
        <w:rPr>
          <w:rFonts w:ascii="Arial" w:hAnsi="Arial"/>
          <w:i/>
          <w:spacing w:val="-1"/>
          <w:sz w:val="20"/>
        </w:rPr>
        <w:t> </w:t>
      </w:r>
      <w:r>
        <w:rPr>
          <w:rFonts w:ascii="Arial" w:hAnsi="Arial"/>
          <w:i/>
          <w:sz w:val="20"/>
        </w:rPr>
        <w:t>Kleinwort</w:t>
      </w:r>
      <w:r>
        <w:rPr>
          <w:rFonts w:ascii="Arial" w:hAnsi="Arial"/>
          <w:i/>
          <w:spacing w:val="-1"/>
          <w:sz w:val="20"/>
        </w:rPr>
        <w:t> </w:t>
      </w:r>
      <w:r>
        <w:rPr>
          <w:rFonts w:ascii="Arial" w:hAnsi="Arial"/>
          <w:i/>
          <w:sz w:val="20"/>
        </w:rPr>
        <w:t>Ltd [2012] EWHC 1189 (QB) </w:t>
      </w:r>
      <w:r>
        <w:rPr>
          <w:sz w:val="20"/>
        </w:rPr>
        <w:t>at [130], [154], affirmed: </w:t>
      </w:r>
      <w:r>
        <w:rPr>
          <w:rFonts w:ascii="Arial" w:hAnsi="Arial"/>
          <w:i/>
          <w:sz w:val="20"/>
        </w:rPr>
        <w:t>[2013] EWCA Civ 394</w:t>
      </w:r>
      <w:r>
        <w:rPr>
          <w:sz w:val="20"/>
        </w:rPr>
        <w:t>, [86]. See further on the mistake of term known to the other party at paras 3-018, 3-022, 3-035, and rectification for unilateral mistake as to terms at paras 3-069—3-076.</w:t>
      </w:r>
    </w:p>
    <w:p>
      <w:pPr>
        <w:pStyle w:val="BodyText"/>
        <w:spacing w:before="5"/>
      </w:pPr>
    </w:p>
    <w:p>
      <w:pPr>
        <w:spacing w:line="235" w:lineRule="auto" w:before="1"/>
        <w:ind w:left="705" w:right="167" w:hanging="541"/>
        <w:jc w:val="both"/>
        <w:rPr>
          <w:sz w:val="20"/>
        </w:rPr>
      </w:pPr>
      <w:bookmarkStart w:name="_bookmark147" w:id="149"/>
      <w:bookmarkEnd w:id="149"/>
      <w:r>
        <w:rPr/>
      </w:r>
      <w:hyperlink w:history="true" w:anchor="_bookmark25">
        <w:r>
          <w:rPr>
            <w:color w:val="005DA1"/>
            <w:position w:val="5"/>
            <w:sz w:val="14"/>
            <w:u w:val="single" w:color="005DA1"/>
          </w:rPr>
          <w:t>19</w:t>
        </w:r>
      </w:hyperlink>
      <w:r>
        <w:rPr>
          <w:position w:val="5"/>
          <w:sz w:val="14"/>
        </w:rPr>
        <w:t>.</w:t>
      </w:r>
      <w:r>
        <w:rPr>
          <w:spacing w:val="80"/>
          <w:position w:val="5"/>
          <w:sz w:val="14"/>
        </w:rPr>
        <w:t>  </w:t>
      </w:r>
      <w:r>
        <w:rPr>
          <w:sz w:val="20"/>
        </w:rPr>
        <w:t>In </w:t>
      </w:r>
      <w:r>
        <w:rPr>
          <w:rFonts w:ascii="Arial"/>
          <w:i/>
          <w:sz w:val="20"/>
        </w:rPr>
        <w:t>Merrill Lynch International v Amorim Partners Ltd [2014] EWHC 74 (QB) </w:t>
      </w:r>
      <w:r>
        <w:rPr>
          <w:sz w:val="20"/>
        </w:rPr>
        <w:t>at [54] Hamblen J. said that a mistake will only give rise to relief if it was known to the other party, but the </w:t>
      </w:r>
      <w:r>
        <w:rPr>
          <w:sz w:val="20"/>
        </w:rPr>
        <w:t>point does not appear to have been argued and the mistake was in any event not as to the terms of the contract, see below, para.3-023.</w:t>
      </w:r>
    </w:p>
    <w:p>
      <w:pPr>
        <w:pStyle w:val="BodyText"/>
        <w:spacing w:before="4"/>
      </w:pPr>
    </w:p>
    <w:p>
      <w:pPr>
        <w:tabs>
          <w:tab w:pos="705" w:val="left" w:leader="none"/>
        </w:tabs>
        <w:spacing w:line="227" w:lineRule="exact" w:before="0"/>
        <w:ind w:left="165" w:right="0" w:firstLine="0"/>
        <w:jc w:val="left"/>
        <w:rPr>
          <w:sz w:val="20"/>
        </w:rPr>
      </w:pPr>
      <w:bookmarkStart w:name="_bookmark148" w:id="150"/>
      <w:bookmarkEnd w:id="150"/>
      <w:r>
        <w:rPr/>
      </w:r>
      <w:hyperlink w:history="true" w:anchor="_bookmark26">
        <w:r>
          <w:rPr>
            <w:color w:val="005DA1"/>
            <w:spacing w:val="-5"/>
            <w:position w:val="5"/>
            <w:sz w:val="14"/>
            <w:u w:val="single" w:color="005DA1"/>
          </w:rPr>
          <w:t>20</w:t>
        </w:r>
      </w:hyperlink>
      <w:r>
        <w:rPr>
          <w:spacing w:val="-5"/>
          <w:position w:val="5"/>
          <w:sz w:val="14"/>
        </w:rPr>
        <w:t>.</w:t>
      </w:r>
      <w:r>
        <w:rPr>
          <w:position w:val="5"/>
          <w:sz w:val="14"/>
        </w:rPr>
        <w:tab/>
      </w:r>
      <w:r>
        <w:rPr>
          <w:sz w:val="20"/>
        </w:rPr>
        <w:t>See</w:t>
      </w:r>
      <w:r>
        <w:rPr>
          <w:spacing w:val="21"/>
          <w:sz w:val="20"/>
        </w:rPr>
        <w:t> </w:t>
      </w:r>
      <w:r>
        <w:rPr>
          <w:rFonts w:ascii="Arial"/>
          <w:i/>
          <w:sz w:val="20"/>
        </w:rPr>
        <w:t>Centrovincial</w:t>
      </w:r>
      <w:r>
        <w:rPr>
          <w:rFonts w:ascii="Arial"/>
          <w:i/>
          <w:spacing w:val="21"/>
          <w:sz w:val="20"/>
        </w:rPr>
        <w:t> </w:t>
      </w:r>
      <w:r>
        <w:rPr>
          <w:rFonts w:ascii="Arial"/>
          <w:i/>
          <w:sz w:val="20"/>
        </w:rPr>
        <w:t>Estates</w:t>
      </w:r>
      <w:r>
        <w:rPr>
          <w:rFonts w:ascii="Arial"/>
          <w:i/>
          <w:spacing w:val="21"/>
          <w:sz w:val="20"/>
        </w:rPr>
        <w:t> </w:t>
      </w:r>
      <w:r>
        <w:rPr>
          <w:rFonts w:ascii="Arial"/>
          <w:i/>
          <w:sz w:val="20"/>
        </w:rPr>
        <w:t>Plc</w:t>
      </w:r>
      <w:r>
        <w:rPr>
          <w:rFonts w:ascii="Arial"/>
          <w:i/>
          <w:spacing w:val="21"/>
          <w:sz w:val="20"/>
        </w:rPr>
        <w:t> </w:t>
      </w:r>
      <w:r>
        <w:rPr>
          <w:rFonts w:ascii="Arial"/>
          <w:i/>
          <w:sz w:val="20"/>
        </w:rPr>
        <w:t>v</w:t>
      </w:r>
      <w:r>
        <w:rPr>
          <w:rFonts w:ascii="Arial"/>
          <w:i/>
          <w:spacing w:val="21"/>
          <w:sz w:val="20"/>
        </w:rPr>
        <w:t> </w:t>
      </w:r>
      <w:r>
        <w:rPr>
          <w:rFonts w:ascii="Arial"/>
          <w:i/>
          <w:sz w:val="20"/>
        </w:rPr>
        <w:t>Merchant</w:t>
      </w:r>
      <w:r>
        <w:rPr>
          <w:rFonts w:ascii="Arial"/>
          <w:i/>
          <w:spacing w:val="21"/>
          <w:sz w:val="20"/>
        </w:rPr>
        <w:t> </w:t>
      </w:r>
      <w:r>
        <w:rPr>
          <w:rFonts w:ascii="Arial"/>
          <w:i/>
          <w:sz w:val="20"/>
        </w:rPr>
        <w:t>Investors</w:t>
      </w:r>
      <w:r>
        <w:rPr>
          <w:rFonts w:ascii="Arial"/>
          <w:i/>
          <w:spacing w:val="21"/>
          <w:sz w:val="20"/>
        </w:rPr>
        <w:t> </w:t>
      </w:r>
      <w:r>
        <w:rPr>
          <w:rFonts w:ascii="Arial"/>
          <w:i/>
          <w:sz w:val="20"/>
        </w:rPr>
        <w:t>Assurance</w:t>
      </w:r>
      <w:r>
        <w:rPr>
          <w:rFonts w:ascii="Arial"/>
          <w:i/>
          <w:spacing w:val="21"/>
          <w:sz w:val="20"/>
        </w:rPr>
        <w:t> </w:t>
      </w:r>
      <w:r>
        <w:rPr>
          <w:rFonts w:ascii="Arial"/>
          <w:i/>
          <w:sz w:val="20"/>
        </w:rPr>
        <w:t>Co</w:t>
      </w:r>
      <w:r>
        <w:rPr>
          <w:rFonts w:ascii="Arial"/>
          <w:i/>
          <w:spacing w:val="21"/>
          <w:sz w:val="20"/>
        </w:rPr>
        <w:t> </w:t>
      </w:r>
      <w:r>
        <w:rPr>
          <w:rFonts w:ascii="Arial"/>
          <w:i/>
          <w:sz w:val="20"/>
        </w:rPr>
        <w:t>Ltd</w:t>
      </w:r>
      <w:r>
        <w:rPr>
          <w:rFonts w:ascii="Arial"/>
          <w:i/>
          <w:spacing w:val="21"/>
          <w:sz w:val="20"/>
        </w:rPr>
        <w:t> </w:t>
      </w:r>
      <w:r>
        <w:rPr>
          <w:rFonts w:ascii="Arial"/>
          <w:i/>
          <w:sz w:val="20"/>
        </w:rPr>
        <w:t>[1983]</w:t>
      </w:r>
      <w:r>
        <w:rPr>
          <w:rFonts w:ascii="Arial"/>
          <w:i/>
          <w:spacing w:val="21"/>
          <w:sz w:val="20"/>
        </w:rPr>
        <w:t> </w:t>
      </w:r>
      <w:r>
        <w:rPr>
          <w:rFonts w:ascii="Arial"/>
          <w:i/>
          <w:sz w:val="20"/>
        </w:rPr>
        <w:t>Com.</w:t>
      </w:r>
      <w:r>
        <w:rPr>
          <w:rFonts w:ascii="Arial"/>
          <w:i/>
          <w:spacing w:val="21"/>
          <w:sz w:val="20"/>
        </w:rPr>
        <w:t> </w:t>
      </w:r>
      <w:r>
        <w:rPr>
          <w:rFonts w:ascii="Arial"/>
          <w:i/>
          <w:sz w:val="20"/>
        </w:rPr>
        <w:t>L.R.</w:t>
      </w:r>
      <w:r>
        <w:rPr>
          <w:rFonts w:ascii="Arial"/>
          <w:i/>
          <w:spacing w:val="21"/>
          <w:sz w:val="20"/>
        </w:rPr>
        <w:t> </w:t>
      </w:r>
      <w:r>
        <w:rPr>
          <w:rFonts w:ascii="Arial"/>
          <w:i/>
          <w:spacing w:val="-4"/>
          <w:sz w:val="20"/>
        </w:rPr>
        <w:t>158</w:t>
      </w:r>
      <w:r>
        <w:rPr>
          <w:spacing w:val="-4"/>
          <w:sz w:val="20"/>
        </w:rPr>
        <w:t>;</w:t>
      </w:r>
    </w:p>
    <w:p>
      <w:pPr>
        <w:spacing w:line="235" w:lineRule="auto" w:before="2"/>
        <w:ind w:left="705" w:right="167" w:firstLine="0"/>
        <w:jc w:val="both"/>
        <w:rPr>
          <w:sz w:val="20"/>
        </w:rPr>
      </w:pPr>
      <w:r>
        <w:rPr>
          <w:rFonts w:ascii="Arial" w:hAnsi="Arial"/>
          <w:i/>
          <w:sz w:val="20"/>
        </w:rPr>
        <w:t>O.T. Africa Line Ltd v Vickers Plc [1996] 1 Lloyd’s Rep. 700 </w:t>
      </w:r>
      <w:r>
        <w:rPr>
          <w:sz w:val="20"/>
        </w:rPr>
        <w:t>at 703, where Mance J. said that the objective principle would be displaced if a party knew or ought to have known of the</w:t>
      </w:r>
      <w:r>
        <w:rPr>
          <w:spacing w:val="40"/>
          <w:sz w:val="20"/>
        </w:rPr>
        <w:t> </w:t>
      </w:r>
      <w:r>
        <w:rPr>
          <w:spacing w:val="-2"/>
          <w:sz w:val="20"/>
        </w:rPr>
        <w:t>mistake.</w:t>
      </w:r>
    </w:p>
    <w:p>
      <w:pPr>
        <w:pStyle w:val="BodyText"/>
        <w:spacing w:before="5"/>
      </w:pPr>
    </w:p>
    <w:p>
      <w:pPr>
        <w:pStyle w:val="BodyText"/>
        <w:tabs>
          <w:tab w:pos="705" w:val="left" w:leader="none"/>
        </w:tabs>
        <w:ind w:left="165"/>
      </w:pPr>
      <w:bookmarkStart w:name="_bookmark149" w:id="151"/>
      <w:bookmarkEnd w:id="151"/>
      <w:r>
        <w:rPr/>
      </w:r>
      <w:hyperlink w:history="true" w:anchor="_bookmark27">
        <w:r>
          <w:rPr>
            <w:color w:val="005DA1"/>
            <w:spacing w:val="-5"/>
            <w:position w:val="5"/>
            <w:sz w:val="14"/>
            <w:u w:val="single" w:color="005DA1"/>
          </w:rPr>
          <w:t>21</w:t>
        </w:r>
      </w:hyperlink>
      <w:r>
        <w:rPr>
          <w:spacing w:val="-5"/>
          <w:position w:val="5"/>
          <w:sz w:val="14"/>
        </w:rPr>
        <w:t>.</w:t>
      </w:r>
      <w:r>
        <w:rPr>
          <w:position w:val="5"/>
          <w:sz w:val="14"/>
        </w:rPr>
        <w:tab/>
      </w:r>
      <w:r>
        <w:rPr/>
        <w:t>See</w:t>
      </w:r>
      <w:r>
        <w:rPr>
          <w:spacing w:val="-2"/>
        </w:rPr>
        <w:t> </w:t>
      </w:r>
      <w:r>
        <w:rPr/>
        <w:t>below, para.4-</w:t>
      </w:r>
      <w:r>
        <w:rPr>
          <w:spacing w:val="-4"/>
        </w:rPr>
        <w:t>068.</w:t>
      </w:r>
    </w:p>
    <w:p>
      <w:pPr>
        <w:pStyle w:val="BodyText"/>
        <w:spacing w:before="8"/>
      </w:pPr>
    </w:p>
    <w:p>
      <w:pPr>
        <w:spacing w:line="235" w:lineRule="auto" w:before="1"/>
        <w:ind w:left="705" w:right="167" w:hanging="541"/>
        <w:jc w:val="both"/>
        <w:rPr>
          <w:sz w:val="20"/>
        </w:rPr>
      </w:pPr>
      <w:bookmarkStart w:name="_bookmark150" w:id="152"/>
      <w:bookmarkEnd w:id="152"/>
      <w:r>
        <w:rPr/>
      </w:r>
      <w:hyperlink w:history="true" w:anchor="_bookmark28">
        <w:r>
          <w:rPr>
            <w:color w:val="005DA1"/>
            <w:position w:val="5"/>
            <w:sz w:val="14"/>
            <w:u w:val="single" w:color="005DA1"/>
          </w:rPr>
          <w:t>22</w:t>
        </w:r>
      </w:hyperlink>
      <w:r>
        <w:rPr>
          <w:position w:val="5"/>
          <w:sz w:val="14"/>
        </w:rPr>
        <w:t>.</w:t>
      </w:r>
      <w:r>
        <w:rPr>
          <w:spacing w:val="40"/>
          <w:position w:val="5"/>
          <w:sz w:val="14"/>
        </w:rPr>
        <w:t>  </w:t>
      </w:r>
      <w:r>
        <w:rPr>
          <w:rFonts w:ascii="Arial" w:hAnsi="Arial"/>
          <w:i/>
          <w:sz w:val="20"/>
        </w:rPr>
        <w:t>The Hannah Blumenthal</w:t>
      </w:r>
      <w:r>
        <w:rPr>
          <w:sz w:val="20"/>
        </w:rPr>
        <w:t>, above, as interpreted in </w:t>
      </w:r>
      <w:r>
        <w:rPr>
          <w:rFonts w:ascii="Arial" w:hAnsi="Arial"/>
          <w:i/>
          <w:sz w:val="20"/>
        </w:rPr>
        <w:t>Allied Marine Transport v Vale de Rio </w:t>
      </w:r>
      <w:r>
        <w:rPr>
          <w:rFonts w:ascii="Arial" w:hAnsi="Arial"/>
          <w:i/>
          <w:sz w:val="20"/>
        </w:rPr>
        <w:t>Doce Navegaceo SA (The Leonidas D.) [1985] 1 W.L.R. 925</w:t>
      </w:r>
      <w:r>
        <w:rPr>
          <w:sz w:val="20"/>
        </w:rPr>
        <w:t>; Beatson (1986) 102 L.Q.R. 1; Atiyah (1986) 102 L.Q.R. 363; </w:t>
      </w:r>
      <w:r>
        <w:rPr>
          <w:rFonts w:ascii="Arial" w:hAnsi="Arial"/>
          <w:i/>
          <w:sz w:val="20"/>
        </w:rPr>
        <w:t>Gebr. van Weelde Scheepvaart Kantoor BV v Homeric Marine Services (The Agrabele) [1987] 2 Lloyd’s Rep. 223</w:t>
      </w:r>
      <w:r>
        <w:rPr>
          <w:sz w:val="20"/>
        </w:rPr>
        <w:t>, especially at 235; cf. </w:t>
      </w:r>
      <w:r>
        <w:rPr>
          <w:rFonts w:ascii="Arial" w:hAnsi="Arial"/>
          <w:i/>
          <w:sz w:val="20"/>
        </w:rPr>
        <w:t>Cie Française d’Importation, etc.,</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Deutsche</w:t>
      </w:r>
      <w:r>
        <w:rPr>
          <w:rFonts w:ascii="Arial" w:hAnsi="Arial"/>
          <w:i/>
          <w:spacing w:val="-1"/>
          <w:sz w:val="20"/>
        </w:rPr>
        <w:t> </w:t>
      </w:r>
      <w:r>
        <w:rPr>
          <w:rFonts w:ascii="Arial" w:hAnsi="Arial"/>
          <w:i/>
          <w:sz w:val="20"/>
        </w:rPr>
        <w:t>Continental</w:t>
      </w:r>
      <w:r>
        <w:rPr>
          <w:rFonts w:ascii="Arial" w:hAnsi="Arial"/>
          <w:i/>
          <w:spacing w:val="-1"/>
          <w:sz w:val="20"/>
        </w:rPr>
        <w:t> </w:t>
      </w:r>
      <w:r>
        <w:rPr>
          <w:rFonts w:ascii="Arial" w:hAnsi="Arial"/>
          <w:i/>
          <w:sz w:val="20"/>
        </w:rPr>
        <w:t>Handelsgesellschaft</w:t>
      </w:r>
      <w:r>
        <w:rPr>
          <w:rFonts w:ascii="Arial" w:hAnsi="Arial"/>
          <w:i/>
          <w:spacing w:val="-1"/>
          <w:sz w:val="20"/>
        </w:rPr>
        <w:t> </w:t>
      </w:r>
      <w:r>
        <w:rPr>
          <w:rFonts w:ascii="Arial" w:hAnsi="Arial"/>
          <w:i/>
          <w:sz w:val="20"/>
        </w:rPr>
        <w:t>[1985]</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592,</w:t>
      </w:r>
      <w:r>
        <w:rPr>
          <w:rFonts w:ascii="Arial" w:hAnsi="Arial"/>
          <w:i/>
          <w:spacing w:val="-1"/>
          <w:sz w:val="20"/>
        </w:rPr>
        <w:t> </w:t>
      </w:r>
      <w:r>
        <w:rPr>
          <w:rFonts w:ascii="Arial" w:hAnsi="Arial"/>
          <w:i/>
          <w:sz w:val="20"/>
        </w:rPr>
        <w:t>597</w:t>
      </w:r>
      <w:r>
        <w:rPr>
          <w:sz w:val="20"/>
        </w:rPr>
        <w:t>;</w:t>
      </w:r>
      <w:r>
        <w:rPr>
          <w:spacing w:val="-1"/>
          <w:sz w:val="20"/>
        </w:rPr>
        <w:t> </w:t>
      </w:r>
      <w:r>
        <w:rPr>
          <w:rFonts w:ascii="Arial" w:hAnsi="Arial"/>
          <w:i/>
          <w:sz w:val="20"/>
        </w:rPr>
        <w:t>Amherst</w:t>
      </w:r>
      <w:r>
        <w:rPr>
          <w:rFonts w:ascii="Arial" w:hAnsi="Arial"/>
          <w:i/>
          <w:spacing w:val="-1"/>
          <w:sz w:val="20"/>
        </w:rPr>
        <w:t> </w:t>
      </w:r>
      <w:r>
        <w:rPr>
          <w:rFonts w:ascii="Arial" w:hAnsi="Arial"/>
          <w:i/>
          <w:sz w:val="20"/>
        </w:rPr>
        <w:t>v James Walker Goldsmith and Silversmith Ltd [1983] Ch. 305</w:t>
      </w:r>
      <w:r>
        <w:rPr>
          <w:sz w:val="20"/>
        </w:rPr>
        <w:t>. The view that, in the third of the situations described in the text above, there is no contract is referred to with approval by</w:t>
      </w:r>
      <w:r>
        <w:rPr>
          <w:spacing w:val="40"/>
          <w:sz w:val="20"/>
        </w:rPr>
        <w:t> </w:t>
      </w:r>
      <w:r>
        <w:rPr>
          <w:sz w:val="20"/>
        </w:rPr>
        <w:t>Andrew Smith J. in </w:t>
      </w:r>
      <w:r>
        <w:rPr>
          <w:rFonts w:ascii="Arial" w:hAnsi="Arial"/>
          <w:i/>
          <w:sz w:val="20"/>
        </w:rPr>
        <w:t>Maple Leaf Volatility Master Fund v Rouvroy [2009] EWHC 257 (Comm)</w:t>
      </w:r>
      <w:r>
        <w:rPr>
          <w:sz w:val="20"/>
        </w:rPr>
        <w:t>, </w:t>
      </w:r>
      <w:r>
        <w:rPr>
          <w:rFonts w:ascii="Arial" w:hAnsi="Arial"/>
          <w:i/>
          <w:sz w:val="20"/>
        </w:rPr>
        <w:t>[2009] 1 Lloyd’s Rep. 475 </w:t>
      </w:r>
      <w:r>
        <w:rPr>
          <w:sz w:val="20"/>
        </w:rPr>
        <w:t>at [228], affirmed </w:t>
      </w:r>
      <w:r>
        <w:rPr>
          <w:rFonts w:ascii="Arial" w:hAnsi="Arial"/>
          <w:i/>
          <w:sz w:val="20"/>
        </w:rPr>
        <w:t>[2009] EWCA Civ 1134</w:t>
      </w:r>
      <w:r>
        <w:rPr>
          <w:sz w:val="20"/>
        </w:rPr>
        <w:t>, </w:t>
      </w:r>
      <w:r>
        <w:rPr>
          <w:rFonts w:ascii="Arial" w:hAnsi="Arial"/>
          <w:i/>
          <w:sz w:val="20"/>
        </w:rPr>
        <w:t>[2010] 2 All E.R. (Comm) 788 </w:t>
      </w:r>
      <w:r>
        <w:rPr>
          <w:sz w:val="20"/>
        </w:rPr>
        <w:t>where Longmore L.J. at [22] paid “tribute to the careful and thorough judgment of Andrew Smith J”.</w:t>
      </w:r>
    </w:p>
    <w:p>
      <w:pPr>
        <w:pStyle w:val="BodyText"/>
        <w:spacing w:before="5"/>
      </w:pPr>
    </w:p>
    <w:p>
      <w:pPr>
        <w:spacing w:line="235" w:lineRule="auto" w:before="0"/>
        <w:ind w:left="705" w:right="167" w:hanging="541"/>
        <w:jc w:val="both"/>
        <w:rPr>
          <w:sz w:val="20"/>
        </w:rPr>
      </w:pPr>
      <w:bookmarkStart w:name="_bookmark151" w:id="153"/>
      <w:bookmarkEnd w:id="153"/>
      <w:r>
        <w:rPr/>
      </w:r>
      <w:hyperlink w:history="true" w:anchor="_bookmark29">
        <w:r>
          <w:rPr>
            <w:color w:val="005DA1"/>
            <w:position w:val="5"/>
            <w:sz w:val="14"/>
            <w:u w:val="single" w:color="005DA1"/>
          </w:rPr>
          <w:t>23</w:t>
        </w:r>
      </w:hyperlink>
      <w:r>
        <w:rPr>
          <w:position w:val="5"/>
          <w:sz w:val="14"/>
        </w:rPr>
        <w:t>.</w:t>
      </w:r>
      <w:r>
        <w:rPr>
          <w:spacing w:val="80"/>
          <w:w w:val="150"/>
          <w:position w:val="5"/>
          <w:sz w:val="14"/>
        </w:rPr>
        <w:t>  </w:t>
      </w:r>
      <w:r>
        <w:rPr>
          <w:rFonts w:ascii="Arial" w:hAnsi="Arial"/>
          <w:i/>
          <w:sz w:val="20"/>
        </w:rPr>
        <w:t>Excomm</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v</w:t>
      </w:r>
      <w:r>
        <w:rPr>
          <w:rFonts w:ascii="Arial" w:hAnsi="Arial"/>
          <w:i/>
          <w:spacing w:val="22"/>
          <w:sz w:val="20"/>
        </w:rPr>
        <w:t> </w:t>
      </w:r>
      <w:r>
        <w:rPr>
          <w:rFonts w:ascii="Arial" w:hAnsi="Arial"/>
          <w:i/>
          <w:sz w:val="20"/>
        </w:rPr>
        <w:t>Guan</w:t>
      </w:r>
      <w:r>
        <w:rPr>
          <w:rFonts w:ascii="Arial" w:hAnsi="Arial"/>
          <w:i/>
          <w:spacing w:val="22"/>
          <w:sz w:val="20"/>
        </w:rPr>
        <w:t> </w:t>
      </w:r>
      <w:r>
        <w:rPr>
          <w:rFonts w:ascii="Arial" w:hAnsi="Arial"/>
          <w:i/>
          <w:sz w:val="20"/>
        </w:rPr>
        <w:t>Guan</w:t>
      </w:r>
      <w:r>
        <w:rPr>
          <w:rFonts w:ascii="Arial" w:hAnsi="Arial"/>
          <w:i/>
          <w:spacing w:val="22"/>
          <w:sz w:val="20"/>
        </w:rPr>
        <w:t> </w:t>
      </w:r>
      <w:r>
        <w:rPr>
          <w:rFonts w:ascii="Arial" w:hAnsi="Arial"/>
          <w:i/>
          <w:sz w:val="20"/>
        </w:rPr>
        <w:t>Shipping</w:t>
      </w:r>
      <w:r>
        <w:rPr>
          <w:rFonts w:ascii="Arial" w:hAnsi="Arial"/>
          <w:i/>
          <w:spacing w:val="22"/>
          <w:sz w:val="20"/>
        </w:rPr>
        <w:t> </w:t>
      </w:r>
      <w:r>
        <w:rPr>
          <w:rFonts w:ascii="Arial" w:hAnsi="Arial"/>
          <w:i/>
          <w:sz w:val="20"/>
        </w:rPr>
        <w:t>(Pte)</w:t>
      </w:r>
      <w:r>
        <w:rPr>
          <w:rFonts w:ascii="Arial" w:hAnsi="Arial"/>
          <w:i/>
          <w:spacing w:val="22"/>
          <w:sz w:val="20"/>
        </w:rPr>
        <w:t> </w:t>
      </w:r>
      <w:r>
        <w:rPr>
          <w:rFonts w:ascii="Arial" w:hAnsi="Arial"/>
          <w:i/>
          <w:sz w:val="20"/>
        </w:rPr>
        <w:t>Ltd</w:t>
      </w:r>
      <w:r>
        <w:rPr>
          <w:rFonts w:ascii="Arial" w:hAnsi="Arial"/>
          <w:i/>
          <w:spacing w:val="22"/>
          <w:sz w:val="20"/>
        </w:rPr>
        <w:t> </w:t>
      </w:r>
      <w:r>
        <w:rPr>
          <w:rFonts w:ascii="Arial" w:hAnsi="Arial"/>
          <w:i/>
          <w:sz w:val="20"/>
        </w:rPr>
        <w:t>(The</w:t>
      </w:r>
      <w:r>
        <w:rPr>
          <w:rFonts w:ascii="Arial" w:hAnsi="Arial"/>
          <w:i/>
          <w:spacing w:val="22"/>
          <w:sz w:val="20"/>
        </w:rPr>
        <w:t> </w:t>
      </w:r>
      <w:r>
        <w:rPr>
          <w:rFonts w:ascii="Arial" w:hAnsi="Arial"/>
          <w:i/>
          <w:sz w:val="20"/>
        </w:rPr>
        <w:t>Golden</w:t>
      </w:r>
      <w:r>
        <w:rPr>
          <w:rFonts w:ascii="Arial" w:hAnsi="Arial"/>
          <w:i/>
          <w:spacing w:val="22"/>
          <w:sz w:val="20"/>
        </w:rPr>
        <w:t> </w:t>
      </w:r>
      <w:r>
        <w:rPr>
          <w:rFonts w:ascii="Arial" w:hAnsi="Arial"/>
          <w:i/>
          <w:sz w:val="20"/>
        </w:rPr>
        <w:t>Bear)</w:t>
      </w:r>
      <w:r>
        <w:rPr>
          <w:rFonts w:ascii="Arial" w:hAnsi="Arial"/>
          <w:i/>
          <w:spacing w:val="22"/>
          <w:sz w:val="20"/>
        </w:rPr>
        <w:t> </w:t>
      </w:r>
      <w:r>
        <w:rPr>
          <w:rFonts w:ascii="Arial" w:hAnsi="Arial"/>
          <w:i/>
          <w:sz w:val="20"/>
        </w:rPr>
        <w:t>[1987]</w:t>
      </w:r>
      <w:r>
        <w:rPr>
          <w:rFonts w:ascii="Arial" w:hAnsi="Arial"/>
          <w:i/>
          <w:spacing w:val="22"/>
          <w:sz w:val="20"/>
        </w:rPr>
        <w:t> </w:t>
      </w:r>
      <w:r>
        <w:rPr>
          <w:rFonts w:ascii="Arial" w:hAnsi="Arial"/>
          <w:i/>
          <w:sz w:val="20"/>
        </w:rPr>
        <w:t>1</w:t>
      </w:r>
      <w:r>
        <w:rPr>
          <w:rFonts w:ascii="Arial" w:hAnsi="Arial"/>
          <w:i/>
          <w:spacing w:val="22"/>
          <w:sz w:val="20"/>
        </w:rPr>
        <w:t> </w:t>
      </w:r>
      <w:r>
        <w:rPr>
          <w:rFonts w:ascii="Arial" w:hAnsi="Arial"/>
          <w:i/>
          <w:sz w:val="20"/>
        </w:rPr>
        <w:t>Lloyd’s</w:t>
      </w:r>
      <w:r>
        <w:rPr>
          <w:rFonts w:ascii="Arial" w:hAnsi="Arial"/>
          <w:i/>
          <w:spacing w:val="22"/>
          <w:sz w:val="20"/>
        </w:rPr>
        <w:t> </w:t>
      </w:r>
      <w:r>
        <w:rPr>
          <w:rFonts w:ascii="Arial" w:hAnsi="Arial"/>
          <w:i/>
          <w:sz w:val="20"/>
        </w:rPr>
        <w:t>Rep.</w:t>
      </w:r>
      <w:r>
        <w:rPr>
          <w:rFonts w:ascii="Arial" w:hAnsi="Arial"/>
          <w:i/>
          <w:spacing w:val="22"/>
          <w:sz w:val="20"/>
        </w:rPr>
        <w:t> </w:t>
      </w:r>
      <w:r>
        <w:rPr>
          <w:rFonts w:ascii="Arial" w:hAnsi="Arial"/>
          <w:i/>
          <w:sz w:val="20"/>
        </w:rPr>
        <w:t>330, 341 </w:t>
      </w:r>
      <w:r>
        <w:rPr>
          <w:sz w:val="20"/>
        </w:rPr>
        <w:t>(doubted on another point in para.2-069, n.351 below, and see para.2-006, n.32); this view was approved in </w:t>
      </w:r>
      <w:r>
        <w:rPr>
          <w:rFonts w:ascii="Arial" w:hAnsi="Arial"/>
          <w:i/>
          <w:sz w:val="20"/>
        </w:rPr>
        <w:t>The Antclizo [1987] 2 Lloyd’s Rep. 130, 143 </w:t>
      </w:r>
      <w:r>
        <w:rPr>
          <w:sz w:val="20"/>
        </w:rPr>
        <w:t>but doubted at 147 (affirmed </w:t>
      </w:r>
      <w:r>
        <w:rPr>
          <w:rFonts w:ascii="Arial" w:hAnsi="Arial"/>
          <w:i/>
          <w:sz w:val="20"/>
        </w:rPr>
        <w:t>[1988] 1 W.L.R. 603 </w:t>
      </w:r>
      <w:r>
        <w:rPr>
          <w:sz w:val="20"/>
        </w:rPr>
        <w:t>without reference to the point); and semble in </w:t>
      </w:r>
      <w:r>
        <w:rPr>
          <w:rFonts w:ascii="Arial" w:hAnsi="Arial"/>
          <w:i/>
          <w:sz w:val="20"/>
        </w:rPr>
        <w:t>Floating Dock Ltd v </w:t>
      </w:r>
      <w:r>
        <w:rPr>
          <w:rFonts w:ascii="Arial" w:hAnsi="Arial"/>
          <w:i/>
          <w:sz w:val="20"/>
        </w:rPr>
        <w:t>Hong Kong and Shanghai Bank Ltd [1986] 1 Lloyd’s Rep. 65, 77</w:t>
      </w:r>
      <w:r>
        <w:rPr>
          <w:sz w:val="20"/>
        </w:rPr>
        <w:t>; </w:t>
      </w:r>
      <w:r>
        <w:rPr>
          <w:rFonts w:ascii="Arial" w:hAnsi="Arial"/>
          <w:i/>
          <w:sz w:val="20"/>
        </w:rPr>
        <w:t>The Multibank Holsatia [1988] 2 Lloyd’s</w:t>
      </w:r>
      <w:r>
        <w:rPr>
          <w:rFonts w:ascii="Arial" w:hAnsi="Arial"/>
          <w:i/>
          <w:spacing w:val="80"/>
          <w:sz w:val="20"/>
        </w:rPr>
        <w:t> </w:t>
      </w:r>
      <w:r>
        <w:rPr>
          <w:rFonts w:ascii="Arial" w:hAnsi="Arial"/>
          <w:i/>
          <w:sz w:val="20"/>
        </w:rPr>
        <w:t>Rep.</w:t>
      </w:r>
      <w:r>
        <w:rPr>
          <w:rFonts w:ascii="Arial" w:hAnsi="Arial"/>
          <w:i/>
          <w:spacing w:val="80"/>
          <w:sz w:val="20"/>
        </w:rPr>
        <w:t> </w:t>
      </w:r>
      <w:r>
        <w:rPr>
          <w:rFonts w:ascii="Arial" w:hAnsi="Arial"/>
          <w:i/>
          <w:sz w:val="20"/>
        </w:rPr>
        <w:t>486,</w:t>
      </w:r>
      <w:r>
        <w:rPr>
          <w:rFonts w:ascii="Arial" w:hAnsi="Arial"/>
          <w:i/>
          <w:spacing w:val="80"/>
          <w:sz w:val="20"/>
        </w:rPr>
        <w:t> </w:t>
      </w:r>
      <w:r>
        <w:rPr>
          <w:rFonts w:ascii="Arial" w:hAnsi="Arial"/>
          <w:i/>
          <w:sz w:val="20"/>
        </w:rPr>
        <w:t>492</w:t>
      </w:r>
      <w:r>
        <w:rPr>
          <w:rFonts w:ascii="Arial" w:hAnsi="Arial"/>
          <w:i/>
          <w:spacing w:val="80"/>
          <w:sz w:val="20"/>
        </w:rPr>
        <w:t> </w:t>
      </w:r>
      <w:r>
        <w:rPr>
          <w:sz w:val="20"/>
        </w:rPr>
        <w:t>(“at</w:t>
      </w:r>
      <w:r>
        <w:rPr>
          <w:spacing w:val="80"/>
          <w:sz w:val="20"/>
        </w:rPr>
        <w:t> </w:t>
      </w:r>
      <w:r>
        <w:rPr>
          <w:sz w:val="20"/>
        </w:rPr>
        <w:t>least</w:t>
      </w:r>
      <w:r>
        <w:rPr>
          <w:spacing w:val="80"/>
          <w:sz w:val="20"/>
        </w:rPr>
        <w:t> </w:t>
      </w:r>
      <w:r>
        <w:rPr>
          <w:sz w:val="20"/>
        </w:rPr>
        <w:t>did</w:t>
      </w:r>
      <w:r>
        <w:rPr>
          <w:spacing w:val="80"/>
          <w:sz w:val="20"/>
        </w:rPr>
        <w:t> </w:t>
      </w:r>
      <w:r>
        <w:rPr>
          <w:sz w:val="20"/>
        </w:rPr>
        <w:t>not</w:t>
      </w:r>
      <w:r>
        <w:rPr>
          <w:spacing w:val="80"/>
          <w:sz w:val="20"/>
        </w:rPr>
        <w:t> </w:t>
      </w:r>
      <w:r>
        <w:rPr>
          <w:sz w:val="20"/>
        </w:rPr>
        <w:t>conflict</w:t>
      </w:r>
      <w:r>
        <w:rPr>
          <w:spacing w:val="80"/>
          <w:sz w:val="20"/>
        </w:rPr>
        <w:t> </w:t>
      </w:r>
      <w:r>
        <w:rPr>
          <w:sz w:val="20"/>
        </w:rPr>
        <w:t>with</w:t>
      </w:r>
      <w:r>
        <w:rPr>
          <w:spacing w:val="80"/>
          <w:sz w:val="20"/>
        </w:rPr>
        <w:t> </w:t>
      </w:r>
      <w:r>
        <w:rPr>
          <w:sz w:val="20"/>
        </w:rPr>
        <w:t>[B’s]</w:t>
      </w:r>
      <w:r>
        <w:rPr>
          <w:spacing w:val="80"/>
          <w:sz w:val="20"/>
        </w:rPr>
        <w:t> </w:t>
      </w:r>
      <w:r>
        <w:rPr>
          <w:sz w:val="20"/>
        </w:rPr>
        <w:t>subjective</w:t>
      </w:r>
      <w:r>
        <w:rPr>
          <w:spacing w:val="80"/>
          <w:sz w:val="20"/>
        </w:rPr>
        <w:t> </w:t>
      </w:r>
      <w:r>
        <w:rPr>
          <w:sz w:val="20"/>
        </w:rPr>
        <w:t>understanding”); </w:t>
      </w:r>
      <w:r>
        <w:rPr>
          <w:rFonts w:ascii="Arial" w:hAnsi="Arial"/>
          <w:i/>
          <w:sz w:val="20"/>
        </w:rPr>
        <w:t>Thai-Europe</w:t>
      </w:r>
      <w:r>
        <w:rPr>
          <w:rFonts w:ascii="Arial" w:hAnsi="Arial"/>
          <w:i/>
          <w:spacing w:val="-3"/>
          <w:sz w:val="20"/>
        </w:rPr>
        <w:t> </w:t>
      </w:r>
      <w:r>
        <w:rPr>
          <w:rFonts w:ascii="Arial" w:hAnsi="Arial"/>
          <w:i/>
          <w:sz w:val="20"/>
        </w:rPr>
        <w:t>Tapioca</w:t>
      </w:r>
      <w:r>
        <w:rPr>
          <w:rFonts w:ascii="Arial" w:hAnsi="Arial"/>
          <w:i/>
          <w:spacing w:val="-3"/>
          <w:sz w:val="20"/>
        </w:rPr>
        <w:t> </w:t>
      </w:r>
      <w:r>
        <w:rPr>
          <w:rFonts w:ascii="Arial" w:hAnsi="Arial"/>
          <w:i/>
          <w:sz w:val="20"/>
        </w:rPr>
        <w:t>Service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Seine</w:t>
      </w:r>
      <w:r>
        <w:rPr>
          <w:rFonts w:ascii="Arial" w:hAnsi="Arial"/>
          <w:i/>
          <w:spacing w:val="-3"/>
          <w:sz w:val="20"/>
        </w:rPr>
        <w:t> </w:t>
      </w:r>
      <w:r>
        <w:rPr>
          <w:rFonts w:ascii="Arial" w:hAnsi="Arial"/>
          <w:i/>
          <w:sz w:val="20"/>
        </w:rPr>
        <w:t>Navigation</w:t>
      </w:r>
      <w:r>
        <w:rPr>
          <w:rFonts w:ascii="Arial" w:hAnsi="Arial"/>
          <w:i/>
          <w:spacing w:val="-3"/>
          <w:sz w:val="20"/>
        </w:rPr>
        <w:t> </w:t>
      </w:r>
      <w:r>
        <w:rPr>
          <w:rFonts w:ascii="Arial" w:hAnsi="Arial"/>
          <w:i/>
          <w:sz w:val="20"/>
        </w:rPr>
        <w:t>Inc</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Maritime</w:t>
      </w:r>
      <w:r>
        <w:rPr>
          <w:rFonts w:ascii="Arial" w:hAnsi="Arial"/>
          <w:i/>
          <w:spacing w:val="-3"/>
          <w:sz w:val="20"/>
        </w:rPr>
        <w:t> </w:t>
      </w:r>
      <w:r>
        <w:rPr>
          <w:rFonts w:ascii="Arial" w:hAnsi="Arial"/>
          <w:i/>
          <w:sz w:val="20"/>
        </w:rPr>
        <w:t>Winner)</w:t>
      </w:r>
      <w:r>
        <w:rPr>
          <w:rFonts w:ascii="Arial" w:hAnsi="Arial"/>
          <w:i/>
          <w:spacing w:val="-3"/>
          <w:sz w:val="20"/>
        </w:rPr>
        <w:t> </w:t>
      </w:r>
      <w:r>
        <w:rPr>
          <w:rFonts w:ascii="Arial" w:hAnsi="Arial"/>
          <w:i/>
          <w:sz w:val="20"/>
        </w:rPr>
        <w:t>[1989]</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 Rep. 506, 515 </w:t>
      </w:r>
      <w:r>
        <w:rPr>
          <w:sz w:val="20"/>
        </w:rPr>
        <w:t>(using similar language). A dictum in </w:t>
      </w:r>
      <w:r>
        <w:rPr>
          <w:rFonts w:ascii="Arial" w:hAnsi="Arial"/>
          <w:i/>
          <w:sz w:val="20"/>
        </w:rPr>
        <w:t>Furness Withy (Australia) Pty Ltd v Metal Distribution (UK) Ltd (The Amazonia) [1990] 1 Lloyd’s Rep. 236, 242 </w:t>
      </w:r>
      <w:r>
        <w:rPr>
          <w:sz w:val="20"/>
        </w:rPr>
        <w:t>goes even further in suggesting that there may be a contract even though “</w:t>
      </w:r>
      <w:r>
        <w:rPr>
          <w:spacing w:val="-11"/>
          <w:sz w:val="20"/>
        </w:rPr>
        <w:t> </w:t>
      </w:r>
      <w:r>
        <w:rPr>
          <w:rFonts w:ascii="Arial" w:hAnsi="Arial"/>
          <w:i/>
          <w:sz w:val="20"/>
        </w:rPr>
        <w:t>neither </w:t>
      </w:r>
      <w:r>
        <w:rPr>
          <w:sz w:val="20"/>
        </w:rPr>
        <w:t>[party] intended to make a </w:t>
      </w:r>
      <w:r>
        <w:rPr>
          <w:spacing w:val="-2"/>
          <w:sz w:val="20"/>
        </w:rPr>
        <w:t>contract”.</w:t>
      </w:r>
    </w:p>
    <w:p>
      <w:pPr>
        <w:pStyle w:val="BodyText"/>
        <w:spacing w:before="6"/>
      </w:pPr>
    </w:p>
    <w:p>
      <w:pPr>
        <w:spacing w:line="235" w:lineRule="auto" w:before="0"/>
        <w:ind w:left="705" w:right="168" w:hanging="541"/>
        <w:jc w:val="both"/>
        <w:rPr>
          <w:sz w:val="20"/>
        </w:rPr>
      </w:pPr>
      <w:bookmarkStart w:name="_bookmark152" w:id="154"/>
      <w:bookmarkEnd w:id="154"/>
      <w:r>
        <w:rPr/>
      </w:r>
      <w:hyperlink w:history="true" w:anchor="_bookmark30">
        <w:r>
          <w:rPr>
            <w:color w:val="005DA1"/>
            <w:position w:val="5"/>
            <w:sz w:val="14"/>
            <w:u w:val="single" w:color="005DA1"/>
          </w:rPr>
          <w:t>24</w:t>
        </w:r>
      </w:hyperlink>
      <w:r>
        <w:rPr>
          <w:position w:val="5"/>
          <w:sz w:val="14"/>
        </w:rPr>
        <w:t>.</w:t>
      </w:r>
      <w:r>
        <w:rPr>
          <w:spacing w:val="80"/>
          <w:position w:val="5"/>
          <w:sz w:val="14"/>
        </w:rPr>
        <w:t>  </w:t>
      </w:r>
      <w:r>
        <w:rPr>
          <w:rFonts w:ascii="Arial" w:hAnsi="Arial"/>
          <w:i/>
          <w:sz w:val="20"/>
        </w:rPr>
        <w:t>Hart v Mills (1846) 15 L.J. Ex. 200</w:t>
      </w:r>
      <w:r>
        <w:rPr>
          <w:sz w:val="20"/>
        </w:rPr>
        <w:t>; cf. </w:t>
      </w:r>
      <w:r>
        <w:rPr>
          <w:rFonts w:ascii="Arial" w:hAnsi="Arial"/>
          <w:i/>
          <w:sz w:val="20"/>
        </w:rPr>
        <w:t>Steven v Bromley &amp; Son [1919] 2 K.B. 722</w:t>
      </w:r>
      <w:r>
        <w:rPr>
          <w:sz w:val="20"/>
        </w:rPr>
        <w:t>; </w:t>
      </w:r>
      <w:r>
        <w:rPr>
          <w:rFonts w:ascii="Arial" w:hAnsi="Arial"/>
          <w:i/>
          <w:sz w:val="20"/>
        </w:rPr>
        <w:t>Greenmast Shipping Co SA v Jean Lion et Cie. SA (The Saronikos) [1986] 2 Lloyd’s Rep. 277</w:t>
      </w:r>
      <w:r>
        <w:rPr>
          <w:sz w:val="20"/>
        </w:rPr>
        <w:t>; </w:t>
      </w:r>
      <w:r>
        <w:rPr>
          <w:rFonts w:ascii="Arial" w:hAnsi="Arial"/>
          <w:i/>
          <w:sz w:val="20"/>
        </w:rPr>
        <w:t>Confetti Records v Warner Music UK Ltd [2003] EWHC 1274 (Ch), [2003] E.M.L.R. 35</w:t>
      </w:r>
      <w:r>
        <w:rPr>
          <w:sz w:val="20"/>
        </w:rPr>
        <w:t>.</w:t>
      </w:r>
    </w:p>
    <w:p>
      <w:pPr>
        <w:pStyle w:val="BodyText"/>
        <w:spacing w:before="9"/>
      </w:pPr>
    </w:p>
    <w:p>
      <w:pPr>
        <w:pStyle w:val="BodyText"/>
        <w:spacing w:line="235" w:lineRule="auto"/>
        <w:ind w:left="705" w:right="167" w:hanging="541"/>
        <w:jc w:val="both"/>
      </w:pPr>
      <w:bookmarkStart w:name="_bookmark153" w:id="155"/>
      <w:bookmarkEnd w:id="155"/>
      <w:r>
        <w:rPr/>
      </w:r>
      <w:hyperlink w:history="true" w:anchor="_bookmark31">
        <w:r>
          <w:rPr>
            <w:color w:val="005DA1"/>
            <w:position w:val="5"/>
            <w:sz w:val="14"/>
            <w:u w:val="single" w:color="005DA1"/>
          </w:rPr>
          <w:t>25</w:t>
        </w:r>
      </w:hyperlink>
      <w:r>
        <w:rPr>
          <w:position w:val="5"/>
          <w:sz w:val="14"/>
        </w:rPr>
        <w:t>.</w:t>
      </w:r>
      <w:r>
        <w:rPr>
          <w:spacing w:val="40"/>
          <w:position w:val="5"/>
          <w:sz w:val="14"/>
        </w:rPr>
        <w:t>  </w:t>
      </w:r>
      <w:r>
        <w:rPr/>
        <w:t>Consumer</w:t>
      </w:r>
      <w:r>
        <w:rPr>
          <w:spacing w:val="40"/>
        </w:rPr>
        <w:t> </w:t>
      </w:r>
      <w:r>
        <w:rPr/>
        <w:t>Protection</w:t>
      </w:r>
      <w:r>
        <w:rPr>
          <w:spacing w:val="40"/>
        </w:rPr>
        <w:t> </w:t>
      </w:r>
      <w:r>
        <w:rPr/>
        <w:t>(Distance</w:t>
      </w:r>
      <w:r>
        <w:rPr>
          <w:spacing w:val="40"/>
        </w:rPr>
        <w:t> </w:t>
      </w:r>
      <w:r>
        <w:rPr/>
        <w:t>Selling)</w:t>
      </w:r>
      <w:r>
        <w:rPr>
          <w:spacing w:val="40"/>
        </w:rPr>
        <w:t> </w:t>
      </w:r>
      <w:r>
        <w:rPr/>
        <w:t>Regulations</w:t>
      </w:r>
      <w:r>
        <w:rPr>
          <w:spacing w:val="40"/>
        </w:rPr>
        <w:t> </w:t>
      </w:r>
      <w:r>
        <w:rPr/>
        <w:t>2000</w:t>
      </w:r>
      <w:r>
        <w:rPr>
          <w:spacing w:val="40"/>
        </w:rPr>
        <w:t> </w:t>
      </w:r>
      <w:r>
        <w:rPr/>
        <w:t>(SI</w:t>
      </w:r>
      <w:r>
        <w:rPr>
          <w:spacing w:val="40"/>
        </w:rPr>
        <w:t> </w:t>
      </w:r>
      <w:r>
        <w:rPr/>
        <w:t>2000/2334)</w:t>
      </w:r>
      <w:r>
        <w:rPr>
          <w:spacing w:val="40"/>
        </w:rPr>
        <w:t> </w:t>
      </w:r>
      <w:r>
        <w:rPr/>
        <w:t>(implementing Directive 97/7/EC) regs 22 (amending Unsolicited Goods and Services Act 1971) and 24 </w:t>
      </w:r>
      <w:r>
        <w:rPr/>
        <w:t>(as amended by Consumer Protection from Unfair Trading Regulations 2008 (SI 2008/1277), as amended by Consumer Protection (Amendment) Regulations 2014 (SI 2014/870) regs 2–4), 30(1) and Sch.2, para.96) see also reg.3(4)(d) and Sch.1 para.29 of the 2008 Regulations, above. For a further amendment of the 2008 Regulations (SI 2008/1277), see Consumer Protection (Information, Cancellation and Additional Charges) Regulations 2013 (SI 2013/3134) reg.39.</w:t>
      </w:r>
      <w:r>
        <w:rPr>
          <w:spacing w:val="27"/>
        </w:rPr>
        <w:t> </w:t>
      </w:r>
      <w:r>
        <w:rPr/>
        <w:t>On</w:t>
      </w:r>
      <w:r>
        <w:rPr>
          <w:spacing w:val="29"/>
        </w:rPr>
        <w:t> </w:t>
      </w:r>
      <w:r>
        <w:rPr/>
        <w:t>these</w:t>
      </w:r>
      <w:r>
        <w:rPr>
          <w:spacing w:val="29"/>
        </w:rPr>
        <w:t> </w:t>
      </w:r>
      <w:r>
        <w:rPr/>
        <w:t>Regulations</w:t>
      </w:r>
      <w:r>
        <w:rPr>
          <w:spacing w:val="29"/>
        </w:rPr>
        <w:t> </w:t>
      </w:r>
      <w:r>
        <w:rPr/>
        <w:t>see</w:t>
      </w:r>
      <w:r>
        <w:rPr>
          <w:spacing w:val="29"/>
        </w:rPr>
        <w:t> </w:t>
      </w:r>
      <w:r>
        <w:rPr/>
        <w:t>generally</w:t>
      </w:r>
      <w:r>
        <w:rPr>
          <w:spacing w:val="29"/>
        </w:rPr>
        <w:t> </w:t>
      </w:r>
      <w:r>
        <w:rPr/>
        <w:t>below,</w:t>
      </w:r>
      <w:r>
        <w:rPr>
          <w:spacing w:val="29"/>
        </w:rPr>
        <w:t> </w:t>
      </w:r>
      <w:r>
        <w:rPr/>
        <w:t>Vol.II,</w:t>
      </w:r>
      <w:r>
        <w:rPr>
          <w:spacing w:val="29"/>
        </w:rPr>
        <w:t> </w:t>
      </w:r>
      <w:r>
        <w:rPr/>
        <w:t>paras</w:t>
      </w:r>
      <w:r>
        <w:rPr>
          <w:spacing w:val="29"/>
        </w:rPr>
        <w:t> </w:t>
      </w:r>
      <w:r>
        <w:rPr/>
        <w:t>38-153—38-191.</w:t>
      </w:r>
      <w:r>
        <w:rPr>
          <w:spacing w:val="29"/>
        </w:rPr>
        <w:t> </w:t>
      </w:r>
      <w:r>
        <w:rPr/>
        <w:t>For</w:t>
      </w:r>
      <w:r>
        <w:rPr>
          <w:spacing w:val="29"/>
        </w:rPr>
        <w:t> </w:t>
      </w:r>
      <w:r>
        <w:rPr>
          <w:spacing w:val="-2"/>
        </w:rPr>
        <w:t>further</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705" w:right="167"/>
        <w:jc w:val="both"/>
      </w:pPr>
      <w:r>
        <w:rPr/>
        <w:t>amendments of the 1971 Act, see Regulatory Reform (Unsolicited Goods and Services Act 1971) (Directory Entries and Demand for Payment) Order 2005 (SI 2005/55) and </w:t>
      </w:r>
      <w:r>
        <w:rPr/>
        <w:t>Unsolicited Goods and Services Act 1971 (Electronic Commerce) (Amendment) Regulations 2005 (SI 2005/148). Normally, these provisions against “inertia selling” would not apply where goods were dispatched in response to the buyer’s order, even if they were not in accordance with the order; but they might apply where the qualitative or quantitative difference between what was ordered and what was sent was extreme.</w:t>
      </w:r>
    </w:p>
    <w:p>
      <w:pPr>
        <w:pStyle w:val="BodyText"/>
        <w:spacing w:before="7"/>
      </w:pPr>
    </w:p>
    <w:p>
      <w:pPr>
        <w:spacing w:line="235" w:lineRule="auto" w:before="1"/>
        <w:ind w:left="705" w:right="167" w:hanging="541"/>
        <w:jc w:val="both"/>
        <w:rPr>
          <w:rFonts w:ascii="Arial" w:hAnsi="Arial"/>
          <w:i/>
          <w:sz w:val="20"/>
        </w:rPr>
      </w:pPr>
      <w:bookmarkStart w:name="_bookmark154" w:id="156"/>
      <w:bookmarkEnd w:id="156"/>
      <w:r>
        <w:rPr/>
      </w:r>
      <w:hyperlink w:history="true" w:anchor="_bookmark32">
        <w:r>
          <w:rPr>
            <w:color w:val="005DA1"/>
            <w:position w:val="5"/>
            <w:sz w:val="14"/>
            <w:u w:val="single" w:color="005DA1"/>
          </w:rPr>
          <w:t>26</w:t>
        </w:r>
      </w:hyperlink>
      <w:r>
        <w:rPr>
          <w:position w:val="5"/>
          <w:sz w:val="14"/>
        </w:rPr>
        <w:t>.</w:t>
      </w:r>
      <w:r>
        <w:rPr>
          <w:spacing w:val="80"/>
          <w:position w:val="5"/>
          <w:sz w:val="14"/>
        </w:rPr>
        <w:t>  </w:t>
      </w:r>
      <w:r>
        <w:rPr>
          <w:sz w:val="20"/>
        </w:rPr>
        <w:t>Arbitration</w:t>
      </w:r>
      <w:r>
        <w:rPr>
          <w:spacing w:val="29"/>
          <w:sz w:val="20"/>
        </w:rPr>
        <w:t> </w:t>
      </w:r>
      <w:r>
        <w:rPr>
          <w:sz w:val="20"/>
        </w:rPr>
        <w:t>Act</w:t>
      </w:r>
      <w:r>
        <w:rPr>
          <w:spacing w:val="29"/>
          <w:sz w:val="20"/>
        </w:rPr>
        <w:t> </w:t>
      </w:r>
      <w:r>
        <w:rPr>
          <w:sz w:val="20"/>
        </w:rPr>
        <w:t>1996</w:t>
      </w:r>
      <w:r>
        <w:rPr>
          <w:spacing w:val="29"/>
          <w:sz w:val="20"/>
        </w:rPr>
        <w:t> </w:t>
      </w:r>
      <w:r>
        <w:rPr>
          <w:sz w:val="20"/>
        </w:rPr>
        <w:t>s.41(3),</w:t>
      </w:r>
      <w:r>
        <w:rPr>
          <w:spacing w:val="29"/>
          <w:sz w:val="20"/>
        </w:rPr>
        <w:t> </w:t>
      </w:r>
      <w:r>
        <w:rPr>
          <w:sz w:val="20"/>
        </w:rPr>
        <w:t>replacing</w:t>
      </w:r>
      <w:r>
        <w:rPr>
          <w:spacing w:val="29"/>
          <w:sz w:val="20"/>
        </w:rPr>
        <w:t> </w:t>
      </w:r>
      <w:r>
        <w:rPr>
          <w:sz w:val="20"/>
        </w:rPr>
        <w:t>Arbitration</w:t>
      </w:r>
      <w:r>
        <w:rPr>
          <w:spacing w:val="29"/>
          <w:sz w:val="20"/>
        </w:rPr>
        <w:t> </w:t>
      </w:r>
      <w:r>
        <w:rPr>
          <w:sz w:val="20"/>
        </w:rPr>
        <w:t>Act</w:t>
      </w:r>
      <w:r>
        <w:rPr>
          <w:spacing w:val="29"/>
          <w:sz w:val="20"/>
        </w:rPr>
        <w:t> </w:t>
      </w:r>
      <w:r>
        <w:rPr>
          <w:sz w:val="20"/>
        </w:rPr>
        <w:t>1950</w:t>
      </w:r>
      <w:r>
        <w:rPr>
          <w:spacing w:val="29"/>
          <w:sz w:val="20"/>
        </w:rPr>
        <w:t> </w:t>
      </w:r>
      <w:r>
        <w:rPr>
          <w:sz w:val="20"/>
        </w:rPr>
        <w:t>s.13A.</w:t>
      </w:r>
      <w:r>
        <w:rPr>
          <w:spacing w:val="29"/>
          <w:sz w:val="20"/>
        </w:rPr>
        <w:t> </w:t>
      </w:r>
      <w:r>
        <w:rPr>
          <w:sz w:val="20"/>
        </w:rPr>
        <w:t>Under</w:t>
      </w:r>
      <w:r>
        <w:rPr>
          <w:spacing w:val="29"/>
          <w:sz w:val="20"/>
        </w:rPr>
        <w:t> </w:t>
      </w:r>
      <w:r>
        <w:rPr>
          <w:sz w:val="20"/>
        </w:rPr>
        <w:t>s.13A,</w:t>
      </w:r>
      <w:r>
        <w:rPr>
          <w:spacing w:val="29"/>
          <w:sz w:val="20"/>
        </w:rPr>
        <w:t> </w:t>
      </w:r>
      <w:r>
        <w:rPr>
          <w:sz w:val="20"/>
        </w:rPr>
        <w:t>it</w:t>
      </w:r>
      <w:r>
        <w:rPr>
          <w:spacing w:val="29"/>
          <w:sz w:val="20"/>
        </w:rPr>
        <w:t> </w:t>
      </w:r>
      <w:r>
        <w:rPr>
          <w:sz w:val="20"/>
        </w:rPr>
        <w:t>had</w:t>
      </w:r>
      <w:r>
        <w:rPr>
          <w:spacing w:val="29"/>
          <w:sz w:val="20"/>
        </w:rPr>
        <w:t> </w:t>
      </w:r>
      <w:r>
        <w:rPr>
          <w:sz w:val="20"/>
        </w:rPr>
        <w:t>been held that the court could take into account delay occurring before the section came into force: </w:t>
      </w:r>
      <w:r>
        <w:rPr>
          <w:rFonts w:ascii="Arial" w:hAnsi="Arial"/>
          <w:i/>
          <w:sz w:val="20"/>
        </w:rPr>
        <w:t>Yamashita-Shinnihon</w:t>
      </w:r>
      <w:r>
        <w:rPr>
          <w:rFonts w:ascii="Arial" w:hAnsi="Arial"/>
          <w:i/>
          <w:spacing w:val="20"/>
          <w:sz w:val="20"/>
        </w:rPr>
        <w:t> </w:t>
      </w:r>
      <w:r>
        <w:rPr>
          <w:rFonts w:ascii="Arial" w:hAnsi="Arial"/>
          <w:i/>
          <w:sz w:val="20"/>
        </w:rPr>
        <w:t>S.S.</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L’Office</w:t>
      </w:r>
      <w:r>
        <w:rPr>
          <w:rFonts w:ascii="Arial" w:hAnsi="Arial"/>
          <w:i/>
          <w:spacing w:val="20"/>
          <w:sz w:val="20"/>
        </w:rPr>
        <w:t> </w:t>
      </w:r>
      <w:r>
        <w:rPr>
          <w:rFonts w:ascii="Arial" w:hAnsi="Arial"/>
          <w:i/>
          <w:sz w:val="20"/>
        </w:rPr>
        <w:t>Cherifien</w:t>
      </w:r>
      <w:r>
        <w:rPr>
          <w:rFonts w:ascii="Arial" w:hAnsi="Arial"/>
          <w:i/>
          <w:spacing w:val="20"/>
          <w:sz w:val="20"/>
        </w:rPr>
        <w:t> </w:t>
      </w:r>
      <w:r>
        <w:rPr>
          <w:rFonts w:ascii="Arial" w:hAnsi="Arial"/>
          <w:i/>
          <w:sz w:val="20"/>
        </w:rPr>
        <w:t>des</w:t>
      </w:r>
      <w:r>
        <w:rPr>
          <w:rFonts w:ascii="Arial" w:hAnsi="Arial"/>
          <w:i/>
          <w:spacing w:val="20"/>
          <w:sz w:val="20"/>
        </w:rPr>
        <w:t> </w:t>
      </w:r>
      <w:r>
        <w:rPr>
          <w:rFonts w:ascii="Arial" w:hAnsi="Arial"/>
          <w:i/>
          <w:sz w:val="20"/>
        </w:rPr>
        <w:t>Phosphate</w:t>
      </w:r>
      <w:r>
        <w:rPr>
          <w:rFonts w:ascii="Arial" w:hAnsi="Arial"/>
          <w:i/>
          <w:spacing w:val="20"/>
          <w:sz w:val="20"/>
        </w:rPr>
        <w:t> </w:t>
      </w:r>
      <w:r>
        <w:rPr>
          <w:rFonts w:ascii="Arial" w:hAnsi="Arial"/>
          <w:i/>
          <w:sz w:val="20"/>
        </w:rPr>
        <w:t>(The</w:t>
      </w:r>
      <w:r>
        <w:rPr>
          <w:rFonts w:ascii="Arial" w:hAnsi="Arial"/>
          <w:i/>
          <w:spacing w:val="20"/>
          <w:sz w:val="20"/>
        </w:rPr>
        <w:t> </w:t>
      </w:r>
      <w:r>
        <w:rPr>
          <w:rFonts w:ascii="Arial" w:hAnsi="Arial"/>
          <w:i/>
          <w:sz w:val="20"/>
        </w:rPr>
        <w:t>Boucraa)</w:t>
      </w:r>
      <w:r>
        <w:rPr>
          <w:rFonts w:ascii="Arial" w:hAnsi="Arial"/>
          <w:i/>
          <w:spacing w:val="20"/>
          <w:sz w:val="20"/>
        </w:rPr>
        <w:t> </w:t>
      </w:r>
      <w:r>
        <w:rPr>
          <w:rFonts w:ascii="Arial" w:hAnsi="Arial"/>
          <w:i/>
          <w:sz w:val="20"/>
        </w:rPr>
        <w:t>[1994]</w:t>
      </w:r>
      <w:r>
        <w:rPr>
          <w:rFonts w:ascii="Arial" w:hAnsi="Arial"/>
          <w:i/>
          <w:spacing w:val="20"/>
          <w:sz w:val="20"/>
        </w:rPr>
        <w:t> </w:t>
      </w:r>
      <w:r>
        <w:rPr>
          <w:rFonts w:ascii="Arial" w:hAnsi="Arial"/>
          <w:i/>
          <w:spacing w:val="-10"/>
          <w:sz w:val="20"/>
        </w:rPr>
        <w:t>1</w:t>
      </w:r>
    </w:p>
    <w:p>
      <w:pPr>
        <w:spacing w:line="235" w:lineRule="auto" w:before="0"/>
        <w:ind w:left="705" w:right="167" w:firstLine="0"/>
        <w:jc w:val="both"/>
        <w:rPr>
          <w:sz w:val="20"/>
        </w:rPr>
      </w:pPr>
      <w:r>
        <w:rPr>
          <w:rFonts w:ascii="Arial"/>
          <w:i/>
          <w:sz w:val="20"/>
        </w:rPr>
        <w:t>A.C. 486</w:t>
      </w:r>
      <w:r>
        <w:rPr>
          <w:sz w:val="20"/>
        </w:rPr>
        <w:t>, and that the court would (mutatis mutandis) apply the same principles to the power to dismiss arbitration proceedings as those which govern the dismissal of an action for want </w:t>
      </w:r>
      <w:r>
        <w:rPr>
          <w:sz w:val="20"/>
        </w:rPr>
        <w:t>of prosecution: </w:t>
      </w:r>
      <w:r>
        <w:rPr>
          <w:rFonts w:ascii="Arial"/>
          <w:i/>
          <w:sz w:val="20"/>
        </w:rPr>
        <w:t>James Lazenby &amp; Co v McNicholas Construction Co Ltd [1995] 1 W.L.R. 615</w:t>
      </w:r>
      <w:r>
        <w:rPr>
          <w:sz w:val="20"/>
        </w:rPr>
        <w:t>.</w:t>
      </w:r>
    </w:p>
    <w:p>
      <w:pPr>
        <w:pStyle w:val="BodyText"/>
        <w:spacing w:before="7"/>
      </w:pPr>
    </w:p>
    <w:p>
      <w:pPr>
        <w:tabs>
          <w:tab w:pos="705" w:val="left" w:leader="none"/>
        </w:tabs>
        <w:spacing w:line="235" w:lineRule="auto" w:before="0"/>
        <w:ind w:left="705" w:right="168" w:hanging="541"/>
        <w:jc w:val="left"/>
        <w:rPr>
          <w:sz w:val="20"/>
        </w:rPr>
      </w:pPr>
      <w:bookmarkStart w:name="_bookmark155" w:id="157"/>
      <w:bookmarkEnd w:id="157"/>
      <w:r>
        <w:rPr/>
      </w:r>
      <w:hyperlink w:history="true" w:anchor="_bookmark33">
        <w:r>
          <w:rPr>
            <w:color w:val="005DA1"/>
            <w:spacing w:val="-4"/>
            <w:position w:val="5"/>
            <w:sz w:val="14"/>
            <w:u w:val="single" w:color="005DA1"/>
          </w:rPr>
          <w:t>27</w:t>
        </w:r>
      </w:hyperlink>
      <w:r>
        <w:rPr>
          <w:spacing w:val="-4"/>
          <w:position w:val="5"/>
          <w:sz w:val="14"/>
        </w:rPr>
        <w:t>.</w:t>
      </w:r>
      <w:r>
        <w:rPr>
          <w:position w:val="5"/>
          <w:sz w:val="14"/>
        </w:rPr>
        <w:tab/>
      </w:r>
      <w:r>
        <w:rPr>
          <w:sz w:val="20"/>
        </w:rPr>
        <w:t>See the GAFTA arbitration rules referred to in </w:t>
      </w:r>
      <w:r>
        <w:rPr>
          <w:rFonts w:ascii="Arial" w:hAnsi="Arial"/>
          <w:i/>
          <w:sz w:val="20"/>
        </w:rPr>
        <w:t>Cargill SpA v Kadinopoulos SA [1992] 1 </w:t>
      </w:r>
      <w:r>
        <w:rPr>
          <w:rFonts w:ascii="Arial" w:hAnsi="Arial"/>
          <w:i/>
          <w:sz w:val="20"/>
        </w:rPr>
        <w:t>Lloyd’s Rep. 1</w:t>
      </w:r>
      <w:r>
        <w:rPr>
          <w:sz w:val="20"/>
        </w:rPr>
        <w:t>.</w:t>
      </w:r>
    </w:p>
    <w:p>
      <w:pPr>
        <w:pStyle w:val="BodyText"/>
        <w:spacing w:before="6"/>
      </w:pPr>
    </w:p>
    <w:p>
      <w:pPr>
        <w:pStyle w:val="BodyText"/>
        <w:tabs>
          <w:tab w:pos="705" w:val="left" w:leader="none"/>
        </w:tabs>
        <w:ind w:left="165"/>
      </w:pPr>
      <w:bookmarkStart w:name="_bookmark156" w:id="158"/>
      <w:bookmarkEnd w:id="158"/>
      <w:r>
        <w:rPr/>
      </w:r>
      <w:hyperlink w:history="true" w:anchor="_bookmark34">
        <w:r>
          <w:rPr>
            <w:color w:val="005DA1"/>
            <w:spacing w:val="-5"/>
            <w:position w:val="5"/>
            <w:sz w:val="14"/>
            <w:u w:val="single" w:color="005DA1"/>
          </w:rPr>
          <w:t>28</w:t>
        </w:r>
      </w:hyperlink>
      <w:r>
        <w:rPr>
          <w:spacing w:val="-5"/>
          <w:position w:val="5"/>
          <w:sz w:val="14"/>
        </w:rPr>
        <w:t>.</w:t>
      </w:r>
      <w:r>
        <w:rPr>
          <w:position w:val="5"/>
          <w:sz w:val="14"/>
        </w:rPr>
        <w:tab/>
      </w:r>
      <w:r>
        <w:rPr/>
        <w:t>Arbitration Act 1996 s.41(2) so </w:t>
      </w:r>
      <w:r>
        <w:rPr>
          <w:spacing w:val="-2"/>
        </w:rPr>
        <w:t>provides.</w:t>
      </w:r>
    </w:p>
    <w:p>
      <w:pPr>
        <w:pStyle w:val="BodyText"/>
        <w:spacing w:before="8"/>
      </w:pPr>
    </w:p>
    <w:p>
      <w:pPr>
        <w:spacing w:line="235" w:lineRule="auto" w:before="1"/>
        <w:ind w:left="705" w:right="167" w:hanging="541"/>
        <w:jc w:val="both"/>
        <w:rPr>
          <w:sz w:val="20"/>
        </w:rPr>
      </w:pPr>
      <w:bookmarkStart w:name="_bookmark157" w:id="159"/>
      <w:bookmarkEnd w:id="159"/>
      <w:r>
        <w:rPr/>
      </w:r>
      <w:hyperlink w:history="true" w:anchor="_bookmark35">
        <w:r>
          <w:rPr>
            <w:color w:val="005DA1"/>
            <w:position w:val="5"/>
            <w:sz w:val="14"/>
            <w:u w:val="single" w:color="005DA1"/>
          </w:rPr>
          <w:t>29</w:t>
        </w:r>
      </w:hyperlink>
      <w:r>
        <w:rPr>
          <w:position w:val="5"/>
          <w:sz w:val="14"/>
        </w:rPr>
        <w:t>.</w:t>
      </w:r>
      <w:r>
        <w:rPr>
          <w:spacing w:val="80"/>
          <w:position w:val="5"/>
          <w:sz w:val="14"/>
        </w:rPr>
        <w:t>  </w:t>
      </w:r>
      <w:r>
        <w:rPr>
          <w:sz w:val="20"/>
        </w:rPr>
        <w:t>cf. </w:t>
      </w:r>
      <w:r>
        <w:rPr>
          <w:rFonts w:ascii="Arial" w:hAnsi="Arial"/>
          <w:i/>
          <w:sz w:val="20"/>
        </w:rPr>
        <w:t>Amherst Ltd v James Walker Goldsmith &amp; Silversmith Ltd [1983] Ch. 305</w:t>
      </w:r>
      <w:r>
        <w:rPr>
          <w:sz w:val="20"/>
        </w:rPr>
        <w:t>; </w:t>
      </w:r>
      <w:r>
        <w:rPr>
          <w:rFonts w:ascii="Arial" w:hAnsi="Arial"/>
          <w:i/>
          <w:sz w:val="20"/>
        </w:rPr>
        <w:t>Collin v Duke of Westminster [1985] Q.B. 581</w:t>
      </w:r>
      <w:r>
        <w:rPr>
          <w:sz w:val="20"/>
        </w:rPr>
        <w:t>; </w:t>
      </w:r>
      <w:r>
        <w:rPr>
          <w:rFonts w:ascii="Arial" w:hAnsi="Arial"/>
          <w:i/>
          <w:sz w:val="20"/>
        </w:rPr>
        <w:t>M.S.C. Mediterranean Shipping SA v B.R.E. Metro Ltd [1985] 2 Lloyd’s Rep. 239</w:t>
      </w:r>
      <w:r>
        <w:rPr>
          <w:sz w:val="20"/>
        </w:rPr>
        <w:t>; </w:t>
      </w:r>
      <w:r>
        <w:rPr>
          <w:rFonts w:ascii="Arial" w:hAnsi="Arial"/>
          <w:i/>
          <w:sz w:val="20"/>
        </w:rPr>
        <w:t>Fenton Ins. Ltd v Gothaer Versicherungsbank VVaG [1991] 1 Lloyd’s </w:t>
      </w:r>
      <w:r>
        <w:rPr>
          <w:rFonts w:ascii="Arial" w:hAnsi="Arial"/>
          <w:i/>
          <w:sz w:val="20"/>
        </w:rPr>
        <w:t>Rep. 172, 180</w:t>
      </w:r>
      <w:r>
        <w:rPr>
          <w:sz w:val="20"/>
        </w:rPr>
        <w:t>; </w:t>
      </w:r>
      <w:r>
        <w:rPr>
          <w:rFonts w:ascii="Arial" w:hAnsi="Arial"/>
          <w:i/>
          <w:sz w:val="20"/>
        </w:rPr>
        <w:t>Indescon Ltd v Ogden [2004] EWHC 2326 (TCC), [2005] 1 Lloyd’s Rep. 31 </w:t>
      </w:r>
      <w:r>
        <w:rPr>
          <w:sz w:val="20"/>
        </w:rPr>
        <w:t>(right to appoint arbitrator not lost by lapse of time); </w:t>
      </w:r>
      <w:r>
        <w:rPr>
          <w:rFonts w:ascii="Arial" w:hAnsi="Arial"/>
          <w:i/>
          <w:sz w:val="20"/>
        </w:rPr>
        <w:t>Blindley Health Investments Ltd v Bass [2014] EWHC 1366 (Ch) </w:t>
      </w:r>
      <w:r>
        <w:rPr>
          <w:sz w:val="20"/>
        </w:rPr>
        <w:t>at [117]–[125] (rejecting the argument that there had been an “abandonment” of a right of preemption).</w:t>
      </w:r>
    </w:p>
    <w:p>
      <w:pPr>
        <w:pStyle w:val="BodyText"/>
        <w:spacing w:before="7"/>
      </w:pPr>
    </w:p>
    <w:p>
      <w:pPr>
        <w:tabs>
          <w:tab w:pos="705" w:val="left" w:leader="none"/>
        </w:tabs>
        <w:spacing w:line="235" w:lineRule="auto" w:before="0"/>
        <w:ind w:left="705" w:right="167" w:hanging="541"/>
        <w:jc w:val="left"/>
        <w:rPr>
          <w:rFonts w:ascii="Arial" w:hAnsi="Arial"/>
          <w:i/>
          <w:sz w:val="20"/>
        </w:rPr>
      </w:pPr>
      <w:bookmarkStart w:name="_bookmark158" w:id="160"/>
      <w:bookmarkEnd w:id="160"/>
      <w:r>
        <w:rPr/>
      </w:r>
      <w:hyperlink w:history="true" w:anchor="_bookmark36">
        <w:r>
          <w:rPr>
            <w:color w:val="005DA1"/>
            <w:spacing w:val="-4"/>
            <w:position w:val="5"/>
            <w:sz w:val="14"/>
            <w:u w:val="single" w:color="005DA1"/>
          </w:rPr>
          <w:t>30</w:t>
        </w:r>
      </w:hyperlink>
      <w:r>
        <w:rPr>
          <w:spacing w:val="-4"/>
          <w:position w:val="5"/>
          <w:sz w:val="14"/>
        </w:rPr>
        <w:t>.</w:t>
      </w:r>
      <w:r>
        <w:rPr>
          <w:position w:val="5"/>
          <w:sz w:val="14"/>
        </w:rPr>
        <w:tab/>
      </w:r>
      <w:r>
        <w:rPr>
          <w:rFonts w:ascii="Arial" w:hAnsi="Arial"/>
          <w:i/>
          <w:sz w:val="20"/>
        </w:rPr>
        <w:t>Unisys</w:t>
      </w:r>
      <w:r>
        <w:rPr>
          <w:rFonts w:ascii="Arial" w:hAnsi="Arial"/>
          <w:i/>
          <w:spacing w:val="25"/>
          <w:sz w:val="20"/>
        </w:rPr>
        <w:t> </w:t>
      </w:r>
      <w:r>
        <w:rPr>
          <w:rFonts w:ascii="Arial" w:hAnsi="Arial"/>
          <w:i/>
          <w:sz w:val="20"/>
        </w:rPr>
        <w:t>International</w:t>
      </w:r>
      <w:r>
        <w:rPr>
          <w:rFonts w:ascii="Arial" w:hAnsi="Arial"/>
          <w:i/>
          <w:spacing w:val="25"/>
          <w:sz w:val="20"/>
        </w:rPr>
        <w:t> </w:t>
      </w:r>
      <w:r>
        <w:rPr>
          <w:rFonts w:ascii="Arial" w:hAnsi="Arial"/>
          <w:i/>
          <w:sz w:val="20"/>
        </w:rPr>
        <w:t>Services</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Eastern</w:t>
      </w:r>
      <w:r>
        <w:rPr>
          <w:rFonts w:ascii="Arial" w:hAnsi="Arial"/>
          <w:i/>
          <w:spacing w:val="25"/>
          <w:sz w:val="20"/>
        </w:rPr>
        <w:t> </w:t>
      </w:r>
      <w:r>
        <w:rPr>
          <w:rFonts w:ascii="Arial" w:hAnsi="Arial"/>
          <w:i/>
          <w:sz w:val="20"/>
        </w:rPr>
        <w:t>Counties</w:t>
      </w:r>
      <w:r>
        <w:rPr>
          <w:rFonts w:ascii="Arial" w:hAnsi="Arial"/>
          <w:i/>
          <w:spacing w:val="25"/>
          <w:sz w:val="20"/>
        </w:rPr>
        <w:t> </w:t>
      </w:r>
      <w:r>
        <w:rPr>
          <w:rFonts w:ascii="Arial" w:hAnsi="Arial"/>
          <w:i/>
          <w:sz w:val="20"/>
        </w:rPr>
        <w:t>Newspaper</w:t>
      </w:r>
      <w:r>
        <w:rPr>
          <w:rFonts w:ascii="Arial" w:hAnsi="Arial"/>
          <w:i/>
          <w:spacing w:val="25"/>
          <w:sz w:val="20"/>
        </w:rPr>
        <w:t> </w:t>
      </w:r>
      <w:r>
        <w:rPr>
          <w:rFonts w:ascii="Arial" w:hAnsi="Arial"/>
          <w:i/>
          <w:sz w:val="20"/>
        </w:rPr>
        <w:t>Group</w:t>
      </w:r>
      <w:r>
        <w:rPr>
          <w:rFonts w:ascii="Arial" w:hAnsi="Arial"/>
          <w:i/>
          <w:spacing w:val="25"/>
          <w:sz w:val="20"/>
        </w:rPr>
        <w:t> </w:t>
      </w:r>
      <w:r>
        <w:rPr>
          <w:rFonts w:ascii="Arial" w:hAnsi="Arial"/>
          <w:i/>
          <w:sz w:val="20"/>
        </w:rPr>
        <w:t>Ltd</w:t>
      </w:r>
      <w:r>
        <w:rPr>
          <w:rFonts w:ascii="Arial" w:hAnsi="Arial"/>
          <w:i/>
          <w:spacing w:val="25"/>
          <w:sz w:val="20"/>
        </w:rPr>
        <w:t> </w:t>
      </w:r>
      <w:r>
        <w:rPr>
          <w:rFonts w:ascii="Arial" w:hAnsi="Arial"/>
          <w:i/>
          <w:sz w:val="20"/>
        </w:rPr>
        <w:t>[1991]</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Lloyd’s Rep.</w:t>
      </w:r>
      <w:r>
        <w:rPr>
          <w:rFonts w:ascii="Arial" w:hAnsi="Arial"/>
          <w:i/>
          <w:spacing w:val="2"/>
          <w:sz w:val="20"/>
        </w:rPr>
        <w:t> </w:t>
      </w:r>
      <w:r>
        <w:rPr>
          <w:rFonts w:ascii="Arial" w:hAnsi="Arial"/>
          <w:i/>
          <w:sz w:val="20"/>
        </w:rPr>
        <w:t>538,</w:t>
      </w:r>
      <w:r>
        <w:rPr>
          <w:rFonts w:ascii="Arial" w:hAnsi="Arial"/>
          <w:i/>
          <w:spacing w:val="2"/>
          <w:sz w:val="20"/>
        </w:rPr>
        <w:t> </w:t>
      </w:r>
      <w:r>
        <w:rPr>
          <w:rFonts w:ascii="Arial" w:hAnsi="Arial"/>
          <w:i/>
          <w:sz w:val="20"/>
        </w:rPr>
        <w:t>553</w:t>
      </w:r>
      <w:r>
        <w:rPr>
          <w:rFonts w:ascii="Arial" w:hAnsi="Arial"/>
          <w:i/>
          <w:spacing w:val="2"/>
          <w:sz w:val="20"/>
        </w:rPr>
        <w:t> </w:t>
      </w:r>
      <w:r>
        <w:rPr>
          <w:sz w:val="20"/>
        </w:rPr>
        <w:t>suggests</w:t>
      </w:r>
      <w:r>
        <w:rPr>
          <w:spacing w:val="2"/>
          <w:sz w:val="20"/>
        </w:rPr>
        <w:t> </w:t>
      </w:r>
      <w:r>
        <w:rPr>
          <w:sz w:val="20"/>
        </w:rPr>
        <w:t>that</w:t>
      </w:r>
      <w:r>
        <w:rPr>
          <w:spacing w:val="2"/>
          <w:sz w:val="20"/>
        </w:rPr>
        <w:t> </w:t>
      </w:r>
      <w:r>
        <w:rPr>
          <w:sz w:val="20"/>
        </w:rPr>
        <w:t>the</w:t>
      </w:r>
      <w:r>
        <w:rPr>
          <w:spacing w:val="2"/>
          <w:sz w:val="20"/>
        </w:rPr>
        <w:t> </w:t>
      </w:r>
      <w:r>
        <w:rPr>
          <w:sz w:val="20"/>
        </w:rPr>
        <w:t>possibility</w:t>
      </w:r>
      <w:r>
        <w:rPr>
          <w:spacing w:val="2"/>
          <w:sz w:val="20"/>
        </w:rPr>
        <w:t> </w:t>
      </w:r>
      <w:r>
        <w:rPr>
          <w:sz w:val="20"/>
        </w:rPr>
        <w:t>cannot</w:t>
      </w:r>
      <w:r>
        <w:rPr>
          <w:spacing w:val="2"/>
          <w:sz w:val="20"/>
        </w:rPr>
        <w:t> </w:t>
      </w:r>
      <w:r>
        <w:rPr>
          <w:sz w:val="20"/>
        </w:rPr>
        <w:t>be</w:t>
      </w:r>
      <w:r>
        <w:rPr>
          <w:spacing w:val="2"/>
          <w:sz w:val="20"/>
        </w:rPr>
        <w:t> </w:t>
      </w:r>
      <w:r>
        <w:rPr>
          <w:sz w:val="20"/>
        </w:rPr>
        <w:t>wholly</w:t>
      </w:r>
      <w:r>
        <w:rPr>
          <w:spacing w:val="2"/>
          <w:sz w:val="20"/>
        </w:rPr>
        <w:t> </w:t>
      </w:r>
      <w:r>
        <w:rPr>
          <w:sz w:val="20"/>
        </w:rPr>
        <w:t>ruled</w:t>
      </w:r>
      <w:r>
        <w:rPr>
          <w:spacing w:val="2"/>
          <w:sz w:val="20"/>
        </w:rPr>
        <w:t> </w:t>
      </w:r>
      <w:r>
        <w:rPr>
          <w:sz w:val="20"/>
        </w:rPr>
        <w:t>out;</w:t>
      </w:r>
      <w:r>
        <w:rPr>
          <w:spacing w:val="2"/>
          <w:sz w:val="20"/>
        </w:rPr>
        <w:t> </w:t>
      </w:r>
      <w:r>
        <w:rPr>
          <w:sz w:val="20"/>
        </w:rPr>
        <w:t>cf.</w:t>
      </w:r>
      <w:r>
        <w:rPr>
          <w:spacing w:val="1"/>
          <w:sz w:val="20"/>
        </w:rPr>
        <w:t> </w:t>
      </w:r>
      <w:r>
        <w:rPr>
          <w:rFonts w:ascii="Arial" w:hAnsi="Arial"/>
          <w:i/>
          <w:sz w:val="20"/>
        </w:rPr>
        <w:t>The</w:t>
      </w:r>
      <w:r>
        <w:rPr>
          <w:rFonts w:ascii="Arial" w:hAnsi="Arial"/>
          <w:i/>
          <w:spacing w:val="2"/>
          <w:sz w:val="20"/>
        </w:rPr>
        <w:t> </w:t>
      </w:r>
      <w:r>
        <w:rPr>
          <w:rFonts w:ascii="Arial" w:hAnsi="Arial"/>
          <w:i/>
          <w:sz w:val="20"/>
        </w:rPr>
        <w:t>Boucraa</w:t>
      </w:r>
      <w:r>
        <w:rPr>
          <w:rFonts w:ascii="Arial" w:hAnsi="Arial"/>
          <w:i/>
          <w:spacing w:val="2"/>
          <w:sz w:val="20"/>
        </w:rPr>
        <w:t> </w:t>
      </w:r>
      <w:r>
        <w:rPr>
          <w:rFonts w:ascii="Arial" w:hAnsi="Arial"/>
          <w:i/>
          <w:sz w:val="20"/>
        </w:rPr>
        <w:t>[1994]</w:t>
      </w:r>
      <w:r>
        <w:rPr>
          <w:rFonts w:ascii="Arial" w:hAnsi="Arial"/>
          <w:i/>
          <w:spacing w:val="2"/>
          <w:sz w:val="20"/>
        </w:rPr>
        <w:t> </w:t>
      </w:r>
      <w:r>
        <w:rPr>
          <w:rFonts w:ascii="Arial" w:hAnsi="Arial"/>
          <w:i/>
          <w:spacing w:val="-10"/>
          <w:sz w:val="20"/>
        </w:rPr>
        <w:t>1</w:t>
      </w:r>
    </w:p>
    <w:p>
      <w:pPr>
        <w:pStyle w:val="BodyText"/>
        <w:spacing w:line="225" w:lineRule="exact"/>
        <w:ind w:left="705"/>
      </w:pPr>
      <w:r>
        <w:rPr>
          <w:rFonts w:ascii="Arial" w:hAnsi="Arial"/>
          <w:i/>
        </w:rPr>
        <w:t>A.C. 486, 521</w:t>
      </w:r>
      <w:r>
        <w:rPr>
          <w:rFonts w:ascii="Arial" w:hAnsi="Arial"/>
          <w:i/>
          <w:spacing w:val="-1"/>
        </w:rPr>
        <w:t> </w:t>
      </w:r>
      <w:r>
        <w:rPr/>
        <w:t>(describing the “abandonment” approach as “largely useless in </w:t>
      </w:r>
      <w:r>
        <w:rPr>
          <w:spacing w:val="-2"/>
        </w:rPr>
        <w:t>practice”).</w:t>
      </w:r>
    </w:p>
    <w:p>
      <w:pPr>
        <w:pStyle w:val="BodyText"/>
        <w:spacing w:before="5"/>
      </w:pPr>
    </w:p>
    <w:p>
      <w:pPr>
        <w:tabs>
          <w:tab w:pos="705" w:val="left" w:leader="none"/>
        </w:tabs>
        <w:spacing w:before="0"/>
        <w:ind w:left="165" w:right="0" w:firstLine="0"/>
        <w:jc w:val="left"/>
        <w:rPr>
          <w:sz w:val="20"/>
        </w:rPr>
      </w:pPr>
      <w:bookmarkStart w:name="_bookmark159" w:id="161"/>
      <w:bookmarkEnd w:id="161"/>
      <w:r>
        <w:rPr/>
      </w:r>
      <w:hyperlink w:history="true" w:anchor="_bookmark37">
        <w:r>
          <w:rPr>
            <w:color w:val="005DA1"/>
            <w:spacing w:val="-5"/>
            <w:position w:val="5"/>
            <w:sz w:val="14"/>
            <w:u w:val="single" w:color="005DA1"/>
          </w:rPr>
          <w:t>31</w:t>
        </w:r>
      </w:hyperlink>
      <w:r>
        <w:rPr>
          <w:spacing w:val="-5"/>
          <w:position w:val="5"/>
          <w:sz w:val="14"/>
        </w:rPr>
        <w:t>.</w:t>
      </w:r>
      <w:r>
        <w:rPr>
          <w:position w:val="5"/>
          <w:sz w:val="14"/>
        </w:rPr>
        <w:tab/>
      </w:r>
      <w:r>
        <w:rPr>
          <w:rFonts w:ascii="Arial"/>
          <w:i/>
          <w:sz w:val="20"/>
        </w:rPr>
        <w:t>Unisys</w:t>
      </w:r>
      <w:r>
        <w:rPr>
          <w:rFonts w:ascii="Arial"/>
          <w:i/>
          <w:spacing w:val="-3"/>
          <w:sz w:val="20"/>
        </w:rPr>
        <w:t> </w:t>
      </w:r>
      <w:r>
        <w:rPr>
          <w:sz w:val="20"/>
        </w:rPr>
        <w:t>case, above, n.30 at </w:t>
      </w:r>
      <w:r>
        <w:rPr>
          <w:spacing w:val="-4"/>
          <w:sz w:val="20"/>
        </w:rPr>
        <w:t>553.</w:t>
      </w:r>
    </w:p>
    <w:p>
      <w:pPr>
        <w:pStyle w:val="BodyText"/>
        <w:spacing w:before="9"/>
      </w:pPr>
    </w:p>
    <w:p>
      <w:pPr>
        <w:spacing w:line="235" w:lineRule="auto" w:before="0"/>
        <w:ind w:left="705" w:right="168" w:hanging="541"/>
        <w:jc w:val="both"/>
        <w:rPr>
          <w:rFonts w:ascii="Arial" w:hAnsi="Arial"/>
          <w:i/>
          <w:sz w:val="20"/>
        </w:rPr>
      </w:pPr>
      <w:bookmarkStart w:name="_bookmark160" w:id="162"/>
      <w:bookmarkEnd w:id="162"/>
      <w:r>
        <w:rPr/>
      </w:r>
      <w:hyperlink w:history="true" w:anchor="_bookmark38">
        <w:r>
          <w:rPr>
            <w:color w:val="005DA1"/>
            <w:position w:val="5"/>
            <w:sz w:val="14"/>
            <w:u w:val="single" w:color="005DA1"/>
          </w:rPr>
          <w:t>32</w:t>
        </w:r>
      </w:hyperlink>
      <w:r>
        <w:rPr>
          <w:position w:val="5"/>
          <w:sz w:val="14"/>
        </w:rPr>
        <w:t>.</w:t>
      </w:r>
      <w:r>
        <w:rPr>
          <w:spacing w:val="40"/>
          <w:position w:val="5"/>
          <w:sz w:val="14"/>
        </w:rPr>
        <w:t>  </w:t>
      </w:r>
      <w:r>
        <w:rPr>
          <w:rFonts w:ascii="Arial" w:hAnsi="Arial"/>
          <w:i/>
          <w:sz w:val="20"/>
        </w:rPr>
        <w:t>The Leonidas D. [1985] 1 W.L.R. 925</w:t>
      </w:r>
      <w:r>
        <w:rPr>
          <w:sz w:val="20"/>
        </w:rPr>
        <w:t>; </w:t>
      </w:r>
      <w:r>
        <w:rPr>
          <w:rFonts w:ascii="Arial" w:hAnsi="Arial"/>
          <w:i/>
          <w:sz w:val="20"/>
        </w:rPr>
        <w:t>Cie Française d’Importation, etc., SA v Deutsche </w:t>
      </w:r>
      <w:r>
        <w:rPr>
          <w:rFonts w:ascii="Arial" w:hAnsi="Arial"/>
          <w:i/>
          <w:sz w:val="20"/>
        </w:rPr>
        <w:t>Conti Handelsgesellschaft</w:t>
      </w:r>
      <w:r>
        <w:rPr>
          <w:rFonts w:ascii="Arial" w:hAnsi="Arial"/>
          <w:i/>
          <w:spacing w:val="-1"/>
          <w:sz w:val="20"/>
        </w:rPr>
        <w:t> </w:t>
      </w:r>
      <w:r>
        <w:rPr>
          <w:rFonts w:ascii="Arial" w:hAnsi="Arial"/>
          <w:i/>
          <w:sz w:val="20"/>
        </w:rPr>
        <w:t>[1985] 2 Lloyd’s Rep. 592</w:t>
      </w:r>
      <w:r>
        <w:rPr>
          <w:sz w:val="20"/>
        </w:rPr>
        <w:t>; </w:t>
      </w:r>
      <w:r>
        <w:rPr>
          <w:rFonts w:ascii="Arial" w:hAnsi="Arial"/>
          <w:i/>
          <w:sz w:val="20"/>
        </w:rPr>
        <w:t>The</w:t>
      </w:r>
      <w:r>
        <w:rPr>
          <w:rFonts w:ascii="Arial" w:hAnsi="Arial"/>
          <w:i/>
          <w:spacing w:val="-1"/>
          <w:sz w:val="20"/>
        </w:rPr>
        <w:t> </w:t>
      </w:r>
      <w:r>
        <w:rPr>
          <w:rFonts w:ascii="Arial" w:hAnsi="Arial"/>
          <w:i/>
          <w:sz w:val="20"/>
        </w:rPr>
        <w:t>Antclizo [1988] 1 W.L.R. 603</w:t>
      </w:r>
      <w:r>
        <w:rPr>
          <w:sz w:val="20"/>
        </w:rPr>
        <w:t>; </w:t>
      </w:r>
      <w:r>
        <w:rPr>
          <w:rFonts w:ascii="Arial" w:hAnsi="Arial"/>
          <w:i/>
          <w:sz w:val="20"/>
        </w:rPr>
        <w:t>The </w:t>
      </w:r>
      <w:r>
        <w:rPr>
          <w:rFonts w:ascii="Arial" w:hAnsi="Arial"/>
          <w:i/>
          <w:spacing w:val="-2"/>
          <w:sz w:val="20"/>
        </w:rPr>
        <w:t>Agrabele</w:t>
      </w:r>
    </w:p>
    <w:p>
      <w:pPr>
        <w:spacing w:line="235" w:lineRule="auto" w:before="0"/>
        <w:ind w:left="705" w:right="167" w:firstLine="0"/>
        <w:jc w:val="both"/>
        <w:rPr>
          <w:sz w:val="20"/>
        </w:rPr>
      </w:pPr>
      <w:r>
        <w:rPr>
          <w:rFonts w:ascii="Arial" w:hAnsi="Arial"/>
          <w:i/>
          <w:sz w:val="20"/>
        </w:rPr>
        <w:t>[1987] 2 Lloyd’s Rep. 223</w:t>
      </w:r>
      <w:r>
        <w:rPr>
          <w:sz w:val="20"/>
        </w:rPr>
        <w:t>; </w:t>
      </w:r>
      <w:r>
        <w:rPr>
          <w:rFonts w:ascii="Arial" w:hAnsi="Arial"/>
          <w:i/>
          <w:sz w:val="20"/>
        </w:rPr>
        <w:t>The Maritime Winner [1989] 2 Lloyd’s Rep. 506</w:t>
      </w:r>
      <w:r>
        <w:rPr>
          <w:sz w:val="20"/>
        </w:rPr>
        <w:t>; contra, </w:t>
      </w:r>
      <w:r>
        <w:rPr>
          <w:rFonts w:ascii="Arial" w:hAnsi="Arial"/>
          <w:i/>
          <w:sz w:val="20"/>
        </w:rPr>
        <w:t>The </w:t>
      </w:r>
      <w:r>
        <w:rPr>
          <w:rFonts w:ascii="Arial" w:hAnsi="Arial"/>
          <w:i/>
          <w:sz w:val="20"/>
        </w:rPr>
        <w:t>Golden Bear [1987] 1 Lloyd’s Rep. 330 </w:t>
      </w:r>
      <w:r>
        <w:rPr>
          <w:sz w:val="20"/>
        </w:rPr>
        <w:t>(sed quaere: the decision was in part based on the decision at first instance in </w:t>
      </w:r>
      <w:r>
        <w:rPr>
          <w:rFonts w:ascii="Arial" w:hAnsi="Arial"/>
          <w:i/>
          <w:sz w:val="20"/>
        </w:rPr>
        <w:t>The Agrabele [1985] 2 Lloyd’s Rep. 496</w:t>
      </w:r>
      <w:r>
        <w:rPr>
          <w:sz w:val="20"/>
        </w:rPr>
        <w:t>, but this was reversed on appeal:</w:t>
      </w:r>
      <w:r>
        <w:rPr>
          <w:spacing w:val="40"/>
          <w:sz w:val="20"/>
        </w:rPr>
        <w:t> </w:t>
      </w:r>
      <w:r>
        <w:rPr>
          <w:rFonts w:ascii="Arial" w:hAnsi="Arial"/>
          <w:i/>
          <w:sz w:val="20"/>
        </w:rPr>
        <w:t>[1987] 2 Lloyd’s Rep. 223</w:t>
      </w:r>
      <w:r>
        <w:rPr>
          <w:sz w:val="20"/>
        </w:rPr>
        <w:t>); </w:t>
      </w:r>
      <w:r>
        <w:rPr>
          <w:rFonts w:ascii="Arial" w:hAnsi="Arial"/>
          <w:i/>
          <w:sz w:val="20"/>
        </w:rPr>
        <w:t>Ulysses Compania Naviera SA v Huntington Petroleum Services (The Ermoupolis) [1990] 1 Lloyd’s Rep. 161, 166 </w:t>
      </w:r>
      <w:r>
        <w:rPr>
          <w:sz w:val="20"/>
        </w:rPr>
        <w:t>see also below, para.2-069, n.351; </w:t>
      </w:r>
      <w:r>
        <w:rPr>
          <w:rFonts w:ascii="Arial" w:hAnsi="Arial"/>
          <w:i/>
          <w:sz w:val="20"/>
        </w:rPr>
        <w:t>Unisys </w:t>
      </w:r>
      <w:r>
        <w:rPr>
          <w:sz w:val="20"/>
        </w:rPr>
        <w:t>case, above, n.30.</w:t>
      </w:r>
    </w:p>
    <w:p>
      <w:pPr>
        <w:pStyle w:val="BodyText"/>
        <w:spacing w:before="3"/>
      </w:pPr>
    </w:p>
    <w:p>
      <w:pPr>
        <w:tabs>
          <w:tab w:pos="705" w:val="left" w:leader="none"/>
        </w:tabs>
        <w:spacing w:before="0"/>
        <w:ind w:left="165" w:right="0" w:firstLine="0"/>
        <w:jc w:val="left"/>
        <w:rPr>
          <w:sz w:val="20"/>
        </w:rPr>
      </w:pPr>
      <w:bookmarkStart w:name="_bookmark161" w:id="163"/>
      <w:bookmarkEnd w:id="163"/>
      <w:r>
        <w:rPr/>
      </w:r>
      <w:hyperlink w:history="true" w:anchor="_bookmark39">
        <w:r>
          <w:rPr>
            <w:color w:val="005DA1"/>
            <w:spacing w:val="-5"/>
            <w:position w:val="5"/>
            <w:sz w:val="14"/>
            <w:u w:val="single" w:color="005DA1"/>
          </w:rPr>
          <w:t>33</w:t>
        </w:r>
      </w:hyperlink>
      <w:r>
        <w:rPr>
          <w:spacing w:val="-5"/>
          <w:position w:val="5"/>
          <w:sz w:val="14"/>
        </w:rPr>
        <w:t>.</w:t>
      </w:r>
      <w:r>
        <w:rPr>
          <w:position w:val="5"/>
          <w:sz w:val="14"/>
        </w:rPr>
        <w:tab/>
      </w:r>
      <w:r>
        <w:rPr>
          <w:rFonts w:ascii="Arial"/>
          <w:i/>
          <w:sz w:val="20"/>
        </w:rPr>
        <w:t>The</w:t>
      </w:r>
      <w:r>
        <w:rPr>
          <w:rFonts w:ascii="Arial"/>
          <w:i/>
          <w:spacing w:val="-1"/>
          <w:sz w:val="20"/>
        </w:rPr>
        <w:t> </w:t>
      </w:r>
      <w:r>
        <w:rPr>
          <w:rFonts w:ascii="Arial"/>
          <w:i/>
          <w:sz w:val="20"/>
        </w:rPr>
        <w:t>Antclizo</w:t>
      </w:r>
      <w:r>
        <w:rPr>
          <w:sz w:val="20"/>
        </w:rPr>
        <w:t>, above; Davenport (1988) 104 L.Q.R. </w:t>
      </w:r>
      <w:r>
        <w:rPr>
          <w:spacing w:val="-4"/>
          <w:sz w:val="20"/>
        </w:rPr>
        <w:t>493.</w:t>
      </w:r>
    </w:p>
    <w:p>
      <w:pPr>
        <w:pStyle w:val="BodyText"/>
        <w:spacing w:before="5"/>
      </w:pPr>
    </w:p>
    <w:p>
      <w:pPr>
        <w:pStyle w:val="BodyText"/>
        <w:tabs>
          <w:tab w:pos="705" w:val="left" w:leader="none"/>
        </w:tabs>
        <w:ind w:left="165"/>
      </w:pPr>
      <w:bookmarkStart w:name="_bookmark162" w:id="164"/>
      <w:bookmarkEnd w:id="164"/>
      <w:r>
        <w:rPr/>
      </w:r>
      <w:hyperlink w:history="true" w:anchor="_bookmark40">
        <w:r>
          <w:rPr>
            <w:color w:val="005DA1"/>
            <w:spacing w:val="-5"/>
            <w:position w:val="5"/>
            <w:sz w:val="14"/>
            <w:u w:val="single" w:color="005DA1"/>
          </w:rPr>
          <w:t>34</w:t>
        </w:r>
      </w:hyperlink>
      <w:r>
        <w:rPr>
          <w:spacing w:val="-5"/>
          <w:position w:val="5"/>
          <w:sz w:val="14"/>
        </w:rPr>
        <w:t>.</w:t>
      </w:r>
      <w:r>
        <w:rPr>
          <w:position w:val="5"/>
          <w:sz w:val="14"/>
        </w:rPr>
        <w:tab/>
      </w:r>
      <w:r>
        <w:rPr/>
        <w:t>Above, paras 2-003 and 2-</w:t>
      </w:r>
      <w:r>
        <w:rPr>
          <w:spacing w:val="-4"/>
        </w:rPr>
        <w:t>004.</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39392">
            <wp:simplePos x="0" y="0"/>
            <wp:positionH relativeFrom="page">
              <wp:posOffset>1257846</wp:posOffset>
            </wp:positionH>
            <wp:positionV relativeFrom="paragraph">
              <wp:posOffset>160263</wp:posOffset>
            </wp:positionV>
            <wp:extent cx="107988" cy="107988"/>
            <wp:effectExtent l="0" t="0" r="0" b="0"/>
            <wp:wrapNone/>
            <wp:docPr id="29" name="Image 29"/>
            <wp:cNvGraphicFramePr>
              <a:graphicFrameLocks/>
            </wp:cNvGraphicFramePr>
            <a:graphic>
              <a:graphicData uri="http://schemas.openxmlformats.org/drawingml/2006/picture">
                <pic:pic>
                  <pic:nvPicPr>
                    <pic:cNvPr id="29" name="Image 2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63" w:id="165"/>
      <w:bookmarkEnd w:id="165"/>
      <w:r>
        <w:rPr/>
      </w:r>
      <w:hyperlink w:history="true" w:anchor="_bookmark41">
        <w:r>
          <w:rPr>
            <w:color w:val="005DA1"/>
            <w:spacing w:val="-5"/>
            <w:sz w:val="14"/>
            <w:u w:val="single" w:color="005DA1"/>
          </w:rPr>
          <w:t>35</w:t>
        </w:r>
      </w:hyperlink>
      <w:r>
        <w:rPr>
          <w:spacing w:val="-5"/>
          <w:sz w:val="14"/>
        </w:rPr>
        <w:t>.</w:t>
      </w:r>
    </w:p>
    <w:p>
      <w:pPr>
        <w:spacing w:line="235" w:lineRule="auto" w:before="212"/>
        <w:ind w:left="165" w:right="167" w:firstLine="170"/>
        <w:jc w:val="both"/>
        <w:rPr>
          <w:sz w:val="20"/>
        </w:rPr>
      </w:pPr>
      <w:r>
        <w:rPr/>
        <w:br w:type="column"/>
      </w:r>
      <w:r>
        <w:rPr>
          <w:rFonts w:ascii="Arial" w:hAnsi="Arial"/>
          <w:i/>
          <w:sz w:val="20"/>
        </w:rPr>
        <w:t>The Splendid Sun [1981] Q.B. 694</w:t>
      </w:r>
      <w:r>
        <w:rPr>
          <w:sz w:val="20"/>
        </w:rPr>
        <w:t>, as explained in </w:t>
      </w:r>
      <w:r>
        <w:rPr>
          <w:rFonts w:ascii="Arial" w:hAnsi="Arial"/>
          <w:i/>
          <w:sz w:val="20"/>
        </w:rPr>
        <w:t>The Hannah Blumenthal [1983] 1 A.C.</w:t>
      </w:r>
      <w:r>
        <w:rPr>
          <w:rFonts w:ascii="Arial" w:hAnsi="Arial"/>
          <w:i/>
          <w:spacing w:val="40"/>
          <w:sz w:val="20"/>
        </w:rPr>
        <w:t> </w:t>
      </w:r>
      <w:r>
        <w:rPr>
          <w:rFonts w:ascii="Arial" w:hAnsi="Arial"/>
          <w:i/>
          <w:sz w:val="20"/>
        </w:rPr>
        <w:t>854 </w:t>
      </w:r>
      <w:r>
        <w:rPr>
          <w:sz w:val="20"/>
        </w:rPr>
        <w:t>(though this explanation was doubted in </w:t>
      </w:r>
      <w:r>
        <w:rPr>
          <w:rFonts w:ascii="Arial" w:hAnsi="Arial"/>
          <w:i/>
          <w:sz w:val="20"/>
        </w:rPr>
        <w:t>Cie Française d’Importation, etc., SA v Deutsche Conti Handelsgesellschaft [1985] 2 Lloyd’s Rep. 592, 599</w:t>
      </w:r>
      <w:r>
        <w:rPr>
          <w:sz w:val="20"/>
        </w:rPr>
        <w:t>); </w:t>
      </w:r>
      <w:r>
        <w:rPr>
          <w:rFonts w:ascii="Arial" w:hAnsi="Arial"/>
          <w:i/>
          <w:sz w:val="20"/>
        </w:rPr>
        <w:t>Tracomin SA v Anton C. Nielsen [1984] 2 Lloyd’s Rep. 195 </w:t>
      </w:r>
      <w:r>
        <w:rPr>
          <w:sz w:val="20"/>
        </w:rPr>
        <w:t>(as to which see below, para.2-074, n.389); </w:t>
      </w:r>
      <w:r>
        <w:rPr>
          <w:rFonts w:ascii="Arial" w:hAnsi="Arial"/>
          <w:i/>
          <w:sz w:val="20"/>
        </w:rPr>
        <w:t>The Multibank </w:t>
      </w:r>
      <w:r>
        <w:rPr>
          <w:rFonts w:ascii="Arial" w:hAnsi="Arial"/>
          <w:i/>
          <w:sz w:val="20"/>
        </w:rPr>
        <w:t>Holsatia [1988] 2 Lloyd’s Rep. 486</w:t>
      </w:r>
      <w:r>
        <w:rPr>
          <w:sz w:val="20"/>
        </w:rPr>
        <w:t>; for the question whether such an offer can be </w:t>
      </w:r>
      <w:r>
        <w:rPr>
          <w:rFonts w:ascii="Arial" w:hAnsi="Arial"/>
          <w:i/>
          <w:sz w:val="20"/>
        </w:rPr>
        <w:t>accepted </w:t>
      </w:r>
      <w:r>
        <w:rPr>
          <w:sz w:val="20"/>
        </w:rPr>
        <w:t>by inactivity, see below, para.2-068. In </w:t>
      </w:r>
      <w:r>
        <w:rPr>
          <w:rFonts w:ascii="Arial" w:hAnsi="Arial"/>
          <w:i/>
          <w:sz w:val="20"/>
        </w:rPr>
        <w:t>Trunk Flooring Ltd v HSBC Asset Finance (UK) Ltd, Costi Righi SpA [2015] NICA 68</w:t>
      </w:r>
      <w:r>
        <w:rPr>
          <w:sz w:val="20"/>
        </w:rPr>
        <w:t>, the Court of Appeal held that the parties had not abandoned the contract, as there was no evidence by way of conduct or correspondence, or of inactivity, to support such a finding; both parties were incontrovertibly actively engaged in the arbitration process until an impasse was created by the costs issue; and the respondent who contributed to the situation whereby the costs of the reference were increased, could not benefit from this action. Although the reference to arbitration had been terminated this was distinct from the underlying arbitration </w:t>
      </w:r>
      <w:r>
        <w:rPr>
          <w:spacing w:val="-2"/>
          <w:sz w:val="20"/>
        </w:rPr>
        <w:t>agreement.</w:t>
      </w:r>
    </w:p>
    <w:p>
      <w:pPr>
        <w:spacing w:after="0" w:line="235" w:lineRule="auto"/>
        <w:jc w:val="both"/>
        <w:rPr>
          <w:sz w:val="20"/>
        </w:rPr>
        <w:sectPr>
          <w:type w:val="continuous"/>
          <w:pgSz w:w="11900" w:h="16840"/>
          <w:pgMar w:header="971" w:footer="0" w:top="1300" w:bottom="280" w:left="1275" w:right="1275"/>
          <w:cols w:num="2" w:equalWidth="0">
            <w:col w:w="400" w:space="141"/>
            <w:col w:w="8809"/>
          </w:cols>
        </w:sectPr>
      </w:pPr>
    </w:p>
    <w:p>
      <w:pPr>
        <w:spacing w:line="235" w:lineRule="auto" w:before="170"/>
        <w:ind w:left="705" w:right="168" w:hanging="541"/>
        <w:jc w:val="both"/>
        <w:rPr>
          <w:sz w:val="20"/>
        </w:rPr>
      </w:pPr>
      <w:hyperlink w:history="true" w:anchor="_bookmark42">
        <w:r>
          <w:rPr>
            <w:color w:val="005DA1"/>
            <w:position w:val="5"/>
            <w:sz w:val="14"/>
            <w:u w:val="single" w:color="005DA1"/>
          </w:rPr>
          <w:t>36</w:t>
        </w:r>
      </w:hyperlink>
      <w:r>
        <w:rPr>
          <w:position w:val="5"/>
          <w:sz w:val="14"/>
        </w:rPr>
        <w:t>.</w:t>
      </w:r>
      <w:r>
        <w:rPr>
          <w:spacing w:val="80"/>
          <w:position w:val="5"/>
          <w:sz w:val="14"/>
        </w:rPr>
        <w:t>  </w:t>
      </w:r>
      <w:r>
        <w:rPr>
          <w:rFonts w:ascii="Arial" w:hAnsi="Arial"/>
          <w:i/>
          <w:sz w:val="20"/>
        </w:rPr>
        <w:t>[1893] A.C. 552</w:t>
      </w:r>
      <w:r>
        <w:rPr>
          <w:sz w:val="20"/>
        </w:rPr>
        <w:t>. See also </w:t>
      </w:r>
      <w:r>
        <w:rPr>
          <w:rFonts w:ascii="Arial" w:hAnsi="Arial"/>
          <w:i/>
          <w:sz w:val="20"/>
        </w:rPr>
        <w:t>Clifton v Palumbo [1944] 2 All E.R. 497</w:t>
      </w:r>
      <w:r>
        <w:rPr>
          <w:sz w:val="20"/>
        </w:rPr>
        <w:t>; </w:t>
      </w:r>
      <w:r>
        <w:rPr>
          <w:rFonts w:ascii="Arial" w:hAnsi="Arial"/>
          <w:i/>
          <w:sz w:val="20"/>
        </w:rPr>
        <w:t>Scancarriers A/S v Aotearoa International Ltd (The Barranduna) [1985] 2 Lloyd’s Rep. 419 </w:t>
      </w:r>
      <w:r>
        <w:rPr>
          <w:sz w:val="20"/>
        </w:rPr>
        <w:t>(quotation of freight rates not an offer). But see </w:t>
      </w:r>
      <w:r>
        <w:rPr>
          <w:rFonts w:ascii="Arial" w:hAnsi="Arial"/>
          <w:i/>
          <w:sz w:val="20"/>
        </w:rPr>
        <w:t>Philip &amp; Co v Knoblauch, 1907 S.C. 994 </w:t>
      </w:r>
      <w:r>
        <w:rPr>
          <w:sz w:val="20"/>
        </w:rPr>
        <w:t>(Harvey v Facey distinguished).</w:t>
      </w:r>
    </w:p>
    <w:p>
      <w:pPr>
        <w:pStyle w:val="BodyText"/>
        <w:spacing w:before="9"/>
      </w:pPr>
    </w:p>
    <w:p>
      <w:pPr>
        <w:spacing w:line="235" w:lineRule="auto" w:before="0"/>
        <w:ind w:left="705" w:right="167" w:hanging="541"/>
        <w:jc w:val="both"/>
        <w:rPr>
          <w:sz w:val="20"/>
        </w:rPr>
      </w:pPr>
      <w:bookmarkStart w:name="_bookmark164" w:id="166"/>
      <w:bookmarkEnd w:id="166"/>
      <w:r>
        <w:rPr/>
      </w:r>
      <w:hyperlink w:history="true" w:anchor="_bookmark43">
        <w:r>
          <w:rPr>
            <w:color w:val="005DA1"/>
            <w:position w:val="5"/>
            <w:sz w:val="14"/>
            <w:u w:val="single" w:color="005DA1"/>
          </w:rPr>
          <w:t>37</w:t>
        </w:r>
      </w:hyperlink>
      <w:r>
        <w:rPr>
          <w:position w:val="5"/>
          <w:sz w:val="14"/>
        </w:rPr>
        <w:t>.</w:t>
      </w:r>
      <w:r>
        <w:rPr>
          <w:spacing w:val="80"/>
          <w:w w:val="150"/>
          <w:position w:val="5"/>
          <w:sz w:val="14"/>
        </w:rPr>
        <w:t>  </w:t>
      </w:r>
      <w:r>
        <w:rPr>
          <w:rFonts w:ascii="Arial" w:hAnsi="Arial"/>
          <w:i/>
          <w:sz w:val="20"/>
        </w:rPr>
        <w:t>[1979]</w:t>
      </w:r>
      <w:r>
        <w:rPr>
          <w:rFonts w:ascii="Arial" w:hAnsi="Arial"/>
          <w:i/>
          <w:spacing w:val="17"/>
          <w:sz w:val="20"/>
        </w:rPr>
        <w:t> </w:t>
      </w:r>
      <w:r>
        <w:rPr>
          <w:rFonts w:ascii="Arial" w:hAnsi="Arial"/>
          <w:i/>
          <w:sz w:val="20"/>
        </w:rPr>
        <w:t>1</w:t>
      </w:r>
      <w:r>
        <w:rPr>
          <w:rFonts w:ascii="Arial" w:hAnsi="Arial"/>
          <w:i/>
          <w:spacing w:val="17"/>
          <w:sz w:val="20"/>
        </w:rPr>
        <w:t> </w:t>
      </w:r>
      <w:r>
        <w:rPr>
          <w:rFonts w:ascii="Arial" w:hAnsi="Arial"/>
          <w:i/>
          <w:sz w:val="20"/>
        </w:rPr>
        <w:t>W.L.R.</w:t>
      </w:r>
      <w:r>
        <w:rPr>
          <w:rFonts w:ascii="Arial" w:hAnsi="Arial"/>
          <w:i/>
          <w:spacing w:val="17"/>
          <w:sz w:val="20"/>
        </w:rPr>
        <w:t> </w:t>
      </w:r>
      <w:r>
        <w:rPr>
          <w:rFonts w:ascii="Arial" w:hAnsi="Arial"/>
          <w:i/>
          <w:sz w:val="20"/>
        </w:rPr>
        <w:t>294</w:t>
      </w:r>
      <w:r>
        <w:rPr>
          <w:sz w:val="20"/>
        </w:rPr>
        <w:t>;</w:t>
      </w:r>
      <w:r>
        <w:rPr>
          <w:spacing w:val="17"/>
          <w:sz w:val="20"/>
        </w:rPr>
        <w:t> </w:t>
      </w:r>
      <w:r>
        <w:rPr>
          <w:sz w:val="20"/>
        </w:rPr>
        <w:t>cf.</w:t>
      </w:r>
      <w:r>
        <w:rPr>
          <w:spacing w:val="17"/>
          <w:sz w:val="20"/>
        </w:rPr>
        <w:t> </w:t>
      </w:r>
      <w:r>
        <w:rPr>
          <w:rFonts w:ascii="Arial" w:hAnsi="Arial"/>
          <w:i/>
          <w:sz w:val="20"/>
        </w:rPr>
        <w:t>Michael</w:t>
      </w:r>
      <w:r>
        <w:rPr>
          <w:rFonts w:ascii="Arial" w:hAnsi="Arial"/>
          <w:i/>
          <w:spacing w:val="17"/>
          <w:sz w:val="20"/>
        </w:rPr>
        <w:t> </w:t>
      </w:r>
      <w:r>
        <w:rPr>
          <w:rFonts w:ascii="Arial" w:hAnsi="Arial"/>
          <w:i/>
          <w:sz w:val="20"/>
        </w:rPr>
        <w:t>Gerson</w:t>
      </w:r>
      <w:r>
        <w:rPr>
          <w:rFonts w:ascii="Arial" w:hAnsi="Arial"/>
          <w:i/>
          <w:spacing w:val="17"/>
          <w:sz w:val="20"/>
        </w:rPr>
        <w:t> </w:t>
      </w:r>
      <w:r>
        <w:rPr>
          <w:rFonts w:ascii="Arial" w:hAnsi="Arial"/>
          <w:i/>
          <w:sz w:val="20"/>
        </w:rPr>
        <w:t>(Leasing)</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Wilkinson</w:t>
      </w:r>
      <w:r>
        <w:rPr>
          <w:rFonts w:ascii="Arial" w:hAnsi="Arial"/>
          <w:i/>
          <w:spacing w:val="17"/>
          <w:sz w:val="20"/>
        </w:rPr>
        <w:t> </w:t>
      </w:r>
      <w:r>
        <w:rPr>
          <w:rFonts w:ascii="Arial" w:hAnsi="Arial"/>
          <w:i/>
          <w:sz w:val="20"/>
        </w:rPr>
        <w:t>[2000]</w:t>
      </w:r>
      <w:r>
        <w:rPr>
          <w:rFonts w:ascii="Arial" w:hAnsi="Arial"/>
          <w:i/>
          <w:spacing w:val="17"/>
          <w:sz w:val="20"/>
        </w:rPr>
        <w:t> </w:t>
      </w:r>
      <w:r>
        <w:rPr>
          <w:rFonts w:ascii="Arial" w:hAnsi="Arial"/>
          <w:i/>
          <w:sz w:val="20"/>
        </w:rPr>
        <w:t>Q.B.</w:t>
      </w:r>
      <w:r>
        <w:rPr>
          <w:rFonts w:ascii="Arial" w:hAnsi="Arial"/>
          <w:i/>
          <w:spacing w:val="17"/>
          <w:sz w:val="20"/>
        </w:rPr>
        <w:t> </w:t>
      </w:r>
      <w:r>
        <w:rPr>
          <w:rFonts w:ascii="Arial" w:hAnsi="Arial"/>
          <w:i/>
          <w:sz w:val="20"/>
        </w:rPr>
        <w:t>514</w:t>
      </w:r>
      <w:r>
        <w:rPr>
          <w:rFonts w:ascii="Arial" w:hAnsi="Arial"/>
          <w:i/>
          <w:spacing w:val="17"/>
          <w:sz w:val="20"/>
        </w:rPr>
        <w:t> </w:t>
      </w:r>
      <w:r>
        <w:rPr>
          <w:sz w:val="20"/>
        </w:rPr>
        <w:t>at</w:t>
      </w:r>
      <w:r>
        <w:rPr>
          <w:spacing w:val="17"/>
          <w:sz w:val="20"/>
        </w:rPr>
        <w:t> </w:t>
      </w:r>
      <w:r>
        <w:rPr>
          <w:sz w:val="20"/>
        </w:rPr>
        <w:t>540</w:t>
      </w:r>
      <w:r>
        <w:rPr>
          <w:spacing w:val="17"/>
          <w:sz w:val="20"/>
        </w:rPr>
        <w:t> </w:t>
      </w:r>
      <w:r>
        <w:rPr>
          <w:sz w:val="20"/>
        </w:rPr>
        <w:t>(“I am willing to make an outright sale [of specified machinery] for £319,000 …”) not an offer and, even if it was, it had not been accepted: below, para.2-026.</w:t>
      </w:r>
    </w:p>
    <w:p>
      <w:pPr>
        <w:pStyle w:val="BodyText"/>
        <w:spacing w:before="9"/>
      </w:pPr>
    </w:p>
    <w:p>
      <w:pPr>
        <w:pStyle w:val="BodyText"/>
        <w:spacing w:line="235" w:lineRule="auto"/>
        <w:ind w:left="705" w:right="167" w:hanging="541"/>
        <w:jc w:val="both"/>
      </w:pPr>
      <w:bookmarkStart w:name="_bookmark165" w:id="167"/>
      <w:bookmarkEnd w:id="167"/>
      <w:r>
        <w:rPr/>
      </w:r>
      <w:hyperlink w:history="true" w:anchor="_bookmark44">
        <w:r>
          <w:rPr>
            <w:color w:val="005DA1"/>
            <w:position w:val="5"/>
            <w:sz w:val="14"/>
            <w:u w:val="single" w:color="005DA1"/>
          </w:rPr>
          <w:t>38</w:t>
        </w:r>
      </w:hyperlink>
      <w:r>
        <w:rPr>
          <w:position w:val="5"/>
          <w:sz w:val="14"/>
        </w:rPr>
        <w:t>.</w:t>
      </w:r>
      <w:r>
        <w:rPr>
          <w:spacing w:val="80"/>
          <w:w w:val="150"/>
          <w:position w:val="5"/>
          <w:sz w:val="14"/>
        </w:rPr>
        <w:t>  </w:t>
      </w:r>
      <w:r>
        <w:rPr/>
        <w:t>Such as “a restrictive covenant that the house shall be used as a private dwelling house only, that there shall be no advertising, that the purchaser shall not obstruct accesses, and so on”. The</w:t>
      </w:r>
      <w:r>
        <w:rPr>
          <w:spacing w:val="9"/>
        </w:rPr>
        <w:t> </w:t>
      </w:r>
      <w:r>
        <w:rPr/>
        <w:t>quote</w:t>
      </w:r>
      <w:r>
        <w:rPr>
          <w:spacing w:val="9"/>
        </w:rPr>
        <w:t> </w:t>
      </w:r>
      <w:r>
        <w:rPr/>
        <w:t>is</w:t>
      </w:r>
      <w:r>
        <w:rPr>
          <w:spacing w:val="9"/>
        </w:rPr>
        <w:t> </w:t>
      </w:r>
      <w:r>
        <w:rPr/>
        <w:t>from</w:t>
      </w:r>
      <w:r>
        <w:rPr>
          <w:spacing w:val="9"/>
        </w:rPr>
        <w:t> </w:t>
      </w:r>
      <w:r>
        <w:rPr/>
        <w:t>Geoffrey-Lane</w:t>
      </w:r>
      <w:r>
        <w:rPr>
          <w:spacing w:val="9"/>
        </w:rPr>
        <w:t> </w:t>
      </w:r>
      <w:r>
        <w:rPr/>
        <w:t>L.J.</w:t>
      </w:r>
      <w:r>
        <w:rPr>
          <w:spacing w:val="9"/>
        </w:rPr>
        <w:t> </w:t>
      </w:r>
      <w:r>
        <w:rPr/>
        <w:t>dissenting</w:t>
      </w:r>
      <w:r>
        <w:rPr>
          <w:spacing w:val="9"/>
        </w:rPr>
        <w:t> </w:t>
      </w:r>
      <w:r>
        <w:rPr/>
        <w:t>in</w:t>
      </w:r>
      <w:r>
        <w:rPr>
          <w:spacing w:val="9"/>
        </w:rPr>
        <w:t> </w:t>
      </w:r>
      <w:r>
        <w:rPr/>
        <w:t>the</w:t>
      </w:r>
      <w:r>
        <w:rPr>
          <w:spacing w:val="9"/>
        </w:rPr>
        <w:t> </w:t>
      </w:r>
      <w:r>
        <w:rPr/>
        <w:t>Court</w:t>
      </w:r>
      <w:r>
        <w:rPr>
          <w:spacing w:val="9"/>
        </w:rPr>
        <w:t> </w:t>
      </w:r>
      <w:r>
        <w:rPr/>
        <w:t>of</w:t>
      </w:r>
      <w:r>
        <w:rPr>
          <w:spacing w:val="9"/>
        </w:rPr>
        <w:t> </w:t>
      </w:r>
      <w:r>
        <w:rPr/>
        <w:t>Appeal,</w:t>
      </w:r>
      <w:r>
        <w:rPr>
          <w:spacing w:val="8"/>
        </w:rPr>
        <w:t> </w:t>
      </w:r>
      <w:r>
        <w:rPr>
          <w:rFonts w:ascii="Arial" w:hAnsi="Arial"/>
          <w:i/>
        </w:rPr>
        <w:t>[1978]</w:t>
      </w:r>
      <w:r>
        <w:rPr>
          <w:rFonts w:ascii="Arial" w:hAnsi="Arial"/>
          <w:i/>
          <w:spacing w:val="9"/>
        </w:rPr>
        <w:t> </w:t>
      </w:r>
      <w:r>
        <w:rPr>
          <w:rFonts w:ascii="Arial" w:hAnsi="Arial"/>
          <w:i/>
        </w:rPr>
        <w:t>1</w:t>
      </w:r>
      <w:r>
        <w:rPr>
          <w:rFonts w:ascii="Arial" w:hAnsi="Arial"/>
          <w:i/>
          <w:spacing w:val="9"/>
        </w:rPr>
        <w:t> </w:t>
      </w:r>
      <w:r>
        <w:rPr>
          <w:rFonts w:ascii="Arial" w:hAnsi="Arial"/>
          <w:i/>
        </w:rPr>
        <w:t>W.L.R.</w:t>
      </w:r>
      <w:r>
        <w:rPr>
          <w:rFonts w:ascii="Arial" w:hAnsi="Arial"/>
          <w:i/>
          <w:spacing w:val="9"/>
        </w:rPr>
        <w:t> </w:t>
      </w:r>
      <w:r>
        <w:rPr>
          <w:rFonts w:ascii="Arial" w:hAnsi="Arial"/>
          <w:i/>
        </w:rPr>
        <w:t>520</w:t>
      </w:r>
      <w:r>
        <w:rPr>
          <w:rFonts w:ascii="Arial" w:hAnsi="Arial"/>
          <w:i/>
          <w:spacing w:val="9"/>
        </w:rPr>
        <w:t> </w:t>
      </w:r>
      <w:r>
        <w:rPr>
          <w:spacing w:val="-5"/>
        </w:rPr>
        <w:t>at</w:t>
      </w:r>
    </w:p>
    <w:p>
      <w:pPr>
        <w:pStyle w:val="BodyText"/>
        <w:spacing w:line="235" w:lineRule="auto"/>
        <w:ind w:left="705" w:right="168"/>
        <w:jc w:val="both"/>
      </w:pPr>
      <w:r>
        <w:rPr/>
        <w:t>530. It was approved by Lord Edmund-Davies in the House of Lords, </w:t>
      </w:r>
      <w:r>
        <w:rPr>
          <w:rFonts w:ascii="Arial"/>
          <w:i/>
        </w:rPr>
        <w:t>[1979] 1 W.L.R. 294 </w:t>
      </w:r>
      <w:r>
        <w:rPr/>
        <w:t>at 302; Lord Diplock makes the same point at 299.</w:t>
      </w:r>
    </w:p>
    <w:p>
      <w:pPr>
        <w:pStyle w:val="BodyText"/>
        <w:spacing w:before="4"/>
      </w:pPr>
    </w:p>
    <w:p>
      <w:pPr>
        <w:tabs>
          <w:tab w:pos="705" w:val="left" w:leader="none"/>
        </w:tabs>
        <w:spacing w:before="0"/>
        <w:ind w:left="165" w:right="0" w:firstLine="0"/>
        <w:jc w:val="left"/>
        <w:rPr>
          <w:sz w:val="20"/>
        </w:rPr>
      </w:pPr>
      <w:bookmarkStart w:name="_bookmark166" w:id="168"/>
      <w:bookmarkEnd w:id="168"/>
      <w:r>
        <w:rPr/>
      </w:r>
      <w:hyperlink w:history="true" w:anchor="_bookmark45">
        <w:r>
          <w:rPr>
            <w:color w:val="005DA1"/>
            <w:spacing w:val="-5"/>
            <w:position w:val="5"/>
            <w:sz w:val="14"/>
            <w:u w:val="single" w:color="005DA1"/>
          </w:rPr>
          <w:t>39</w:t>
        </w:r>
      </w:hyperlink>
      <w:r>
        <w:rPr>
          <w:spacing w:val="-5"/>
          <w:position w:val="5"/>
          <w:sz w:val="14"/>
        </w:rPr>
        <w:t>.</w:t>
      </w:r>
      <w:r>
        <w:rPr>
          <w:position w:val="5"/>
          <w:sz w:val="14"/>
        </w:rPr>
        <w:tab/>
      </w:r>
      <w:r>
        <w:rPr>
          <w:rFonts w:ascii="Arial"/>
          <w:i/>
          <w:sz w:val="20"/>
        </w:rPr>
        <w:t>McNicolas Construction Holdings v Endemol UK Plc [2003] EWHC 2472, [2003] E.G.C.S. </w:t>
      </w:r>
      <w:r>
        <w:rPr>
          <w:rFonts w:ascii="Arial"/>
          <w:i/>
          <w:spacing w:val="-4"/>
          <w:sz w:val="20"/>
        </w:rPr>
        <w:t>136</w:t>
      </w:r>
      <w:r>
        <w:rPr>
          <w:spacing w:val="-4"/>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67" w:id="169"/>
      <w:bookmarkEnd w:id="169"/>
      <w:r>
        <w:rPr/>
      </w:r>
      <w:hyperlink w:history="true" w:anchor="_bookmark46">
        <w:r>
          <w:rPr>
            <w:color w:val="005DA1"/>
            <w:spacing w:val="-5"/>
            <w:position w:val="5"/>
            <w:sz w:val="14"/>
            <w:u w:val="single" w:color="005DA1"/>
          </w:rPr>
          <w:t>40</w:t>
        </w:r>
      </w:hyperlink>
      <w:r>
        <w:rPr>
          <w:spacing w:val="-5"/>
          <w:position w:val="5"/>
          <w:sz w:val="14"/>
        </w:rPr>
        <w:t>.</w:t>
      </w:r>
      <w:r>
        <w:rPr>
          <w:position w:val="5"/>
          <w:sz w:val="14"/>
        </w:rPr>
        <w:tab/>
      </w:r>
      <w:r>
        <w:rPr>
          <w:rFonts w:ascii="Arial" w:hAnsi="Arial"/>
          <w:i/>
          <w:sz w:val="20"/>
        </w:rPr>
        <w:t>Cooper v National Westminster Bank Plc [2009] EWHC 3035 (QB), [2010] 1 Lloyd’s Rep. 490</w:t>
      </w:r>
      <w:r>
        <w:rPr>
          <w:rFonts w:ascii="Arial" w:hAnsi="Arial"/>
          <w:i/>
          <w:spacing w:val="-1"/>
          <w:sz w:val="20"/>
        </w:rPr>
        <w:t> </w:t>
      </w:r>
      <w:r>
        <w:rPr>
          <w:spacing w:val="-5"/>
          <w:sz w:val="20"/>
        </w:rPr>
        <w:t>at</w:t>
      </w:r>
    </w:p>
    <w:p>
      <w:pPr>
        <w:pStyle w:val="BodyText"/>
        <w:spacing w:line="227" w:lineRule="exact"/>
        <w:ind w:left="705"/>
      </w:pPr>
      <w:r>
        <w:rPr>
          <w:spacing w:val="-2"/>
        </w:rPr>
        <w:t>[56].</w:t>
      </w:r>
    </w:p>
    <w:p>
      <w:pPr>
        <w:pStyle w:val="BodyText"/>
        <w:spacing w:before="5"/>
      </w:pPr>
    </w:p>
    <w:p>
      <w:pPr>
        <w:tabs>
          <w:tab w:pos="705" w:val="left" w:leader="none"/>
        </w:tabs>
        <w:spacing w:before="0"/>
        <w:ind w:left="165" w:right="0" w:firstLine="0"/>
        <w:jc w:val="left"/>
        <w:rPr>
          <w:sz w:val="20"/>
        </w:rPr>
      </w:pPr>
      <w:bookmarkStart w:name="_bookmark168" w:id="170"/>
      <w:bookmarkEnd w:id="170"/>
      <w:r>
        <w:rPr/>
      </w:r>
      <w:hyperlink w:history="true" w:anchor="_bookmark47">
        <w:r>
          <w:rPr>
            <w:color w:val="005DA1"/>
            <w:spacing w:val="-5"/>
            <w:position w:val="5"/>
            <w:sz w:val="14"/>
            <w:u w:val="single" w:color="005DA1"/>
          </w:rPr>
          <w:t>41</w:t>
        </w:r>
      </w:hyperlink>
      <w:r>
        <w:rPr>
          <w:spacing w:val="-5"/>
          <w:position w:val="5"/>
          <w:sz w:val="14"/>
        </w:rPr>
        <w:t>.</w:t>
      </w:r>
      <w:r>
        <w:rPr>
          <w:position w:val="5"/>
          <w:sz w:val="14"/>
        </w:rPr>
        <w:tab/>
      </w:r>
      <w:r>
        <w:rPr>
          <w:rFonts w:ascii="Arial"/>
          <w:i/>
          <w:sz w:val="20"/>
        </w:rPr>
        <w:t>Interfoto Picture Library Ltd v Stiletto Visual Programmes Ltd [1989] 1 Q.B. 433, </w:t>
      </w:r>
      <w:r>
        <w:rPr>
          <w:rFonts w:ascii="Arial"/>
          <w:i/>
          <w:spacing w:val="-4"/>
          <w:sz w:val="20"/>
        </w:rPr>
        <w:t>436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9" w:id="171"/>
      <w:bookmarkEnd w:id="171"/>
      <w:r>
        <w:rPr/>
      </w:r>
      <w:hyperlink w:history="true" w:anchor="_bookmark48">
        <w:r>
          <w:rPr>
            <w:color w:val="005DA1"/>
            <w:spacing w:val="-5"/>
            <w:position w:val="5"/>
            <w:sz w:val="14"/>
            <w:u w:val="single" w:color="005DA1"/>
          </w:rPr>
          <w:t>42</w:t>
        </w:r>
      </w:hyperlink>
      <w:r>
        <w:rPr>
          <w:spacing w:val="-5"/>
          <w:position w:val="5"/>
          <w:sz w:val="14"/>
        </w:rPr>
        <w:t>.</w:t>
      </w:r>
      <w:r>
        <w:rPr>
          <w:position w:val="5"/>
          <w:sz w:val="14"/>
        </w:rPr>
        <w:tab/>
      </w:r>
      <w:r>
        <w:rPr>
          <w:rFonts w:ascii="Arial"/>
          <w:i/>
          <w:sz w:val="20"/>
        </w:rPr>
        <w:t>[2008] EWHC 1343 (QB), [2008] 2 All E.R. (Comm) </w:t>
      </w:r>
      <w:r>
        <w:rPr>
          <w:rFonts w:ascii="Arial"/>
          <w:i/>
          <w:spacing w:val="-4"/>
          <w:sz w:val="20"/>
        </w:rPr>
        <w:t>811</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70" w:id="172"/>
      <w:bookmarkEnd w:id="172"/>
      <w:r>
        <w:rPr/>
      </w:r>
      <w:hyperlink w:history="true" w:anchor="_bookmark49">
        <w:r>
          <w:rPr>
            <w:color w:val="005DA1"/>
            <w:spacing w:val="-5"/>
            <w:position w:val="5"/>
            <w:sz w:val="14"/>
            <w:u w:val="single" w:color="005DA1"/>
          </w:rPr>
          <w:t>43</w:t>
        </w:r>
      </w:hyperlink>
      <w:r>
        <w:rPr>
          <w:spacing w:val="-5"/>
          <w:position w:val="5"/>
          <w:sz w:val="14"/>
        </w:rPr>
        <w:t>.</w:t>
      </w:r>
      <w:r>
        <w:rPr>
          <w:position w:val="5"/>
          <w:sz w:val="14"/>
        </w:rPr>
        <w:tab/>
      </w:r>
      <w:r>
        <w:rPr>
          <w:sz w:val="20"/>
        </w:rPr>
        <w:t>At </w:t>
      </w:r>
      <w:r>
        <w:rPr>
          <w:spacing w:val="-2"/>
          <w:sz w:val="20"/>
        </w:rPr>
        <w:t>[63].</w:t>
      </w:r>
    </w:p>
    <w:p>
      <w:pPr>
        <w:pStyle w:val="BodyText"/>
        <w:spacing w:before="4"/>
      </w:pPr>
    </w:p>
    <w:p>
      <w:pPr>
        <w:tabs>
          <w:tab w:pos="705" w:val="left" w:leader="none"/>
        </w:tabs>
        <w:spacing w:before="1"/>
        <w:ind w:left="165" w:right="0" w:firstLine="0"/>
        <w:jc w:val="left"/>
        <w:rPr>
          <w:sz w:val="20"/>
        </w:rPr>
      </w:pPr>
      <w:bookmarkStart w:name="_bookmark171" w:id="173"/>
      <w:bookmarkEnd w:id="173"/>
      <w:r>
        <w:rPr/>
      </w:r>
      <w:hyperlink w:history="true" w:anchor="_bookmark50">
        <w:r>
          <w:rPr>
            <w:color w:val="005DA1"/>
            <w:spacing w:val="-5"/>
            <w:position w:val="5"/>
            <w:sz w:val="14"/>
            <w:u w:val="single" w:color="005DA1"/>
          </w:rPr>
          <w:t>44</w:t>
        </w:r>
      </w:hyperlink>
      <w:r>
        <w:rPr>
          <w:spacing w:val="-5"/>
          <w:position w:val="5"/>
          <w:sz w:val="14"/>
        </w:rPr>
        <w:t>.</w:t>
      </w:r>
      <w:r>
        <w:rPr>
          <w:position w:val="5"/>
          <w:sz w:val="14"/>
        </w:rPr>
        <w:tab/>
      </w:r>
      <w:r>
        <w:rPr>
          <w:sz w:val="20"/>
        </w:rPr>
        <w:t>At </w:t>
      </w:r>
      <w:r>
        <w:rPr>
          <w:spacing w:val="-2"/>
          <w:sz w:val="20"/>
        </w:rPr>
        <w:t>[64].</w:t>
      </w:r>
    </w:p>
    <w:p>
      <w:pPr>
        <w:pStyle w:val="BodyText"/>
        <w:spacing w:before="4"/>
      </w:pPr>
    </w:p>
    <w:p>
      <w:pPr>
        <w:tabs>
          <w:tab w:pos="705" w:val="left" w:leader="none"/>
        </w:tabs>
        <w:spacing w:before="1"/>
        <w:ind w:left="165" w:right="0" w:firstLine="0"/>
        <w:jc w:val="left"/>
        <w:rPr>
          <w:sz w:val="20"/>
        </w:rPr>
      </w:pPr>
      <w:bookmarkStart w:name="_bookmark172" w:id="174"/>
      <w:bookmarkEnd w:id="174"/>
      <w:r>
        <w:rPr/>
      </w:r>
      <w:hyperlink w:history="true" w:anchor="_bookmark51">
        <w:r>
          <w:rPr>
            <w:color w:val="005DA1"/>
            <w:spacing w:val="-5"/>
            <w:position w:val="5"/>
            <w:sz w:val="14"/>
            <w:u w:val="single" w:color="005DA1"/>
          </w:rPr>
          <w:t>45</w:t>
        </w:r>
      </w:hyperlink>
      <w:r>
        <w:rPr>
          <w:spacing w:val="-5"/>
          <w:position w:val="5"/>
          <w:sz w:val="14"/>
        </w:rPr>
        <w:t>.</w:t>
      </w:r>
      <w:r>
        <w:rPr>
          <w:position w:val="5"/>
          <w:sz w:val="14"/>
        </w:rPr>
        <w:tab/>
      </w:r>
      <w:r>
        <w:rPr>
          <w:sz w:val="20"/>
        </w:rPr>
        <w:t>At </w:t>
      </w:r>
      <w:r>
        <w:rPr>
          <w:spacing w:val="-2"/>
          <w:sz w:val="20"/>
        </w:rPr>
        <w:t>[64].</w:t>
      </w:r>
    </w:p>
    <w:p>
      <w:pPr>
        <w:pStyle w:val="BodyText"/>
        <w:spacing w:before="4"/>
      </w:pPr>
    </w:p>
    <w:p>
      <w:pPr>
        <w:tabs>
          <w:tab w:pos="705" w:val="left" w:leader="none"/>
        </w:tabs>
        <w:spacing w:before="1"/>
        <w:ind w:left="165" w:right="0" w:firstLine="0"/>
        <w:jc w:val="left"/>
        <w:rPr>
          <w:sz w:val="20"/>
        </w:rPr>
      </w:pPr>
      <w:bookmarkStart w:name="_bookmark173" w:id="175"/>
      <w:bookmarkEnd w:id="175"/>
      <w:r>
        <w:rPr/>
      </w:r>
      <w:hyperlink w:history="true" w:anchor="_bookmark52">
        <w:r>
          <w:rPr>
            <w:color w:val="005DA1"/>
            <w:spacing w:val="-5"/>
            <w:position w:val="5"/>
            <w:sz w:val="14"/>
            <w:u w:val="single" w:color="005DA1"/>
          </w:rPr>
          <w:t>46</w:t>
        </w:r>
      </w:hyperlink>
      <w:r>
        <w:rPr>
          <w:spacing w:val="-5"/>
          <w:position w:val="5"/>
          <w:sz w:val="14"/>
        </w:rPr>
        <w:t>.</w:t>
      </w:r>
      <w:r>
        <w:rPr>
          <w:position w:val="5"/>
          <w:sz w:val="14"/>
        </w:rPr>
        <w:tab/>
      </w:r>
      <w:r>
        <w:rPr>
          <w:rFonts w:ascii="Arial"/>
          <w:i/>
          <w:sz w:val="20"/>
        </w:rPr>
        <w:t>Financings Ltd v Stimson [1962] 1 W.L.R. </w:t>
      </w:r>
      <w:r>
        <w:rPr>
          <w:rFonts w:ascii="Arial"/>
          <w:i/>
          <w:spacing w:val="-2"/>
          <w:sz w:val="20"/>
        </w:rPr>
        <w:t>1184</w:t>
      </w:r>
      <w:r>
        <w:rPr>
          <w:spacing w:val="-2"/>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74" w:id="176"/>
      <w:bookmarkEnd w:id="176"/>
      <w:r>
        <w:rPr/>
      </w:r>
      <w:hyperlink w:history="true" w:anchor="_bookmark53">
        <w:r>
          <w:rPr>
            <w:color w:val="005DA1"/>
            <w:spacing w:val="-4"/>
            <w:position w:val="5"/>
            <w:sz w:val="14"/>
            <w:u w:val="single" w:color="005DA1"/>
          </w:rPr>
          <w:t>47</w:t>
        </w:r>
      </w:hyperlink>
      <w:r>
        <w:rPr>
          <w:spacing w:val="-4"/>
          <w:position w:val="5"/>
          <w:sz w:val="14"/>
        </w:rPr>
        <w:t>.</w:t>
      </w:r>
      <w:r>
        <w:rPr>
          <w:position w:val="5"/>
          <w:sz w:val="14"/>
        </w:rPr>
        <w:tab/>
      </w:r>
      <w:r>
        <w:rPr>
          <w:rFonts w:ascii="Arial"/>
          <w:i/>
          <w:sz w:val="20"/>
        </w:rPr>
        <w:t>Spencer</w:t>
      </w:r>
      <w:r>
        <w:rPr>
          <w:rFonts w:ascii="Arial"/>
          <w:i/>
          <w:spacing w:val="21"/>
          <w:sz w:val="20"/>
        </w:rPr>
        <w:t> </w:t>
      </w:r>
      <w:r>
        <w:rPr>
          <w:rFonts w:ascii="Arial"/>
          <w:i/>
          <w:sz w:val="20"/>
        </w:rPr>
        <w:t>v</w:t>
      </w:r>
      <w:r>
        <w:rPr>
          <w:rFonts w:ascii="Arial"/>
          <w:i/>
          <w:spacing w:val="21"/>
          <w:sz w:val="20"/>
        </w:rPr>
        <w:t> </w:t>
      </w:r>
      <w:r>
        <w:rPr>
          <w:rFonts w:ascii="Arial"/>
          <w:i/>
          <w:sz w:val="20"/>
        </w:rPr>
        <w:t>Harding</w:t>
      </w:r>
      <w:r>
        <w:rPr>
          <w:rFonts w:ascii="Arial"/>
          <w:i/>
          <w:spacing w:val="21"/>
          <w:sz w:val="20"/>
        </w:rPr>
        <w:t> </w:t>
      </w:r>
      <w:r>
        <w:rPr>
          <w:rFonts w:ascii="Arial"/>
          <w:i/>
          <w:sz w:val="20"/>
        </w:rPr>
        <w:t>(1870)</w:t>
      </w:r>
      <w:r>
        <w:rPr>
          <w:rFonts w:ascii="Arial"/>
          <w:i/>
          <w:spacing w:val="21"/>
          <w:sz w:val="20"/>
        </w:rPr>
        <w:t> </w:t>
      </w:r>
      <w:r>
        <w:rPr>
          <w:rFonts w:ascii="Arial"/>
          <w:i/>
          <w:sz w:val="20"/>
        </w:rPr>
        <w:t>L.R.</w:t>
      </w:r>
      <w:r>
        <w:rPr>
          <w:rFonts w:ascii="Arial"/>
          <w:i/>
          <w:spacing w:val="21"/>
          <w:sz w:val="20"/>
        </w:rPr>
        <w:t> </w:t>
      </w:r>
      <w:r>
        <w:rPr>
          <w:rFonts w:ascii="Arial"/>
          <w:i/>
          <w:sz w:val="20"/>
        </w:rPr>
        <w:t>5</w:t>
      </w:r>
      <w:r>
        <w:rPr>
          <w:rFonts w:ascii="Arial"/>
          <w:i/>
          <w:spacing w:val="21"/>
          <w:sz w:val="20"/>
        </w:rPr>
        <w:t> </w:t>
      </w:r>
      <w:r>
        <w:rPr>
          <w:rFonts w:ascii="Arial"/>
          <w:i/>
          <w:sz w:val="20"/>
        </w:rPr>
        <w:t>C.P.</w:t>
      </w:r>
      <w:r>
        <w:rPr>
          <w:rFonts w:ascii="Arial"/>
          <w:i/>
          <w:spacing w:val="21"/>
          <w:sz w:val="20"/>
        </w:rPr>
        <w:t> </w:t>
      </w:r>
      <w:r>
        <w:rPr>
          <w:rFonts w:ascii="Arial"/>
          <w:i/>
          <w:sz w:val="20"/>
        </w:rPr>
        <w:t>561</w:t>
      </w:r>
      <w:r>
        <w:rPr>
          <w:sz w:val="20"/>
        </w:rPr>
        <w:t>;</w:t>
      </w:r>
      <w:r>
        <w:rPr>
          <w:spacing w:val="21"/>
          <w:sz w:val="20"/>
        </w:rPr>
        <w:t> </w:t>
      </w:r>
      <w:r>
        <w:rPr>
          <w:rFonts w:ascii="Arial"/>
          <w:i/>
          <w:sz w:val="20"/>
        </w:rPr>
        <w:t>Clifton</w:t>
      </w:r>
      <w:r>
        <w:rPr>
          <w:rFonts w:ascii="Arial"/>
          <w:i/>
          <w:spacing w:val="21"/>
          <w:sz w:val="20"/>
        </w:rPr>
        <w:t> </w:t>
      </w:r>
      <w:r>
        <w:rPr>
          <w:rFonts w:ascii="Arial"/>
          <w:i/>
          <w:sz w:val="20"/>
        </w:rPr>
        <w:t>v</w:t>
      </w:r>
      <w:r>
        <w:rPr>
          <w:rFonts w:ascii="Arial"/>
          <w:i/>
          <w:spacing w:val="21"/>
          <w:sz w:val="20"/>
        </w:rPr>
        <w:t> </w:t>
      </w:r>
      <w:r>
        <w:rPr>
          <w:rFonts w:ascii="Arial"/>
          <w:i/>
          <w:sz w:val="20"/>
        </w:rPr>
        <w:t>Palumbo</w:t>
      </w:r>
      <w:r>
        <w:rPr>
          <w:sz w:val="20"/>
        </w:rPr>
        <w:t>,</w:t>
      </w:r>
      <w:r>
        <w:rPr>
          <w:spacing w:val="21"/>
          <w:sz w:val="20"/>
        </w:rPr>
        <w:t> </w:t>
      </w:r>
      <w:r>
        <w:rPr>
          <w:sz w:val="20"/>
        </w:rPr>
        <w:t>above,</w:t>
      </w:r>
      <w:r>
        <w:rPr>
          <w:spacing w:val="21"/>
          <w:sz w:val="20"/>
        </w:rPr>
        <w:t> </w:t>
      </w:r>
      <w:r>
        <w:rPr>
          <w:sz w:val="20"/>
        </w:rPr>
        <w:t>para.2-007,</w:t>
      </w:r>
      <w:r>
        <w:rPr>
          <w:spacing w:val="21"/>
          <w:sz w:val="20"/>
        </w:rPr>
        <w:t> </w:t>
      </w:r>
      <w:r>
        <w:rPr>
          <w:sz w:val="20"/>
        </w:rPr>
        <w:t>n.36;</w:t>
      </w:r>
      <w:r>
        <w:rPr>
          <w:spacing w:val="20"/>
          <w:sz w:val="20"/>
        </w:rPr>
        <w:t> </w:t>
      </w:r>
      <w:r>
        <w:rPr>
          <w:rFonts w:ascii="Arial"/>
          <w:i/>
          <w:sz w:val="20"/>
        </w:rPr>
        <w:t>iSoft Group Plc v Misys Holdings Ltd [2003] EWCA Civ 229, [2003] All E.R. (D) 438 (Feb)</w:t>
      </w:r>
      <w:r>
        <w:rPr>
          <w:sz w:val="20"/>
        </w:rPr>
        <w:t>.</w:t>
      </w:r>
    </w:p>
    <w:p>
      <w:pPr>
        <w:pStyle w:val="BodyText"/>
        <w:spacing w:before="6"/>
      </w:pPr>
    </w:p>
    <w:p>
      <w:pPr>
        <w:tabs>
          <w:tab w:pos="705" w:val="left" w:leader="none"/>
        </w:tabs>
        <w:spacing w:before="0"/>
        <w:ind w:left="165" w:right="0" w:firstLine="0"/>
        <w:jc w:val="left"/>
        <w:rPr>
          <w:sz w:val="20"/>
        </w:rPr>
      </w:pPr>
      <w:bookmarkStart w:name="_bookmark175" w:id="177"/>
      <w:bookmarkEnd w:id="177"/>
      <w:r>
        <w:rPr/>
      </w:r>
      <w:hyperlink w:history="true" w:anchor="_bookmark54">
        <w:r>
          <w:rPr>
            <w:color w:val="005DA1"/>
            <w:spacing w:val="-5"/>
            <w:position w:val="5"/>
            <w:sz w:val="14"/>
            <w:u w:val="single" w:color="005DA1"/>
          </w:rPr>
          <w:t>48</w:t>
        </w:r>
      </w:hyperlink>
      <w:r>
        <w:rPr>
          <w:spacing w:val="-5"/>
          <w:position w:val="5"/>
          <w:sz w:val="14"/>
        </w:rPr>
        <w:t>.</w:t>
      </w:r>
      <w:r>
        <w:rPr>
          <w:position w:val="5"/>
          <w:sz w:val="14"/>
        </w:rPr>
        <w:tab/>
      </w:r>
      <w:r>
        <w:rPr>
          <w:rFonts w:ascii="Arial"/>
          <w:i/>
          <w:sz w:val="20"/>
        </w:rPr>
        <w:t>Bigg v Boyd Gibbins Ltd [1971] 1 W.L.R. 913, (1987) 87 L.Q.R. </w:t>
      </w:r>
      <w:r>
        <w:rPr>
          <w:rFonts w:ascii="Arial"/>
          <w:i/>
          <w:spacing w:val="-4"/>
          <w:sz w:val="20"/>
        </w:rPr>
        <w:t>307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6" w:id="178"/>
      <w:bookmarkEnd w:id="178"/>
      <w:r>
        <w:rPr/>
      </w:r>
      <w:hyperlink w:history="true" w:anchor="_bookmark55">
        <w:r>
          <w:rPr>
            <w:color w:val="005DA1"/>
            <w:spacing w:val="-5"/>
            <w:position w:val="5"/>
            <w:sz w:val="14"/>
            <w:u w:val="single" w:color="005DA1"/>
          </w:rPr>
          <w:t>49</w:t>
        </w:r>
      </w:hyperlink>
      <w:r>
        <w:rPr>
          <w:spacing w:val="-5"/>
          <w:position w:val="5"/>
          <w:sz w:val="14"/>
        </w:rPr>
        <w:t>.</w:t>
      </w:r>
      <w:r>
        <w:rPr>
          <w:position w:val="5"/>
          <w:sz w:val="14"/>
        </w:rPr>
        <w:tab/>
      </w:r>
      <w:r>
        <w:rPr>
          <w:rFonts w:ascii="Arial"/>
          <w:i/>
          <w:sz w:val="20"/>
        </w:rPr>
        <w:t>Harvela Investments Ltd v Royal Trust Co of Canada (C.I.) Ltd [1986] A.C. </w:t>
      </w:r>
      <w:r>
        <w:rPr>
          <w:rFonts w:ascii="Arial"/>
          <w:i/>
          <w:spacing w:val="-4"/>
          <w:sz w:val="20"/>
        </w:rPr>
        <w:t>207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77" w:id="179"/>
      <w:bookmarkEnd w:id="179"/>
      <w:r>
        <w:rPr/>
      </w:r>
      <w:hyperlink w:history="true" w:anchor="_bookmark56">
        <w:r>
          <w:rPr>
            <w:color w:val="005DA1"/>
            <w:spacing w:val="-5"/>
            <w:position w:val="5"/>
            <w:sz w:val="14"/>
            <w:u w:val="single" w:color="005DA1"/>
          </w:rPr>
          <w:t>50</w:t>
        </w:r>
      </w:hyperlink>
      <w:r>
        <w:rPr>
          <w:spacing w:val="-5"/>
          <w:position w:val="5"/>
          <w:sz w:val="14"/>
        </w:rPr>
        <w:t>.</w:t>
      </w:r>
      <w:r>
        <w:rPr>
          <w:position w:val="5"/>
          <w:sz w:val="14"/>
        </w:rPr>
        <w:tab/>
      </w:r>
      <w:r>
        <w:rPr>
          <w:rFonts w:ascii="Arial"/>
          <w:i/>
          <w:sz w:val="20"/>
        </w:rPr>
        <w:t>[2007] UKHL 23, [2007] 1 W.L.R. </w:t>
      </w:r>
      <w:r>
        <w:rPr>
          <w:rFonts w:ascii="Arial"/>
          <w:i/>
          <w:spacing w:val="-2"/>
          <w:sz w:val="20"/>
        </w:rPr>
        <w:t>1325</w:t>
      </w:r>
      <w:r>
        <w:rPr>
          <w:spacing w:val="-2"/>
          <w:sz w:val="20"/>
        </w:rPr>
        <w:t>.</w:t>
      </w:r>
    </w:p>
    <w:p>
      <w:pPr>
        <w:pStyle w:val="BodyText"/>
        <w:spacing w:before="5"/>
      </w:pPr>
    </w:p>
    <w:p>
      <w:pPr>
        <w:pStyle w:val="BodyText"/>
        <w:tabs>
          <w:tab w:pos="705" w:val="left" w:leader="none"/>
        </w:tabs>
        <w:ind w:left="165"/>
      </w:pPr>
      <w:bookmarkStart w:name="_bookmark178" w:id="180"/>
      <w:bookmarkEnd w:id="180"/>
      <w:r>
        <w:rPr/>
      </w:r>
      <w:hyperlink w:history="true" w:anchor="_bookmark57">
        <w:r>
          <w:rPr>
            <w:color w:val="005DA1"/>
            <w:spacing w:val="-5"/>
            <w:position w:val="5"/>
            <w:sz w:val="14"/>
            <w:u w:val="single" w:color="005DA1"/>
          </w:rPr>
          <w:t>51</w:t>
        </w:r>
      </w:hyperlink>
      <w:r>
        <w:rPr>
          <w:spacing w:val="-5"/>
          <w:position w:val="5"/>
          <w:sz w:val="14"/>
        </w:rPr>
        <w:t>.</w:t>
      </w:r>
      <w:r>
        <w:rPr>
          <w:position w:val="5"/>
          <w:sz w:val="14"/>
        </w:rPr>
        <w:tab/>
      </w:r>
      <w:r>
        <w:rPr/>
        <w:t>See</w:t>
      </w:r>
      <w:r>
        <w:rPr>
          <w:spacing w:val="-2"/>
        </w:rPr>
        <w:t> </w:t>
      </w:r>
      <w:r>
        <w:rPr/>
        <w:t>below, para.2-</w:t>
      </w:r>
      <w:r>
        <w:rPr>
          <w:spacing w:val="-4"/>
        </w:rPr>
        <w:t>031.</w:t>
      </w:r>
    </w:p>
    <w:p>
      <w:pPr>
        <w:pStyle w:val="BodyText"/>
        <w:spacing w:before="5"/>
      </w:pPr>
    </w:p>
    <w:p>
      <w:pPr>
        <w:tabs>
          <w:tab w:pos="705" w:val="left" w:leader="none"/>
        </w:tabs>
        <w:spacing w:before="0"/>
        <w:ind w:left="165" w:right="0" w:firstLine="0"/>
        <w:jc w:val="left"/>
        <w:rPr>
          <w:sz w:val="20"/>
        </w:rPr>
      </w:pPr>
      <w:bookmarkStart w:name="_bookmark179" w:id="181"/>
      <w:bookmarkEnd w:id="181"/>
      <w:r>
        <w:rPr/>
      </w:r>
      <w:hyperlink w:history="true" w:anchor="_bookmark58">
        <w:r>
          <w:rPr>
            <w:color w:val="005DA1"/>
            <w:spacing w:val="-5"/>
            <w:position w:val="5"/>
            <w:sz w:val="14"/>
            <w:u w:val="single" w:color="005DA1"/>
          </w:rPr>
          <w:t>52</w:t>
        </w:r>
      </w:hyperlink>
      <w:r>
        <w:rPr>
          <w:spacing w:val="-5"/>
          <w:position w:val="5"/>
          <w:sz w:val="14"/>
        </w:rPr>
        <w:t>.</w:t>
      </w:r>
      <w:r>
        <w:rPr>
          <w:position w:val="5"/>
          <w:sz w:val="14"/>
        </w:rPr>
        <w:tab/>
      </w:r>
      <w:r>
        <w:rPr>
          <w:rFonts w:ascii="Arial" w:hAnsi="Arial"/>
          <w:i/>
          <w:sz w:val="20"/>
        </w:rPr>
        <w:t>[2005] EWCA Civ 1418, [2006] 1 Lloyd’s Rep. 279</w:t>
      </w:r>
      <w:r>
        <w:rPr>
          <w:rFonts w:ascii="Arial" w:hAnsi="Arial"/>
          <w:i/>
          <w:spacing w:val="-1"/>
          <w:sz w:val="20"/>
        </w:rPr>
        <w:t> </w:t>
      </w:r>
      <w:r>
        <w:rPr>
          <w:sz w:val="20"/>
        </w:rPr>
        <w:t>at </w:t>
      </w:r>
      <w:r>
        <w:rPr>
          <w:spacing w:val="-2"/>
          <w:sz w:val="20"/>
        </w:rPr>
        <w:t>[15].</w:t>
      </w:r>
    </w:p>
    <w:p>
      <w:pPr>
        <w:pStyle w:val="BodyText"/>
        <w:spacing w:before="5"/>
      </w:pPr>
    </w:p>
    <w:p>
      <w:pPr>
        <w:tabs>
          <w:tab w:pos="705" w:val="left" w:leader="none"/>
        </w:tabs>
        <w:spacing w:before="0"/>
        <w:ind w:left="165" w:right="0" w:firstLine="0"/>
        <w:jc w:val="left"/>
        <w:rPr>
          <w:sz w:val="20"/>
        </w:rPr>
      </w:pPr>
      <w:bookmarkStart w:name="_bookmark180" w:id="182"/>
      <w:bookmarkEnd w:id="182"/>
      <w:r>
        <w:rPr/>
      </w:r>
      <w:hyperlink w:history="true" w:anchor="_bookmark58">
        <w:r>
          <w:rPr>
            <w:color w:val="005DA1"/>
            <w:spacing w:val="-5"/>
            <w:position w:val="5"/>
            <w:sz w:val="14"/>
            <w:u w:val="single" w:color="005DA1"/>
          </w:rPr>
          <w:t>53</w:t>
        </w:r>
      </w:hyperlink>
      <w:r>
        <w:rPr>
          <w:spacing w:val="-5"/>
          <w:position w:val="5"/>
          <w:sz w:val="14"/>
        </w:rPr>
        <w:t>.</w:t>
      </w:r>
      <w:r>
        <w:rPr>
          <w:position w:val="5"/>
          <w:sz w:val="14"/>
        </w:rPr>
        <w:tab/>
      </w:r>
      <w:r>
        <w:rPr>
          <w:rFonts w:ascii="Arial"/>
          <w:i/>
          <w:sz w:val="20"/>
        </w:rPr>
        <w:t>[2007] UKHL 23, [2007] 1 W.L.R. 1325</w:t>
      </w:r>
      <w:r>
        <w:rPr>
          <w:rFonts w:ascii="Arial"/>
          <w:i/>
          <w:spacing w:val="-1"/>
          <w:sz w:val="20"/>
        </w:rPr>
        <w:t> </w:t>
      </w:r>
      <w:r>
        <w:rPr>
          <w:sz w:val="20"/>
        </w:rPr>
        <w:t>at </w:t>
      </w:r>
      <w:r>
        <w:rPr>
          <w:spacing w:val="-2"/>
          <w:sz w:val="20"/>
        </w:rPr>
        <w:t>[24].</w:t>
      </w:r>
    </w:p>
    <w:p>
      <w:pPr>
        <w:pStyle w:val="BodyText"/>
        <w:spacing w:before="5"/>
      </w:pPr>
    </w:p>
    <w:p>
      <w:pPr>
        <w:tabs>
          <w:tab w:pos="705" w:val="left" w:leader="none"/>
        </w:tabs>
        <w:spacing w:before="0"/>
        <w:ind w:left="165" w:right="0" w:firstLine="0"/>
        <w:jc w:val="left"/>
        <w:rPr>
          <w:sz w:val="20"/>
        </w:rPr>
      </w:pPr>
      <w:bookmarkStart w:name="_bookmark181" w:id="183"/>
      <w:bookmarkEnd w:id="183"/>
      <w:r>
        <w:rPr/>
      </w:r>
      <w:hyperlink w:history="true" w:anchor="_bookmark59">
        <w:r>
          <w:rPr>
            <w:color w:val="005DA1"/>
            <w:spacing w:val="-5"/>
            <w:position w:val="5"/>
            <w:sz w:val="14"/>
            <w:u w:val="single" w:color="005DA1"/>
          </w:rPr>
          <w:t>54</w:t>
        </w:r>
      </w:hyperlink>
      <w:r>
        <w:rPr>
          <w:spacing w:val="-5"/>
          <w:position w:val="5"/>
          <w:sz w:val="14"/>
        </w:rPr>
        <w:t>.</w:t>
      </w:r>
      <w:r>
        <w:rPr>
          <w:position w:val="5"/>
          <w:sz w:val="14"/>
        </w:rPr>
        <w:tab/>
      </w:r>
      <w:r>
        <w:rPr>
          <w:rFonts w:ascii="Arial" w:hAnsi="Arial"/>
          <w:i/>
          <w:sz w:val="20"/>
        </w:rPr>
        <w:t>[2005]</w:t>
      </w:r>
      <w:r>
        <w:rPr>
          <w:rFonts w:ascii="Arial" w:hAnsi="Arial"/>
          <w:i/>
          <w:spacing w:val="-2"/>
          <w:sz w:val="20"/>
        </w:rPr>
        <w:t> </w:t>
      </w:r>
      <w:r>
        <w:rPr>
          <w:rFonts w:ascii="Arial" w:hAnsi="Arial"/>
          <w:i/>
          <w:sz w:val="20"/>
        </w:rPr>
        <w:t>EWHC 239, [2005] 1 Lloyd’s Rep. 470</w:t>
      </w:r>
      <w:r>
        <w:rPr>
          <w:rFonts w:ascii="Arial" w:hAnsi="Arial"/>
          <w:i/>
          <w:spacing w:val="-1"/>
          <w:sz w:val="20"/>
        </w:rPr>
        <w:t> </w:t>
      </w:r>
      <w:r>
        <w:rPr>
          <w:sz w:val="20"/>
        </w:rPr>
        <w:t>at </w:t>
      </w:r>
      <w:r>
        <w:rPr>
          <w:spacing w:val="-2"/>
          <w:sz w:val="20"/>
        </w:rPr>
        <w:t>[118].</w:t>
      </w:r>
    </w:p>
    <w:p>
      <w:pPr>
        <w:pStyle w:val="BodyText"/>
        <w:spacing w:before="5"/>
      </w:pPr>
    </w:p>
    <w:p>
      <w:pPr>
        <w:tabs>
          <w:tab w:pos="705" w:val="left" w:leader="none"/>
        </w:tabs>
        <w:spacing w:before="0"/>
        <w:ind w:left="165" w:right="0" w:firstLine="0"/>
        <w:jc w:val="left"/>
        <w:rPr>
          <w:sz w:val="20"/>
        </w:rPr>
      </w:pPr>
      <w:bookmarkStart w:name="_bookmark182" w:id="184"/>
      <w:bookmarkEnd w:id="184"/>
      <w:r>
        <w:rPr/>
      </w:r>
      <w:hyperlink w:history="true" w:anchor="_bookmark60">
        <w:r>
          <w:rPr>
            <w:color w:val="005DA1"/>
            <w:spacing w:val="-5"/>
            <w:position w:val="5"/>
            <w:sz w:val="14"/>
            <w:u w:val="single" w:color="005DA1"/>
          </w:rPr>
          <w:t>55</w:t>
        </w:r>
      </w:hyperlink>
      <w:r>
        <w:rPr>
          <w:spacing w:val="-5"/>
          <w:position w:val="5"/>
          <w:sz w:val="14"/>
        </w:rPr>
        <w:t>.</w:t>
      </w:r>
      <w:r>
        <w:rPr>
          <w:position w:val="5"/>
          <w:sz w:val="14"/>
        </w:rPr>
        <w:tab/>
      </w:r>
      <w:r>
        <w:rPr>
          <w:rFonts w:ascii="Arial"/>
          <w:i/>
          <w:sz w:val="20"/>
        </w:rPr>
        <w:t>[2007]</w:t>
      </w:r>
      <w:r>
        <w:rPr>
          <w:rFonts w:ascii="Arial"/>
          <w:i/>
          <w:spacing w:val="-2"/>
          <w:sz w:val="20"/>
        </w:rPr>
        <w:t> </w:t>
      </w:r>
      <w:r>
        <w:rPr>
          <w:rFonts w:ascii="Arial"/>
          <w:i/>
          <w:sz w:val="20"/>
        </w:rPr>
        <w:t>UKHL 23</w:t>
      </w:r>
      <w:r>
        <w:rPr>
          <w:rFonts w:ascii="Arial"/>
          <w:i/>
          <w:spacing w:val="-1"/>
          <w:sz w:val="20"/>
        </w:rPr>
        <w:t> </w:t>
      </w:r>
      <w:r>
        <w:rPr>
          <w:sz w:val="20"/>
        </w:rPr>
        <w:t>at </w:t>
      </w:r>
      <w:r>
        <w:rPr>
          <w:spacing w:val="-2"/>
          <w:sz w:val="20"/>
        </w:rPr>
        <w:t>[23].</w:t>
      </w:r>
    </w:p>
    <w:p>
      <w:pPr>
        <w:pStyle w:val="BodyText"/>
        <w:spacing w:before="5"/>
      </w:pPr>
    </w:p>
    <w:p>
      <w:pPr>
        <w:tabs>
          <w:tab w:pos="705" w:val="left" w:leader="none"/>
        </w:tabs>
        <w:spacing w:before="0"/>
        <w:ind w:left="165" w:right="0" w:firstLine="0"/>
        <w:jc w:val="left"/>
        <w:rPr>
          <w:sz w:val="20"/>
        </w:rPr>
      </w:pPr>
      <w:bookmarkStart w:name="_bookmark183" w:id="185"/>
      <w:bookmarkEnd w:id="185"/>
      <w:r>
        <w:rPr/>
      </w:r>
      <w:hyperlink w:history="true" w:anchor="_bookmark61">
        <w:r>
          <w:rPr>
            <w:color w:val="005DA1"/>
            <w:spacing w:val="-5"/>
            <w:position w:val="5"/>
            <w:sz w:val="14"/>
            <w:u w:val="single" w:color="005DA1"/>
          </w:rPr>
          <w:t>56</w:t>
        </w:r>
      </w:hyperlink>
      <w:r>
        <w:rPr>
          <w:spacing w:val="-5"/>
          <w:position w:val="5"/>
          <w:sz w:val="14"/>
        </w:rPr>
        <w:t>.</w:t>
      </w:r>
      <w:r>
        <w:rPr>
          <w:position w:val="5"/>
          <w:sz w:val="14"/>
        </w:rPr>
        <w:tab/>
      </w:r>
      <w:r>
        <w:rPr>
          <w:rFonts w:ascii="Arial" w:hAnsi="Arial"/>
          <w:i/>
          <w:sz w:val="20"/>
        </w:rPr>
        <w:t>[2007] UKHL 23</w:t>
      </w:r>
      <w:r>
        <w:rPr>
          <w:rFonts w:ascii="Arial" w:hAnsi="Arial"/>
          <w:i/>
          <w:spacing w:val="-1"/>
          <w:sz w:val="20"/>
        </w:rPr>
        <w:t> </w:t>
      </w:r>
      <w:r>
        <w:rPr>
          <w:sz w:val="20"/>
        </w:rPr>
        <w:t>at [25]; cf. </w:t>
      </w:r>
      <w:r>
        <w:rPr>
          <w:rFonts w:ascii="Arial" w:hAnsi="Arial"/>
          <w:i/>
          <w:sz w:val="20"/>
        </w:rPr>
        <w:t>[2005] EWCA Civ 1481, [2006] 1 Lloyd’s Rep. 279</w:t>
      </w:r>
      <w:r>
        <w:rPr>
          <w:rFonts w:ascii="Arial" w:hAnsi="Arial"/>
          <w:i/>
          <w:spacing w:val="-1"/>
          <w:sz w:val="20"/>
        </w:rPr>
        <w:t> </w:t>
      </w:r>
      <w:r>
        <w:rPr>
          <w:sz w:val="20"/>
        </w:rPr>
        <w:t>at </w:t>
      </w:r>
      <w:r>
        <w:rPr>
          <w:spacing w:val="-2"/>
          <w:sz w:val="20"/>
        </w:rPr>
        <w:t>[16].</w:t>
      </w:r>
    </w:p>
    <w:p>
      <w:pPr>
        <w:pStyle w:val="BodyText"/>
        <w:spacing w:before="5"/>
      </w:pPr>
    </w:p>
    <w:p>
      <w:pPr>
        <w:tabs>
          <w:tab w:pos="705" w:val="left" w:leader="none"/>
        </w:tabs>
        <w:spacing w:before="0"/>
        <w:ind w:left="165" w:right="0" w:firstLine="0"/>
        <w:jc w:val="left"/>
        <w:rPr>
          <w:sz w:val="20"/>
        </w:rPr>
      </w:pPr>
      <w:bookmarkStart w:name="_bookmark184" w:id="186"/>
      <w:bookmarkEnd w:id="186"/>
      <w:r>
        <w:rPr/>
      </w:r>
      <w:hyperlink w:history="true" w:anchor="_bookmark61">
        <w:r>
          <w:rPr>
            <w:color w:val="005DA1"/>
            <w:spacing w:val="-5"/>
            <w:position w:val="5"/>
            <w:sz w:val="14"/>
            <w:u w:val="single" w:color="005DA1"/>
          </w:rPr>
          <w:t>57</w:t>
        </w:r>
      </w:hyperlink>
      <w:r>
        <w:rPr>
          <w:spacing w:val="-5"/>
          <w:position w:val="5"/>
          <w:sz w:val="14"/>
        </w:rPr>
        <w:t>.</w:t>
      </w:r>
      <w:r>
        <w:rPr>
          <w:position w:val="5"/>
          <w:sz w:val="14"/>
        </w:rPr>
        <w:tab/>
      </w:r>
      <w:r>
        <w:rPr>
          <w:rFonts w:ascii="Arial"/>
          <w:i/>
          <w:sz w:val="20"/>
        </w:rPr>
        <w:t>[2007]</w:t>
      </w:r>
      <w:r>
        <w:rPr>
          <w:rFonts w:ascii="Arial"/>
          <w:i/>
          <w:spacing w:val="-2"/>
          <w:sz w:val="20"/>
        </w:rPr>
        <w:t> </w:t>
      </w:r>
      <w:r>
        <w:rPr>
          <w:rFonts w:ascii="Arial"/>
          <w:i/>
          <w:sz w:val="20"/>
        </w:rPr>
        <w:t>UKHL 23</w:t>
      </w:r>
      <w:r>
        <w:rPr>
          <w:rFonts w:ascii="Arial"/>
          <w:i/>
          <w:spacing w:val="-1"/>
          <w:sz w:val="20"/>
        </w:rPr>
        <w:t> </w:t>
      </w:r>
      <w:r>
        <w:rPr>
          <w:sz w:val="20"/>
        </w:rPr>
        <w:t>at </w:t>
      </w:r>
      <w:r>
        <w:rPr>
          <w:spacing w:val="-2"/>
          <w:sz w:val="20"/>
        </w:rPr>
        <w:t>[23].</w:t>
      </w:r>
    </w:p>
    <w:p>
      <w:pPr>
        <w:pStyle w:val="BodyText"/>
        <w:spacing w:before="5"/>
      </w:pPr>
    </w:p>
    <w:p>
      <w:pPr>
        <w:tabs>
          <w:tab w:pos="705" w:val="left" w:leader="none"/>
        </w:tabs>
        <w:spacing w:before="0"/>
        <w:ind w:left="165" w:right="0" w:firstLine="0"/>
        <w:jc w:val="left"/>
        <w:rPr>
          <w:sz w:val="20"/>
        </w:rPr>
      </w:pPr>
      <w:bookmarkStart w:name="_bookmark185" w:id="187"/>
      <w:bookmarkEnd w:id="187"/>
      <w:r>
        <w:rPr/>
      </w:r>
      <w:hyperlink w:history="true" w:anchor="_bookmark62">
        <w:r>
          <w:rPr>
            <w:color w:val="005DA1"/>
            <w:spacing w:val="-5"/>
            <w:position w:val="5"/>
            <w:sz w:val="14"/>
            <w:u w:val="single" w:color="005DA1"/>
          </w:rPr>
          <w:t>58</w:t>
        </w:r>
      </w:hyperlink>
      <w:r>
        <w:rPr>
          <w:spacing w:val="-5"/>
          <w:position w:val="5"/>
          <w:sz w:val="14"/>
        </w:rPr>
        <w:t>.</w:t>
      </w:r>
      <w:r>
        <w:rPr>
          <w:position w:val="5"/>
          <w:sz w:val="14"/>
        </w:rPr>
        <w:tab/>
      </w:r>
      <w:r>
        <w:rPr>
          <w:rFonts w:ascii="Arial"/>
          <w:i/>
          <w:sz w:val="20"/>
        </w:rPr>
        <w:t>[2007] UKHL 23</w:t>
      </w:r>
      <w:r>
        <w:rPr>
          <w:rFonts w:ascii="Arial"/>
          <w:i/>
          <w:spacing w:val="-1"/>
          <w:sz w:val="20"/>
        </w:rPr>
        <w:t> </w:t>
      </w:r>
      <w:r>
        <w:rPr>
          <w:sz w:val="20"/>
        </w:rPr>
        <w:t>at </w:t>
      </w:r>
      <w:r>
        <w:rPr>
          <w:spacing w:val="-4"/>
          <w:sz w:val="20"/>
        </w:rPr>
        <w:t>[9].</w:t>
      </w:r>
    </w:p>
    <w:p>
      <w:pPr>
        <w:pStyle w:val="BodyText"/>
        <w:spacing w:before="9"/>
      </w:pPr>
    </w:p>
    <w:p>
      <w:pPr>
        <w:spacing w:line="235" w:lineRule="auto" w:before="0"/>
        <w:ind w:left="705" w:right="167" w:hanging="541"/>
        <w:jc w:val="both"/>
        <w:rPr>
          <w:sz w:val="20"/>
        </w:rPr>
      </w:pPr>
      <w:bookmarkStart w:name="_bookmark186" w:id="188"/>
      <w:bookmarkEnd w:id="188"/>
      <w:r>
        <w:rPr/>
      </w:r>
      <w:hyperlink w:history="true" w:anchor="_bookmark63">
        <w:r>
          <w:rPr>
            <w:color w:val="005DA1"/>
            <w:position w:val="5"/>
            <w:sz w:val="14"/>
            <w:u w:val="single" w:color="005DA1"/>
          </w:rPr>
          <w:t>59</w:t>
        </w:r>
      </w:hyperlink>
      <w:r>
        <w:rPr>
          <w:position w:val="5"/>
          <w:sz w:val="14"/>
        </w:rPr>
        <w:t>.</w:t>
      </w:r>
      <w:r>
        <w:rPr>
          <w:spacing w:val="80"/>
          <w:position w:val="5"/>
          <w:sz w:val="14"/>
        </w:rPr>
        <w:t>  </w:t>
      </w:r>
      <w:r>
        <w:rPr>
          <w:rFonts w:ascii="Arial"/>
          <w:i/>
          <w:sz w:val="20"/>
        </w:rPr>
        <w:t>Timothy v Simpson (1834) 6 C. &amp; P. 499, 500</w:t>
      </w:r>
      <w:r>
        <w:rPr>
          <w:sz w:val="20"/>
        </w:rPr>
        <w:t>; </w:t>
      </w:r>
      <w:r>
        <w:rPr>
          <w:rFonts w:ascii="Arial"/>
          <w:i/>
          <w:sz w:val="20"/>
        </w:rPr>
        <w:t>Fisher v Bell [1961] 1 Q.B. 394 </w:t>
      </w:r>
      <w:r>
        <w:rPr>
          <w:sz w:val="20"/>
        </w:rPr>
        <w:t>(actual decision reversed by Restriction of Offensive Weapons Act 1961 s.1; contrast Criminal Justice Act </w:t>
      </w:r>
      <w:r>
        <w:rPr>
          <w:sz w:val="20"/>
        </w:rPr>
        <w:t>1988 s.14A(1), as inserted by Offensive Weapons Act 1996 s.6: this refers only to selling). Dicta in </w:t>
      </w:r>
      <w:r>
        <w:rPr>
          <w:rFonts w:ascii="Arial"/>
          <w:i/>
          <w:sz w:val="20"/>
        </w:rPr>
        <w:t>Wiles</w:t>
      </w:r>
      <w:r>
        <w:rPr>
          <w:rFonts w:ascii="Arial"/>
          <w:i/>
          <w:spacing w:val="9"/>
          <w:sz w:val="20"/>
        </w:rPr>
        <w:t> </w:t>
      </w:r>
      <w:r>
        <w:rPr>
          <w:rFonts w:ascii="Arial"/>
          <w:i/>
          <w:sz w:val="20"/>
        </w:rPr>
        <w:t>v</w:t>
      </w:r>
      <w:r>
        <w:rPr>
          <w:rFonts w:ascii="Arial"/>
          <w:i/>
          <w:spacing w:val="9"/>
          <w:sz w:val="20"/>
        </w:rPr>
        <w:t> </w:t>
      </w:r>
      <w:r>
        <w:rPr>
          <w:rFonts w:ascii="Arial"/>
          <w:i/>
          <w:sz w:val="20"/>
        </w:rPr>
        <w:t>Maddison</w:t>
      </w:r>
      <w:r>
        <w:rPr>
          <w:rFonts w:ascii="Arial"/>
          <w:i/>
          <w:spacing w:val="9"/>
          <w:sz w:val="20"/>
        </w:rPr>
        <w:t> </w:t>
      </w:r>
      <w:r>
        <w:rPr>
          <w:rFonts w:ascii="Arial"/>
          <w:i/>
          <w:sz w:val="20"/>
        </w:rPr>
        <w:t>[1943]</w:t>
      </w:r>
      <w:r>
        <w:rPr>
          <w:rFonts w:ascii="Arial"/>
          <w:i/>
          <w:spacing w:val="9"/>
          <w:sz w:val="20"/>
        </w:rPr>
        <w:t> </w:t>
      </w:r>
      <w:r>
        <w:rPr>
          <w:rFonts w:ascii="Arial"/>
          <w:i/>
          <w:sz w:val="20"/>
        </w:rPr>
        <w:t>1</w:t>
      </w:r>
      <w:r>
        <w:rPr>
          <w:rFonts w:ascii="Arial"/>
          <w:i/>
          <w:spacing w:val="9"/>
          <w:sz w:val="20"/>
        </w:rPr>
        <w:t> </w:t>
      </w:r>
      <w:r>
        <w:rPr>
          <w:rFonts w:ascii="Arial"/>
          <w:i/>
          <w:sz w:val="20"/>
        </w:rPr>
        <w:t>All</w:t>
      </w:r>
      <w:r>
        <w:rPr>
          <w:rFonts w:ascii="Arial"/>
          <w:i/>
          <w:spacing w:val="9"/>
          <w:sz w:val="20"/>
        </w:rPr>
        <w:t> </w:t>
      </w:r>
      <w:r>
        <w:rPr>
          <w:rFonts w:ascii="Arial"/>
          <w:i/>
          <w:sz w:val="20"/>
        </w:rPr>
        <w:t>E.R.</w:t>
      </w:r>
      <w:r>
        <w:rPr>
          <w:rFonts w:ascii="Arial"/>
          <w:i/>
          <w:spacing w:val="9"/>
          <w:sz w:val="20"/>
        </w:rPr>
        <w:t> </w:t>
      </w:r>
      <w:r>
        <w:rPr>
          <w:rFonts w:ascii="Arial"/>
          <w:i/>
          <w:sz w:val="20"/>
        </w:rPr>
        <w:t>315,</w:t>
      </w:r>
      <w:r>
        <w:rPr>
          <w:rFonts w:ascii="Arial"/>
          <w:i/>
          <w:spacing w:val="9"/>
          <w:sz w:val="20"/>
        </w:rPr>
        <w:t> </w:t>
      </w:r>
      <w:r>
        <w:rPr>
          <w:rFonts w:ascii="Arial"/>
          <w:i/>
          <w:sz w:val="20"/>
        </w:rPr>
        <w:t>317</w:t>
      </w:r>
      <w:r>
        <w:rPr>
          <w:rFonts w:ascii="Arial"/>
          <w:i/>
          <w:spacing w:val="9"/>
          <w:sz w:val="20"/>
        </w:rPr>
        <w:t> </w:t>
      </w:r>
      <w:r>
        <w:rPr>
          <w:sz w:val="20"/>
        </w:rPr>
        <w:t>may</w:t>
      </w:r>
      <w:r>
        <w:rPr>
          <w:spacing w:val="9"/>
          <w:sz w:val="20"/>
        </w:rPr>
        <w:t> </w:t>
      </w:r>
      <w:r>
        <w:rPr>
          <w:sz w:val="20"/>
        </w:rPr>
        <w:t>perhaps</w:t>
      </w:r>
      <w:r>
        <w:rPr>
          <w:spacing w:val="9"/>
          <w:sz w:val="20"/>
        </w:rPr>
        <w:t> </w:t>
      </w:r>
      <w:r>
        <w:rPr>
          <w:sz w:val="20"/>
        </w:rPr>
        <w:t>suggest</w:t>
      </w:r>
      <w:r>
        <w:rPr>
          <w:spacing w:val="9"/>
          <w:sz w:val="20"/>
        </w:rPr>
        <w:t> </w:t>
      </w:r>
      <w:r>
        <w:rPr>
          <w:sz w:val="20"/>
        </w:rPr>
        <w:t>that</w:t>
      </w:r>
      <w:r>
        <w:rPr>
          <w:spacing w:val="9"/>
          <w:sz w:val="20"/>
        </w:rPr>
        <w:t> </w:t>
      </w:r>
      <w:r>
        <w:rPr>
          <w:sz w:val="20"/>
        </w:rPr>
        <w:t>a</w:t>
      </w:r>
      <w:r>
        <w:rPr>
          <w:spacing w:val="9"/>
          <w:sz w:val="20"/>
        </w:rPr>
        <w:t> </w:t>
      </w:r>
      <w:r>
        <w:rPr>
          <w:sz w:val="20"/>
        </w:rPr>
        <w:t>shop</w:t>
      </w:r>
      <w:r>
        <w:rPr>
          <w:spacing w:val="9"/>
          <w:sz w:val="20"/>
        </w:rPr>
        <w:t> </w:t>
      </w:r>
      <w:r>
        <w:rPr>
          <w:sz w:val="20"/>
        </w:rPr>
        <w:t>window</w:t>
      </w:r>
      <w:r>
        <w:rPr>
          <w:spacing w:val="9"/>
          <w:sz w:val="20"/>
        </w:rPr>
        <w:t> </w:t>
      </w:r>
      <w:r>
        <w:rPr>
          <w:spacing w:val="-2"/>
          <w:sz w:val="20"/>
        </w:rPr>
        <w:t>display</w:t>
      </w:r>
    </w:p>
    <w:p>
      <w:pPr>
        <w:spacing w:after="0" w:line="235" w:lineRule="auto"/>
        <w:jc w:val="both"/>
        <w:rPr>
          <w:sz w:val="20"/>
        </w:rPr>
        <w:sectPr>
          <w:pgSz w:w="11900" w:h="16840"/>
          <w:pgMar w:header="971" w:footer="0" w:top="1300" w:bottom="280" w:left="1275" w:right="1275"/>
        </w:sectPr>
      </w:pPr>
    </w:p>
    <w:p>
      <w:pPr>
        <w:pStyle w:val="BodyText"/>
        <w:spacing w:before="106"/>
        <w:ind w:left="705"/>
      </w:pPr>
      <w:r>
        <w:rPr/>
        <w:t>is an offer. See also Winfield (1939) 55 L.Q.R. 499, </w:t>
      </w:r>
      <w:r>
        <w:rPr>
          <w:spacing w:val="-2"/>
        </w:rPr>
        <w:t>516–518.</w:t>
      </w:r>
    </w:p>
    <w:p>
      <w:pPr>
        <w:pStyle w:val="BodyText"/>
        <w:spacing w:before="9"/>
      </w:pPr>
    </w:p>
    <w:p>
      <w:pPr>
        <w:spacing w:line="235" w:lineRule="auto" w:before="0"/>
        <w:ind w:left="705" w:right="167" w:hanging="541"/>
        <w:jc w:val="both"/>
        <w:rPr>
          <w:sz w:val="20"/>
        </w:rPr>
      </w:pPr>
      <w:bookmarkStart w:name="_bookmark187" w:id="189"/>
      <w:bookmarkEnd w:id="189"/>
      <w:r>
        <w:rPr/>
      </w:r>
      <w:hyperlink w:history="true" w:anchor="_bookmark64">
        <w:r>
          <w:rPr>
            <w:color w:val="005DA1"/>
            <w:position w:val="5"/>
            <w:sz w:val="14"/>
            <w:u w:val="single" w:color="005DA1"/>
          </w:rPr>
          <w:t>60</w:t>
        </w:r>
      </w:hyperlink>
      <w:r>
        <w:rPr>
          <w:position w:val="5"/>
          <w:sz w:val="14"/>
        </w:rPr>
        <w:t>.</w:t>
      </w:r>
      <w:r>
        <w:rPr>
          <w:spacing w:val="80"/>
          <w:position w:val="5"/>
          <w:sz w:val="14"/>
        </w:rPr>
        <w:t>  </w:t>
      </w:r>
      <w:r>
        <w:rPr>
          <w:rFonts w:ascii="Arial" w:hAnsi="Arial"/>
          <w:i/>
          <w:sz w:val="20"/>
        </w:rPr>
        <w:t>Pharmaceutical Society of Great Britain v Boots Cash Chemists (Southern) Ltd [1953] 1 Q.B. 410</w:t>
      </w:r>
      <w:r>
        <w:rPr>
          <w:sz w:val="20"/>
        </w:rPr>
        <w:t>; cf. </w:t>
      </w:r>
      <w:r>
        <w:rPr>
          <w:rFonts w:ascii="Arial" w:hAnsi="Arial"/>
          <w:i/>
          <w:sz w:val="20"/>
        </w:rPr>
        <w:t>Lacis v Cashmarts Ltd [1969] 2 Q.B. 400</w:t>
      </w:r>
      <w:r>
        <w:rPr>
          <w:sz w:val="20"/>
        </w:rPr>
        <w:t>; </w:t>
      </w:r>
      <w:r>
        <w:rPr>
          <w:rFonts w:ascii="Arial" w:hAnsi="Arial"/>
          <w:i/>
          <w:sz w:val="20"/>
        </w:rPr>
        <w:t>Davies v Leighton [1978] Crim. L.R. 575</w:t>
      </w:r>
      <w:r>
        <w:rPr>
          <w:sz w:val="20"/>
        </w:rPr>
        <w:t>. For the contrary view, see Ellison Kahn (1955) 72 S.A.L.J. 246, 250–253; </w:t>
      </w:r>
      <w:r>
        <w:rPr>
          <w:rFonts w:ascii="Arial" w:hAnsi="Arial"/>
          <w:i/>
          <w:sz w:val="20"/>
        </w:rPr>
        <w:t>Lasky v Economic Grocery Stores, 319 Mass. 224; 65 N.E. 2d 305 (1946)</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88" w:id="190"/>
      <w:bookmarkEnd w:id="190"/>
      <w:r>
        <w:rPr/>
      </w:r>
      <w:hyperlink w:history="true" w:anchor="_bookmark65">
        <w:r>
          <w:rPr>
            <w:color w:val="005DA1"/>
            <w:spacing w:val="-5"/>
            <w:position w:val="5"/>
            <w:sz w:val="14"/>
            <w:u w:val="single" w:color="005DA1"/>
          </w:rPr>
          <w:t>61</w:t>
        </w:r>
      </w:hyperlink>
      <w:r>
        <w:rPr>
          <w:spacing w:val="-5"/>
          <w:position w:val="5"/>
          <w:sz w:val="14"/>
        </w:rPr>
        <w:t>.</w:t>
      </w:r>
      <w:r>
        <w:rPr>
          <w:position w:val="5"/>
          <w:sz w:val="14"/>
        </w:rPr>
        <w:tab/>
      </w:r>
      <w:r>
        <w:rPr>
          <w:rFonts w:ascii="Arial"/>
          <w:i/>
          <w:sz w:val="20"/>
        </w:rPr>
        <w:t>Esso</w:t>
      </w:r>
      <w:r>
        <w:rPr>
          <w:rFonts w:ascii="Arial"/>
          <w:i/>
          <w:spacing w:val="52"/>
          <w:sz w:val="20"/>
        </w:rPr>
        <w:t> </w:t>
      </w:r>
      <w:r>
        <w:rPr>
          <w:rFonts w:ascii="Arial"/>
          <w:i/>
          <w:sz w:val="20"/>
        </w:rPr>
        <w:t>Petroleum</w:t>
      </w:r>
      <w:r>
        <w:rPr>
          <w:rFonts w:ascii="Arial"/>
          <w:i/>
          <w:spacing w:val="52"/>
          <w:sz w:val="20"/>
        </w:rPr>
        <w:t> </w:t>
      </w:r>
      <w:r>
        <w:rPr>
          <w:rFonts w:ascii="Arial"/>
          <w:i/>
          <w:sz w:val="20"/>
        </w:rPr>
        <w:t>Ltd</w:t>
      </w:r>
      <w:r>
        <w:rPr>
          <w:rFonts w:ascii="Arial"/>
          <w:i/>
          <w:spacing w:val="52"/>
          <w:sz w:val="20"/>
        </w:rPr>
        <w:t> </w:t>
      </w:r>
      <w:r>
        <w:rPr>
          <w:rFonts w:ascii="Arial"/>
          <w:i/>
          <w:sz w:val="20"/>
        </w:rPr>
        <w:t>v</w:t>
      </w:r>
      <w:r>
        <w:rPr>
          <w:rFonts w:ascii="Arial"/>
          <w:i/>
          <w:spacing w:val="52"/>
          <w:sz w:val="20"/>
        </w:rPr>
        <w:t> </w:t>
      </w:r>
      <w:r>
        <w:rPr>
          <w:rFonts w:ascii="Arial"/>
          <w:i/>
          <w:sz w:val="20"/>
        </w:rPr>
        <w:t>Commissioners</w:t>
      </w:r>
      <w:r>
        <w:rPr>
          <w:rFonts w:ascii="Arial"/>
          <w:i/>
          <w:spacing w:val="52"/>
          <w:sz w:val="20"/>
        </w:rPr>
        <w:t> </w:t>
      </w:r>
      <w:r>
        <w:rPr>
          <w:rFonts w:ascii="Arial"/>
          <w:i/>
          <w:sz w:val="20"/>
        </w:rPr>
        <w:t>of</w:t>
      </w:r>
      <w:r>
        <w:rPr>
          <w:rFonts w:ascii="Arial"/>
          <w:i/>
          <w:spacing w:val="52"/>
          <w:sz w:val="20"/>
        </w:rPr>
        <w:t> </w:t>
      </w:r>
      <w:r>
        <w:rPr>
          <w:rFonts w:ascii="Arial"/>
          <w:i/>
          <w:sz w:val="20"/>
        </w:rPr>
        <w:t>Customs</w:t>
      </w:r>
      <w:r>
        <w:rPr>
          <w:rFonts w:ascii="Arial"/>
          <w:i/>
          <w:spacing w:val="52"/>
          <w:sz w:val="20"/>
        </w:rPr>
        <w:t> </w:t>
      </w:r>
      <w:r>
        <w:rPr>
          <w:rFonts w:ascii="Arial"/>
          <w:i/>
          <w:sz w:val="20"/>
        </w:rPr>
        <w:t>&amp;</w:t>
      </w:r>
      <w:r>
        <w:rPr>
          <w:rFonts w:ascii="Arial"/>
          <w:i/>
          <w:spacing w:val="52"/>
          <w:sz w:val="20"/>
        </w:rPr>
        <w:t> </w:t>
      </w:r>
      <w:r>
        <w:rPr>
          <w:rFonts w:ascii="Arial"/>
          <w:i/>
          <w:sz w:val="20"/>
        </w:rPr>
        <w:t>Excise</w:t>
      </w:r>
      <w:r>
        <w:rPr>
          <w:rFonts w:ascii="Arial"/>
          <w:i/>
          <w:spacing w:val="52"/>
          <w:sz w:val="20"/>
        </w:rPr>
        <w:t> </w:t>
      </w:r>
      <w:r>
        <w:rPr>
          <w:rFonts w:ascii="Arial"/>
          <w:i/>
          <w:sz w:val="20"/>
        </w:rPr>
        <w:t>[1976]</w:t>
      </w:r>
      <w:r>
        <w:rPr>
          <w:rFonts w:ascii="Arial"/>
          <w:i/>
          <w:spacing w:val="52"/>
          <w:sz w:val="20"/>
        </w:rPr>
        <w:t> </w:t>
      </w:r>
      <w:r>
        <w:rPr>
          <w:rFonts w:ascii="Arial"/>
          <w:i/>
          <w:sz w:val="20"/>
        </w:rPr>
        <w:t>1</w:t>
      </w:r>
      <w:r>
        <w:rPr>
          <w:rFonts w:ascii="Arial"/>
          <w:i/>
          <w:spacing w:val="52"/>
          <w:sz w:val="20"/>
        </w:rPr>
        <w:t> </w:t>
      </w:r>
      <w:r>
        <w:rPr>
          <w:rFonts w:ascii="Arial"/>
          <w:i/>
          <w:sz w:val="20"/>
        </w:rPr>
        <w:t>W.L.R.</w:t>
      </w:r>
      <w:r>
        <w:rPr>
          <w:rFonts w:ascii="Arial"/>
          <w:i/>
          <w:spacing w:val="52"/>
          <w:sz w:val="20"/>
        </w:rPr>
        <w:t> </w:t>
      </w:r>
      <w:r>
        <w:rPr>
          <w:rFonts w:ascii="Arial"/>
          <w:i/>
          <w:sz w:val="20"/>
        </w:rPr>
        <w:t>1,</w:t>
      </w:r>
      <w:r>
        <w:rPr>
          <w:rFonts w:ascii="Arial"/>
          <w:i/>
          <w:spacing w:val="52"/>
          <w:sz w:val="20"/>
        </w:rPr>
        <w:t> </w:t>
      </w:r>
      <w:r>
        <w:rPr>
          <w:rFonts w:ascii="Arial"/>
          <w:i/>
          <w:sz w:val="20"/>
        </w:rPr>
        <w:t>5,</w:t>
      </w:r>
      <w:r>
        <w:rPr>
          <w:rFonts w:ascii="Arial"/>
          <w:i/>
          <w:spacing w:val="52"/>
          <w:sz w:val="20"/>
        </w:rPr>
        <w:t> </w:t>
      </w:r>
      <w:r>
        <w:rPr>
          <w:rFonts w:ascii="Arial"/>
          <w:i/>
          <w:sz w:val="20"/>
        </w:rPr>
        <w:t>6,</w:t>
      </w:r>
      <w:r>
        <w:rPr>
          <w:rFonts w:ascii="Arial"/>
          <w:i/>
          <w:spacing w:val="52"/>
          <w:sz w:val="20"/>
        </w:rPr>
        <w:t> </w:t>
      </w:r>
      <w:r>
        <w:rPr>
          <w:rFonts w:ascii="Arial"/>
          <w:i/>
          <w:spacing w:val="-5"/>
          <w:sz w:val="20"/>
        </w:rPr>
        <w:t>11</w:t>
      </w:r>
      <w:r>
        <w:rPr>
          <w:spacing w:val="-5"/>
          <w:sz w:val="20"/>
        </w:rPr>
        <w:t>;</w:t>
      </w:r>
    </w:p>
    <w:p>
      <w:pPr>
        <w:spacing w:line="227" w:lineRule="exact" w:before="0"/>
        <w:ind w:left="705" w:right="0" w:firstLine="0"/>
        <w:jc w:val="left"/>
        <w:rPr>
          <w:sz w:val="20"/>
        </w:rPr>
      </w:pPr>
      <w:r>
        <w:rPr>
          <w:rFonts w:ascii="Arial"/>
          <w:i/>
          <w:sz w:val="20"/>
        </w:rPr>
        <w:t>Richardson v Worrall [1985] S.T.C. 693, </w:t>
      </w:r>
      <w:r>
        <w:rPr>
          <w:rFonts w:ascii="Arial"/>
          <w:i/>
          <w:spacing w:val="-4"/>
          <w:sz w:val="20"/>
        </w:rPr>
        <w:t>717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89" w:id="191"/>
      <w:bookmarkEnd w:id="191"/>
      <w:r>
        <w:rPr/>
      </w:r>
      <w:hyperlink w:history="true" w:anchor="_bookmark66">
        <w:r>
          <w:rPr>
            <w:color w:val="005DA1"/>
            <w:spacing w:val="-4"/>
            <w:position w:val="5"/>
            <w:sz w:val="14"/>
            <w:u w:val="single" w:color="005DA1"/>
          </w:rPr>
          <w:t>62</w:t>
        </w:r>
      </w:hyperlink>
      <w:r>
        <w:rPr>
          <w:spacing w:val="-4"/>
          <w:position w:val="5"/>
          <w:sz w:val="14"/>
        </w:rPr>
        <w:t>.</w:t>
      </w:r>
      <w:r>
        <w:rPr>
          <w:position w:val="5"/>
          <w:sz w:val="14"/>
        </w:rPr>
        <w:tab/>
      </w:r>
      <w:r>
        <w:rPr>
          <w:rFonts w:ascii="Arial"/>
          <w:i/>
          <w:sz w:val="20"/>
        </w:rPr>
        <w:t>Re</w:t>
      </w:r>
      <w:r>
        <w:rPr>
          <w:rFonts w:ascii="Arial"/>
          <w:i/>
          <w:spacing w:val="64"/>
          <w:sz w:val="20"/>
        </w:rPr>
        <w:t> </w:t>
      </w:r>
      <w:r>
        <w:rPr>
          <w:rFonts w:ascii="Arial"/>
          <w:i/>
          <w:sz w:val="20"/>
        </w:rPr>
        <w:t>Charge</w:t>
      </w:r>
      <w:r>
        <w:rPr>
          <w:rFonts w:ascii="Arial"/>
          <w:i/>
          <w:spacing w:val="64"/>
          <w:sz w:val="20"/>
        </w:rPr>
        <w:t> </w:t>
      </w:r>
      <w:r>
        <w:rPr>
          <w:rFonts w:ascii="Arial"/>
          <w:i/>
          <w:sz w:val="20"/>
        </w:rPr>
        <w:t>Card</w:t>
      </w:r>
      <w:r>
        <w:rPr>
          <w:rFonts w:ascii="Arial"/>
          <w:i/>
          <w:spacing w:val="64"/>
          <w:sz w:val="20"/>
        </w:rPr>
        <w:t> </w:t>
      </w:r>
      <w:r>
        <w:rPr>
          <w:rFonts w:ascii="Arial"/>
          <w:i/>
          <w:sz w:val="20"/>
        </w:rPr>
        <w:t>Services</w:t>
      </w:r>
      <w:r>
        <w:rPr>
          <w:rFonts w:ascii="Arial"/>
          <w:i/>
          <w:spacing w:val="64"/>
          <w:sz w:val="20"/>
        </w:rPr>
        <w:t> </w:t>
      </w:r>
      <w:r>
        <w:rPr>
          <w:rFonts w:ascii="Arial"/>
          <w:i/>
          <w:sz w:val="20"/>
        </w:rPr>
        <w:t>[1989]</w:t>
      </w:r>
      <w:r>
        <w:rPr>
          <w:rFonts w:ascii="Arial"/>
          <w:i/>
          <w:spacing w:val="64"/>
          <w:sz w:val="20"/>
        </w:rPr>
        <w:t> </w:t>
      </w:r>
      <w:r>
        <w:rPr>
          <w:rFonts w:ascii="Arial"/>
          <w:i/>
          <w:sz w:val="20"/>
        </w:rPr>
        <w:t>Ch.</w:t>
      </w:r>
      <w:r>
        <w:rPr>
          <w:rFonts w:ascii="Arial"/>
          <w:i/>
          <w:spacing w:val="64"/>
          <w:sz w:val="20"/>
        </w:rPr>
        <w:t> </w:t>
      </w:r>
      <w:r>
        <w:rPr>
          <w:rFonts w:ascii="Arial"/>
          <w:i/>
          <w:sz w:val="20"/>
        </w:rPr>
        <w:t>417,</w:t>
      </w:r>
      <w:r>
        <w:rPr>
          <w:rFonts w:ascii="Arial"/>
          <w:i/>
          <w:spacing w:val="64"/>
          <w:sz w:val="20"/>
        </w:rPr>
        <w:t> </w:t>
      </w:r>
      <w:r>
        <w:rPr>
          <w:rFonts w:ascii="Arial"/>
          <w:i/>
          <w:sz w:val="20"/>
        </w:rPr>
        <w:t>512</w:t>
      </w:r>
      <w:r>
        <w:rPr>
          <w:sz w:val="20"/>
        </w:rPr>
        <w:t>;</w:t>
      </w:r>
      <w:r>
        <w:rPr>
          <w:spacing w:val="64"/>
          <w:sz w:val="20"/>
        </w:rPr>
        <w:t> </w:t>
      </w:r>
      <w:r>
        <w:rPr>
          <w:sz w:val="20"/>
        </w:rPr>
        <w:t>for</w:t>
      </w:r>
      <w:r>
        <w:rPr>
          <w:spacing w:val="64"/>
          <w:sz w:val="20"/>
        </w:rPr>
        <w:t> </w:t>
      </w:r>
      <w:r>
        <w:rPr>
          <w:sz w:val="20"/>
        </w:rPr>
        <w:t>acceptance</w:t>
      </w:r>
      <w:r>
        <w:rPr>
          <w:spacing w:val="64"/>
          <w:sz w:val="20"/>
        </w:rPr>
        <w:t> </w:t>
      </w:r>
      <w:r>
        <w:rPr>
          <w:sz w:val="20"/>
        </w:rPr>
        <w:t>by</w:t>
      </w:r>
      <w:r>
        <w:rPr>
          <w:spacing w:val="64"/>
          <w:sz w:val="20"/>
        </w:rPr>
        <w:t> </w:t>
      </w:r>
      <w:r>
        <w:rPr>
          <w:sz w:val="20"/>
        </w:rPr>
        <w:t>conduct,</w:t>
      </w:r>
      <w:r>
        <w:rPr>
          <w:spacing w:val="64"/>
          <w:sz w:val="20"/>
        </w:rPr>
        <w:t> </w:t>
      </w:r>
      <w:r>
        <w:rPr>
          <w:sz w:val="20"/>
        </w:rPr>
        <w:t>see</w:t>
      </w:r>
      <w:r>
        <w:rPr>
          <w:spacing w:val="64"/>
          <w:sz w:val="20"/>
        </w:rPr>
        <w:t> </w:t>
      </w:r>
      <w:r>
        <w:rPr>
          <w:sz w:val="20"/>
        </w:rPr>
        <w:t>below, </w:t>
      </w:r>
      <w:r>
        <w:rPr>
          <w:spacing w:val="-2"/>
          <w:sz w:val="20"/>
        </w:rPr>
        <w:t>para.2-029.</w:t>
      </w:r>
    </w:p>
    <w:p>
      <w:pPr>
        <w:pStyle w:val="BodyText"/>
        <w:spacing w:before="5"/>
      </w:pPr>
    </w:p>
    <w:p>
      <w:pPr>
        <w:pStyle w:val="BodyText"/>
        <w:tabs>
          <w:tab w:pos="705" w:val="left" w:leader="none"/>
        </w:tabs>
        <w:ind w:left="165"/>
      </w:pPr>
      <w:bookmarkStart w:name="_bookmark190" w:id="192"/>
      <w:bookmarkEnd w:id="192"/>
      <w:r>
        <w:rPr/>
      </w:r>
      <w:hyperlink w:history="true" w:anchor="_bookmark67">
        <w:r>
          <w:rPr>
            <w:color w:val="005DA1"/>
            <w:spacing w:val="-5"/>
            <w:position w:val="5"/>
            <w:sz w:val="14"/>
            <w:u w:val="single" w:color="005DA1"/>
          </w:rPr>
          <w:t>63</w:t>
        </w:r>
      </w:hyperlink>
      <w:r>
        <w:rPr>
          <w:spacing w:val="-5"/>
          <w:position w:val="5"/>
          <w:sz w:val="14"/>
        </w:rPr>
        <w:t>.</w:t>
      </w:r>
      <w:r>
        <w:rPr>
          <w:position w:val="5"/>
          <w:sz w:val="14"/>
        </w:rPr>
        <w:tab/>
      </w:r>
      <w:r>
        <w:rPr/>
        <w:t>cf. below, para.2-013 at </w:t>
      </w:r>
      <w:r>
        <w:rPr>
          <w:spacing w:val="-2"/>
        </w:rPr>
        <w:t>n.70.</w:t>
      </w:r>
    </w:p>
    <w:p>
      <w:pPr>
        <w:pStyle w:val="BodyText"/>
        <w:spacing w:before="5"/>
      </w:pPr>
    </w:p>
    <w:p>
      <w:pPr>
        <w:pStyle w:val="BodyText"/>
        <w:tabs>
          <w:tab w:pos="705" w:val="left" w:leader="none"/>
        </w:tabs>
        <w:ind w:left="165"/>
      </w:pPr>
      <w:bookmarkStart w:name="_bookmark191" w:id="193"/>
      <w:bookmarkEnd w:id="193"/>
      <w:r>
        <w:rPr/>
      </w:r>
      <w:hyperlink w:history="true" w:anchor="_bookmark68">
        <w:r>
          <w:rPr>
            <w:color w:val="005DA1"/>
            <w:spacing w:val="-5"/>
            <w:position w:val="5"/>
            <w:sz w:val="14"/>
            <w:u w:val="single" w:color="005DA1"/>
          </w:rPr>
          <w:t>64</w:t>
        </w:r>
      </w:hyperlink>
      <w:r>
        <w:rPr>
          <w:spacing w:val="-5"/>
          <w:position w:val="5"/>
          <w:sz w:val="14"/>
        </w:rPr>
        <w:t>.</w:t>
      </w:r>
      <w:r>
        <w:rPr>
          <w:position w:val="5"/>
          <w:sz w:val="14"/>
        </w:rPr>
        <w:tab/>
      </w:r>
      <w:r>
        <w:rPr/>
        <w:t>Above, para.2-</w:t>
      </w:r>
      <w:r>
        <w:rPr>
          <w:spacing w:val="-4"/>
        </w:rPr>
        <w:t>008.</w:t>
      </w:r>
    </w:p>
    <w:p>
      <w:pPr>
        <w:pStyle w:val="BodyText"/>
        <w:spacing w:before="5"/>
      </w:pPr>
    </w:p>
    <w:p>
      <w:pPr>
        <w:tabs>
          <w:tab w:pos="705" w:val="left" w:leader="none"/>
        </w:tabs>
        <w:spacing w:before="0"/>
        <w:ind w:left="165" w:right="0" w:firstLine="0"/>
        <w:jc w:val="left"/>
        <w:rPr>
          <w:sz w:val="20"/>
        </w:rPr>
      </w:pPr>
      <w:bookmarkStart w:name="_bookmark192" w:id="194"/>
      <w:bookmarkEnd w:id="194"/>
      <w:r>
        <w:rPr/>
      </w:r>
      <w:hyperlink w:history="true" w:anchor="_bookmark69">
        <w:r>
          <w:rPr>
            <w:color w:val="005DA1"/>
            <w:spacing w:val="-5"/>
            <w:position w:val="5"/>
            <w:sz w:val="14"/>
            <w:u w:val="single" w:color="005DA1"/>
          </w:rPr>
          <w:t>65</w:t>
        </w:r>
      </w:hyperlink>
      <w:r>
        <w:rPr>
          <w:spacing w:val="-5"/>
          <w:position w:val="5"/>
          <w:sz w:val="14"/>
        </w:rPr>
        <w:t>.</w:t>
      </w:r>
      <w:r>
        <w:rPr>
          <w:position w:val="5"/>
          <w:sz w:val="14"/>
        </w:rPr>
        <w:tab/>
      </w:r>
      <w:r>
        <w:rPr>
          <w:rFonts w:ascii="Arial"/>
          <w:i/>
          <w:sz w:val="20"/>
        </w:rPr>
        <w:t>R. v Warwickshire CC, Ex p. Johnson [1993] A.C. 583, </w:t>
      </w:r>
      <w:r>
        <w:rPr>
          <w:rFonts w:ascii="Arial"/>
          <w:i/>
          <w:spacing w:val="-4"/>
          <w:sz w:val="20"/>
        </w:rPr>
        <w:t>588</w:t>
      </w:r>
      <w:r>
        <w:rPr>
          <w:spacing w:val="-4"/>
          <w:sz w:val="20"/>
        </w:rPr>
        <w:t>.</w:t>
      </w:r>
    </w:p>
    <w:p>
      <w:pPr>
        <w:pStyle w:val="BodyText"/>
        <w:spacing w:before="5"/>
      </w:pPr>
    </w:p>
    <w:p>
      <w:pPr>
        <w:pStyle w:val="BodyText"/>
        <w:tabs>
          <w:tab w:pos="705" w:val="left" w:leader="none"/>
        </w:tabs>
        <w:ind w:left="165"/>
      </w:pPr>
      <w:bookmarkStart w:name="_bookmark193" w:id="195"/>
      <w:bookmarkEnd w:id="195"/>
      <w:r>
        <w:rPr/>
      </w:r>
      <w:hyperlink w:history="true" w:anchor="_bookmark70">
        <w:r>
          <w:rPr>
            <w:color w:val="005DA1"/>
            <w:spacing w:val="-5"/>
            <w:position w:val="5"/>
            <w:sz w:val="14"/>
            <w:u w:val="single" w:color="005DA1"/>
          </w:rPr>
          <w:t>66</w:t>
        </w:r>
      </w:hyperlink>
      <w:r>
        <w:rPr>
          <w:spacing w:val="-5"/>
          <w:position w:val="5"/>
          <w:sz w:val="14"/>
        </w:rPr>
        <w:t>.</w:t>
      </w:r>
      <w:r>
        <w:rPr>
          <w:position w:val="5"/>
          <w:sz w:val="14"/>
        </w:rPr>
        <w:tab/>
      </w:r>
      <w:r>
        <w:rPr/>
        <w:t>Below, para.2-</w:t>
      </w:r>
      <w:r>
        <w:rPr>
          <w:spacing w:val="-4"/>
        </w:rPr>
        <w:t>093.</w:t>
      </w:r>
    </w:p>
    <w:p>
      <w:pPr>
        <w:pStyle w:val="BodyText"/>
        <w:spacing w:before="9"/>
      </w:pPr>
    </w:p>
    <w:p>
      <w:pPr>
        <w:pStyle w:val="BodyText"/>
        <w:spacing w:line="235" w:lineRule="auto"/>
        <w:ind w:left="705" w:right="167" w:hanging="541"/>
        <w:jc w:val="both"/>
      </w:pPr>
      <w:bookmarkStart w:name="_bookmark194" w:id="196"/>
      <w:bookmarkEnd w:id="196"/>
      <w:r>
        <w:rPr/>
      </w:r>
      <w:hyperlink w:history="true" w:anchor="_bookmark71">
        <w:r>
          <w:rPr>
            <w:color w:val="005DA1"/>
            <w:position w:val="5"/>
            <w:sz w:val="14"/>
            <w:u w:val="single" w:color="005DA1"/>
          </w:rPr>
          <w:t>67</w:t>
        </w:r>
      </w:hyperlink>
      <w:r>
        <w:rPr>
          <w:position w:val="5"/>
          <w:sz w:val="14"/>
        </w:rPr>
        <w:t>.</w:t>
      </w:r>
      <w:r>
        <w:rPr>
          <w:spacing w:val="40"/>
          <w:position w:val="5"/>
          <w:sz w:val="14"/>
        </w:rPr>
        <w:t>  </w:t>
      </w:r>
      <w:r>
        <w:rPr/>
        <w:t>Under</w:t>
      </w:r>
      <w:r>
        <w:rPr>
          <w:spacing w:val="40"/>
        </w:rPr>
        <w:t> </w:t>
      </w:r>
      <w:r>
        <w:rPr/>
        <w:t>the</w:t>
      </w:r>
      <w:r>
        <w:rPr>
          <w:spacing w:val="40"/>
        </w:rPr>
        <w:t> </w:t>
      </w:r>
      <w:r>
        <w:rPr/>
        <w:t>Consumer</w:t>
      </w:r>
      <w:r>
        <w:rPr>
          <w:spacing w:val="40"/>
        </w:rPr>
        <w:t> </w:t>
      </w:r>
      <w:r>
        <w:rPr/>
        <w:t>Protection</w:t>
      </w:r>
      <w:r>
        <w:rPr>
          <w:spacing w:val="40"/>
        </w:rPr>
        <w:t> </w:t>
      </w:r>
      <w:r>
        <w:rPr/>
        <w:t>from</w:t>
      </w:r>
      <w:r>
        <w:rPr>
          <w:spacing w:val="40"/>
        </w:rPr>
        <w:t> </w:t>
      </w:r>
      <w:r>
        <w:rPr/>
        <w:t>Unfair</w:t>
      </w:r>
      <w:r>
        <w:rPr>
          <w:spacing w:val="40"/>
        </w:rPr>
        <w:t> </w:t>
      </w:r>
      <w:r>
        <w:rPr/>
        <w:t>Trading</w:t>
      </w:r>
      <w:r>
        <w:rPr>
          <w:spacing w:val="40"/>
        </w:rPr>
        <w:t> </w:t>
      </w:r>
      <w:r>
        <w:rPr/>
        <w:t>Regulations</w:t>
      </w:r>
      <w:r>
        <w:rPr>
          <w:spacing w:val="40"/>
        </w:rPr>
        <w:t> </w:t>
      </w:r>
      <w:r>
        <w:rPr/>
        <w:t>2008</w:t>
      </w:r>
      <w:r>
        <w:rPr>
          <w:spacing w:val="40"/>
        </w:rPr>
        <w:t> </w:t>
      </w:r>
      <w:r>
        <w:rPr/>
        <w:t>(SI</w:t>
      </w:r>
      <w:r>
        <w:rPr>
          <w:spacing w:val="40"/>
        </w:rPr>
        <w:t> </w:t>
      </w:r>
      <w:r>
        <w:rPr/>
        <w:t>2008/1277) reg.3(4)(d) and Sch.1 para.6, a trader (as defined in reg.2, as amended by reg.2 the Consumer Protection (Amendment) Regulations 2014 (SI 2014/870)) commits an offence if he “makes an invitation to purchase products at a specified price” and then refuses to show the advertised item to consumers or refuses to take orders for it, though only if he does so “with the intention</w:t>
      </w:r>
      <w:r>
        <w:rPr>
          <w:spacing w:val="40"/>
        </w:rPr>
        <w:t> </w:t>
      </w:r>
      <w:r>
        <w:rPr/>
        <w:t>of promoting a different product (bait and switch)”. A misleading price indication could also conceivably amount to deceit. And see below, para.2-017.</w:t>
      </w:r>
    </w:p>
    <w:p>
      <w:pPr>
        <w:pStyle w:val="BodyText"/>
        <w:spacing w:before="7"/>
      </w:pPr>
    </w:p>
    <w:p>
      <w:pPr>
        <w:spacing w:line="235" w:lineRule="auto" w:before="1"/>
        <w:ind w:left="705" w:right="167" w:hanging="541"/>
        <w:jc w:val="both"/>
        <w:rPr>
          <w:sz w:val="20"/>
        </w:rPr>
      </w:pPr>
      <w:bookmarkStart w:name="_bookmark195" w:id="197"/>
      <w:bookmarkEnd w:id="197"/>
      <w:r>
        <w:rPr/>
      </w:r>
      <w:hyperlink w:history="true" w:anchor="_bookmark72">
        <w:r>
          <w:rPr>
            <w:color w:val="005DA1"/>
            <w:position w:val="5"/>
            <w:sz w:val="14"/>
            <w:u w:val="single" w:color="005DA1"/>
          </w:rPr>
          <w:t>68</w:t>
        </w:r>
      </w:hyperlink>
      <w:r>
        <w:rPr>
          <w:position w:val="5"/>
          <w:sz w:val="14"/>
        </w:rPr>
        <w:t>.</w:t>
      </w:r>
      <w:r>
        <w:rPr>
          <w:spacing w:val="80"/>
          <w:w w:val="150"/>
          <w:position w:val="5"/>
          <w:sz w:val="14"/>
        </w:rPr>
        <w:t> </w:t>
      </w:r>
      <w:r>
        <w:rPr>
          <w:sz w:val="20"/>
        </w:rPr>
        <w:t>See </w:t>
      </w:r>
      <w:r>
        <w:rPr>
          <w:rFonts w:ascii="Arial" w:hAnsi="Arial"/>
          <w:i/>
          <w:sz w:val="20"/>
        </w:rPr>
        <w:t>Lasky v Economic Grocery Stores</w:t>
      </w:r>
      <w:r>
        <w:rPr>
          <w:sz w:val="20"/>
        </w:rPr>
        <w:t>, above, n.60. An alternative possibility is that the acceptance may take place before such presentation of the goods but be subject until then to the</w:t>
      </w:r>
      <w:r>
        <w:rPr>
          <w:spacing w:val="-1"/>
          <w:sz w:val="20"/>
        </w:rPr>
        <w:t> </w:t>
      </w:r>
      <w:r>
        <w:rPr>
          <w:sz w:val="20"/>
        </w:rPr>
        <w:t>customer’s</w:t>
      </w:r>
      <w:r>
        <w:rPr>
          <w:spacing w:val="-1"/>
          <w:sz w:val="20"/>
        </w:rPr>
        <w:t> </w:t>
      </w:r>
      <w:r>
        <w:rPr>
          <w:sz w:val="20"/>
        </w:rPr>
        <w:t>power</w:t>
      </w:r>
      <w:r>
        <w:rPr>
          <w:spacing w:val="-1"/>
          <w:sz w:val="20"/>
        </w:rPr>
        <w:t> </w:t>
      </w:r>
      <w:r>
        <w:rPr>
          <w:sz w:val="20"/>
        </w:rPr>
        <w:t>to</w:t>
      </w:r>
      <w:r>
        <w:rPr>
          <w:spacing w:val="-1"/>
          <w:sz w:val="20"/>
        </w:rPr>
        <w:t> </w:t>
      </w:r>
      <w:r>
        <w:rPr>
          <w:sz w:val="20"/>
        </w:rPr>
        <w:t>cancel:</w:t>
      </w:r>
      <w:r>
        <w:rPr>
          <w:spacing w:val="-1"/>
          <w:sz w:val="20"/>
        </w:rPr>
        <w:t> </w:t>
      </w:r>
      <w:r>
        <w:rPr>
          <w:sz w:val="20"/>
        </w:rPr>
        <w:t>see</w:t>
      </w:r>
      <w:r>
        <w:rPr>
          <w:spacing w:val="-1"/>
          <w:sz w:val="20"/>
        </w:rPr>
        <w:t> </w:t>
      </w:r>
      <w:r>
        <w:rPr>
          <w:rFonts w:ascii="Arial" w:hAnsi="Arial"/>
          <w:i/>
          <w:sz w:val="20"/>
        </w:rPr>
        <w:t>Gillespie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Great</w:t>
      </w:r>
      <w:r>
        <w:rPr>
          <w:rFonts w:ascii="Arial" w:hAnsi="Arial"/>
          <w:i/>
          <w:spacing w:val="-1"/>
          <w:sz w:val="20"/>
        </w:rPr>
        <w:t> </w:t>
      </w:r>
      <w:r>
        <w:rPr>
          <w:rFonts w:ascii="Arial" w:hAnsi="Arial"/>
          <w:i/>
          <w:sz w:val="20"/>
        </w:rPr>
        <w:t>Atlantic</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Pacific</w:t>
      </w:r>
      <w:r>
        <w:rPr>
          <w:rFonts w:ascii="Arial" w:hAnsi="Arial"/>
          <w:i/>
          <w:spacing w:val="-1"/>
          <w:sz w:val="20"/>
        </w:rPr>
        <w:t> </w:t>
      </w:r>
      <w:r>
        <w:rPr>
          <w:rFonts w:ascii="Arial" w:hAnsi="Arial"/>
          <w:i/>
          <w:sz w:val="20"/>
        </w:rPr>
        <w:t>Stores,</w:t>
      </w:r>
      <w:r>
        <w:rPr>
          <w:rFonts w:ascii="Arial" w:hAnsi="Arial"/>
          <w:i/>
          <w:spacing w:val="-1"/>
          <w:sz w:val="20"/>
        </w:rPr>
        <w:t> </w:t>
      </w:r>
      <w:r>
        <w:rPr>
          <w:rFonts w:ascii="Arial" w:hAnsi="Arial"/>
          <w:i/>
          <w:sz w:val="20"/>
        </w:rPr>
        <w:t>187</w:t>
      </w:r>
      <w:r>
        <w:rPr>
          <w:rFonts w:ascii="Arial" w:hAnsi="Arial"/>
          <w:i/>
          <w:spacing w:val="-1"/>
          <w:sz w:val="20"/>
        </w:rPr>
        <w:t> </w:t>
      </w:r>
      <w:r>
        <w:rPr>
          <w:rFonts w:ascii="Arial" w:hAnsi="Arial"/>
          <w:i/>
          <w:sz w:val="20"/>
        </w:rPr>
        <w:t>S.E.</w:t>
      </w:r>
      <w:r>
        <w:rPr>
          <w:rFonts w:ascii="Arial" w:hAnsi="Arial"/>
          <w:i/>
          <w:spacing w:val="-1"/>
          <w:sz w:val="20"/>
        </w:rPr>
        <w:t> </w:t>
      </w:r>
      <w:r>
        <w:rPr>
          <w:rFonts w:ascii="Arial" w:hAnsi="Arial"/>
          <w:i/>
          <w:sz w:val="20"/>
        </w:rPr>
        <w:t>3d</w:t>
      </w:r>
      <w:r>
        <w:rPr>
          <w:rFonts w:ascii="Arial" w:hAnsi="Arial"/>
          <w:i/>
          <w:spacing w:val="-1"/>
          <w:sz w:val="20"/>
        </w:rPr>
        <w:t> </w:t>
      </w:r>
      <w:r>
        <w:rPr>
          <w:rFonts w:ascii="Arial" w:hAnsi="Arial"/>
          <w:i/>
          <w:sz w:val="20"/>
        </w:rPr>
        <w:t>441 (1972)</w:t>
      </w:r>
      <w:r>
        <w:rPr>
          <w:sz w:val="20"/>
        </w:rPr>
        <w:t>; </w:t>
      </w:r>
      <w:r>
        <w:rPr>
          <w:rFonts w:ascii="Arial" w:hAnsi="Arial"/>
          <w:i/>
          <w:sz w:val="20"/>
        </w:rPr>
        <w:t>Sheeskin v Giant Food Inc, 318 A 2d 874 (1974)</w:t>
      </w:r>
      <w:r>
        <w:rPr>
          <w:sz w:val="20"/>
        </w:rPr>
        <w:t>. cf. </w:t>
      </w:r>
      <w:r>
        <w:rPr>
          <w:rFonts w:ascii="Arial" w:hAnsi="Arial"/>
          <w:i/>
          <w:sz w:val="20"/>
        </w:rPr>
        <w:t>R. v Morris [1984] A.C. 320 </w:t>
      </w:r>
      <w:r>
        <w:rPr>
          <w:sz w:val="20"/>
        </w:rPr>
        <w:t>where taking</w:t>
      </w:r>
      <w:r>
        <w:rPr>
          <w:spacing w:val="-2"/>
          <w:sz w:val="20"/>
        </w:rPr>
        <w:t> </w:t>
      </w:r>
      <w:r>
        <w:rPr>
          <w:sz w:val="20"/>
        </w:rPr>
        <w:t>goods</w:t>
      </w:r>
      <w:r>
        <w:rPr>
          <w:spacing w:val="-2"/>
          <w:sz w:val="20"/>
        </w:rPr>
        <w:t> </w:t>
      </w:r>
      <w:r>
        <w:rPr>
          <w:sz w:val="20"/>
        </w:rPr>
        <w:t>off</w:t>
      </w:r>
      <w:r>
        <w:rPr>
          <w:spacing w:val="-2"/>
          <w:sz w:val="20"/>
        </w:rPr>
        <w:t> </w:t>
      </w:r>
      <w:r>
        <w:rPr>
          <w:sz w:val="20"/>
        </w:rPr>
        <w:t>the</w:t>
      </w:r>
      <w:r>
        <w:rPr>
          <w:spacing w:val="-2"/>
          <w:sz w:val="20"/>
        </w:rPr>
        <w:t> </w:t>
      </w:r>
      <w:r>
        <w:rPr>
          <w:sz w:val="20"/>
        </w:rPr>
        <w:t>shelf</w:t>
      </w:r>
      <w:r>
        <w:rPr>
          <w:spacing w:val="-2"/>
          <w:sz w:val="20"/>
        </w:rPr>
        <w:t> </w:t>
      </w:r>
      <w:r>
        <w:rPr>
          <w:sz w:val="20"/>
        </w:rPr>
        <w:t>of</w:t>
      </w:r>
      <w:r>
        <w:rPr>
          <w:spacing w:val="-2"/>
          <w:sz w:val="20"/>
        </w:rPr>
        <w:t> </w:t>
      </w:r>
      <w:r>
        <w:rPr>
          <w:sz w:val="20"/>
        </w:rPr>
        <w:t>a</w:t>
      </w:r>
      <w:r>
        <w:rPr>
          <w:spacing w:val="-2"/>
          <w:sz w:val="20"/>
        </w:rPr>
        <w:t> </w:t>
      </w:r>
      <w:r>
        <w:rPr>
          <w:sz w:val="20"/>
        </w:rPr>
        <w:t>self-service</w:t>
      </w:r>
      <w:r>
        <w:rPr>
          <w:spacing w:val="-2"/>
          <w:sz w:val="20"/>
        </w:rPr>
        <w:t> </w:t>
      </w:r>
      <w:r>
        <w:rPr>
          <w:sz w:val="20"/>
        </w:rPr>
        <w:t>store</w:t>
      </w:r>
      <w:r>
        <w:rPr>
          <w:spacing w:val="-2"/>
          <w:sz w:val="20"/>
        </w:rPr>
        <w:t> </w:t>
      </w:r>
      <w:r>
        <w:rPr>
          <w:rFonts w:ascii="Arial" w:hAnsi="Arial"/>
          <w:i/>
          <w:sz w:val="20"/>
        </w:rPr>
        <w:t>and</w:t>
      </w:r>
      <w:r>
        <w:rPr>
          <w:rFonts w:ascii="Arial" w:hAnsi="Arial"/>
          <w:i/>
          <w:spacing w:val="-2"/>
          <w:sz w:val="20"/>
        </w:rPr>
        <w:t> </w:t>
      </w:r>
      <w:r>
        <w:rPr>
          <w:rFonts w:ascii="Arial" w:hAnsi="Arial"/>
          <w:i/>
          <w:sz w:val="20"/>
        </w:rPr>
        <w:t>changing</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price</w:t>
      </w:r>
      <w:r>
        <w:rPr>
          <w:rFonts w:ascii="Arial" w:hAnsi="Arial"/>
          <w:i/>
          <w:spacing w:val="-2"/>
          <w:sz w:val="20"/>
        </w:rPr>
        <w:t> </w:t>
      </w:r>
      <w:r>
        <w:rPr>
          <w:rFonts w:ascii="Arial" w:hAnsi="Arial"/>
          <w:i/>
          <w:sz w:val="20"/>
        </w:rPr>
        <w:t>labels</w:t>
      </w:r>
      <w:r>
        <w:rPr>
          <w:rFonts w:ascii="Arial" w:hAnsi="Arial"/>
          <w:i/>
          <w:spacing w:val="-2"/>
          <w:sz w:val="20"/>
        </w:rPr>
        <w:t> </w:t>
      </w:r>
      <w:r>
        <w:rPr>
          <w:sz w:val="20"/>
        </w:rPr>
        <w:t>was</w:t>
      </w:r>
      <w:r>
        <w:rPr>
          <w:spacing w:val="-2"/>
          <w:sz w:val="20"/>
        </w:rPr>
        <w:t> </w:t>
      </w:r>
      <w:r>
        <w:rPr>
          <w:sz w:val="20"/>
        </w:rPr>
        <w:t>held</w:t>
      </w:r>
      <w:r>
        <w:rPr>
          <w:spacing w:val="-2"/>
          <w:sz w:val="20"/>
        </w:rPr>
        <w:t> </w:t>
      </w:r>
      <w:r>
        <w:rPr>
          <w:sz w:val="20"/>
        </w:rPr>
        <w:t>to</w:t>
      </w:r>
      <w:r>
        <w:rPr>
          <w:spacing w:val="-2"/>
          <w:sz w:val="20"/>
        </w:rPr>
        <w:t> </w:t>
      </w:r>
      <w:r>
        <w:rPr>
          <w:sz w:val="20"/>
        </w:rPr>
        <w:t>be</w:t>
      </w:r>
      <w:r>
        <w:rPr>
          <w:spacing w:val="-2"/>
          <w:sz w:val="20"/>
        </w:rPr>
        <w:t> </w:t>
      </w:r>
      <w:r>
        <w:rPr>
          <w:sz w:val="20"/>
        </w:rPr>
        <w:t>an “appropriation” within Theft Act 1968 s.3(1); but it does not follow that at this stage there would for</w:t>
      </w:r>
      <w:r>
        <w:rPr>
          <w:spacing w:val="-3"/>
          <w:sz w:val="20"/>
        </w:rPr>
        <w:t> </w:t>
      </w:r>
      <w:r>
        <w:rPr>
          <w:sz w:val="20"/>
        </w:rPr>
        <w:t>the</w:t>
      </w:r>
      <w:r>
        <w:rPr>
          <w:spacing w:val="-3"/>
          <w:sz w:val="20"/>
        </w:rPr>
        <w:t> </w:t>
      </w:r>
      <w:r>
        <w:rPr>
          <w:sz w:val="20"/>
        </w:rPr>
        <w:t>purpose</w:t>
      </w:r>
      <w:r>
        <w:rPr>
          <w:spacing w:val="-3"/>
          <w:sz w:val="20"/>
        </w:rPr>
        <w:t> </w:t>
      </w:r>
      <w:r>
        <w:rPr>
          <w:sz w:val="20"/>
        </w:rPr>
        <w:t>of</w:t>
      </w:r>
      <w:r>
        <w:rPr>
          <w:spacing w:val="-3"/>
          <w:sz w:val="20"/>
        </w:rPr>
        <w:t> </w:t>
      </w:r>
      <w:r>
        <w:rPr>
          <w:sz w:val="20"/>
        </w:rPr>
        <w:t>the</w:t>
      </w:r>
      <w:r>
        <w:rPr>
          <w:spacing w:val="-3"/>
          <w:sz w:val="20"/>
        </w:rPr>
        <w:t> </w:t>
      </w:r>
      <w:r>
        <w:rPr>
          <w:sz w:val="20"/>
        </w:rPr>
        <w:t>law</w:t>
      </w:r>
      <w:r>
        <w:rPr>
          <w:spacing w:val="-3"/>
          <w:sz w:val="20"/>
        </w:rPr>
        <w:t> </w:t>
      </w:r>
      <w:r>
        <w:rPr>
          <w:sz w:val="20"/>
        </w:rPr>
        <w:t>of</w:t>
      </w:r>
      <w:r>
        <w:rPr>
          <w:spacing w:val="-3"/>
          <w:sz w:val="20"/>
        </w:rPr>
        <w:t> </w:t>
      </w:r>
      <w:r>
        <w:rPr>
          <w:sz w:val="20"/>
        </w:rPr>
        <w:t>contract</w:t>
      </w:r>
      <w:r>
        <w:rPr>
          <w:spacing w:val="-3"/>
          <w:sz w:val="20"/>
        </w:rPr>
        <w:t> </w:t>
      </w:r>
      <w:r>
        <w:rPr>
          <w:sz w:val="20"/>
        </w:rPr>
        <w:t>be</w:t>
      </w:r>
      <w:r>
        <w:rPr>
          <w:spacing w:val="-3"/>
          <w:sz w:val="20"/>
        </w:rPr>
        <w:t> </w:t>
      </w:r>
      <w:r>
        <w:rPr>
          <w:sz w:val="20"/>
        </w:rPr>
        <w:t>an</w:t>
      </w:r>
      <w:r>
        <w:rPr>
          <w:spacing w:val="-3"/>
          <w:sz w:val="20"/>
        </w:rPr>
        <w:t> </w:t>
      </w:r>
      <w:r>
        <w:rPr>
          <w:sz w:val="20"/>
        </w:rPr>
        <w:t>acceptance</w:t>
      </w:r>
      <w:r>
        <w:rPr>
          <w:spacing w:val="-3"/>
          <w:sz w:val="20"/>
        </w:rPr>
        <w:t> </w:t>
      </w:r>
      <w:r>
        <w:rPr>
          <w:sz w:val="20"/>
        </w:rPr>
        <w:t>even</w:t>
      </w:r>
      <w:r>
        <w:rPr>
          <w:spacing w:val="-3"/>
          <w:sz w:val="20"/>
        </w:rPr>
        <w:t> </w:t>
      </w:r>
      <w:r>
        <w:rPr>
          <w:sz w:val="20"/>
        </w:rPr>
        <w:t>if</w:t>
      </w:r>
      <w:r>
        <w:rPr>
          <w:spacing w:val="-3"/>
          <w:sz w:val="20"/>
        </w:rPr>
        <w:t> </w:t>
      </w:r>
      <w:r>
        <w:rPr>
          <w:sz w:val="20"/>
        </w:rPr>
        <w:t>the</w:t>
      </w:r>
      <w:r>
        <w:rPr>
          <w:spacing w:val="-3"/>
          <w:sz w:val="20"/>
        </w:rPr>
        <w:t> </w:t>
      </w:r>
      <w:r>
        <w:rPr>
          <w:sz w:val="20"/>
        </w:rPr>
        <w:t>shelf-display</w:t>
      </w:r>
      <w:r>
        <w:rPr>
          <w:spacing w:val="-3"/>
          <w:sz w:val="20"/>
        </w:rPr>
        <w:t> </w:t>
      </w:r>
      <w:r>
        <w:rPr>
          <w:sz w:val="20"/>
        </w:rPr>
        <w:t>amounted</w:t>
      </w:r>
      <w:r>
        <w:rPr>
          <w:spacing w:val="-3"/>
          <w:sz w:val="20"/>
        </w:rPr>
        <w:t> </w:t>
      </w:r>
      <w:r>
        <w:rPr>
          <w:sz w:val="20"/>
        </w:rPr>
        <w:t>to</w:t>
      </w:r>
      <w:r>
        <w:rPr>
          <w:spacing w:val="-3"/>
          <w:sz w:val="20"/>
        </w:rPr>
        <w:t> </w:t>
      </w:r>
      <w:r>
        <w:rPr>
          <w:sz w:val="20"/>
        </w:rPr>
        <w:t>an offer: see </w:t>
      </w:r>
      <w:r>
        <w:rPr>
          <w:rFonts w:ascii="Arial" w:hAnsi="Arial"/>
          <w:i/>
          <w:sz w:val="20"/>
        </w:rPr>
        <w:t>R. v Morris [1984] A.C. 320, 334</w:t>
      </w:r>
      <w:r>
        <w:rPr>
          <w:sz w:val="20"/>
        </w:rPr>
        <w:t>.</w:t>
      </w:r>
    </w:p>
    <w:p>
      <w:pPr>
        <w:pStyle w:val="BodyText"/>
        <w:spacing w:before="3"/>
      </w:pPr>
    </w:p>
    <w:p>
      <w:pPr>
        <w:tabs>
          <w:tab w:pos="705" w:val="left" w:leader="none"/>
        </w:tabs>
        <w:spacing w:before="0"/>
        <w:ind w:left="165" w:right="0" w:firstLine="0"/>
        <w:jc w:val="left"/>
        <w:rPr>
          <w:sz w:val="20"/>
        </w:rPr>
      </w:pPr>
      <w:bookmarkStart w:name="_bookmark196" w:id="198"/>
      <w:bookmarkEnd w:id="198"/>
      <w:r>
        <w:rPr/>
      </w:r>
      <w:hyperlink w:history="true" w:anchor="_bookmark73">
        <w:r>
          <w:rPr>
            <w:color w:val="005DA1"/>
            <w:spacing w:val="-5"/>
            <w:position w:val="5"/>
            <w:sz w:val="14"/>
            <w:u w:val="single" w:color="005DA1"/>
          </w:rPr>
          <w:t>69</w:t>
        </w:r>
      </w:hyperlink>
      <w:r>
        <w:rPr>
          <w:spacing w:val="-5"/>
          <w:position w:val="5"/>
          <w:sz w:val="14"/>
        </w:rPr>
        <w:t>.</w:t>
      </w:r>
      <w:r>
        <w:rPr>
          <w:position w:val="5"/>
          <w:sz w:val="14"/>
        </w:rPr>
        <w:tab/>
      </w:r>
      <w:r>
        <w:rPr>
          <w:sz w:val="20"/>
        </w:rPr>
        <w:t>cf. </w:t>
      </w:r>
      <w:r>
        <w:rPr>
          <w:rFonts w:ascii="Arial"/>
          <w:i/>
          <w:sz w:val="20"/>
        </w:rPr>
        <w:t>Guildford v Lockyer [1975] Crim. L.R. </w:t>
      </w:r>
      <w:r>
        <w:rPr>
          <w:rFonts w:ascii="Arial"/>
          <w:i/>
          <w:spacing w:val="-4"/>
          <w:sz w:val="20"/>
        </w:rPr>
        <w:t>235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7" w:id="199"/>
      <w:bookmarkEnd w:id="199"/>
      <w:r>
        <w:rPr/>
      </w:r>
      <w:hyperlink w:history="true" w:anchor="_bookmark74">
        <w:r>
          <w:rPr>
            <w:color w:val="005DA1"/>
            <w:spacing w:val="-5"/>
            <w:position w:val="5"/>
            <w:sz w:val="14"/>
            <w:u w:val="single" w:color="005DA1"/>
          </w:rPr>
          <w:t>70</w:t>
        </w:r>
      </w:hyperlink>
      <w:r>
        <w:rPr>
          <w:spacing w:val="-5"/>
          <w:position w:val="5"/>
          <w:sz w:val="14"/>
        </w:rPr>
        <w:t>.</w:t>
      </w:r>
      <w:r>
        <w:rPr>
          <w:position w:val="5"/>
          <w:sz w:val="14"/>
        </w:rPr>
        <w:tab/>
      </w:r>
      <w:r>
        <w:rPr>
          <w:rFonts w:ascii="Arial"/>
          <w:i/>
          <w:sz w:val="20"/>
        </w:rPr>
        <w:t>Thornton v Shoe Lane Parking Ltd [1971] 2 Q.B. 163, </w:t>
      </w:r>
      <w:r>
        <w:rPr>
          <w:rFonts w:ascii="Arial"/>
          <w:i/>
          <w:spacing w:val="-4"/>
          <w:sz w:val="20"/>
        </w:rPr>
        <w:t>169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98" w:id="200"/>
      <w:bookmarkEnd w:id="200"/>
      <w:r>
        <w:rPr/>
      </w:r>
      <w:hyperlink w:history="true" w:anchor="_bookmark75">
        <w:r>
          <w:rPr>
            <w:color w:val="005DA1"/>
            <w:spacing w:val="-5"/>
            <w:position w:val="5"/>
            <w:sz w:val="14"/>
            <w:u w:val="single" w:color="005DA1"/>
          </w:rPr>
          <w:t>71</w:t>
        </w:r>
      </w:hyperlink>
      <w:r>
        <w:rPr>
          <w:spacing w:val="-5"/>
          <w:position w:val="5"/>
          <w:sz w:val="14"/>
        </w:rPr>
        <w:t>.</w:t>
      </w:r>
      <w:r>
        <w:rPr>
          <w:position w:val="5"/>
          <w:sz w:val="14"/>
        </w:rPr>
        <w:tab/>
      </w:r>
      <w:r>
        <w:rPr>
          <w:rFonts w:ascii="Arial"/>
          <w:i/>
          <w:sz w:val="20"/>
        </w:rPr>
        <w:t>Chapelton v Barry UDC [1940] 1 K.B. </w:t>
      </w:r>
      <w:r>
        <w:rPr>
          <w:rFonts w:ascii="Arial"/>
          <w:i/>
          <w:spacing w:val="-4"/>
          <w:sz w:val="20"/>
        </w:rPr>
        <w:t>532</w:t>
      </w:r>
      <w:r>
        <w:rPr>
          <w:spacing w:val="-4"/>
          <w:sz w:val="20"/>
        </w:rPr>
        <w:t>.</w:t>
      </w:r>
    </w:p>
    <w:p>
      <w:pPr>
        <w:pStyle w:val="BodyText"/>
        <w:spacing w:before="5"/>
      </w:pPr>
    </w:p>
    <w:p>
      <w:pPr>
        <w:pStyle w:val="BodyText"/>
        <w:tabs>
          <w:tab w:pos="705" w:val="left" w:leader="none"/>
        </w:tabs>
        <w:ind w:left="165"/>
      </w:pPr>
      <w:bookmarkStart w:name="_bookmark199" w:id="201"/>
      <w:bookmarkEnd w:id="201"/>
      <w:r>
        <w:rPr/>
      </w:r>
      <w:hyperlink w:history="true" w:anchor="_bookmark76">
        <w:r>
          <w:rPr>
            <w:color w:val="005DA1"/>
            <w:spacing w:val="-5"/>
            <w:position w:val="5"/>
            <w:sz w:val="14"/>
            <w:u w:val="single" w:color="005DA1"/>
          </w:rPr>
          <w:t>72</w:t>
        </w:r>
      </w:hyperlink>
      <w:r>
        <w:rPr>
          <w:spacing w:val="-5"/>
          <w:position w:val="5"/>
          <w:sz w:val="14"/>
        </w:rPr>
        <w:t>.</w:t>
      </w:r>
      <w:r>
        <w:rPr>
          <w:position w:val="5"/>
          <w:sz w:val="14"/>
        </w:rPr>
        <w:tab/>
      </w:r>
      <w:r>
        <w:rPr/>
        <w:t>cf. the cases discussed below, para.2-</w:t>
      </w:r>
      <w:r>
        <w:rPr>
          <w:spacing w:val="-4"/>
        </w:rPr>
        <w:t>018.</w:t>
      </w:r>
    </w:p>
    <w:p>
      <w:pPr>
        <w:pStyle w:val="BodyText"/>
        <w:spacing w:before="5"/>
      </w:pPr>
    </w:p>
    <w:p>
      <w:pPr>
        <w:tabs>
          <w:tab w:pos="705" w:val="left" w:leader="none"/>
        </w:tabs>
        <w:spacing w:before="0"/>
        <w:ind w:left="165" w:right="0" w:firstLine="0"/>
        <w:jc w:val="left"/>
        <w:rPr>
          <w:sz w:val="20"/>
        </w:rPr>
      </w:pPr>
      <w:bookmarkStart w:name="_bookmark200" w:id="202"/>
      <w:bookmarkEnd w:id="202"/>
      <w:r>
        <w:rPr/>
      </w:r>
      <w:hyperlink w:history="true" w:anchor="_bookmark76">
        <w:r>
          <w:rPr>
            <w:color w:val="005DA1"/>
            <w:spacing w:val="-5"/>
            <w:position w:val="5"/>
            <w:sz w:val="14"/>
            <w:u w:val="single" w:color="005DA1"/>
          </w:rPr>
          <w:t>73</w:t>
        </w:r>
      </w:hyperlink>
      <w:r>
        <w:rPr>
          <w:spacing w:val="-5"/>
          <w:position w:val="5"/>
          <w:sz w:val="14"/>
        </w:rPr>
        <w:t>.</w:t>
      </w:r>
      <w:r>
        <w:rPr>
          <w:position w:val="5"/>
          <w:sz w:val="14"/>
        </w:rPr>
        <w:tab/>
      </w:r>
      <w:r>
        <w:rPr>
          <w:rFonts w:ascii="Arial"/>
          <w:i/>
          <w:sz w:val="20"/>
        </w:rPr>
        <w:t>2005 S.L.T. (Sh Ct) </w:t>
      </w:r>
      <w:r>
        <w:rPr>
          <w:rFonts w:ascii="Arial"/>
          <w:i/>
          <w:spacing w:val="-5"/>
          <w:sz w:val="20"/>
        </w:rPr>
        <w:t>63</w:t>
      </w:r>
      <w:r>
        <w:rPr>
          <w:spacing w:val="-5"/>
          <w:sz w:val="20"/>
        </w:rPr>
        <w:t>.</w:t>
      </w:r>
    </w:p>
    <w:p>
      <w:pPr>
        <w:pStyle w:val="BodyText"/>
        <w:spacing w:before="5"/>
      </w:pPr>
    </w:p>
    <w:p>
      <w:pPr>
        <w:pStyle w:val="BodyText"/>
        <w:tabs>
          <w:tab w:pos="705" w:val="left" w:leader="none"/>
        </w:tabs>
        <w:ind w:left="165"/>
      </w:pPr>
      <w:bookmarkStart w:name="_bookmark201" w:id="203"/>
      <w:bookmarkEnd w:id="203"/>
      <w:r>
        <w:rPr/>
      </w:r>
      <w:hyperlink w:history="true" w:anchor="_bookmark77">
        <w:r>
          <w:rPr>
            <w:color w:val="005DA1"/>
            <w:spacing w:val="-5"/>
            <w:position w:val="5"/>
            <w:sz w:val="14"/>
            <w:u w:val="single" w:color="005DA1"/>
          </w:rPr>
          <w:t>74</w:t>
        </w:r>
      </w:hyperlink>
      <w:r>
        <w:rPr>
          <w:spacing w:val="-5"/>
          <w:position w:val="5"/>
          <w:sz w:val="14"/>
        </w:rPr>
        <w:t>.</w:t>
      </w:r>
      <w:r>
        <w:rPr>
          <w:position w:val="5"/>
          <w:sz w:val="14"/>
        </w:rPr>
        <w:tab/>
      </w:r>
      <w:r>
        <w:rPr/>
        <w:t>See below, paras 2-026, 2-</w:t>
      </w:r>
      <w:r>
        <w:rPr>
          <w:spacing w:val="-4"/>
        </w:rPr>
        <w:t>029.</w:t>
      </w:r>
    </w:p>
    <w:p>
      <w:pPr>
        <w:pStyle w:val="BodyText"/>
        <w:spacing w:before="9"/>
      </w:pPr>
    </w:p>
    <w:p>
      <w:pPr>
        <w:tabs>
          <w:tab w:pos="705" w:val="left" w:leader="none"/>
        </w:tabs>
        <w:spacing w:line="235" w:lineRule="auto" w:before="0"/>
        <w:ind w:left="705" w:right="168" w:hanging="541"/>
        <w:jc w:val="left"/>
        <w:rPr>
          <w:sz w:val="20"/>
        </w:rPr>
      </w:pPr>
      <w:bookmarkStart w:name="_bookmark202" w:id="204"/>
      <w:bookmarkEnd w:id="204"/>
      <w:r>
        <w:rPr/>
      </w:r>
      <w:hyperlink w:history="true" w:anchor="_bookmark78">
        <w:r>
          <w:rPr>
            <w:color w:val="005DA1"/>
            <w:spacing w:val="-4"/>
            <w:position w:val="5"/>
            <w:sz w:val="14"/>
            <w:u w:val="single" w:color="005DA1"/>
          </w:rPr>
          <w:t>75</w:t>
        </w:r>
      </w:hyperlink>
      <w:r>
        <w:rPr>
          <w:spacing w:val="-4"/>
          <w:position w:val="5"/>
          <w:sz w:val="14"/>
        </w:rPr>
        <w:t>.</w:t>
      </w:r>
      <w:r>
        <w:rPr>
          <w:position w:val="5"/>
          <w:sz w:val="14"/>
        </w:rPr>
        <w:tab/>
      </w:r>
      <w:r>
        <w:rPr>
          <w:rFonts w:ascii="Arial"/>
          <w:i/>
          <w:sz w:val="20"/>
        </w:rPr>
        <w:t>Partridge v Crittenden [1968] 1 W.L.R. 1204</w:t>
      </w:r>
      <w:r>
        <w:rPr>
          <w:sz w:val="20"/>
        </w:rPr>
        <w:t>; contrast </w:t>
      </w:r>
      <w:r>
        <w:rPr>
          <w:rFonts w:ascii="Arial"/>
          <w:i/>
          <w:sz w:val="20"/>
        </w:rPr>
        <w:t>Lefkowitz v Great Minneapolis </w:t>
      </w:r>
      <w:r>
        <w:rPr>
          <w:rFonts w:ascii="Arial"/>
          <w:i/>
          <w:sz w:val="20"/>
        </w:rPr>
        <w:t>Surplus</w:t>
      </w:r>
      <w:r>
        <w:rPr>
          <w:rFonts w:ascii="Arial"/>
          <w:i/>
          <w:spacing w:val="80"/>
          <w:sz w:val="20"/>
        </w:rPr>
        <w:t> </w:t>
      </w:r>
      <w:r>
        <w:rPr>
          <w:rFonts w:ascii="Arial"/>
          <w:i/>
          <w:sz w:val="20"/>
        </w:rPr>
        <w:t>Stores, 86 N.W. 2d. 689 (1957)</w:t>
      </w:r>
      <w:r>
        <w:rPr>
          <w:sz w:val="20"/>
        </w:rPr>
        <w:t>.</w:t>
      </w:r>
    </w:p>
    <w:p>
      <w:pPr>
        <w:pStyle w:val="BodyText"/>
        <w:spacing w:before="5"/>
      </w:pPr>
    </w:p>
    <w:p>
      <w:pPr>
        <w:tabs>
          <w:tab w:pos="705" w:val="left" w:leader="none"/>
        </w:tabs>
        <w:spacing w:before="0"/>
        <w:ind w:left="165" w:right="0" w:firstLine="0"/>
        <w:jc w:val="left"/>
        <w:rPr>
          <w:sz w:val="20"/>
        </w:rPr>
      </w:pPr>
      <w:bookmarkStart w:name="_bookmark203" w:id="205"/>
      <w:bookmarkEnd w:id="205"/>
      <w:r>
        <w:rPr/>
      </w:r>
      <w:hyperlink w:history="true" w:anchor="_bookmark79">
        <w:r>
          <w:rPr>
            <w:color w:val="005DA1"/>
            <w:spacing w:val="-5"/>
            <w:position w:val="5"/>
            <w:sz w:val="14"/>
            <w:u w:val="single" w:color="005DA1"/>
          </w:rPr>
          <w:t>76</w:t>
        </w:r>
      </w:hyperlink>
      <w:r>
        <w:rPr>
          <w:spacing w:val="-5"/>
          <w:position w:val="5"/>
          <w:sz w:val="14"/>
        </w:rPr>
        <w:t>.</w:t>
      </w:r>
      <w:r>
        <w:rPr>
          <w:position w:val="5"/>
          <w:sz w:val="14"/>
        </w:rPr>
        <w:tab/>
      </w:r>
      <w:r>
        <w:rPr>
          <w:rFonts w:ascii="Arial"/>
          <w:i/>
          <w:sz w:val="20"/>
        </w:rPr>
        <w:t>Rooke v Dawson [1895] 1 Ch. </w:t>
      </w:r>
      <w:r>
        <w:rPr>
          <w:rFonts w:ascii="Arial"/>
          <w:i/>
          <w:spacing w:val="-4"/>
          <w:sz w:val="20"/>
        </w:rPr>
        <w:t>480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04" w:id="206"/>
      <w:bookmarkEnd w:id="206"/>
      <w:r>
        <w:rPr/>
      </w:r>
      <w:hyperlink w:history="true" w:anchor="_bookmark80">
        <w:r>
          <w:rPr>
            <w:color w:val="005DA1"/>
            <w:spacing w:val="-5"/>
            <w:position w:val="5"/>
            <w:sz w:val="14"/>
            <w:u w:val="single" w:color="005DA1"/>
          </w:rPr>
          <w:t>77</w:t>
        </w:r>
      </w:hyperlink>
      <w:r>
        <w:rPr>
          <w:spacing w:val="-5"/>
          <w:position w:val="5"/>
          <w:sz w:val="14"/>
        </w:rPr>
        <w:t>.</w:t>
      </w:r>
      <w:r>
        <w:rPr>
          <w:position w:val="5"/>
          <w:sz w:val="14"/>
        </w:rPr>
        <w:tab/>
      </w:r>
      <w:r>
        <w:rPr>
          <w:rFonts w:ascii="Arial"/>
          <w:i/>
          <w:sz w:val="20"/>
        </w:rPr>
        <w:t>Grainger &amp; Son v Gough [1896] A.C. </w:t>
      </w:r>
      <w:r>
        <w:rPr>
          <w:rFonts w:ascii="Arial"/>
          <w:i/>
          <w:spacing w:val="-4"/>
          <w:sz w:val="20"/>
        </w:rPr>
        <w:t>325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05" w:id="207"/>
      <w:bookmarkEnd w:id="207"/>
      <w:r>
        <w:rPr/>
      </w:r>
      <w:hyperlink w:history="true" w:anchor="_bookmark81">
        <w:r>
          <w:rPr>
            <w:color w:val="005DA1"/>
            <w:spacing w:val="-5"/>
            <w:position w:val="5"/>
            <w:sz w:val="14"/>
            <w:u w:val="single" w:color="005DA1"/>
          </w:rPr>
          <w:t>78</w:t>
        </w:r>
      </w:hyperlink>
      <w:r>
        <w:rPr>
          <w:spacing w:val="-5"/>
          <w:position w:val="5"/>
          <w:sz w:val="14"/>
        </w:rPr>
        <w:t>.</w:t>
      </w:r>
      <w:r>
        <w:rPr>
          <w:position w:val="5"/>
          <w:sz w:val="14"/>
        </w:rPr>
        <w:tab/>
      </w:r>
      <w:r>
        <w:rPr>
          <w:rFonts w:ascii="Arial"/>
          <w:i/>
          <w:sz w:val="20"/>
        </w:rPr>
        <w:t>Grainger &amp; Son v Gough [1896] A.C. 325</w:t>
      </w:r>
      <w:r>
        <w:rPr>
          <w:rFonts w:ascii="Arial"/>
          <w:i/>
          <w:spacing w:val="-1"/>
          <w:sz w:val="20"/>
        </w:rPr>
        <w:t> </w:t>
      </w:r>
      <w:r>
        <w:rPr>
          <w:sz w:val="20"/>
        </w:rPr>
        <w:t>at </w:t>
      </w:r>
      <w:r>
        <w:rPr>
          <w:spacing w:val="-4"/>
          <w:sz w:val="20"/>
        </w:rPr>
        <w:t>334.</w:t>
      </w:r>
    </w:p>
    <w:p>
      <w:pPr>
        <w:pStyle w:val="BodyText"/>
        <w:spacing w:before="5"/>
      </w:pPr>
    </w:p>
    <w:p>
      <w:pPr>
        <w:pStyle w:val="BodyText"/>
        <w:tabs>
          <w:tab w:pos="705" w:val="left" w:leader="none"/>
        </w:tabs>
        <w:ind w:left="165"/>
      </w:pPr>
      <w:bookmarkStart w:name="_bookmark206" w:id="208"/>
      <w:bookmarkEnd w:id="208"/>
      <w:r>
        <w:rPr/>
      </w:r>
      <w:hyperlink w:history="true" w:anchor="_bookmark82">
        <w:r>
          <w:rPr>
            <w:color w:val="005DA1"/>
            <w:spacing w:val="-5"/>
            <w:position w:val="5"/>
            <w:sz w:val="14"/>
            <w:u w:val="single" w:color="005DA1"/>
          </w:rPr>
          <w:t>79</w:t>
        </w:r>
      </w:hyperlink>
      <w:r>
        <w:rPr>
          <w:spacing w:val="-5"/>
          <w:position w:val="5"/>
          <w:sz w:val="14"/>
        </w:rPr>
        <w:t>.</w:t>
      </w:r>
      <w:r>
        <w:rPr>
          <w:position w:val="5"/>
          <w:sz w:val="14"/>
        </w:rPr>
        <w:tab/>
      </w:r>
      <w:r>
        <w:rPr/>
        <w:t>cf. the cases discussed below, para.2-</w:t>
      </w:r>
      <w:r>
        <w:rPr>
          <w:spacing w:val="-4"/>
        </w:rPr>
        <w:t>018.</w:t>
      </w:r>
    </w:p>
    <w:p>
      <w:pPr>
        <w:pStyle w:val="BodyText"/>
        <w:spacing w:after="0"/>
        <w:sectPr>
          <w:pgSz w:w="11900" w:h="16840"/>
          <w:pgMar w:header="971" w:footer="0" w:top="1300" w:bottom="280" w:left="1275" w:right="1275"/>
        </w:sectPr>
      </w:pPr>
    </w:p>
    <w:p>
      <w:pPr>
        <w:pStyle w:val="BodyText"/>
        <w:tabs>
          <w:tab w:pos="705" w:val="left" w:leader="none"/>
        </w:tabs>
        <w:spacing w:before="166"/>
        <w:ind w:left="165"/>
      </w:pPr>
      <w:hyperlink w:history="true" w:anchor="_bookmark83">
        <w:r>
          <w:rPr>
            <w:color w:val="005DA1"/>
            <w:spacing w:val="-5"/>
            <w:position w:val="5"/>
            <w:sz w:val="14"/>
            <w:u w:val="single" w:color="005DA1"/>
          </w:rPr>
          <w:t>80</w:t>
        </w:r>
      </w:hyperlink>
      <w:r>
        <w:rPr>
          <w:spacing w:val="-5"/>
          <w:position w:val="5"/>
          <w:sz w:val="14"/>
        </w:rPr>
        <w:t>.</w:t>
      </w:r>
      <w:r>
        <w:rPr>
          <w:position w:val="5"/>
          <w:sz w:val="14"/>
        </w:rPr>
        <w:tab/>
      </w:r>
      <w:r>
        <w:rPr/>
        <w:t>For the distinction between unilateral and bilateral contracts, see below, para.2-</w:t>
      </w:r>
      <w:r>
        <w:rPr>
          <w:spacing w:val="-4"/>
        </w:rPr>
        <w:t>082.</w:t>
      </w:r>
    </w:p>
    <w:p>
      <w:pPr>
        <w:pStyle w:val="BodyText"/>
        <w:spacing w:before="5"/>
      </w:pPr>
    </w:p>
    <w:p>
      <w:pPr>
        <w:tabs>
          <w:tab w:pos="705" w:val="left" w:leader="none"/>
        </w:tabs>
        <w:spacing w:before="1"/>
        <w:ind w:left="165" w:right="0" w:firstLine="0"/>
        <w:jc w:val="left"/>
        <w:rPr>
          <w:sz w:val="20"/>
        </w:rPr>
      </w:pPr>
      <w:bookmarkStart w:name="_bookmark207" w:id="209"/>
      <w:bookmarkEnd w:id="209"/>
      <w:r>
        <w:rPr/>
      </w:r>
      <w:hyperlink w:history="true" w:anchor="_bookmark84">
        <w:r>
          <w:rPr>
            <w:color w:val="005DA1"/>
            <w:spacing w:val="-5"/>
            <w:position w:val="5"/>
            <w:sz w:val="14"/>
            <w:u w:val="single" w:color="005DA1"/>
          </w:rPr>
          <w:t>81</w:t>
        </w:r>
      </w:hyperlink>
      <w:r>
        <w:rPr>
          <w:spacing w:val="-5"/>
          <w:position w:val="5"/>
          <w:sz w:val="14"/>
        </w:rPr>
        <w:t>.</w:t>
      </w:r>
      <w:r>
        <w:rPr>
          <w:position w:val="5"/>
          <w:sz w:val="14"/>
        </w:rPr>
        <w:tab/>
      </w:r>
      <w:r>
        <w:rPr>
          <w:rFonts w:ascii="Arial"/>
          <w:i/>
          <w:sz w:val="20"/>
        </w:rPr>
        <w:t>[1893]</w:t>
      </w:r>
      <w:r>
        <w:rPr>
          <w:rFonts w:ascii="Arial"/>
          <w:i/>
          <w:spacing w:val="-2"/>
          <w:sz w:val="20"/>
        </w:rPr>
        <w:t> </w:t>
      </w:r>
      <w:r>
        <w:rPr>
          <w:rFonts w:ascii="Arial"/>
          <w:i/>
          <w:sz w:val="20"/>
        </w:rPr>
        <w:t>1 Q.B. </w:t>
      </w:r>
      <w:r>
        <w:rPr>
          <w:rFonts w:ascii="Arial"/>
          <w:i/>
          <w:spacing w:val="-4"/>
          <w:sz w:val="20"/>
        </w:rPr>
        <w:t>256</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208" w:id="210"/>
      <w:bookmarkEnd w:id="210"/>
      <w:r>
        <w:rPr/>
      </w:r>
      <w:hyperlink w:history="true" w:anchor="_bookmark85">
        <w:r>
          <w:rPr>
            <w:color w:val="005DA1"/>
            <w:spacing w:val="-4"/>
            <w:position w:val="5"/>
            <w:sz w:val="14"/>
            <w:u w:val="single" w:color="005DA1"/>
          </w:rPr>
          <w:t>82</w:t>
        </w:r>
      </w:hyperlink>
      <w:r>
        <w:rPr>
          <w:spacing w:val="-4"/>
          <w:position w:val="5"/>
          <w:sz w:val="14"/>
        </w:rPr>
        <w:t>.</w:t>
      </w:r>
      <w:r>
        <w:rPr>
          <w:position w:val="5"/>
          <w:sz w:val="14"/>
        </w:rPr>
        <w:tab/>
      </w:r>
      <w:r>
        <w:rPr>
          <w:sz w:val="20"/>
        </w:rPr>
        <w:t>Contrast</w:t>
      </w:r>
      <w:r>
        <w:rPr>
          <w:spacing w:val="71"/>
          <w:sz w:val="20"/>
        </w:rPr>
        <w:t> </w:t>
      </w:r>
      <w:r>
        <w:rPr>
          <w:rFonts w:ascii="Arial"/>
          <w:i/>
          <w:sz w:val="20"/>
        </w:rPr>
        <w:t>Lambert</w:t>
      </w:r>
      <w:r>
        <w:rPr>
          <w:rFonts w:ascii="Arial"/>
          <w:i/>
          <w:spacing w:val="71"/>
          <w:sz w:val="20"/>
        </w:rPr>
        <w:t> </w:t>
      </w:r>
      <w:r>
        <w:rPr>
          <w:rFonts w:ascii="Arial"/>
          <w:i/>
          <w:sz w:val="20"/>
        </w:rPr>
        <w:t>v</w:t>
      </w:r>
      <w:r>
        <w:rPr>
          <w:rFonts w:ascii="Arial"/>
          <w:i/>
          <w:spacing w:val="71"/>
          <w:sz w:val="20"/>
        </w:rPr>
        <w:t> </w:t>
      </w:r>
      <w:r>
        <w:rPr>
          <w:rFonts w:ascii="Arial"/>
          <w:i/>
          <w:sz w:val="20"/>
        </w:rPr>
        <w:t>Lewis</w:t>
      </w:r>
      <w:r>
        <w:rPr>
          <w:rFonts w:ascii="Arial"/>
          <w:i/>
          <w:spacing w:val="71"/>
          <w:sz w:val="20"/>
        </w:rPr>
        <w:t> </w:t>
      </w:r>
      <w:r>
        <w:rPr>
          <w:rFonts w:ascii="Arial"/>
          <w:i/>
          <w:sz w:val="20"/>
        </w:rPr>
        <w:t>[1982]</w:t>
      </w:r>
      <w:r>
        <w:rPr>
          <w:rFonts w:ascii="Arial"/>
          <w:i/>
          <w:spacing w:val="71"/>
          <w:sz w:val="20"/>
        </w:rPr>
        <w:t> </w:t>
      </w:r>
      <w:r>
        <w:rPr>
          <w:rFonts w:ascii="Arial"/>
          <w:i/>
          <w:sz w:val="20"/>
        </w:rPr>
        <w:t>A.C.</w:t>
      </w:r>
      <w:r>
        <w:rPr>
          <w:rFonts w:ascii="Arial"/>
          <w:i/>
          <w:spacing w:val="71"/>
          <w:sz w:val="20"/>
        </w:rPr>
        <w:t> </w:t>
      </w:r>
      <w:r>
        <w:rPr>
          <w:rFonts w:ascii="Arial"/>
          <w:i/>
          <w:sz w:val="20"/>
        </w:rPr>
        <w:t>225,</w:t>
      </w:r>
      <w:r>
        <w:rPr>
          <w:rFonts w:ascii="Arial"/>
          <w:i/>
          <w:spacing w:val="71"/>
          <w:sz w:val="20"/>
        </w:rPr>
        <w:t> </w:t>
      </w:r>
      <w:r>
        <w:rPr>
          <w:rFonts w:ascii="Arial"/>
          <w:i/>
          <w:sz w:val="20"/>
        </w:rPr>
        <w:t>262</w:t>
      </w:r>
      <w:r>
        <w:rPr>
          <w:sz w:val="20"/>
        </w:rPr>
        <w:t>,</w:t>
      </w:r>
      <w:r>
        <w:rPr>
          <w:spacing w:val="71"/>
          <w:sz w:val="20"/>
        </w:rPr>
        <w:t> </w:t>
      </w:r>
      <w:r>
        <w:rPr>
          <w:sz w:val="20"/>
        </w:rPr>
        <w:t>per</w:t>
      </w:r>
      <w:r>
        <w:rPr>
          <w:spacing w:val="71"/>
          <w:sz w:val="20"/>
        </w:rPr>
        <w:t> </w:t>
      </w:r>
      <w:r>
        <w:rPr>
          <w:sz w:val="20"/>
        </w:rPr>
        <w:t>Stephenson</w:t>
      </w:r>
      <w:r>
        <w:rPr>
          <w:spacing w:val="71"/>
          <w:sz w:val="20"/>
        </w:rPr>
        <w:t> </w:t>
      </w:r>
      <w:r>
        <w:rPr>
          <w:sz w:val="20"/>
        </w:rPr>
        <w:t>L.J.,</w:t>
      </w:r>
      <w:r>
        <w:rPr>
          <w:spacing w:val="71"/>
          <w:sz w:val="20"/>
        </w:rPr>
        <w:t> </w:t>
      </w:r>
      <w:r>
        <w:rPr>
          <w:sz w:val="20"/>
        </w:rPr>
        <w:t>affirmed</w:t>
      </w:r>
      <w:r>
        <w:rPr>
          <w:spacing w:val="71"/>
          <w:sz w:val="20"/>
        </w:rPr>
        <w:t> </w:t>
      </w:r>
      <w:r>
        <w:rPr>
          <w:sz w:val="20"/>
        </w:rPr>
        <w:t>without reference to the point </w:t>
      </w:r>
      <w:r>
        <w:rPr>
          <w:rFonts w:ascii="Arial"/>
          <w:i/>
          <w:sz w:val="20"/>
        </w:rPr>
        <w:t>[1982] A.C. 271</w:t>
      </w:r>
      <w:r>
        <w:rPr>
          <w:sz w:val="20"/>
        </w:rPr>
        <w:t>, below, para.2-173.</w:t>
      </w:r>
    </w:p>
    <w:p>
      <w:pPr>
        <w:pStyle w:val="BodyText"/>
        <w:spacing w:before="6"/>
      </w:pPr>
    </w:p>
    <w:p>
      <w:pPr>
        <w:tabs>
          <w:tab w:pos="705" w:val="left" w:leader="none"/>
        </w:tabs>
        <w:spacing w:before="0"/>
        <w:ind w:left="165" w:right="0" w:firstLine="0"/>
        <w:jc w:val="left"/>
        <w:rPr>
          <w:sz w:val="20"/>
        </w:rPr>
      </w:pPr>
      <w:bookmarkStart w:name="_bookmark209" w:id="211"/>
      <w:bookmarkEnd w:id="211"/>
      <w:r>
        <w:rPr/>
      </w:r>
      <w:hyperlink w:history="true" w:anchor="_bookmark86">
        <w:r>
          <w:rPr>
            <w:color w:val="005DA1"/>
            <w:spacing w:val="-5"/>
            <w:position w:val="5"/>
            <w:sz w:val="14"/>
            <w:u w:val="single" w:color="005DA1"/>
          </w:rPr>
          <w:t>83</w:t>
        </w:r>
      </w:hyperlink>
      <w:r>
        <w:rPr>
          <w:spacing w:val="-5"/>
          <w:position w:val="5"/>
          <w:sz w:val="14"/>
        </w:rPr>
        <w:t>.</w:t>
      </w:r>
      <w:r>
        <w:rPr>
          <w:position w:val="5"/>
          <w:sz w:val="14"/>
        </w:rPr>
        <w:tab/>
      </w:r>
      <w:r>
        <w:rPr>
          <w:rFonts w:ascii="Arial"/>
          <w:i/>
          <w:sz w:val="20"/>
        </w:rPr>
        <w:t>[1995] N.L.J. </w:t>
      </w:r>
      <w:r>
        <w:rPr>
          <w:rFonts w:ascii="Arial"/>
          <w:i/>
          <w:spacing w:val="-4"/>
          <w:sz w:val="20"/>
        </w:rPr>
        <w:t>1815</w:t>
      </w:r>
      <w:r>
        <w:rPr>
          <w:spacing w:val="-4"/>
          <w:sz w:val="20"/>
        </w:rPr>
        <w:t>.</w:t>
      </w:r>
    </w:p>
    <w:p>
      <w:pPr>
        <w:pStyle w:val="BodyText"/>
        <w:spacing w:before="5"/>
      </w:pPr>
    </w:p>
    <w:p>
      <w:pPr>
        <w:pStyle w:val="BodyText"/>
        <w:tabs>
          <w:tab w:pos="705" w:val="left" w:leader="none"/>
        </w:tabs>
        <w:ind w:left="165"/>
      </w:pPr>
      <w:bookmarkStart w:name="_bookmark210" w:id="212"/>
      <w:bookmarkEnd w:id="212"/>
      <w:r>
        <w:rPr/>
      </w:r>
      <w:hyperlink w:history="true" w:anchor="_bookmark87">
        <w:r>
          <w:rPr>
            <w:color w:val="005DA1"/>
            <w:spacing w:val="-5"/>
            <w:position w:val="5"/>
            <w:sz w:val="14"/>
            <w:u w:val="single" w:color="005DA1"/>
          </w:rPr>
          <w:t>84</w:t>
        </w:r>
      </w:hyperlink>
      <w:r>
        <w:rPr>
          <w:spacing w:val="-5"/>
          <w:position w:val="5"/>
          <w:sz w:val="14"/>
        </w:rPr>
        <w:t>.</w:t>
      </w:r>
      <w:r>
        <w:rPr>
          <w:position w:val="5"/>
          <w:sz w:val="14"/>
        </w:rPr>
        <w:tab/>
      </w:r>
      <w:r>
        <w:rPr/>
        <w:t>Above, paras 2-002 and 2-</w:t>
      </w:r>
      <w:r>
        <w:rPr>
          <w:spacing w:val="-4"/>
        </w:rPr>
        <w:t>003.</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11" w:id="213"/>
      <w:bookmarkEnd w:id="213"/>
      <w:r>
        <w:rPr/>
      </w:r>
      <w:hyperlink w:history="true" w:anchor="_bookmark88">
        <w:r>
          <w:rPr>
            <w:color w:val="005DA1"/>
            <w:spacing w:val="-5"/>
            <w:position w:val="5"/>
            <w:sz w:val="14"/>
            <w:u w:val="single" w:color="005DA1"/>
          </w:rPr>
          <w:t>85</w:t>
        </w:r>
      </w:hyperlink>
      <w:r>
        <w:rPr>
          <w:spacing w:val="-5"/>
          <w:position w:val="5"/>
          <w:sz w:val="14"/>
        </w:rPr>
        <w:t>.</w:t>
      </w:r>
      <w:r>
        <w:rPr>
          <w:position w:val="5"/>
          <w:sz w:val="14"/>
        </w:rPr>
        <w:tab/>
      </w:r>
      <w:r>
        <w:rPr>
          <w:sz w:val="20"/>
        </w:rPr>
        <w:t>e.g.</w:t>
      </w:r>
      <w:r>
        <w:rPr>
          <w:spacing w:val="5"/>
          <w:sz w:val="20"/>
        </w:rPr>
        <w:t> </w:t>
      </w:r>
      <w:r>
        <w:rPr>
          <w:rFonts w:ascii="Arial"/>
          <w:i/>
          <w:sz w:val="20"/>
        </w:rPr>
        <w:t>Gibbons</w:t>
      </w:r>
      <w:r>
        <w:rPr>
          <w:rFonts w:ascii="Arial"/>
          <w:i/>
          <w:spacing w:val="8"/>
          <w:sz w:val="20"/>
        </w:rPr>
        <w:t> </w:t>
      </w:r>
      <w:r>
        <w:rPr>
          <w:rFonts w:ascii="Arial"/>
          <w:i/>
          <w:sz w:val="20"/>
        </w:rPr>
        <w:t>v</w:t>
      </w:r>
      <w:r>
        <w:rPr>
          <w:rFonts w:ascii="Arial"/>
          <w:i/>
          <w:spacing w:val="8"/>
          <w:sz w:val="20"/>
        </w:rPr>
        <w:t> </w:t>
      </w:r>
      <w:r>
        <w:rPr>
          <w:rFonts w:ascii="Arial"/>
          <w:i/>
          <w:sz w:val="20"/>
        </w:rPr>
        <w:t>Proctor</w:t>
      </w:r>
      <w:r>
        <w:rPr>
          <w:rFonts w:ascii="Arial"/>
          <w:i/>
          <w:spacing w:val="8"/>
          <w:sz w:val="20"/>
        </w:rPr>
        <w:t> </w:t>
      </w:r>
      <w:r>
        <w:rPr>
          <w:rFonts w:ascii="Arial"/>
          <w:i/>
          <w:sz w:val="20"/>
        </w:rPr>
        <w:t>(1891)</w:t>
      </w:r>
      <w:r>
        <w:rPr>
          <w:rFonts w:ascii="Arial"/>
          <w:i/>
          <w:spacing w:val="8"/>
          <w:sz w:val="20"/>
        </w:rPr>
        <w:t> </w:t>
      </w:r>
      <w:r>
        <w:rPr>
          <w:rFonts w:ascii="Arial"/>
          <w:i/>
          <w:sz w:val="20"/>
        </w:rPr>
        <w:t>64</w:t>
      </w:r>
      <w:r>
        <w:rPr>
          <w:rFonts w:ascii="Arial"/>
          <w:i/>
          <w:spacing w:val="8"/>
          <w:sz w:val="20"/>
        </w:rPr>
        <w:t> </w:t>
      </w:r>
      <w:r>
        <w:rPr>
          <w:rFonts w:ascii="Arial"/>
          <w:i/>
          <w:sz w:val="20"/>
        </w:rPr>
        <w:t>L.T.</w:t>
      </w:r>
      <w:r>
        <w:rPr>
          <w:rFonts w:ascii="Arial"/>
          <w:i/>
          <w:spacing w:val="8"/>
          <w:sz w:val="20"/>
        </w:rPr>
        <w:t> </w:t>
      </w:r>
      <w:r>
        <w:rPr>
          <w:rFonts w:ascii="Arial"/>
          <w:i/>
          <w:sz w:val="20"/>
        </w:rPr>
        <w:t>594</w:t>
      </w:r>
      <w:r>
        <w:rPr>
          <w:sz w:val="20"/>
        </w:rPr>
        <w:t>;</w:t>
      </w:r>
      <w:r>
        <w:rPr>
          <w:spacing w:val="8"/>
          <w:sz w:val="20"/>
        </w:rPr>
        <w:t> </w:t>
      </w:r>
      <w:r>
        <w:rPr>
          <w:rFonts w:ascii="Arial"/>
          <w:i/>
          <w:sz w:val="20"/>
        </w:rPr>
        <w:t>Williams</w:t>
      </w:r>
      <w:r>
        <w:rPr>
          <w:rFonts w:ascii="Arial"/>
          <w:i/>
          <w:spacing w:val="8"/>
          <w:sz w:val="20"/>
        </w:rPr>
        <w:t> </w:t>
      </w:r>
      <w:r>
        <w:rPr>
          <w:rFonts w:ascii="Arial"/>
          <w:i/>
          <w:sz w:val="20"/>
        </w:rPr>
        <w:t>v</w:t>
      </w:r>
      <w:r>
        <w:rPr>
          <w:rFonts w:ascii="Arial"/>
          <w:i/>
          <w:spacing w:val="8"/>
          <w:sz w:val="20"/>
        </w:rPr>
        <w:t> </w:t>
      </w:r>
      <w:r>
        <w:rPr>
          <w:rFonts w:ascii="Arial"/>
          <w:i/>
          <w:sz w:val="20"/>
        </w:rPr>
        <w:t>Carwardine</w:t>
      </w:r>
      <w:r>
        <w:rPr>
          <w:rFonts w:ascii="Arial"/>
          <w:i/>
          <w:spacing w:val="8"/>
          <w:sz w:val="20"/>
        </w:rPr>
        <w:t> </w:t>
      </w:r>
      <w:r>
        <w:rPr>
          <w:rFonts w:ascii="Arial"/>
          <w:i/>
          <w:sz w:val="20"/>
        </w:rPr>
        <w:t>(1833)</w:t>
      </w:r>
      <w:r>
        <w:rPr>
          <w:rFonts w:ascii="Arial"/>
          <w:i/>
          <w:spacing w:val="8"/>
          <w:sz w:val="20"/>
        </w:rPr>
        <w:t> </w:t>
      </w:r>
      <w:r>
        <w:rPr>
          <w:rFonts w:ascii="Arial"/>
          <w:i/>
          <w:sz w:val="20"/>
        </w:rPr>
        <w:t>5</w:t>
      </w:r>
      <w:r>
        <w:rPr>
          <w:rFonts w:ascii="Arial"/>
          <w:i/>
          <w:spacing w:val="8"/>
          <w:sz w:val="20"/>
        </w:rPr>
        <w:t> </w:t>
      </w:r>
      <w:r>
        <w:rPr>
          <w:rFonts w:ascii="Arial"/>
          <w:i/>
          <w:sz w:val="20"/>
        </w:rPr>
        <w:t>C.</w:t>
      </w:r>
      <w:r>
        <w:rPr>
          <w:rFonts w:ascii="Arial"/>
          <w:i/>
          <w:spacing w:val="8"/>
          <w:sz w:val="20"/>
        </w:rPr>
        <w:t> </w:t>
      </w:r>
      <w:r>
        <w:rPr>
          <w:rFonts w:ascii="Arial"/>
          <w:i/>
          <w:sz w:val="20"/>
        </w:rPr>
        <w:t>&amp;</w:t>
      </w:r>
      <w:r>
        <w:rPr>
          <w:rFonts w:ascii="Arial"/>
          <w:i/>
          <w:spacing w:val="8"/>
          <w:sz w:val="20"/>
        </w:rPr>
        <w:t> </w:t>
      </w:r>
      <w:r>
        <w:rPr>
          <w:rFonts w:ascii="Arial"/>
          <w:i/>
          <w:sz w:val="20"/>
        </w:rPr>
        <w:t>P.</w:t>
      </w:r>
      <w:r>
        <w:rPr>
          <w:rFonts w:ascii="Arial"/>
          <w:i/>
          <w:spacing w:val="8"/>
          <w:sz w:val="20"/>
        </w:rPr>
        <w:t> </w:t>
      </w:r>
      <w:r>
        <w:rPr>
          <w:rFonts w:ascii="Arial"/>
          <w:i/>
          <w:sz w:val="20"/>
        </w:rPr>
        <w:t>566;</w:t>
      </w:r>
      <w:r>
        <w:rPr>
          <w:rFonts w:ascii="Arial"/>
          <w:i/>
          <w:spacing w:val="8"/>
          <w:sz w:val="20"/>
        </w:rPr>
        <w:t> </w:t>
      </w:r>
      <w:r>
        <w:rPr>
          <w:rFonts w:ascii="Arial"/>
          <w:i/>
          <w:sz w:val="20"/>
        </w:rPr>
        <w:t>4</w:t>
      </w:r>
      <w:r>
        <w:rPr>
          <w:rFonts w:ascii="Arial"/>
          <w:i/>
          <w:spacing w:val="8"/>
          <w:sz w:val="20"/>
        </w:rPr>
        <w:t> </w:t>
      </w:r>
      <w:r>
        <w:rPr>
          <w:rFonts w:ascii="Arial"/>
          <w:i/>
          <w:sz w:val="20"/>
        </w:rPr>
        <w:t>B.</w:t>
      </w:r>
      <w:r>
        <w:rPr>
          <w:rFonts w:ascii="Arial"/>
          <w:i/>
          <w:spacing w:val="8"/>
          <w:sz w:val="20"/>
        </w:rPr>
        <w:t> </w:t>
      </w:r>
      <w:r>
        <w:rPr>
          <w:rFonts w:ascii="Arial"/>
          <w:i/>
          <w:spacing w:val="-10"/>
          <w:sz w:val="20"/>
        </w:rPr>
        <w:t>&amp;</w:t>
      </w:r>
    </w:p>
    <w:p>
      <w:pPr>
        <w:spacing w:line="227" w:lineRule="exact" w:before="0"/>
        <w:ind w:left="705" w:right="0" w:firstLine="0"/>
        <w:jc w:val="left"/>
        <w:rPr>
          <w:sz w:val="20"/>
        </w:rPr>
      </w:pPr>
      <w:r>
        <w:rPr>
          <w:rFonts w:ascii="Arial"/>
          <w:i/>
          <w:sz w:val="20"/>
        </w:rPr>
        <w:t>Ad.</w:t>
      </w:r>
      <w:r>
        <w:rPr>
          <w:rFonts w:ascii="Arial"/>
          <w:i/>
          <w:spacing w:val="-2"/>
          <w:sz w:val="20"/>
        </w:rPr>
        <w:t> </w:t>
      </w:r>
      <w:r>
        <w:rPr>
          <w:rFonts w:ascii="Arial"/>
          <w:i/>
          <w:spacing w:val="-4"/>
          <w:sz w:val="20"/>
        </w:rPr>
        <w:t>621</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212" w:id="214"/>
      <w:bookmarkEnd w:id="214"/>
      <w:r>
        <w:rPr/>
      </w:r>
      <w:hyperlink w:history="true" w:anchor="_bookmark89">
        <w:r>
          <w:rPr>
            <w:color w:val="005DA1"/>
            <w:spacing w:val="-4"/>
            <w:position w:val="5"/>
            <w:sz w:val="14"/>
            <w:u w:val="single" w:color="005DA1"/>
          </w:rPr>
          <w:t>86</w:t>
        </w:r>
      </w:hyperlink>
      <w:r>
        <w:rPr>
          <w:spacing w:val="-4"/>
          <w:position w:val="5"/>
          <w:sz w:val="14"/>
        </w:rPr>
        <w:t>.</w:t>
      </w:r>
      <w:r>
        <w:rPr>
          <w:position w:val="5"/>
          <w:sz w:val="14"/>
        </w:rPr>
        <w:tab/>
      </w:r>
      <w:r>
        <w:rPr>
          <w:rFonts w:ascii="Arial"/>
          <w:i/>
          <w:sz w:val="20"/>
        </w:rPr>
        <w:t>Lancaster v Walsh (1838) 4 M. &amp; W. 16</w:t>
      </w:r>
      <w:r>
        <w:rPr>
          <w:sz w:val="20"/>
        </w:rPr>
        <w:t>. Where two persons together supply the information,</w:t>
      </w:r>
      <w:r>
        <w:rPr>
          <w:spacing w:val="80"/>
          <w:sz w:val="20"/>
        </w:rPr>
        <w:t> </w:t>
      </w:r>
      <w:r>
        <w:rPr>
          <w:sz w:val="20"/>
        </w:rPr>
        <w:t>they may share a single reward: </w:t>
      </w:r>
      <w:r>
        <w:rPr>
          <w:rFonts w:ascii="Arial"/>
          <w:i/>
          <w:sz w:val="20"/>
        </w:rPr>
        <w:t>Lockhart v Barnard (1845) 14 M. &amp; W. 674</w:t>
      </w:r>
      <w:r>
        <w:rPr>
          <w:sz w:val="20"/>
        </w:rPr>
        <w:t>.</w:t>
      </w:r>
    </w:p>
    <w:p>
      <w:pPr>
        <w:pStyle w:val="BodyText"/>
        <w:spacing w:before="5"/>
      </w:pPr>
    </w:p>
    <w:p>
      <w:pPr>
        <w:pStyle w:val="BodyText"/>
        <w:tabs>
          <w:tab w:pos="705" w:val="left" w:leader="none"/>
        </w:tabs>
        <w:ind w:left="165"/>
      </w:pPr>
      <w:bookmarkStart w:name="_bookmark213" w:id="215"/>
      <w:bookmarkEnd w:id="215"/>
      <w:r>
        <w:rPr/>
      </w:r>
      <w:hyperlink w:history="true" w:anchor="_bookmark90">
        <w:r>
          <w:rPr>
            <w:color w:val="005DA1"/>
            <w:spacing w:val="-5"/>
            <w:position w:val="5"/>
            <w:sz w:val="14"/>
            <w:u w:val="single" w:color="005DA1"/>
          </w:rPr>
          <w:t>87</w:t>
        </w:r>
      </w:hyperlink>
      <w:r>
        <w:rPr>
          <w:spacing w:val="-5"/>
          <w:position w:val="5"/>
          <w:sz w:val="14"/>
        </w:rPr>
        <w:t>.</w:t>
      </w:r>
      <w:r>
        <w:rPr>
          <w:position w:val="5"/>
          <w:sz w:val="14"/>
        </w:rPr>
        <w:tab/>
      </w:r>
      <w:r>
        <w:rPr/>
        <w:t>Above, para.2-</w:t>
      </w:r>
      <w:r>
        <w:rPr>
          <w:spacing w:val="-4"/>
        </w:rPr>
        <w:t>015.</w:t>
      </w:r>
    </w:p>
    <w:p>
      <w:pPr>
        <w:pStyle w:val="BodyText"/>
        <w:spacing w:before="9"/>
      </w:pPr>
    </w:p>
    <w:p>
      <w:pPr>
        <w:tabs>
          <w:tab w:pos="705" w:val="left" w:leader="none"/>
        </w:tabs>
        <w:spacing w:line="235" w:lineRule="auto" w:before="0"/>
        <w:ind w:left="705" w:right="168" w:hanging="541"/>
        <w:jc w:val="left"/>
        <w:rPr>
          <w:sz w:val="20"/>
        </w:rPr>
      </w:pPr>
      <w:bookmarkStart w:name="_bookmark214" w:id="216"/>
      <w:bookmarkEnd w:id="216"/>
      <w:r>
        <w:rPr/>
      </w:r>
      <w:hyperlink w:history="true" w:anchor="_bookmark91">
        <w:r>
          <w:rPr>
            <w:color w:val="005DA1"/>
            <w:spacing w:val="-4"/>
            <w:position w:val="5"/>
            <w:sz w:val="14"/>
            <w:u w:val="single" w:color="005DA1"/>
          </w:rPr>
          <w:t>88</w:t>
        </w:r>
      </w:hyperlink>
      <w:r>
        <w:rPr>
          <w:spacing w:val="-4"/>
          <w:position w:val="5"/>
          <w:sz w:val="14"/>
        </w:rPr>
        <w:t>.</w:t>
      </w:r>
      <w:r>
        <w:rPr>
          <w:position w:val="5"/>
          <w:sz w:val="14"/>
        </w:rPr>
        <w:tab/>
      </w:r>
      <w:r>
        <w:rPr>
          <w:rFonts w:ascii="Arial"/>
          <w:i/>
          <w:sz w:val="20"/>
        </w:rPr>
        <w:t>Shanklin</w:t>
      </w:r>
      <w:r>
        <w:rPr>
          <w:rFonts w:ascii="Arial"/>
          <w:i/>
          <w:spacing w:val="40"/>
          <w:sz w:val="20"/>
        </w:rPr>
        <w:t> </w:t>
      </w:r>
      <w:r>
        <w:rPr>
          <w:rFonts w:ascii="Arial"/>
          <w:i/>
          <w:sz w:val="20"/>
        </w:rPr>
        <w:t>Pier</w:t>
      </w:r>
      <w:r>
        <w:rPr>
          <w:rFonts w:ascii="Arial"/>
          <w:i/>
          <w:spacing w:val="40"/>
          <w:sz w:val="20"/>
        </w:rPr>
        <w:t> </w:t>
      </w:r>
      <w:r>
        <w:rPr>
          <w:rFonts w:ascii="Arial"/>
          <w:i/>
          <w:sz w:val="20"/>
        </w:rPr>
        <w:t>LD.</w:t>
      </w:r>
      <w:r>
        <w:rPr>
          <w:rFonts w:ascii="Arial"/>
          <w:i/>
          <w:spacing w:val="40"/>
          <w:sz w:val="20"/>
        </w:rPr>
        <w:t> </w:t>
      </w:r>
      <w:r>
        <w:rPr>
          <w:rFonts w:ascii="Arial"/>
          <w:i/>
          <w:sz w:val="20"/>
        </w:rPr>
        <w:t>v</w:t>
      </w:r>
      <w:r>
        <w:rPr>
          <w:rFonts w:ascii="Arial"/>
          <w:i/>
          <w:spacing w:val="40"/>
          <w:sz w:val="20"/>
        </w:rPr>
        <w:t> </w:t>
      </w:r>
      <w:r>
        <w:rPr>
          <w:rFonts w:ascii="Arial"/>
          <w:i/>
          <w:sz w:val="20"/>
        </w:rPr>
        <w:t>Detel</w:t>
      </w:r>
      <w:r>
        <w:rPr>
          <w:rFonts w:ascii="Arial"/>
          <w:i/>
          <w:spacing w:val="40"/>
          <w:sz w:val="20"/>
        </w:rPr>
        <w:t> </w:t>
      </w:r>
      <w:r>
        <w:rPr>
          <w:rFonts w:ascii="Arial"/>
          <w:i/>
          <w:sz w:val="20"/>
        </w:rPr>
        <w:t>Products</w:t>
      </w:r>
      <w:r>
        <w:rPr>
          <w:rFonts w:ascii="Arial"/>
          <w:i/>
          <w:spacing w:val="40"/>
          <w:sz w:val="20"/>
        </w:rPr>
        <w:t> </w:t>
      </w:r>
      <w:r>
        <w:rPr>
          <w:rFonts w:ascii="Arial"/>
          <w:i/>
          <w:sz w:val="20"/>
        </w:rPr>
        <w:t>LD</w:t>
      </w:r>
      <w:r>
        <w:rPr>
          <w:rFonts w:ascii="Arial"/>
          <w:i/>
          <w:spacing w:val="40"/>
          <w:sz w:val="20"/>
        </w:rPr>
        <w:t> </w:t>
      </w:r>
      <w:r>
        <w:rPr>
          <w:rFonts w:ascii="Arial"/>
          <w:i/>
          <w:sz w:val="20"/>
        </w:rPr>
        <w:t>[1951]</w:t>
      </w:r>
      <w:r>
        <w:rPr>
          <w:rFonts w:ascii="Arial"/>
          <w:i/>
          <w:spacing w:val="40"/>
          <w:sz w:val="20"/>
        </w:rPr>
        <w:t> </w:t>
      </w:r>
      <w:r>
        <w:rPr>
          <w:rFonts w:ascii="Arial"/>
          <w:i/>
          <w:sz w:val="20"/>
        </w:rPr>
        <w:t>2</w:t>
      </w:r>
      <w:r>
        <w:rPr>
          <w:rFonts w:ascii="Arial"/>
          <w:i/>
          <w:spacing w:val="40"/>
          <w:sz w:val="20"/>
        </w:rPr>
        <w:t> </w:t>
      </w:r>
      <w:r>
        <w:rPr>
          <w:rFonts w:ascii="Arial"/>
          <w:i/>
          <w:sz w:val="20"/>
        </w:rPr>
        <w:t>K.B.</w:t>
      </w:r>
      <w:r>
        <w:rPr>
          <w:rFonts w:ascii="Arial"/>
          <w:i/>
          <w:spacing w:val="40"/>
          <w:sz w:val="20"/>
        </w:rPr>
        <w:t> </w:t>
      </w:r>
      <w:r>
        <w:rPr>
          <w:rFonts w:ascii="Arial"/>
          <w:i/>
          <w:sz w:val="20"/>
        </w:rPr>
        <w:t>854,</w:t>
      </w:r>
      <w:r>
        <w:rPr>
          <w:rFonts w:ascii="Arial"/>
          <w:i/>
          <w:spacing w:val="40"/>
          <w:sz w:val="20"/>
        </w:rPr>
        <w:t> </w:t>
      </w:r>
      <w:r>
        <w:rPr>
          <w:rFonts w:ascii="Arial"/>
          <w:i/>
          <w:sz w:val="20"/>
        </w:rPr>
        <w:t>[1951]</w:t>
      </w:r>
      <w:r>
        <w:rPr>
          <w:rFonts w:ascii="Arial"/>
          <w:i/>
          <w:spacing w:val="40"/>
          <w:sz w:val="20"/>
        </w:rPr>
        <w:t> </w:t>
      </w:r>
      <w:r>
        <w:rPr>
          <w:rFonts w:ascii="Arial"/>
          <w:i/>
          <w:sz w:val="20"/>
        </w:rPr>
        <w:t>2</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471</w:t>
      </w:r>
      <w:r>
        <w:rPr>
          <w:sz w:val="20"/>
        </w:rPr>
        <w:t>;</w:t>
      </w:r>
      <w:r>
        <w:rPr>
          <w:spacing w:val="40"/>
          <w:sz w:val="20"/>
        </w:rPr>
        <w:t> </w:t>
      </w:r>
      <w:r>
        <w:rPr>
          <w:rFonts w:ascii="Arial"/>
          <w:i/>
          <w:sz w:val="20"/>
        </w:rPr>
        <w:t>Wells</w:t>
      </w:r>
      <w:r>
        <w:rPr>
          <w:rFonts w:ascii="Arial"/>
          <w:i/>
          <w:spacing w:val="80"/>
          <w:w w:val="150"/>
          <w:sz w:val="20"/>
        </w:rPr>
        <w:t> </w:t>
      </w:r>
      <w:r>
        <w:rPr>
          <w:rFonts w:ascii="Arial"/>
          <w:i/>
          <w:sz w:val="20"/>
        </w:rPr>
        <w:t>(Merstham) Ltd v Buckland Sand and Silica Ltd [1965] 2 Q.B. 170</w:t>
      </w:r>
      <w:r>
        <w:rPr>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15" w:id="217"/>
      <w:bookmarkEnd w:id="217"/>
      <w:r>
        <w:rPr/>
      </w:r>
      <w:hyperlink w:history="true" w:anchor="_bookmark92">
        <w:r>
          <w:rPr>
            <w:color w:val="005DA1"/>
            <w:spacing w:val="-5"/>
            <w:position w:val="5"/>
            <w:sz w:val="14"/>
            <w:u w:val="single" w:color="005DA1"/>
          </w:rPr>
          <w:t>89</w:t>
        </w:r>
      </w:hyperlink>
      <w:r>
        <w:rPr>
          <w:spacing w:val="-5"/>
          <w:position w:val="5"/>
          <w:sz w:val="14"/>
        </w:rPr>
        <w:t>.</w:t>
      </w:r>
      <w:r>
        <w:rPr>
          <w:position w:val="5"/>
          <w:sz w:val="14"/>
        </w:rPr>
        <w:tab/>
      </w:r>
      <w:r>
        <w:rPr>
          <w:rFonts w:ascii="Arial"/>
          <w:i/>
          <w:sz w:val="20"/>
        </w:rPr>
        <w:t>Lambert</w:t>
      </w:r>
      <w:r>
        <w:rPr>
          <w:rFonts w:ascii="Arial"/>
          <w:i/>
          <w:spacing w:val="5"/>
          <w:sz w:val="20"/>
        </w:rPr>
        <w:t> </w:t>
      </w:r>
      <w:r>
        <w:rPr>
          <w:rFonts w:ascii="Arial"/>
          <w:i/>
          <w:sz w:val="20"/>
        </w:rPr>
        <w:t>v</w:t>
      </w:r>
      <w:r>
        <w:rPr>
          <w:rFonts w:ascii="Arial"/>
          <w:i/>
          <w:spacing w:val="6"/>
          <w:sz w:val="20"/>
        </w:rPr>
        <w:t> </w:t>
      </w:r>
      <w:r>
        <w:rPr>
          <w:rFonts w:ascii="Arial"/>
          <w:i/>
          <w:sz w:val="20"/>
        </w:rPr>
        <w:t>Lewis</w:t>
      </w:r>
      <w:r>
        <w:rPr>
          <w:sz w:val="20"/>
        </w:rPr>
        <w:t>,</w:t>
      </w:r>
      <w:r>
        <w:rPr>
          <w:spacing w:val="6"/>
          <w:sz w:val="20"/>
        </w:rPr>
        <w:t> </w:t>
      </w:r>
      <w:r>
        <w:rPr>
          <w:sz w:val="20"/>
        </w:rPr>
        <w:t>also</w:t>
      </w:r>
      <w:r>
        <w:rPr>
          <w:spacing w:val="6"/>
          <w:sz w:val="20"/>
        </w:rPr>
        <w:t> </w:t>
      </w:r>
      <w:r>
        <w:rPr>
          <w:sz w:val="20"/>
        </w:rPr>
        <w:t>known</w:t>
      </w:r>
      <w:r>
        <w:rPr>
          <w:spacing w:val="6"/>
          <w:sz w:val="20"/>
        </w:rPr>
        <w:t> </w:t>
      </w:r>
      <w:r>
        <w:rPr>
          <w:sz w:val="20"/>
        </w:rPr>
        <w:t>as:</w:t>
      </w:r>
      <w:r>
        <w:rPr>
          <w:spacing w:val="5"/>
          <w:sz w:val="20"/>
        </w:rPr>
        <w:t> </w:t>
      </w:r>
      <w:r>
        <w:rPr>
          <w:rFonts w:ascii="Arial"/>
          <w:i/>
          <w:sz w:val="20"/>
        </w:rPr>
        <w:t>Lexmead</w:t>
      </w:r>
      <w:r>
        <w:rPr>
          <w:rFonts w:ascii="Arial"/>
          <w:i/>
          <w:spacing w:val="6"/>
          <w:sz w:val="20"/>
        </w:rPr>
        <w:t> </w:t>
      </w:r>
      <w:r>
        <w:rPr>
          <w:rFonts w:ascii="Arial"/>
          <w:i/>
          <w:sz w:val="20"/>
        </w:rPr>
        <w:t>(Basingstoke)</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Lewis</w:t>
      </w:r>
      <w:r>
        <w:rPr>
          <w:rFonts w:ascii="Arial"/>
          <w:i/>
          <w:spacing w:val="6"/>
          <w:sz w:val="20"/>
        </w:rPr>
        <w:t> </w:t>
      </w:r>
      <w:r>
        <w:rPr>
          <w:rFonts w:ascii="Arial"/>
          <w:i/>
          <w:sz w:val="20"/>
        </w:rPr>
        <w:t>[1982]</w:t>
      </w:r>
      <w:r>
        <w:rPr>
          <w:rFonts w:ascii="Arial"/>
          <w:i/>
          <w:spacing w:val="6"/>
          <w:sz w:val="20"/>
        </w:rPr>
        <w:t> </w:t>
      </w:r>
      <w:r>
        <w:rPr>
          <w:rFonts w:ascii="Arial"/>
          <w:i/>
          <w:sz w:val="20"/>
        </w:rPr>
        <w:t>A.C.</w:t>
      </w:r>
      <w:r>
        <w:rPr>
          <w:rFonts w:ascii="Arial"/>
          <w:i/>
          <w:spacing w:val="6"/>
          <w:sz w:val="20"/>
        </w:rPr>
        <w:t> </w:t>
      </w:r>
      <w:r>
        <w:rPr>
          <w:rFonts w:ascii="Arial"/>
          <w:i/>
          <w:sz w:val="20"/>
        </w:rPr>
        <w:t>225,</w:t>
      </w:r>
      <w:r>
        <w:rPr>
          <w:rFonts w:ascii="Arial"/>
          <w:i/>
          <w:spacing w:val="6"/>
          <w:sz w:val="20"/>
        </w:rPr>
        <w:t> </w:t>
      </w:r>
      <w:r>
        <w:rPr>
          <w:rFonts w:ascii="Arial"/>
          <w:i/>
          <w:sz w:val="20"/>
        </w:rPr>
        <w:t>[1981]</w:t>
      </w:r>
      <w:r>
        <w:rPr>
          <w:rFonts w:ascii="Arial"/>
          <w:i/>
          <w:spacing w:val="6"/>
          <w:sz w:val="20"/>
        </w:rPr>
        <w:t> </w:t>
      </w:r>
      <w:r>
        <w:rPr>
          <w:rFonts w:ascii="Arial"/>
          <w:i/>
          <w:spacing w:val="-10"/>
          <w:sz w:val="20"/>
        </w:rPr>
        <w:t>2</w:t>
      </w:r>
    </w:p>
    <w:p>
      <w:pPr>
        <w:pStyle w:val="BodyText"/>
        <w:spacing w:line="235" w:lineRule="auto" w:before="2"/>
        <w:ind w:left="705" w:right="167"/>
        <w:jc w:val="both"/>
      </w:pPr>
      <w:r>
        <w:rPr>
          <w:rFonts w:ascii="Arial" w:hAnsi="Arial"/>
          <w:i/>
        </w:rPr>
        <w:t>W.L.R. 713 </w:t>
      </w:r>
      <w:r>
        <w:rPr/>
        <w:t>at 262: “the difficulty is to show that what the manufacturers stated in the literature advertising and accompanying their products as to their safety and suitability was intended to</w:t>
      </w:r>
      <w:r>
        <w:rPr>
          <w:spacing w:val="40"/>
        </w:rPr>
        <w:t> </w:t>
      </w:r>
      <w:r>
        <w:rPr/>
        <w:t>be a contractual warranty or binding promise. It is one thing to express or imply it in a contract</w:t>
      </w:r>
      <w:r>
        <w:rPr>
          <w:spacing w:val="40"/>
        </w:rPr>
        <w:t> </w:t>
      </w:r>
      <w:r>
        <w:rPr/>
        <w:t>of sale, another to treat it as expressed or implied as a contract, or a term of a </w:t>
      </w:r>
      <w:r>
        <w:rPr/>
        <w:t>contract, collateral to a contract of sale.”</w:t>
      </w:r>
    </w:p>
    <w:p>
      <w:pPr>
        <w:pStyle w:val="BodyText"/>
        <w:spacing w:before="8"/>
      </w:pPr>
    </w:p>
    <w:p>
      <w:pPr>
        <w:pStyle w:val="BodyText"/>
        <w:spacing w:line="235" w:lineRule="auto"/>
        <w:ind w:left="705" w:right="167" w:hanging="541"/>
        <w:jc w:val="both"/>
      </w:pPr>
      <w:bookmarkStart w:name="_bookmark216" w:id="218"/>
      <w:bookmarkEnd w:id="218"/>
      <w:r>
        <w:rPr/>
      </w:r>
      <w:hyperlink w:history="true" w:anchor="_bookmark93">
        <w:r>
          <w:rPr>
            <w:color w:val="005DA1"/>
            <w:position w:val="5"/>
            <w:sz w:val="14"/>
            <w:u w:val="single" w:color="005DA1"/>
          </w:rPr>
          <w:t>90</w:t>
        </w:r>
      </w:hyperlink>
      <w:r>
        <w:rPr>
          <w:position w:val="5"/>
          <w:sz w:val="14"/>
        </w:rPr>
        <w:t>.</w:t>
      </w:r>
      <w:r>
        <w:rPr>
          <w:spacing w:val="80"/>
          <w:w w:val="150"/>
          <w:position w:val="5"/>
          <w:sz w:val="14"/>
        </w:rPr>
        <w:t> </w:t>
      </w:r>
      <w:r>
        <w:rPr/>
        <w:t>e.g. under Consumer Protection from Unfair Trading Regulations 2008 (SI 2008/1277), </w:t>
      </w:r>
      <w:r>
        <w:rPr/>
        <w:t>as amended by the Consumer Protection (Amendment) Regulations 2014 (SI 2014/870) regs 2–4, reg.3(4)(d) and Sch.1 para.6, above, para.2-012 n.67. See also Consumer Credit Act 1974</w:t>
      </w:r>
      <w:r>
        <w:rPr>
          <w:spacing w:val="40"/>
        </w:rPr>
        <w:t> </w:t>
      </w:r>
      <w:r>
        <w:rPr>
          <w:spacing w:val="-2"/>
        </w:rPr>
        <w:t>s.45.</w:t>
      </w:r>
    </w:p>
    <w:p>
      <w:pPr>
        <w:pStyle w:val="BodyText"/>
        <w:spacing w:before="4"/>
      </w:pPr>
    </w:p>
    <w:p>
      <w:pPr>
        <w:pStyle w:val="BodyText"/>
        <w:tabs>
          <w:tab w:pos="705" w:val="left" w:leader="none"/>
        </w:tabs>
        <w:spacing w:before="1"/>
        <w:ind w:left="165"/>
      </w:pPr>
      <w:bookmarkStart w:name="_bookmark217" w:id="219"/>
      <w:bookmarkEnd w:id="219"/>
      <w:r>
        <w:rPr/>
      </w:r>
      <w:hyperlink w:history="true" w:anchor="_bookmark94">
        <w:r>
          <w:rPr>
            <w:color w:val="005DA1"/>
            <w:spacing w:val="-5"/>
            <w:position w:val="5"/>
            <w:sz w:val="14"/>
            <w:u w:val="single" w:color="005DA1"/>
          </w:rPr>
          <w:t>91</w:t>
        </w:r>
      </w:hyperlink>
      <w:r>
        <w:rPr>
          <w:spacing w:val="-5"/>
          <w:position w:val="5"/>
          <w:sz w:val="14"/>
        </w:rPr>
        <w:t>.</w:t>
      </w:r>
      <w:r>
        <w:rPr>
          <w:position w:val="5"/>
          <w:sz w:val="14"/>
        </w:rPr>
        <w:tab/>
      </w:r>
      <w:r>
        <w:rPr/>
        <w:t>Business Protection from Misleading Marketing Regulations 2008 (SI </w:t>
      </w:r>
      <w:r>
        <w:rPr>
          <w:spacing w:val="-2"/>
        </w:rPr>
        <w:t>2008/1276).</w:t>
      </w:r>
    </w:p>
    <w:p>
      <w:pPr>
        <w:pStyle w:val="BodyText"/>
        <w:spacing w:before="4"/>
      </w:pPr>
    </w:p>
    <w:p>
      <w:pPr>
        <w:tabs>
          <w:tab w:pos="705" w:val="left" w:leader="none"/>
        </w:tabs>
        <w:spacing w:before="1"/>
        <w:ind w:left="165" w:right="0" w:firstLine="0"/>
        <w:jc w:val="left"/>
        <w:rPr>
          <w:sz w:val="20"/>
        </w:rPr>
      </w:pPr>
      <w:bookmarkStart w:name="_bookmark218" w:id="220"/>
      <w:bookmarkEnd w:id="220"/>
      <w:r>
        <w:rPr/>
      </w:r>
      <w:hyperlink w:history="true" w:anchor="_bookmark95">
        <w:r>
          <w:rPr>
            <w:color w:val="005DA1"/>
            <w:spacing w:val="-5"/>
            <w:position w:val="5"/>
            <w:sz w:val="14"/>
            <w:u w:val="single" w:color="005DA1"/>
          </w:rPr>
          <w:t>92</w:t>
        </w:r>
      </w:hyperlink>
      <w:r>
        <w:rPr>
          <w:spacing w:val="-5"/>
          <w:position w:val="5"/>
          <w:sz w:val="14"/>
        </w:rPr>
        <w:t>.</w:t>
      </w:r>
      <w:r>
        <w:rPr>
          <w:position w:val="5"/>
          <w:sz w:val="14"/>
        </w:rPr>
        <w:tab/>
      </w:r>
      <w:r>
        <w:rPr>
          <w:sz w:val="20"/>
        </w:rPr>
        <w:t>Below, </w:t>
      </w:r>
      <w:r>
        <w:rPr>
          <w:spacing w:val="-2"/>
          <w:sz w:val="20"/>
        </w:rPr>
        <w:t>Ch.7.</w:t>
      </w:r>
    </w:p>
    <w:p>
      <w:pPr>
        <w:pStyle w:val="BodyText"/>
        <w:spacing w:before="8"/>
      </w:pPr>
    </w:p>
    <w:p>
      <w:pPr>
        <w:pStyle w:val="BodyText"/>
        <w:spacing w:line="235" w:lineRule="auto"/>
        <w:ind w:left="705" w:right="167" w:hanging="541"/>
        <w:jc w:val="both"/>
      </w:pPr>
      <w:bookmarkStart w:name="_bookmark219" w:id="221"/>
      <w:bookmarkEnd w:id="221"/>
      <w:r>
        <w:rPr/>
      </w:r>
      <w:hyperlink w:history="true" w:anchor="_bookmark96">
        <w:r>
          <w:rPr>
            <w:color w:val="005DA1"/>
            <w:position w:val="5"/>
            <w:sz w:val="14"/>
            <w:u w:val="single" w:color="005DA1"/>
          </w:rPr>
          <w:t>93</w:t>
        </w:r>
      </w:hyperlink>
      <w:r>
        <w:rPr>
          <w:position w:val="5"/>
          <w:sz w:val="14"/>
        </w:rPr>
        <w:t>.</w:t>
      </w:r>
      <w:r>
        <w:rPr>
          <w:spacing w:val="80"/>
          <w:position w:val="5"/>
          <w:sz w:val="14"/>
        </w:rPr>
        <w:t>  </w:t>
      </w:r>
      <w:r>
        <w:rPr/>
        <w:t>SI 2002/3045 reg.15 (as amended by Consumer Protection from Unfair Trading </w:t>
      </w:r>
      <w:r>
        <w:rPr/>
        <w:t>Regulations 2008 (SI 2008/1277) reg.30(1) and Sch.2 para.97); for definition of “consumer” and “consumer guarantee”, see reg.2.</w:t>
      </w:r>
    </w:p>
    <w:p>
      <w:pPr>
        <w:pStyle w:val="BodyText"/>
        <w:spacing w:before="9"/>
      </w:pPr>
    </w:p>
    <w:p>
      <w:pPr>
        <w:pStyle w:val="BodyText"/>
        <w:tabs>
          <w:tab w:pos="705" w:val="left" w:leader="none"/>
        </w:tabs>
        <w:spacing w:line="235" w:lineRule="auto"/>
        <w:ind w:left="705" w:right="168" w:hanging="541"/>
      </w:pPr>
      <w:bookmarkStart w:name="_bookmark220" w:id="222"/>
      <w:bookmarkEnd w:id="222"/>
      <w:r>
        <w:rPr/>
      </w:r>
      <w:hyperlink w:history="true" w:anchor="_bookmark96">
        <w:r>
          <w:rPr>
            <w:color w:val="005DA1"/>
            <w:spacing w:val="-4"/>
            <w:position w:val="5"/>
            <w:sz w:val="14"/>
            <w:u w:val="single" w:color="005DA1"/>
          </w:rPr>
          <w:t>94</w:t>
        </w:r>
      </w:hyperlink>
      <w:r>
        <w:rPr>
          <w:spacing w:val="-4"/>
          <w:position w:val="5"/>
          <w:sz w:val="14"/>
        </w:rPr>
        <w:t>.</w:t>
      </w:r>
      <w:r>
        <w:rPr>
          <w:position w:val="5"/>
          <w:sz w:val="14"/>
        </w:rPr>
        <w:tab/>
      </w:r>
      <w:r>
        <w:rPr/>
        <w:t>See s.60 and Sch.1 para.53 of the Consumer Rights Act 2015. The Act will apply to contracts</w:t>
      </w:r>
      <w:r>
        <w:rPr>
          <w:spacing w:val="40"/>
        </w:rPr>
        <w:t> </w:t>
      </w:r>
      <w:r>
        <w:rPr/>
        <w:t>made on or after October 1, 2015.</w:t>
      </w:r>
    </w:p>
    <w:p>
      <w:pPr>
        <w:pStyle w:val="BodyText"/>
        <w:spacing w:before="6"/>
      </w:pPr>
    </w:p>
    <w:p>
      <w:pPr>
        <w:pStyle w:val="BodyText"/>
        <w:tabs>
          <w:tab w:pos="705" w:val="left" w:leader="none"/>
        </w:tabs>
        <w:ind w:left="165"/>
      </w:pPr>
      <w:bookmarkStart w:name="_bookmark221" w:id="223"/>
      <w:bookmarkEnd w:id="223"/>
      <w:r>
        <w:rPr/>
      </w:r>
      <w:hyperlink w:history="true" w:anchor="_bookmark97">
        <w:r>
          <w:rPr>
            <w:color w:val="005DA1"/>
            <w:spacing w:val="-5"/>
            <w:position w:val="5"/>
            <w:sz w:val="14"/>
            <w:u w:val="single" w:color="005DA1"/>
          </w:rPr>
          <w:t>95</w:t>
        </w:r>
      </w:hyperlink>
      <w:r>
        <w:rPr>
          <w:spacing w:val="-5"/>
          <w:position w:val="5"/>
          <w:sz w:val="14"/>
        </w:rPr>
        <w:t>.</w:t>
      </w:r>
      <w:r>
        <w:rPr>
          <w:position w:val="5"/>
          <w:sz w:val="14"/>
        </w:rPr>
        <w:tab/>
      </w:r>
      <w:r>
        <w:rPr/>
        <w:t>See s.3(1) of the Consumer Rights Act </w:t>
      </w:r>
      <w:r>
        <w:rPr>
          <w:spacing w:val="-2"/>
        </w:rPr>
        <w:t>2015.</w:t>
      </w:r>
    </w:p>
    <w:p>
      <w:pPr>
        <w:pStyle w:val="BodyText"/>
        <w:spacing w:before="5"/>
      </w:pPr>
    </w:p>
    <w:p>
      <w:pPr>
        <w:pStyle w:val="BodyText"/>
        <w:tabs>
          <w:tab w:pos="705" w:val="left" w:leader="none"/>
        </w:tabs>
        <w:ind w:left="165"/>
      </w:pPr>
      <w:bookmarkStart w:name="_bookmark222" w:id="224"/>
      <w:bookmarkEnd w:id="224"/>
      <w:r>
        <w:rPr/>
      </w:r>
      <w:hyperlink w:history="true" w:anchor="_bookmark98">
        <w:r>
          <w:rPr>
            <w:color w:val="005DA1"/>
            <w:spacing w:val="-5"/>
            <w:position w:val="5"/>
            <w:sz w:val="14"/>
            <w:u w:val="single" w:color="005DA1"/>
          </w:rPr>
          <w:t>96</w:t>
        </w:r>
      </w:hyperlink>
      <w:r>
        <w:rPr>
          <w:spacing w:val="-5"/>
          <w:position w:val="5"/>
          <w:sz w:val="14"/>
        </w:rPr>
        <w:t>.</w:t>
      </w:r>
      <w:r>
        <w:rPr>
          <w:position w:val="5"/>
          <w:sz w:val="14"/>
        </w:rPr>
        <w:tab/>
      </w:r>
      <w:r>
        <w:rPr/>
        <w:t>See s.30(3) of the Consumer Rights Act 2015. And see below, para.2-</w:t>
      </w:r>
      <w:r>
        <w:rPr>
          <w:spacing w:val="-4"/>
        </w:rPr>
        <w:t>176.</w:t>
      </w:r>
    </w:p>
    <w:p>
      <w:pPr>
        <w:pStyle w:val="BodyText"/>
        <w:spacing w:before="5"/>
      </w:pPr>
    </w:p>
    <w:p>
      <w:pPr>
        <w:tabs>
          <w:tab w:pos="705" w:val="left" w:leader="none"/>
        </w:tabs>
        <w:spacing w:before="0"/>
        <w:ind w:left="165" w:right="0" w:firstLine="0"/>
        <w:jc w:val="left"/>
        <w:rPr>
          <w:sz w:val="20"/>
        </w:rPr>
      </w:pPr>
      <w:bookmarkStart w:name="_bookmark223" w:id="225"/>
      <w:bookmarkEnd w:id="225"/>
      <w:r>
        <w:rPr/>
      </w:r>
      <w:hyperlink w:history="true" w:anchor="_bookmark99">
        <w:r>
          <w:rPr>
            <w:color w:val="005DA1"/>
            <w:spacing w:val="-5"/>
            <w:position w:val="5"/>
            <w:sz w:val="14"/>
            <w:u w:val="single" w:color="005DA1"/>
          </w:rPr>
          <w:t>97</w:t>
        </w:r>
      </w:hyperlink>
      <w:r>
        <w:rPr>
          <w:spacing w:val="-5"/>
          <w:position w:val="5"/>
          <w:sz w:val="14"/>
        </w:rPr>
        <w:t>.</w:t>
      </w:r>
      <w:r>
        <w:rPr>
          <w:position w:val="5"/>
          <w:sz w:val="14"/>
        </w:rPr>
        <w:tab/>
      </w:r>
      <w:r>
        <w:rPr>
          <w:sz w:val="20"/>
        </w:rPr>
        <w:t>SI </w:t>
      </w:r>
      <w:r>
        <w:rPr>
          <w:spacing w:val="-2"/>
          <w:sz w:val="20"/>
        </w:rPr>
        <w:t>2013/3134.</w:t>
      </w:r>
    </w:p>
    <w:p>
      <w:pPr>
        <w:pStyle w:val="BodyText"/>
        <w:spacing w:before="5"/>
      </w:pPr>
    </w:p>
    <w:p>
      <w:pPr>
        <w:pStyle w:val="BodyText"/>
        <w:tabs>
          <w:tab w:pos="705" w:val="left" w:leader="none"/>
        </w:tabs>
        <w:ind w:left="165"/>
      </w:pPr>
      <w:bookmarkStart w:name="_bookmark224" w:id="226"/>
      <w:bookmarkEnd w:id="226"/>
      <w:r>
        <w:rPr/>
      </w:r>
      <w:hyperlink w:history="true" w:anchor="_bookmark100">
        <w:r>
          <w:rPr>
            <w:color w:val="005DA1"/>
            <w:spacing w:val="-5"/>
            <w:position w:val="5"/>
            <w:sz w:val="14"/>
            <w:u w:val="single" w:color="005DA1"/>
          </w:rPr>
          <w:t>98</w:t>
        </w:r>
      </w:hyperlink>
      <w:r>
        <w:rPr>
          <w:spacing w:val="-5"/>
          <w:position w:val="5"/>
          <w:sz w:val="14"/>
        </w:rPr>
        <w:t>.</w:t>
      </w:r>
      <w:r>
        <w:rPr>
          <w:position w:val="5"/>
          <w:sz w:val="14"/>
        </w:rPr>
        <w:tab/>
      </w:r>
      <w:r>
        <w:rPr/>
        <w:t>regs 9(3), 10(5) and 13(6) of SI </w:t>
      </w:r>
      <w:r>
        <w:rPr>
          <w:spacing w:val="-2"/>
        </w:rPr>
        <w:t>2013/134.</w:t>
      </w:r>
    </w:p>
    <w:p>
      <w:pPr>
        <w:pStyle w:val="BodyText"/>
        <w:spacing w:before="5"/>
      </w:pPr>
    </w:p>
    <w:p>
      <w:pPr>
        <w:pStyle w:val="BodyText"/>
        <w:tabs>
          <w:tab w:pos="705" w:val="left" w:leader="none"/>
        </w:tabs>
        <w:ind w:left="165"/>
      </w:pPr>
      <w:bookmarkStart w:name="_bookmark225" w:id="227"/>
      <w:bookmarkEnd w:id="227"/>
      <w:r>
        <w:rPr/>
      </w:r>
      <w:hyperlink w:history="true" w:anchor="_bookmark101">
        <w:r>
          <w:rPr>
            <w:color w:val="005DA1"/>
            <w:spacing w:val="-5"/>
            <w:position w:val="5"/>
            <w:sz w:val="14"/>
            <w:u w:val="single" w:color="005DA1"/>
          </w:rPr>
          <w:t>99</w:t>
        </w:r>
      </w:hyperlink>
      <w:r>
        <w:rPr>
          <w:spacing w:val="-5"/>
          <w:position w:val="5"/>
          <w:sz w:val="14"/>
        </w:rPr>
        <w:t>.</w:t>
      </w:r>
      <w:r>
        <w:rPr>
          <w:position w:val="5"/>
          <w:sz w:val="14"/>
        </w:rPr>
        <w:tab/>
      </w:r>
      <w:r>
        <w:rPr/>
        <w:t>For such liability under the 2013 Regulations, see para.2-</w:t>
      </w:r>
      <w:r>
        <w:rPr>
          <w:spacing w:val="-4"/>
        </w:rPr>
        <w:t>176.</w:t>
      </w:r>
    </w:p>
    <w:p>
      <w:pPr>
        <w:pStyle w:val="BodyText"/>
        <w:spacing w:before="9"/>
      </w:pPr>
    </w:p>
    <w:p>
      <w:pPr>
        <w:pStyle w:val="BodyText"/>
        <w:spacing w:line="235" w:lineRule="auto"/>
        <w:ind w:left="705" w:right="167" w:hanging="541"/>
        <w:jc w:val="both"/>
      </w:pPr>
      <w:bookmarkStart w:name="_bookmark226" w:id="228"/>
      <w:bookmarkEnd w:id="228"/>
      <w:r>
        <w:rPr/>
      </w:r>
      <w:hyperlink w:history="true" w:anchor="_bookmark102">
        <w:r>
          <w:rPr>
            <w:color w:val="005DA1"/>
            <w:position w:val="5"/>
            <w:sz w:val="14"/>
            <w:u w:val="single" w:color="005DA1"/>
          </w:rPr>
          <w:t>100</w:t>
        </w:r>
      </w:hyperlink>
      <w:r>
        <w:rPr>
          <w:position w:val="5"/>
          <w:sz w:val="14"/>
        </w:rPr>
        <w:t>.</w:t>
      </w:r>
      <w:r>
        <w:rPr>
          <w:spacing w:val="80"/>
          <w:position w:val="5"/>
          <w:sz w:val="14"/>
        </w:rPr>
        <w:t>  </w:t>
      </w:r>
      <w:r>
        <w:rPr/>
        <w:t>Sale</w:t>
      </w:r>
      <w:r>
        <w:rPr>
          <w:spacing w:val="-2"/>
        </w:rPr>
        <w:t> </w:t>
      </w:r>
      <w:r>
        <w:rPr/>
        <w:t>of</w:t>
      </w:r>
      <w:r>
        <w:rPr>
          <w:spacing w:val="-2"/>
        </w:rPr>
        <w:t> </w:t>
      </w:r>
      <w:r>
        <w:rPr/>
        <w:t>Goods</w:t>
      </w:r>
      <w:r>
        <w:rPr>
          <w:spacing w:val="-2"/>
        </w:rPr>
        <w:t> </w:t>
      </w:r>
      <w:r>
        <w:rPr/>
        <w:t>Act</w:t>
      </w:r>
      <w:r>
        <w:rPr>
          <w:spacing w:val="-2"/>
        </w:rPr>
        <w:t> </w:t>
      </w:r>
      <w:r>
        <w:rPr/>
        <w:t>1979</w:t>
      </w:r>
      <w:r>
        <w:rPr>
          <w:spacing w:val="-2"/>
        </w:rPr>
        <w:t> </w:t>
      </w:r>
      <w:r>
        <w:rPr/>
        <w:t>s.14(2D),</w:t>
      </w:r>
      <w:r>
        <w:rPr>
          <w:spacing w:val="-2"/>
        </w:rPr>
        <w:t> </w:t>
      </w:r>
      <w:r>
        <w:rPr/>
        <w:t>as</w:t>
      </w:r>
      <w:r>
        <w:rPr>
          <w:spacing w:val="-2"/>
        </w:rPr>
        <w:t> </w:t>
      </w:r>
      <w:r>
        <w:rPr/>
        <w:t>inserted</w:t>
      </w:r>
      <w:r>
        <w:rPr>
          <w:spacing w:val="-2"/>
        </w:rPr>
        <w:t> </w:t>
      </w:r>
      <w:r>
        <w:rPr/>
        <w:t>by</w:t>
      </w:r>
      <w:r>
        <w:rPr>
          <w:spacing w:val="-2"/>
        </w:rPr>
        <w:t> </w:t>
      </w:r>
      <w:r>
        <w:rPr/>
        <w:t>SI</w:t>
      </w:r>
      <w:r>
        <w:rPr>
          <w:spacing w:val="-2"/>
        </w:rPr>
        <w:t> </w:t>
      </w:r>
      <w:r>
        <w:rPr/>
        <w:t>2002/3045</w:t>
      </w:r>
      <w:r>
        <w:rPr>
          <w:spacing w:val="-2"/>
        </w:rPr>
        <w:t> </w:t>
      </w:r>
      <w:r>
        <w:rPr/>
        <w:t>reg.3.</w:t>
      </w:r>
      <w:r>
        <w:rPr>
          <w:spacing w:val="-2"/>
        </w:rPr>
        <w:t> </w:t>
      </w:r>
      <w:r>
        <w:rPr/>
        <w:t>See</w:t>
      </w:r>
      <w:r>
        <w:rPr>
          <w:spacing w:val="-2"/>
        </w:rPr>
        <w:t> </w:t>
      </w:r>
      <w:r>
        <w:rPr/>
        <w:t>also</w:t>
      </w:r>
      <w:r>
        <w:rPr>
          <w:spacing w:val="-2"/>
        </w:rPr>
        <w:t> </w:t>
      </w:r>
      <w:r>
        <w:rPr/>
        <w:t>Supply</w:t>
      </w:r>
      <w:r>
        <w:rPr>
          <w:spacing w:val="-2"/>
        </w:rPr>
        <w:t> </w:t>
      </w:r>
      <w:r>
        <w:rPr/>
        <w:t>of</w:t>
      </w:r>
      <w:r>
        <w:rPr>
          <w:spacing w:val="-2"/>
        </w:rPr>
        <w:t> </w:t>
      </w:r>
      <w:r>
        <w:rPr/>
        <w:t>Goods and Services Act 1982 s.11D(3A) and Supply of Goods (Implied Terms) Act 1973 s.10(2D), as inserted by regs 8 and 13 of SI 2002/3045.</w:t>
      </w:r>
    </w:p>
    <w:p>
      <w:pPr>
        <w:pStyle w:val="BodyText"/>
        <w:spacing w:before="5"/>
      </w:pPr>
    </w:p>
    <w:p>
      <w:pPr>
        <w:pStyle w:val="BodyText"/>
        <w:tabs>
          <w:tab w:pos="705" w:val="left" w:leader="none"/>
        </w:tabs>
        <w:ind w:left="165"/>
      </w:pPr>
      <w:bookmarkStart w:name="_bookmark227" w:id="229"/>
      <w:bookmarkEnd w:id="229"/>
      <w:r>
        <w:rPr/>
      </w:r>
      <w:hyperlink w:history="true" w:anchor="_bookmark102">
        <w:r>
          <w:rPr>
            <w:color w:val="005DA1"/>
            <w:spacing w:val="-4"/>
            <w:position w:val="5"/>
            <w:sz w:val="14"/>
            <w:u w:val="single" w:color="005DA1"/>
          </w:rPr>
          <w:t>101</w:t>
        </w:r>
      </w:hyperlink>
      <w:r>
        <w:rPr>
          <w:spacing w:val="-4"/>
          <w:position w:val="5"/>
          <w:sz w:val="14"/>
        </w:rPr>
        <w:t>.</w:t>
      </w:r>
      <w:r>
        <w:rPr>
          <w:position w:val="5"/>
          <w:sz w:val="14"/>
        </w:rPr>
        <w:tab/>
      </w:r>
      <w:r>
        <w:rPr/>
        <w:t>With</w:t>
      </w:r>
      <w:r>
        <w:rPr>
          <w:spacing w:val="39"/>
        </w:rPr>
        <w:t> </w:t>
      </w:r>
      <w:r>
        <w:rPr/>
        <w:t>respect</w:t>
      </w:r>
      <w:r>
        <w:rPr>
          <w:spacing w:val="39"/>
        </w:rPr>
        <w:t> </w:t>
      </w:r>
      <w:r>
        <w:rPr/>
        <w:t>to</w:t>
      </w:r>
      <w:r>
        <w:rPr>
          <w:spacing w:val="39"/>
        </w:rPr>
        <w:t> </w:t>
      </w:r>
      <w:r>
        <w:rPr/>
        <w:t>contracts</w:t>
      </w:r>
      <w:r>
        <w:rPr>
          <w:spacing w:val="39"/>
        </w:rPr>
        <w:t> </w:t>
      </w:r>
      <w:r>
        <w:rPr/>
        <w:t>made</w:t>
      </w:r>
      <w:r>
        <w:rPr>
          <w:spacing w:val="39"/>
        </w:rPr>
        <w:t> </w:t>
      </w:r>
      <w:r>
        <w:rPr/>
        <w:t>on</w:t>
      </w:r>
      <w:r>
        <w:rPr>
          <w:spacing w:val="39"/>
        </w:rPr>
        <w:t> </w:t>
      </w:r>
      <w:r>
        <w:rPr/>
        <w:t>or</w:t>
      </w:r>
      <w:r>
        <w:rPr>
          <w:spacing w:val="39"/>
        </w:rPr>
        <w:t> </w:t>
      </w:r>
      <w:r>
        <w:rPr/>
        <w:t>after</w:t>
      </w:r>
      <w:r>
        <w:rPr>
          <w:spacing w:val="39"/>
        </w:rPr>
        <w:t> </w:t>
      </w:r>
      <w:r>
        <w:rPr/>
        <w:t>October</w:t>
      </w:r>
      <w:r>
        <w:rPr>
          <w:spacing w:val="39"/>
        </w:rPr>
        <w:t> </w:t>
      </w:r>
      <w:r>
        <w:rPr/>
        <w:t>1,</w:t>
      </w:r>
      <w:r>
        <w:rPr>
          <w:spacing w:val="39"/>
        </w:rPr>
        <w:t> </w:t>
      </w:r>
      <w:r>
        <w:rPr/>
        <w:t>2015.</w:t>
      </w:r>
      <w:r>
        <w:rPr>
          <w:spacing w:val="39"/>
        </w:rPr>
        <w:t> </w:t>
      </w:r>
      <w:r>
        <w:rPr/>
        <w:t>The</w:t>
      </w:r>
      <w:r>
        <w:rPr>
          <w:spacing w:val="39"/>
        </w:rPr>
        <w:t> </w:t>
      </w:r>
      <w:r>
        <w:rPr/>
        <w:t>Sale</w:t>
      </w:r>
      <w:r>
        <w:rPr>
          <w:spacing w:val="39"/>
        </w:rPr>
        <w:t> </w:t>
      </w:r>
      <w:r>
        <w:rPr/>
        <w:t>of</w:t>
      </w:r>
      <w:r>
        <w:rPr>
          <w:spacing w:val="39"/>
        </w:rPr>
        <w:t> </w:t>
      </w:r>
      <w:r>
        <w:rPr/>
        <w:t>Goods</w:t>
      </w:r>
      <w:r>
        <w:rPr>
          <w:spacing w:val="39"/>
        </w:rPr>
        <w:t> </w:t>
      </w:r>
      <w:r>
        <w:rPr/>
        <w:t>Act</w:t>
      </w:r>
      <w:r>
        <w:rPr>
          <w:spacing w:val="39"/>
        </w:rPr>
        <w:t> </w:t>
      </w:r>
      <w:r>
        <w:rPr>
          <w:spacing w:val="-4"/>
        </w:rPr>
        <w:t>1979</w:t>
      </w:r>
    </w:p>
    <w:p>
      <w:pPr>
        <w:pStyle w:val="BodyText"/>
        <w:spacing w:after="0"/>
        <w:sectPr>
          <w:pgSz w:w="11900" w:h="16840"/>
          <w:pgMar w:header="971" w:footer="0" w:top="1300" w:bottom="280" w:left="1275" w:right="1275"/>
        </w:sectPr>
      </w:pPr>
    </w:p>
    <w:p>
      <w:pPr>
        <w:pStyle w:val="BodyText"/>
        <w:spacing w:line="235" w:lineRule="auto" w:before="170"/>
        <w:ind w:left="705" w:right="167"/>
        <w:jc w:val="both"/>
      </w:pPr>
      <w:r>
        <w:rPr/>
        <w:t>s.14(2D) is repealed by s.60 and Sch.1 para.13(2) of the Consumer Rights Act 2015; the</w:t>
      </w:r>
      <w:r>
        <w:rPr>
          <w:spacing w:val="40"/>
        </w:rPr>
        <w:t> </w:t>
      </w:r>
      <w:r>
        <w:rPr/>
        <w:t>Supply of Goods (Implied Terms) Act 1973 s.10(2D) is omitted by virtue of s.60 and </w:t>
      </w:r>
      <w:r>
        <w:rPr/>
        <w:t>Sch.1</w:t>
      </w:r>
      <w:r>
        <w:rPr>
          <w:spacing w:val="40"/>
        </w:rPr>
        <w:t> </w:t>
      </w:r>
      <w:r>
        <w:rPr/>
        <w:t>paras 3(1) and (2) of the 2015 Act; and the Supply of Goods and Services Act 1982 s.11D(3A) is omitted by virtue of s.60 and Sch.1 para.46 of the 2015 Act. See further below, Vol.II, paras 38-436 et seq.</w:t>
      </w:r>
    </w:p>
    <w:p>
      <w:pPr>
        <w:pStyle w:val="BodyText"/>
        <w:spacing w:before="4"/>
      </w:pPr>
    </w:p>
    <w:p>
      <w:pPr>
        <w:pStyle w:val="BodyText"/>
        <w:tabs>
          <w:tab w:pos="705" w:val="left" w:leader="none"/>
        </w:tabs>
        <w:spacing w:before="1"/>
        <w:ind w:left="165"/>
      </w:pPr>
      <w:bookmarkStart w:name="_bookmark228" w:id="230"/>
      <w:bookmarkEnd w:id="230"/>
      <w:r>
        <w:rPr/>
      </w:r>
      <w:hyperlink w:history="true" w:anchor="_bookmark103">
        <w:r>
          <w:rPr>
            <w:color w:val="005DA1"/>
            <w:spacing w:val="-4"/>
            <w:position w:val="5"/>
            <w:sz w:val="14"/>
            <w:u w:val="single" w:color="005DA1"/>
          </w:rPr>
          <w:t>102</w:t>
        </w:r>
      </w:hyperlink>
      <w:r>
        <w:rPr>
          <w:spacing w:val="-4"/>
          <w:position w:val="5"/>
          <w:sz w:val="14"/>
        </w:rPr>
        <w:t>.</w:t>
      </w:r>
      <w:r>
        <w:rPr>
          <w:position w:val="5"/>
          <w:sz w:val="14"/>
        </w:rPr>
        <w:tab/>
      </w:r>
      <w:r>
        <w:rPr/>
        <w:t>Consumer Rights Act 2015 </w:t>
      </w:r>
      <w:r>
        <w:rPr>
          <w:spacing w:val="-2"/>
        </w:rPr>
        <w:t>s.3(1).</w:t>
      </w:r>
    </w:p>
    <w:p>
      <w:pPr>
        <w:pStyle w:val="BodyText"/>
        <w:spacing w:before="4"/>
      </w:pPr>
    </w:p>
    <w:p>
      <w:pPr>
        <w:pStyle w:val="BodyText"/>
        <w:tabs>
          <w:tab w:pos="705" w:val="left" w:leader="none"/>
        </w:tabs>
        <w:spacing w:before="1"/>
        <w:ind w:left="165"/>
      </w:pPr>
      <w:bookmarkStart w:name="_bookmark229" w:id="231"/>
      <w:bookmarkEnd w:id="231"/>
      <w:r>
        <w:rPr/>
      </w:r>
      <w:hyperlink w:history="true" w:anchor="_bookmark104">
        <w:r>
          <w:rPr>
            <w:color w:val="005DA1"/>
            <w:spacing w:val="-4"/>
            <w:position w:val="5"/>
            <w:sz w:val="14"/>
            <w:u w:val="single" w:color="005DA1"/>
          </w:rPr>
          <w:t>103</w:t>
        </w:r>
      </w:hyperlink>
      <w:r>
        <w:rPr>
          <w:spacing w:val="-4"/>
          <w:position w:val="5"/>
          <w:sz w:val="14"/>
        </w:rPr>
        <w:t>.</w:t>
      </w:r>
      <w:r>
        <w:rPr>
          <w:position w:val="5"/>
          <w:sz w:val="14"/>
        </w:rPr>
        <w:tab/>
      </w:r>
      <w:r>
        <w:rPr/>
        <w:t>Consumer Rights Act 2015 ss.9(1), (2), (5) and </w:t>
      </w:r>
      <w:r>
        <w:rPr>
          <w:spacing w:val="-4"/>
        </w:rPr>
        <w:t>(6).</w:t>
      </w:r>
    </w:p>
    <w:p>
      <w:pPr>
        <w:pStyle w:val="BodyText"/>
        <w:spacing w:before="4"/>
      </w:pPr>
    </w:p>
    <w:p>
      <w:pPr>
        <w:pStyle w:val="BodyText"/>
        <w:tabs>
          <w:tab w:pos="705" w:val="left" w:leader="none"/>
        </w:tabs>
        <w:spacing w:before="1"/>
        <w:ind w:left="165"/>
      </w:pPr>
      <w:bookmarkStart w:name="_bookmark230" w:id="232"/>
      <w:bookmarkEnd w:id="232"/>
      <w:r>
        <w:rPr/>
      </w:r>
      <w:hyperlink w:history="true" w:anchor="_bookmark104">
        <w:r>
          <w:rPr>
            <w:color w:val="005DA1"/>
            <w:spacing w:val="-4"/>
            <w:position w:val="5"/>
            <w:sz w:val="14"/>
            <w:u w:val="single" w:color="005DA1"/>
          </w:rPr>
          <w:t>104</w:t>
        </w:r>
      </w:hyperlink>
      <w:r>
        <w:rPr>
          <w:spacing w:val="-4"/>
          <w:position w:val="5"/>
          <w:sz w:val="14"/>
        </w:rPr>
        <w:t>.</w:t>
      </w:r>
      <w:r>
        <w:rPr>
          <w:position w:val="5"/>
          <w:sz w:val="14"/>
        </w:rPr>
        <w:tab/>
      </w:r>
      <w:r>
        <w:rPr/>
        <w:t>Consumer Rights Act 2015 ss.33(1), </w:t>
      </w:r>
      <w:r>
        <w:rPr>
          <w:spacing w:val="-2"/>
        </w:rPr>
        <w:t>34(6).</w:t>
      </w:r>
    </w:p>
    <w:p>
      <w:pPr>
        <w:pStyle w:val="BodyText"/>
        <w:spacing w:before="8"/>
      </w:pPr>
    </w:p>
    <w:p>
      <w:pPr>
        <w:tabs>
          <w:tab w:pos="705" w:val="left" w:leader="none"/>
        </w:tabs>
        <w:spacing w:line="235" w:lineRule="auto" w:before="0"/>
        <w:ind w:left="705" w:right="168" w:hanging="541"/>
        <w:jc w:val="left"/>
        <w:rPr>
          <w:sz w:val="20"/>
        </w:rPr>
      </w:pPr>
      <w:bookmarkStart w:name="_bookmark231" w:id="233"/>
      <w:bookmarkEnd w:id="233"/>
      <w:r>
        <w:rPr/>
      </w:r>
      <w:hyperlink w:history="true" w:anchor="_bookmark105">
        <w:r>
          <w:rPr>
            <w:color w:val="005DA1"/>
            <w:spacing w:val="-4"/>
            <w:position w:val="5"/>
            <w:sz w:val="14"/>
            <w:u w:val="single" w:color="005DA1"/>
          </w:rPr>
          <w:t>105</w:t>
        </w:r>
      </w:hyperlink>
      <w:r>
        <w:rPr>
          <w:spacing w:val="-4"/>
          <w:position w:val="5"/>
          <w:sz w:val="14"/>
        </w:rPr>
        <w:t>.</w:t>
      </w:r>
      <w:r>
        <w:rPr>
          <w:position w:val="5"/>
          <w:sz w:val="14"/>
        </w:rPr>
        <w:tab/>
      </w:r>
      <w:r>
        <w:rPr>
          <w:rFonts w:ascii="Arial"/>
          <w:i/>
          <w:sz w:val="20"/>
        </w:rPr>
        <w:t>Denton v G.N. Ry (1856) 5 E. &amp; B. 860</w:t>
      </w:r>
      <w:r>
        <w:rPr>
          <w:sz w:val="20"/>
        </w:rPr>
        <w:t>; </w:t>
      </w:r>
      <w:r>
        <w:rPr>
          <w:rFonts w:ascii="Arial"/>
          <w:i/>
          <w:sz w:val="20"/>
        </w:rPr>
        <w:t>Thompson v L.M.S. Ry [1930] 1 K.B. 41, 47</w:t>
      </w:r>
      <w:r>
        <w:rPr>
          <w:sz w:val="20"/>
        </w:rPr>
        <w:t>; perhaps</w:t>
      </w:r>
      <w:r>
        <w:rPr>
          <w:spacing w:val="40"/>
          <w:sz w:val="20"/>
        </w:rPr>
        <w:t> </w:t>
      </w:r>
      <w:r>
        <w:rPr>
          <w:sz w:val="20"/>
        </w:rPr>
        <w:t>because such companies could not refuse to carry? See now Railways Act 1993 s.123.</w:t>
      </w:r>
    </w:p>
    <w:p>
      <w:pPr>
        <w:pStyle w:val="BodyText"/>
        <w:spacing w:before="6"/>
      </w:pPr>
    </w:p>
    <w:p>
      <w:pPr>
        <w:tabs>
          <w:tab w:pos="705" w:val="left" w:leader="none"/>
        </w:tabs>
        <w:spacing w:before="0"/>
        <w:ind w:left="165" w:right="0" w:firstLine="0"/>
        <w:jc w:val="left"/>
        <w:rPr>
          <w:sz w:val="20"/>
        </w:rPr>
      </w:pPr>
      <w:bookmarkStart w:name="_bookmark232" w:id="234"/>
      <w:bookmarkEnd w:id="234"/>
      <w:r>
        <w:rPr/>
      </w:r>
      <w:hyperlink w:history="true" w:anchor="_bookmark106">
        <w:r>
          <w:rPr>
            <w:color w:val="005DA1"/>
            <w:spacing w:val="-4"/>
            <w:position w:val="5"/>
            <w:sz w:val="14"/>
            <w:u w:val="single" w:color="005DA1"/>
          </w:rPr>
          <w:t>106</w:t>
        </w:r>
      </w:hyperlink>
      <w:r>
        <w:rPr>
          <w:spacing w:val="-4"/>
          <w:position w:val="5"/>
          <w:sz w:val="14"/>
        </w:rPr>
        <w:t>.</w:t>
      </w:r>
      <w:r>
        <w:rPr>
          <w:position w:val="5"/>
          <w:sz w:val="14"/>
        </w:rPr>
        <w:tab/>
      </w:r>
      <w:r>
        <w:rPr>
          <w:rFonts w:ascii="Arial"/>
          <w:i/>
          <w:sz w:val="20"/>
        </w:rPr>
        <w:t>Wilkie v L.P.T.B. [1947] 1 All E.R. 258, </w:t>
      </w:r>
      <w:r>
        <w:rPr>
          <w:rFonts w:ascii="Arial"/>
          <w:i/>
          <w:spacing w:val="-4"/>
          <w:sz w:val="20"/>
        </w:rPr>
        <w:t>259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233" w:id="235"/>
      <w:bookmarkEnd w:id="235"/>
      <w:r>
        <w:rPr/>
      </w:r>
      <w:hyperlink w:history="true" w:anchor="_bookmark107">
        <w:r>
          <w:rPr>
            <w:color w:val="005DA1"/>
            <w:spacing w:val="-4"/>
            <w:position w:val="5"/>
            <w:sz w:val="14"/>
            <w:u w:val="single" w:color="005DA1"/>
          </w:rPr>
          <w:t>107</w:t>
        </w:r>
      </w:hyperlink>
      <w:r>
        <w:rPr>
          <w:spacing w:val="-4"/>
          <w:position w:val="5"/>
          <w:sz w:val="14"/>
        </w:rPr>
        <w:t>.</w:t>
      </w:r>
      <w:r>
        <w:rPr>
          <w:position w:val="5"/>
          <w:sz w:val="14"/>
        </w:rPr>
        <w:tab/>
      </w:r>
      <w:r>
        <w:rPr>
          <w:rFonts w:ascii="Arial" w:hAnsi="Arial"/>
          <w:i/>
          <w:sz w:val="20"/>
        </w:rPr>
        <w:t>Cockerton v Naviera Aznar SA [1960] 2 Lloyd’s Rep. 450</w:t>
      </w:r>
      <w:r>
        <w:rPr>
          <w:sz w:val="20"/>
        </w:rPr>
        <w:t>; the acceptance in such cases </w:t>
      </w:r>
      <w:r>
        <w:rPr>
          <w:sz w:val="20"/>
        </w:rPr>
        <w:t>would be by conduct rather than by “silence”: cf. below, para.2-074.</w:t>
      </w:r>
    </w:p>
    <w:p>
      <w:pPr>
        <w:pStyle w:val="BodyText"/>
        <w:spacing w:before="9"/>
      </w:pPr>
    </w:p>
    <w:p>
      <w:pPr>
        <w:spacing w:line="235" w:lineRule="auto" w:before="0"/>
        <w:ind w:left="705" w:right="167" w:hanging="541"/>
        <w:jc w:val="both"/>
        <w:rPr>
          <w:sz w:val="20"/>
        </w:rPr>
      </w:pPr>
      <w:bookmarkStart w:name="_bookmark234" w:id="236"/>
      <w:bookmarkEnd w:id="236"/>
      <w:r>
        <w:rPr/>
      </w:r>
      <w:hyperlink w:history="true" w:anchor="_bookmark108">
        <w:r>
          <w:rPr>
            <w:color w:val="005DA1"/>
            <w:position w:val="5"/>
            <w:sz w:val="14"/>
            <w:u w:val="single" w:color="005DA1"/>
          </w:rPr>
          <w:t>108</w:t>
        </w:r>
      </w:hyperlink>
      <w:r>
        <w:rPr>
          <w:position w:val="5"/>
          <w:sz w:val="14"/>
        </w:rPr>
        <w:t>.</w:t>
      </w:r>
      <w:r>
        <w:rPr>
          <w:spacing w:val="80"/>
          <w:w w:val="150"/>
          <w:position w:val="5"/>
          <w:sz w:val="14"/>
        </w:rPr>
        <w:t> </w:t>
      </w:r>
      <w:r>
        <w:rPr>
          <w:rFonts w:ascii="Arial"/>
          <w:i/>
          <w:sz w:val="20"/>
        </w:rPr>
        <w:t>MacRobertson-Miller Airline Services v Commissioner of State Taxation [1975] A.L.R. 131</w:t>
      </w:r>
      <w:r>
        <w:rPr>
          <w:sz w:val="20"/>
        </w:rPr>
        <w:t>; the principle resembles that stated in </w:t>
      </w:r>
      <w:r>
        <w:rPr>
          <w:rFonts w:ascii="Arial"/>
          <w:i/>
          <w:sz w:val="20"/>
        </w:rPr>
        <w:t>Heskell v Continental Express Ltd [1950] 1 All E.R. 1033, 1037 </w:t>
      </w:r>
      <w:r>
        <w:rPr>
          <w:sz w:val="20"/>
        </w:rPr>
        <w:t>in relation to the time of formation of a contract for the carriage of goods by sea; </w:t>
      </w:r>
      <w:r>
        <w:rPr>
          <w:sz w:val="20"/>
        </w:rPr>
        <w:t>Carver</w:t>
      </w:r>
      <w:r>
        <w:rPr>
          <w:spacing w:val="40"/>
          <w:sz w:val="20"/>
        </w:rPr>
        <w:t> </w:t>
      </w:r>
      <w:r>
        <w:rPr>
          <w:sz w:val="20"/>
        </w:rPr>
        <w:t>on Bills of Lading, 3rd edn (2011), para.3-001 n.7.</w:t>
      </w:r>
    </w:p>
    <w:p>
      <w:pPr>
        <w:pStyle w:val="BodyText"/>
        <w:spacing w:before="8"/>
      </w:pPr>
    </w:p>
    <w:p>
      <w:pPr>
        <w:spacing w:line="235" w:lineRule="auto" w:before="1"/>
        <w:ind w:left="705" w:right="167" w:hanging="541"/>
        <w:jc w:val="both"/>
        <w:rPr>
          <w:sz w:val="20"/>
        </w:rPr>
      </w:pPr>
      <w:bookmarkStart w:name="_bookmark235" w:id="237"/>
      <w:bookmarkEnd w:id="237"/>
      <w:r>
        <w:rPr/>
      </w:r>
      <w:hyperlink w:history="true" w:anchor="_bookmark109">
        <w:r>
          <w:rPr>
            <w:color w:val="005DA1"/>
            <w:position w:val="5"/>
            <w:sz w:val="14"/>
            <w:u w:val="single" w:color="005DA1"/>
          </w:rPr>
          <w:t>109</w:t>
        </w:r>
      </w:hyperlink>
      <w:r>
        <w:rPr>
          <w:position w:val="5"/>
          <w:sz w:val="14"/>
        </w:rPr>
        <w:t>.</w:t>
      </w:r>
      <w:r>
        <w:rPr>
          <w:spacing w:val="80"/>
          <w:position w:val="5"/>
          <w:sz w:val="14"/>
        </w:rPr>
        <w:t>  </w:t>
      </w:r>
      <w:r>
        <w:rPr>
          <w:rFonts w:ascii="Arial"/>
          <w:i/>
          <w:sz w:val="20"/>
        </w:rPr>
        <w:t>Hobbs v L. &amp; S.W. Ry (1875) L.R. 10 Q.B. 111, 119</w:t>
      </w:r>
      <w:r>
        <w:rPr>
          <w:sz w:val="20"/>
        </w:rPr>
        <w:t>, as explained in the </w:t>
      </w:r>
      <w:r>
        <w:rPr>
          <w:rFonts w:ascii="Arial"/>
          <w:i/>
          <w:sz w:val="20"/>
        </w:rPr>
        <w:t>MacRobertson-Miller </w:t>
      </w:r>
      <w:r>
        <w:rPr>
          <w:sz w:val="20"/>
        </w:rPr>
        <w:t>case, above, n.108, at 147; consideration for the promises of both parties would be provided </w:t>
      </w:r>
      <w:r>
        <w:rPr>
          <w:sz w:val="20"/>
        </w:rPr>
        <w:t>on the principle of </w:t>
      </w:r>
      <w:r>
        <w:rPr>
          <w:rFonts w:ascii="Arial"/>
          <w:i/>
          <w:sz w:val="20"/>
        </w:rPr>
        <w:t>Gore v Van der Lann [1967] 2 Q.B. 31</w:t>
      </w:r>
      <w:r>
        <w:rPr>
          <w:sz w:val="20"/>
        </w:rPr>
        <w:t>, below, para.4-202.</w:t>
      </w:r>
    </w:p>
    <w:p>
      <w:pPr>
        <w:pStyle w:val="BodyText"/>
        <w:spacing w:before="8"/>
      </w:pPr>
    </w:p>
    <w:p>
      <w:pPr>
        <w:spacing w:line="235" w:lineRule="auto" w:before="0"/>
        <w:ind w:left="705" w:right="167" w:hanging="541"/>
        <w:jc w:val="both"/>
        <w:rPr>
          <w:sz w:val="20"/>
        </w:rPr>
      </w:pPr>
      <w:bookmarkStart w:name="_bookmark236" w:id="238"/>
      <w:bookmarkEnd w:id="238"/>
      <w:r>
        <w:rPr/>
      </w:r>
      <w:hyperlink w:history="true" w:anchor="_bookmark110">
        <w:r>
          <w:rPr>
            <w:color w:val="005DA1"/>
            <w:position w:val="5"/>
            <w:sz w:val="14"/>
            <w:u w:val="single" w:color="005DA1"/>
          </w:rPr>
          <w:t>110</w:t>
        </w:r>
      </w:hyperlink>
      <w:r>
        <w:rPr>
          <w:position w:val="5"/>
          <w:sz w:val="14"/>
        </w:rPr>
        <w:t>.</w:t>
      </w:r>
      <w:r>
        <w:rPr>
          <w:spacing w:val="80"/>
          <w:w w:val="150"/>
          <w:position w:val="5"/>
          <w:sz w:val="14"/>
        </w:rPr>
        <w:t> </w:t>
      </w:r>
      <w:r>
        <w:rPr>
          <w:rFonts w:ascii="Arial" w:hAnsi="Arial"/>
          <w:i/>
          <w:sz w:val="20"/>
        </w:rPr>
        <w:t>Hollingworth v Southern Ferries Ltd (The Eagle) [1977] 2 Lloyd’s Rep. 70</w:t>
      </w:r>
      <w:r>
        <w:rPr>
          <w:sz w:val="20"/>
        </w:rPr>
        <w:t>; </w:t>
      </w:r>
      <w:r>
        <w:rPr>
          <w:rFonts w:ascii="Arial" w:hAnsi="Arial"/>
          <w:i/>
          <w:sz w:val="20"/>
        </w:rPr>
        <w:t>Daly v Gen. Steam Navigation Co Ltd (The Dragon) [1980] 2 Lloyd’s Rep. 415; affirming [1979] 1 Lloyd’s Rep. 257</w:t>
      </w:r>
      <w:r>
        <w:rPr>
          <w:sz w:val="20"/>
        </w:rPr>
        <w:t>; </w:t>
      </w:r>
      <w:r>
        <w:rPr>
          <w:rFonts w:ascii="Arial" w:hAnsi="Arial"/>
          <w:i/>
          <w:sz w:val="20"/>
        </w:rPr>
        <w:t>Oceanic Sun Line Special Shipping Co v Fay (1988) 165 C.L.R. 97</w:t>
      </w:r>
      <w:r>
        <w:rPr>
          <w:sz w:val="20"/>
        </w:rPr>
        <w:t>; cf. (in cases of carriage </w:t>
      </w:r>
      <w:r>
        <w:rPr>
          <w:sz w:val="20"/>
        </w:rPr>
        <w:t>of goods</w:t>
      </w:r>
      <w:r>
        <w:rPr>
          <w:spacing w:val="-1"/>
          <w:sz w:val="20"/>
        </w:rPr>
        <w:t> </w:t>
      </w:r>
      <w:r>
        <w:rPr>
          <w:sz w:val="20"/>
        </w:rPr>
        <w:t>by</w:t>
      </w:r>
      <w:r>
        <w:rPr>
          <w:spacing w:val="-1"/>
          <w:sz w:val="20"/>
        </w:rPr>
        <w:t> </w:t>
      </w:r>
      <w:r>
        <w:rPr>
          <w:sz w:val="20"/>
        </w:rPr>
        <w:t>sea)</w:t>
      </w:r>
      <w:r>
        <w:rPr>
          <w:spacing w:val="-1"/>
          <w:sz w:val="20"/>
        </w:rPr>
        <w:t> </w:t>
      </w:r>
      <w:r>
        <w:rPr>
          <w:rFonts w:ascii="Arial" w:hAnsi="Arial"/>
          <w:i/>
          <w:sz w:val="20"/>
        </w:rPr>
        <w:t>Gulf</w:t>
      </w:r>
      <w:r>
        <w:rPr>
          <w:rFonts w:ascii="Arial" w:hAnsi="Arial"/>
          <w:i/>
          <w:spacing w:val="-1"/>
          <w:sz w:val="20"/>
        </w:rPr>
        <w:t> </w:t>
      </w:r>
      <w:r>
        <w:rPr>
          <w:rFonts w:ascii="Arial" w:hAnsi="Arial"/>
          <w:i/>
          <w:sz w:val="20"/>
        </w:rPr>
        <w:t>Steel</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Al</w:t>
      </w:r>
      <w:r>
        <w:rPr>
          <w:rFonts w:ascii="Arial" w:hAnsi="Arial"/>
          <w:i/>
          <w:spacing w:val="-1"/>
          <w:sz w:val="20"/>
        </w:rPr>
        <w:t> </w:t>
      </w:r>
      <w:r>
        <w:rPr>
          <w:rFonts w:ascii="Arial" w:hAnsi="Arial"/>
          <w:i/>
          <w:sz w:val="20"/>
        </w:rPr>
        <w:t>Khalifa</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Anwar</w:t>
      </w:r>
      <w:r>
        <w:rPr>
          <w:rFonts w:ascii="Arial" w:hAnsi="Arial"/>
          <w:i/>
          <w:spacing w:val="-1"/>
          <w:sz w:val="20"/>
        </w:rPr>
        <w:t> </w:t>
      </w:r>
      <w:r>
        <w:rPr>
          <w:rFonts w:ascii="Arial" w:hAnsi="Arial"/>
          <w:i/>
          <w:sz w:val="20"/>
        </w:rPr>
        <w:t>al</w:t>
      </w:r>
      <w:r>
        <w:rPr>
          <w:rFonts w:ascii="Arial" w:hAnsi="Arial"/>
          <w:i/>
          <w:spacing w:val="-1"/>
          <w:sz w:val="20"/>
        </w:rPr>
        <w:t> </w:t>
      </w:r>
      <w:r>
        <w:rPr>
          <w:rFonts w:ascii="Arial" w:hAnsi="Arial"/>
          <w:i/>
          <w:sz w:val="20"/>
        </w:rPr>
        <w:t>Sabar)</w:t>
      </w:r>
      <w:r>
        <w:rPr>
          <w:rFonts w:ascii="Arial" w:hAnsi="Arial"/>
          <w:i/>
          <w:spacing w:val="-1"/>
          <w:sz w:val="20"/>
        </w:rPr>
        <w:t> </w:t>
      </w:r>
      <w:r>
        <w:rPr>
          <w:rFonts w:ascii="Arial" w:hAnsi="Arial"/>
          <w:i/>
          <w:sz w:val="20"/>
        </w:rPr>
        <w:t>[1980]</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 Rep. 261, 263</w:t>
      </w:r>
      <w:r>
        <w:rPr>
          <w:sz w:val="20"/>
        </w:rPr>
        <w:t>. See also </w:t>
      </w:r>
      <w:r>
        <w:rPr>
          <w:rFonts w:ascii="Arial" w:hAnsi="Arial"/>
          <w:i/>
          <w:sz w:val="20"/>
        </w:rPr>
        <w:t>British Airways Board v Taylor [1976] 1 W.L.R. 13</w:t>
      </w:r>
      <w:r>
        <w:rPr>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237" w:id="239"/>
      <w:bookmarkEnd w:id="239"/>
      <w:r>
        <w:rPr/>
      </w:r>
      <w:hyperlink w:history="true" w:anchor="_bookmark111">
        <w:r>
          <w:rPr>
            <w:color w:val="005DA1"/>
            <w:spacing w:val="-4"/>
            <w:position w:val="5"/>
            <w:sz w:val="14"/>
            <w:u w:val="single" w:color="005DA1"/>
          </w:rPr>
          <w:t>111</w:t>
        </w:r>
      </w:hyperlink>
      <w:r>
        <w:rPr>
          <w:spacing w:val="-4"/>
          <w:position w:val="5"/>
          <w:sz w:val="14"/>
        </w:rPr>
        <w:t>.</w:t>
      </w:r>
      <w:r>
        <w:rPr>
          <w:position w:val="5"/>
          <w:sz w:val="14"/>
        </w:rPr>
        <w:tab/>
      </w:r>
      <w:r>
        <w:rPr>
          <w:rFonts w:ascii="Arial" w:hAnsi="Arial"/>
          <w:i/>
          <w:sz w:val="20"/>
        </w:rPr>
        <w:t>Dillon</w:t>
      </w:r>
      <w:r>
        <w:rPr>
          <w:rFonts w:ascii="Arial" w:hAnsi="Arial"/>
          <w:i/>
          <w:spacing w:val="15"/>
          <w:sz w:val="20"/>
        </w:rPr>
        <w:t> </w:t>
      </w:r>
      <w:r>
        <w:rPr>
          <w:rFonts w:ascii="Arial" w:hAnsi="Arial"/>
          <w:i/>
          <w:sz w:val="20"/>
        </w:rPr>
        <w:t>v</w:t>
      </w:r>
      <w:r>
        <w:rPr>
          <w:rFonts w:ascii="Arial" w:hAnsi="Arial"/>
          <w:i/>
          <w:spacing w:val="18"/>
          <w:sz w:val="20"/>
        </w:rPr>
        <w:t> </w:t>
      </w:r>
      <w:r>
        <w:rPr>
          <w:rFonts w:ascii="Arial" w:hAnsi="Arial"/>
          <w:i/>
          <w:sz w:val="20"/>
        </w:rPr>
        <w:t>Baltic</w:t>
      </w:r>
      <w:r>
        <w:rPr>
          <w:rFonts w:ascii="Arial" w:hAnsi="Arial"/>
          <w:i/>
          <w:spacing w:val="18"/>
          <w:sz w:val="20"/>
        </w:rPr>
        <w:t> </w:t>
      </w:r>
      <w:r>
        <w:rPr>
          <w:rFonts w:ascii="Arial" w:hAnsi="Arial"/>
          <w:i/>
          <w:sz w:val="20"/>
        </w:rPr>
        <w:t>Shipping</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(The</w:t>
      </w:r>
      <w:r>
        <w:rPr>
          <w:rFonts w:ascii="Arial" w:hAnsi="Arial"/>
          <w:i/>
          <w:spacing w:val="18"/>
          <w:sz w:val="20"/>
        </w:rPr>
        <w:t> </w:t>
      </w:r>
      <w:r>
        <w:rPr>
          <w:rFonts w:ascii="Arial" w:hAnsi="Arial"/>
          <w:i/>
          <w:sz w:val="20"/>
        </w:rPr>
        <w:t>Mikhail</w:t>
      </w:r>
      <w:r>
        <w:rPr>
          <w:rFonts w:ascii="Arial" w:hAnsi="Arial"/>
          <w:i/>
          <w:spacing w:val="18"/>
          <w:sz w:val="20"/>
        </w:rPr>
        <w:t> </w:t>
      </w:r>
      <w:r>
        <w:rPr>
          <w:rFonts w:ascii="Arial" w:hAnsi="Arial"/>
          <w:i/>
          <w:sz w:val="20"/>
        </w:rPr>
        <w:t>Lermontov)</w:t>
      </w:r>
      <w:r>
        <w:rPr>
          <w:rFonts w:ascii="Arial" w:hAnsi="Arial"/>
          <w:i/>
          <w:spacing w:val="17"/>
          <w:sz w:val="20"/>
        </w:rPr>
        <w:t> </w:t>
      </w:r>
      <w:r>
        <w:rPr>
          <w:rFonts w:ascii="Arial" w:hAnsi="Arial"/>
          <w:i/>
          <w:sz w:val="20"/>
        </w:rPr>
        <w:t>[1991]</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155,</w:t>
      </w:r>
      <w:r>
        <w:rPr>
          <w:rFonts w:ascii="Arial" w:hAnsi="Arial"/>
          <w:i/>
          <w:spacing w:val="18"/>
          <w:sz w:val="20"/>
        </w:rPr>
        <w:t> </w:t>
      </w:r>
      <w:r>
        <w:rPr>
          <w:rFonts w:ascii="Arial" w:hAnsi="Arial"/>
          <w:i/>
          <w:sz w:val="20"/>
        </w:rPr>
        <w:t>159</w:t>
      </w:r>
      <w:r>
        <w:rPr>
          <w:sz w:val="20"/>
        </w:rPr>
        <w:t>;</w:t>
      </w:r>
      <w:r>
        <w:rPr>
          <w:spacing w:val="18"/>
          <w:sz w:val="20"/>
        </w:rPr>
        <w:t> </w:t>
      </w:r>
      <w:r>
        <w:rPr>
          <w:spacing w:val="-2"/>
          <w:sz w:val="20"/>
        </w:rPr>
        <w:t>reversed</w:t>
      </w:r>
    </w:p>
    <w:p>
      <w:pPr>
        <w:spacing w:line="227" w:lineRule="exact" w:before="0"/>
        <w:ind w:left="705" w:right="0" w:firstLine="0"/>
        <w:jc w:val="left"/>
        <w:rPr>
          <w:sz w:val="20"/>
        </w:rPr>
      </w:pPr>
      <w:r>
        <w:rPr>
          <w:sz w:val="20"/>
        </w:rPr>
        <w:t>on other grounds</w:t>
      </w:r>
      <w:r>
        <w:rPr>
          <w:spacing w:val="-1"/>
          <w:sz w:val="20"/>
        </w:rPr>
        <w:t> </w:t>
      </w:r>
      <w:r>
        <w:rPr>
          <w:rFonts w:ascii="Arial"/>
          <w:i/>
          <w:sz w:val="20"/>
        </w:rPr>
        <w:t>(1993) 176 C.L.R. </w:t>
      </w:r>
      <w:r>
        <w:rPr>
          <w:rFonts w:ascii="Arial"/>
          <w:i/>
          <w:spacing w:val="-4"/>
          <w:sz w:val="20"/>
        </w:rPr>
        <w:t>344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38" w:id="240"/>
      <w:bookmarkEnd w:id="240"/>
      <w:r>
        <w:rPr/>
      </w:r>
      <w:hyperlink w:history="true" w:anchor="_bookmark112">
        <w:r>
          <w:rPr>
            <w:color w:val="005DA1"/>
            <w:spacing w:val="-4"/>
            <w:position w:val="5"/>
            <w:sz w:val="14"/>
            <w:u w:val="single" w:color="005DA1"/>
          </w:rPr>
          <w:t>112</w:t>
        </w:r>
      </w:hyperlink>
      <w:r>
        <w:rPr>
          <w:spacing w:val="-4"/>
          <w:position w:val="5"/>
          <w:sz w:val="14"/>
        </w:rPr>
        <w:t>.</w:t>
      </w:r>
      <w:r>
        <w:rPr>
          <w:position w:val="5"/>
          <w:sz w:val="14"/>
        </w:rPr>
        <w:tab/>
      </w:r>
      <w:r>
        <w:rPr>
          <w:rFonts w:ascii="Arial"/>
          <w:i/>
          <w:sz w:val="20"/>
        </w:rPr>
        <w:t>Payne</w:t>
      </w:r>
      <w:r>
        <w:rPr>
          <w:rFonts w:ascii="Arial"/>
          <w:i/>
          <w:spacing w:val="1"/>
          <w:sz w:val="20"/>
        </w:rPr>
        <w:t> </w:t>
      </w:r>
      <w:r>
        <w:rPr>
          <w:rFonts w:ascii="Arial"/>
          <w:i/>
          <w:sz w:val="20"/>
        </w:rPr>
        <w:t>v</w:t>
      </w:r>
      <w:r>
        <w:rPr>
          <w:rFonts w:ascii="Arial"/>
          <w:i/>
          <w:spacing w:val="2"/>
          <w:sz w:val="20"/>
        </w:rPr>
        <w:t> </w:t>
      </w:r>
      <w:r>
        <w:rPr>
          <w:rFonts w:ascii="Arial"/>
          <w:i/>
          <w:sz w:val="20"/>
        </w:rPr>
        <w:t>Cave</w:t>
      </w:r>
      <w:r>
        <w:rPr>
          <w:rFonts w:ascii="Arial"/>
          <w:i/>
          <w:spacing w:val="2"/>
          <w:sz w:val="20"/>
        </w:rPr>
        <w:t> </w:t>
      </w:r>
      <w:r>
        <w:rPr>
          <w:rFonts w:ascii="Arial"/>
          <w:i/>
          <w:sz w:val="20"/>
        </w:rPr>
        <w:t>(1789)</w:t>
      </w:r>
      <w:r>
        <w:rPr>
          <w:rFonts w:ascii="Arial"/>
          <w:i/>
          <w:spacing w:val="2"/>
          <w:sz w:val="20"/>
        </w:rPr>
        <w:t> </w:t>
      </w:r>
      <w:r>
        <w:rPr>
          <w:rFonts w:ascii="Arial"/>
          <w:i/>
          <w:sz w:val="20"/>
        </w:rPr>
        <w:t>3</w:t>
      </w:r>
      <w:r>
        <w:rPr>
          <w:rFonts w:ascii="Arial"/>
          <w:i/>
          <w:spacing w:val="2"/>
          <w:sz w:val="20"/>
        </w:rPr>
        <w:t> </w:t>
      </w:r>
      <w:r>
        <w:rPr>
          <w:rFonts w:ascii="Arial"/>
          <w:i/>
          <w:sz w:val="20"/>
        </w:rPr>
        <w:t>T.R.</w:t>
      </w:r>
      <w:r>
        <w:rPr>
          <w:rFonts w:ascii="Arial"/>
          <w:i/>
          <w:spacing w:val="2"/>
          <w:sz w:val="20"/>
        </w:rPr>
        <w:t> </w:t>
      </w:r>
      <w:r>
        <w:rPr>
          <w:rFonts w:ascii="Arial"/>
          <w:i/>
          <w:sz w:val="20"/>
        </w:rPr>
        <w:t>148</w:t>
      </w:r>
      <w:r>
        <w:rPr>
          <w:sz w:val="20"/>
        </w:rPr>
        <w:t>;</w:t>
      </w:r>
      <w:r>
        <w:rPr>
          <w:spacing w:val="2"/>
          <w:sz w:val="20"/>
        </w:rPr>
        <w:t> </w:t>
      </w:r>
      <w:r>
        <w:rPr>
          <w:rFonts w:ascii="Arial"/>
          <w:i/>
          <w:sz w:val="20"/>
        </w:rPr>
        <w:t>British</w:t>
      </w:r>
      <w:r>
        <w:rPr>
          <w:rFonts w:ascii="Arial"/>
          <w:i/>
          <w:spacing w:val="2"/>
          <w:sz w:val="20"/>
        </w:rPr>
        <w:t> </w:t>
      </w:r>
      <w:r>
        <w:rPr>
          <w:rFonts w:ascii="Arial"/>
          <w:i/>
          <w:sz w:val="20"/>
        </w:rPr>
        <w:t>Car</w:t>
      </w:r>
      <w:r>
        <w:rPr>
          <w:rFonts w:ascii="Arial"/>
          <w:i/>
          <w:spacing w:val="2"/>
          <w:sz w:val="20"/>
        </w:rPr>
        <w:t> </w:t>
      </w:r>
      <w:r>
        <w:rPr>
          <w:rFonts w:ascii="Arial"/>
          <w:i/>
          <w:sz w:val="20"/>
        </w:rPr>
        <w:t>Auctions</w:t>
      </w:r>
      <w:r>
        <w:rPr>
          <w:rFonts w:ascii="Arial"/>
          <w:i/>
          <w:spacing w:val="2"/>
          <w:sz w:val="20"/>
        </w:rPr>
        <w:t> </w:t>
      </w:r>
      <w:r>
        <w:rPr>
          <w:rFonts w:ascii="Arial"/>
          <w:i/>
          <w:sz w:val="20"/>
        </w:rPr>
        <w:t>v</w:t>
      </w:r>
      <w:r>
        <w:rPr>
          <w:rFonts w:ascii="Arial"/>
          <w:i/>
          <w:spacing w:val="2"/>
          <w:sz w:val="20"/>
        </w:rPr>
        <w:t> </w:t>
      </w:r>
      <w:r>
        <w:rPr>
          <w:rFonts w:ascii="Arial"/>
          <w:i/>
          <w:sz w:val="20"/>
        </w:rPr>
        <w:t>Wright</w:t>
      </w:r>
      <w:r>
        <w:rPr>
          <w:rFonts w:ascii="Arial"/>
          <w:i/>
          <w:spacing w:val="2"/>
          <w:sz w:val="20"/>
        </w:rPr>
        <w:t> </w:t>
      </w:r>
      <w:r>
        <w:rPr>
          <w:rFonts w:ascii="Arial"/>
          <w:i/>
          <w:sz w:val="20"/>
        </w:rPr>
        <w:t>[1972]</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1519,</w:t>
      </w:r>
      <w:r>
        <w:rPr>
          <w:rFonts w:ascii="Arial"/>
          <w:i/>
          <w:spacing w:val="2"/>
          <w:sz w:val="20"/>
        </w:rPr>
        <w:t> </w:t>
      </w:r>
      <w:r>
        <w:rPr>
          <w:rFonts w:ascii="Arial"/>
          <w:i/>
          <w:sz w:val="20"/>
        </w:rPr>
        <w:t>(1973)</w:t>
      </w:r>
      <w:r>
        <w:rPr>
          <w:rFonts w:ascii="Arial"/>
          <w:i/>
          <w:spacing w:val="2"/>
          <w:sz w:val="20"/>
        </w:rPr>
        <w:t> </w:t>
      </w:r>
      <w:r>
        <w:rPr>
          <w:rFonts w:ascii="Arial"/>
          <w:i/>
          <w:spacing w:val="-5"/>
          <w:sz w:val="20"/>
        </w:rPr>
        <w:t>89</w:t>
      </w:r>
    </w:p>
    <w:p>
      <w:pPr>
        <w:spacing w:line="227" w:lineRule="exact" w:before="0"/>
        <w:ind w:left="705" w:right="0" w:firstLine="0"/>
        <w:jc w:val="left"/>
        <w:rPr>
          <w:sz w:val="20"/>
        </w:rPr>
      </w:pPr>
      <w:r>
        <w:rPr>
          <w:rFonts w:ascii="Arial"/>
          <w:i/>
          <w:sz w:val="20"/>
        </w:rPr>
        <w:t>L.Q.R. </w:t>
      </w:r>
      <w:r>
        <w:rPr>
          <w:rFonts w:ascii="Arial"/>
          <w:i/>
          <w:spacing w:val="-5"/>
          <w:sz w:val="20"/>
        </w:rPr>
        <w:t>7</w:t>
      </w:r>
      <w:r>
        <w:rPr>
          <w:spacing w:val="-5"/>
          <w:sz w:val="20"/>
        </w:rPr>
        <w:t>.</w:t>
      </w:r>
    </w:p>
    <w:p>
      <w:pPr>
        <w:pStyle w:val="BodyText"/>
        <w:spacing w:before="5"/>
      </w:pPr>
    </w:p>
    <w:p>
      <w:pPr>
        <w:pStyle w:val="BodyText"/>
        <w:tabs>
          <w:tab w:pos="705" w:val="left" w:leader="none"/>
        </w:tabs>
        <w:ind w:left="165"/>
      </w:pPr>
      <w:bookmarkStart w:name="_bookmark239" w:id="241"/>
      <w:bookmarkEnd w:id="241"/>
      <w:r>
        <w:rPr/>
      </w:r>
      <w:hyperlink w:history="true" w:anchor="_bookmark113">
        <w:r>
          <w:rPr>
            <w:color w:val="005DA1"/>
            <w:spacing w:val="-4"/>
            <w:position w:val="5"/>
            <w:sz w:val="14"/>
            <w:u w:val="single" w:color="005DA1"/>
          </w:rPr>
          <w:t>113</w:t>
        </w:r>
      </w:hyperlink>
      <w:r>
        <w:rPr>
          <w:spacing w:val="-4"/>
          <w:position w:val="5"/>
          <w:sz w:val="14"/>
        </w:rPr>
        <w:t>.</w:t>
      </w:r>
      <w:r>
        <w:rPr>
          <w:position w:val="5"/>
          <w:sz w:val="14"/>
        </w:rPr>
        <w:tab/>
      </w:r>
      <w:r>
        <w:rPr/>
        <w:t>For the position where the auction is “without reserve”, see below, para.2-</w:t>
      </w:r>
      <w:r>
        <w:rPr>
          <w:spacing w:val="-4"/>
        </w:rPr>
        <w:t>020.</w:t>
      </w:r>
    </w:p>
    <w:p>
      <w:pPr>
        <w:pStyle w:val="BodyText"/>
        <w:spacing w:before="8"/>
      </w:pPr>
    </w:p>
    <w:p>
      <w:pPr>
        <w:tabs>
          <w:tab w:pos="705" w:val="left" w:leader="none"/>
        </w:tabs>
        <w:spacing w:line="235" w:lineRule="auto" w:before="1"/>
        <w:ind w:left="705" w:right="168" w:hanging="541"/>
        <w:jc w:val="left"/>
        <w:rPr>
          <w:sz w:val="20"/>
        </w:rPr>
      </w:pPr>
      <w:bookmarkStart w:name="_bookmark240" w:id="242"/>
      <w:bookmarkEnd w:id="242"/>
      <w:r>
        <w:rPr/>
      </w:r>
      <w:hyperlink w:history="true" w:anchor="_bookmark114">
        <w:r>
          <w:rPr>
            <w:color w:val="005DA1"/>
            <w:spacing w:val="-4"/>
            <w:position w:val="5"/>
            <w:sz w:val="14"/>
            <w:u w:val="single" w:color="005DA1"/>
          </w:rPr>
          <w:t>114</w:t>
        </w:r>
      </w:hyperlink>
      <w:r>
        <w:rPr>
          <w:spacing w:val="-4"/>
          <w:position w:val="5"/>
          <w:sz w:val="14"/>
        </w:rPr>
        <w:t>.</w:t>
      </w:r>
      <w:r>
        <w:rPr>
          <w:position w:val="5"/>
          <w:sz w:val="14"/>
        </w:rPr>
        <w:tab/>
      </w:r>
      <w:r>
        <w:rPr>
          <w:sz w:val="20"/>
        </w:rPr>
        <w:t>i.e. concluded: </w:t>
      </w:r>
      <w:r>
        <w:rPr>
          <w:rFonts w:ascii="Arial"/>
          <w:i/>
          <w:sz w:val="20"/>
        </w:rPr>
        <w:t>Coys of Kensington Automobiles Ltd v Pugliese [2011] EWHC 655 (QB), [2011] 2 All E.R. (Comm) 664 </w:t>
      </w:r>
      <w:r>
        <w:rPr>
          <w:sz w:val="20"/>
        </w:rPr>
        <w:t>at [15] (where no reference was made to s.57(2)).</w:t>
      </w:r>
    </w:p>
    <w:p>
      <w:pPr>
        <w:pStyle w:val="BodyText"/>
        <w:spacing w:before="5"/>
      </w:pPr>
    </w:p>
    <w:p>
      <w:pPr>
        <w:pStyle w:val="BodyText"/>
        <w:tabs>
          <w:tab w:pos="705" w:val="left" w:leader="none"/>
        </w:tabs>
        <w:ind w:left="165"/>
      </w:pPr>
      <w:bookmarkStart w:name="_bookmark241" w:id="243"/>
      <w:bookmarkEnd w:id="243"/>
      <w:r>
        <w:rPr/>
      </w:r>
      <w:hyperlink w:history="true" w:anchor="_bookmark115">
        <w:r>
          <w:rPr>
            <w:color w:val="005DA1"/>
            <w:spacing w:val="-4"/>
            <w:position w:val="5"/>
            <w:sz w:val="14"/>
            <w:u w:val="single" w:color="005DA1"/>
          </w:rPr>
          <w:t>115</w:t>
        </w:r>
      </w:hyperlink>
      <w:r>
        <w:rPr>
          <w:spacing w:val="-4"/>
          <w:position w:val="5"/>
          <w:sz w:val="14"/>
        </w:rPr>
        <w:t>.</w:t>
      </w:r>
      <w:r>
        <w:rPr>
          <w:position w:val="5"/>
          <w:sz w:val="14"/>
        </w:rPr>
        <w:tab/>
      </w:r>
      <w:r>
        <w:rPr/>
        <w:t>Subject to the qualification stated in n.113 </w:t>
      </w:r>
      <w:r>
        <w:rPr>
          <w:spacing w:val="-2"/>
        </w:rPr>
        <w:t>above.</w:t>
      </w:r>
    </w:p>
    <w:p>
      <w:pPr>
        <w:pStyle w:val="BodyText"/>
        <w:spacing w:before="5"/>
      </w:pPr>
    </w:p>
    <w:p>
      <w:pPr>
        <w:tabs>
          <w:tab w:pos="705" w:val="left" w:leader="none"/>
        </w:tabs>
        <w:spacing w:before="0"/>
        <w:ind w:left="165" w:right="0" w:firstLine="0"/>
        <w:jc w:val="left"/>
        <w:rPr>
          <w:sz w:val="20"/>
        </w:rPr>
      </w:pPr>
      <w:bookmarkStart w:name="_bookmark242" w:id="244"/>
      <w:bookmarkEnd w:id="244"/>
      <w:r>
        <w:rPr/>
      </w:r>
      <w:hyperlink w:history="true" w:anchor="_bookmark116">
        <w:r>
          <w:rPr>
            <w:color w:val="005DA1"/>
            <w:spacing w:val="-4"/>
            <w:position w:val="5"/>
            <w:sz w:val="14"/>
            <w:u w:val="single" w:color="005DA1"/>
          </w:rPr>
          <w:t>116</w:t>
        </w:r>
      </w:hyperlink>
      <w:r>
        <w:rPr>
          <w:spacing w:val="-4"/>
          <w:position w:val="5"/>
          <w:sz w:val="14"/>
        </w:rPr>
        <w:t>.</w:t>
      </w:r>
      <w:r>
        <w:rPr>
          <w:position w:val="5"/>
          <w:sz w:val="14"/>
        </w:rPr>
        <w:tab/>
      </w:r>
      <w:r>
        <w:rPr>
          <w:sz w:val="20"/>
        </w:rPr>
        <w:t>Below, para.2-</w:t>
      </w:r>
      <w:r>
        <w:rPr>
          <w:spacing w:val="-4"/>
          <w:sz w:val="20"/>
        </w:rPr>
        <w:t>101.</w:t>
      </w:r>
    </w:p>
    <w:p>
      <w:pPr>
        <w:pStyle w:val="BodyText"/>
        <w:spacing w:before="5"/>
      </w:pPr>
    </w:p>
    <w:p>
      <w:pPr>
        <w:tabs>
          <w:tab w:pos="705" w:val="left" w:leader="none"/>
        </w:tabs>
        <w:spacing w:before="0"/>
        <w:ind w:left="165" w:right="0" w:firstLine="0"/>
        <w:jc w:val="left"/>
        <w:rPr>
          <w:sz w:val="20"/>
        </w:rPr>
      </w:pPr>
      <w:bookmarkStart w:name="_bookmark243" w:id="245"/>
      <w:bookmarkEnd w:id="245"/>
      <w:r>
        <w:rPr/>
      </w:r>
      <w:hyperlink w:history="true" w:anchor="_bookmark117">
        <w:r>
          <w:rPr>
            <w:color w:val="005DA1"/>
            <w:spacing w:val="-4"/>
            <w:position w:val="5"/>
            <w:sz w:val="14"/>
            <w:u w:val="single" w:color="005DA1"/>
          </w:rPr>
          <w:t>117</w:t>
        </w:r>
      </w:hyperlink>
      <w:r>
        <w:rPr>
          <w:spacing w:val="-4"/>
          <w:position w:val="5"/>
          <w:sz w:val="14"/>
        </w:rPr>
        <w:t>.</w:t>
      </w:r>
      <w:r>
        <w:rPr>
          <w:position w:val="5"/>
          <w:sz w:val="14"/>
        </w:rPr>
        <w:tab/>
      </w:r>
      <w:r>
        <w:rPr>
          <w:sz w:val="20"/>
        </w:rPr>
        <w:t>SI 2013/3134 </w:t>
      </w:r>
      <w:r>
        <w:rPr>
          <w:spacing w:val="-2"/>
          <w:sz w:val="20"/>
        </w:rPr>
        <w:t>reg.5.</w:t>
      </w:r>
    </w:p>
    <w:p>
      <w:pPr>
        <w:pStyle w:val="BodyText"/>
        <w:spacing w:before="5"/>
      </w:pPr>
    </w:p>
    <w:p>
      <w:pPr>
        <w:pStyle w:val="BodyText"/>
        <w:tabs>
          <w:tab w:pos="705" w:val="left" w:leader="none"/>
        </w:tabs>
        <w:ind w:left="165"/>
      </w:pPr>
      <w:bookmarkStart w:name="_bookmark244" w:id="246"/>
      <w:bookmarkEnd w:id="246"/>
      <w:r>
        <w:rPr/>
      </w:r>
      <w:hyperlink w:history="true" w:anchor="_bookmark118">
        <w:r>
          <w:rPr>
            <w:color w:val="005DA1"/>
            <w:spacing w:val="-4"/>
            <w:position w:val="5"/>
            <w:sz w:val="14"/>
            <w:u w:val="single" w:color="005DA1"/>
          </w:rPr>
          <w:t>118</w:t>
        </w:r>
      </w:hyperlink>
      <w:r>
        <w:rPr>
          <w:spacing w:val="-4"/>
          <w:position w:val="5"/>
          <w:sz w:val="14"/>
        </w:rPr>
        <w:t>.</w:t>
      </w:r>
      <w:r>
        <w:rPr>
          <w:position w:val="5"/>
          <w:sz w:val="14"/>
        </w:rPr>
        <w:tab/>
      </w:r>
      <w:r>
        <w:rPr/>
        <w:t>cf. also para.2-024 </w:t>
      </w:r>
      <w:r>
        <w:rPr>
          <w:spacing w:val="-2"/>
        </w:rPr>
        <w:t>n.135.</w:t>
      </w:r>
    </w:p>
    <w:p>
      <w:pPr>
        <w:pStyle w:val="BodyText"/>
        <w:spacing w:before="9"/>
      </w:pPr>
    </w:p>
    <w:p>
      <w:pPr>
        <w:pStyle w:val="BodyText"/>
        <w:spacing w:line="235" w:lineRule="auto"/>
        <w:ind w:left="705" w:right="167" w:hanging="541"/>
        <w:jc w:val="both"/>
      </w:pPr>
      <w:bookmarkStart w:name="_bookmark245" w:id="247"/>
      <w:bookmarkEnd w:id="247"/>
      <w:r>
        <w:rPr/>
      </w:r>
      <w:hyperlink w:history="true" w:anchor="_bookmark119">
        <w:r>
          <w:rPr>
            <w:color w:val="005DA1"/>
            <w:position w:val="5"/>
            <w:sz w:val="14"/>
            <w:u w:val="single" w:color="005DA1"/>
          </w:rPr>
          <w:t>119</w:t>
        </w:r>
      </w:hyperlink>
      <w:r>
        <w:rPr>
          <w:position w:val="5"/>
          <w:sz w:val="14"/>
        </w:rPr>
        <w:t>.</w:t>
      </w:r>
      <w:r>
        <w:rPr>
          <w:spacing w:val="80"/>
          <w:w w:val="150"/>
          <w:position w:val="5"/>
          <w:sz w:val="14"/>
        </w:rPr>
        <w:t> </w:t>
      </w:r>
      <w:r>
        <w:rPr/>
        <w:t>s.57(2). No attempt is made in SI 2013/3134 to resolve the possible conflict between </w:t>
      </w:r>
      <w:r>
        <w:rPr/>
        <w:t>the definition “public auction” in reg.5 and s.57(2) of the 1979 Act (there is no reference to this Act</w:t>
      </w:r>
      <w:r>
        <w:rPr>
          <w:spacing w:val="40"/>
        </w:rPr>
        <w:t> </w:t>
      </w:r>
      <w:r>
        <w:rPr/>
        <w:t>in the List of Consequential Amendments in Sch.4 to the 2013 Regulations; neither is there reference to s.57 of the 1979 Act in the list of amendments detailed in Sch.1 of the Consumer Rights Act 2015).</w:t>
      </w:r>
    </w:p>
    <w:p>
      <w:pPr>
        <w:pStyle w:val="BodyText"/>
        <w:spacing w:after="0" w:line="235" w:lineRule="auto"/>
        <w:jc w:val="both"/>
        <w:sectPr>
          <w:pgSz w:w="11900" w:h="16840"/>
          <w:pgMar w:header="971" w:footer="0" w:top="1300" w:bottom="280" w:left="1275" w:right="1275"/>
        </w:sectPr>
      </w:pPr>
    </w:p>
    <w:p>
      <w:pPr>
        <w:pStyle w:val="BodyText"/>
        <w:tabs>
          <w:tab w:pos="705" w:val="left" w:leader="none"/>
        </w:tabs>
        <w:spacing w:before="166"/>
        <w:ind w:left="165"/>
      </w:pPr>
      <w:hyperlink w:history="true" w:anchor="_bookmark120">
        <w:r>
          <w:rPr>
            <w:color w:val="005DA1"/>
            <w:spacing w:val="-4"/>
            <w:position w:val="5"/>
            <w:sz w:val="14"/>
            <w:u w:val="single" w:color="005DA1"/>
          </w:rPr>
          <w:t>120</w:t>
        </w:r>
      </w:hyperlink>
      <w:r>
        <w:rPr>
          <w:spacing w:val="-4"/>
          <w:position w:val="5"/>
          <w:sz w:val="14"/>
        </w:rPr>
        <w:t>.</w:t>
      </w:r>
      <w:r>
        <w:rPr>
          <w:position w:val="5"/>
          <w:sz w:val="14"/>
        </w:rPr>
        <w:tab/>
      </w:r>
      <w:r>
        <w:rPr/>
        <w:t>Consumer Rights Act 2015 </w:t>
      </w:r>
      <w:r>
        <w:rPr>
          <w:spacing w:val="-2"/>
        </w:rPr>
        <w:t>s.31(4)(c).</w:t>
      </w:r>
    </w:p>
    <w:p>
      <w:pPr>
        <w:pStyle w:val="BodyText"/>
        <w:spacing w:before="9"/>
      </w:pPr>
    </w:p>
    <w:p>
      <w:pPr>
        <w:tabs>
          <w:tab w:pos="705" w:val="left" w:leader="none"/>
        </w:tabs>
        <w:spacing w:line="235" w:lineRule="auto" w:before="0"/>
        <w:ind w:left="705" w:right="168" w:hanging="541"/>
        <w:jc w:val="left"/>
        <w:rPr>
          <w:sz w:val="20"/>
        </w:rPr>
      </w:pPr>
      <w:bookmarkStart w:name="_bookmark246" w:id="248"/>
      <w:bookmarkEnd w:id="248"/>
      <w:r>
        <w:rPr/>
      </w:r>
      <w:hyperlink w:history="true" w:anchor="_bookmark121">
        <w:r>
          <w:rPr>
            <w:color w:val="005DA1"/>
            <w:spacing w:val="-4"/>
            <w:position w:val="5"/>
            <w:sz w:val="14"/>
            <w:u w:val="single" w:color="005DA1"/>
          </w:rPr>
          <w:t>121</w:t>
        </w:r>
      </w:hyperlink>
      <w:r>
        <w:rPr>
          <w:spacing w:val="-4"/>
          <w:position w:val="5"/>
          <w:sz w:val="14"/>
        </w:rPr>
        <w:t>.</w:t>
      </w:r>
      <w:r>
        <w:rPr>
          <w:position w:val="5"/>
          <w:sz w:val="14"/>
        </w:rPr>
        <w:tab/>
      </w:r>
      <w:r>
        <w:rPr>
          <w:rFonts w:ascii="Arial"/>
          <w:i/>
          <w:sz w:val="20"/>
        </w:rPr>
        <w:t>McManus v Fortescue [1907] 2 K.B. 1</w:t>
      </w:r>
      <w:r>
        <w:rPr>
          <w:sz w:val="20"/>
        </w:rPr>
        <w:t>; on a sale of land, it must be expressly stated whether</w:t>
      </w:r>
      <w:r>
        <w:rPr>
          <w:spacing w:val="80"/>
          <w:sz w:val="20"/>
        </w:rPr>
        <w:t> </w:t>
      </w:r>
      <w:r>
        <w:rPr>
          <w:sz w:val="20"/>
        </w:rPr>
        <w:t>the sale is with reserve or not: Sale of Land by Auction Act 1867 s.5.</w:t>
      </w:r>
    </w:p>
    <w:p>
      <w:pPr>
        <w:pStyle w:val="BodyText"/>
        <w:spacing w:before="9"/>
      </w:pPr>
    </w:p>
    <w:p>
      <w:pPr>
        <w:spacing w:line="235" w:lineRule="auto" w:before="1"/>
        <w:ind w:left="705" w:right="167" w:hanging="541"/>
        <w:jc w:val="both"/>
        <w:rPr>
          <w:sz w:val="20"/>
        </w:rPr>
      </w:pPr>
      <w:bookmarkStart w:name="_bookmark247" w:id="249"/>
      <w:bookmarkEnd w:id="249"/>
      <w:r>
        <w:rPr/>
      </w:r>
      <w:hyperlink w:history="true" w:anchor="_bookmark122">
        <w:r>
          <w:rPr>
            <w:color w:val="005DA1"/>
            <w:position w:val="5"/>
            <w:sz w:val="14"/>
            <w:u w:val="single" w:color="005DA1"/>
          </w:rPr>
          <w:t>122</w:t>
        </w:r>
      </w:hyperlink>
      <w:r>
        <w:rPr>
          <w:position w:val="5"/>
          <w:sz w:val="14"/>
        </w:rPr>
        <w:t>.</w:t>
      </w:r>
      <w:r>
        <w:rPr>
          <w:spacing w:val="80"/>
          <w:position w:val="5"/>
          <w:sz w:val="14"/>
        </w:rPr>
        <w:t>  </w:t>
      </w:r>
      <w:r>
        <w:rPr>
          <w:rFonts w:ascii="Arial" w:hAnsi="Arial"/>
          <w:i/>
          <w:sz w:val="20"/>
        </w:rPr>
        <w:t>Warlow v Harrison (1859) 1 E. &amp; E. 309</w:t>
      </w:r>
      <w:r>
        <w:rPr>
          <w:sz w:val="20"/>
        </w:rPr>
        <w:t>; cf. </w:t>
      </w:r>
      <w:r>
        <w:rPr>
          <w:rFonts w:ascii="Arial" w:hAnsi="Arial"/>
          <w:i/>
          <w:sz w:val="20"/>
        </w:rPr>
        <w:t>Johnston v Boyes [1899] 2 Ch. 73, 77</w:t>
      </w:r>
      <w:r>
        <w:rPr>
          <w:sz w:val="20"/>
        </w:rPr>
        <w:t>; </w:t>
      </w:r>
      <w:r>
        <w:rPr>
          <w:rFonts w:ascii="Arial" w:hAnsi="Arial"/>
          <w:i/>
          <w:sz w:val="20"/>
        </w:rPr>
        <w:t>Barry </w:t>
      </w:r>
      <w:r>
        <w:rPr>
          <w:rFonts w:ascii="Arial" w:hAnsi="Arial"/>
          <w:i/>
          <w:sz w:val="20"/>
        </w:rPr>
        <w:t>v Davies [2000] 1 W.L.R. 1962, 1967</w:t>
      </w:r>
      <w:r>
        <w:rPr>
          <w:sz w:val="20"/>
        </w:rPr>
        <w:t>, citing a previous edition of this book with approval. Contra, </w:t>
      </w:r>
      <w:r>
        <w:rPr>
          <w:rFonts w:ascii="Arial" w:hAnsi="Arial"/>
          <w:i/>
          <w:sz w:val="20"/>
        </w:rPr>
        <w:t>Fenwick v Macdonald, Fraser &amp; Co Ltd (1904) 6 F. (Ct. of Sess.) 850</w:t>
      </w:r>
      <w:r>
        <w:rPr>
          <w:sz w:val="20"/>
        </w:rPr>
        <w:t>; Slade (1952) 68 L.Q.R. 238; Gower, (1952) 68 L.Q.R. 457; Slade (1953) 69 L.Q.R. 21. Under the American Uniform Commercial Code (hereinafter referred to as UCC) the goods may not be withdrawn once they have been put up, if the auction is without reserve: s.2–328(3). This position is restated, though in different terminology, in s.2–328(3) of the American Law Institute’s proposed revisions of</w:t>
      </w:r>
      <w:r>
        <w:rPr>
          <w:spacing w:val="40"/>
          <w:sz w:val="20"/>
        </w:rPr>
        <w:t> </w:t>
      </w:r>
      <w:r>
        <w:rPr>
          <w:sz w:val="20"/>
        </w:rPr>
        <w:t>art.2 of the UCC (2003; at present it seems to be unlikely that this proposal will be </w:t>
      </w:r>
      <w:r>
        <w:rPr>
          <w:spacing w:val="-2"/>
          <w:sz w:val="20"/>
        </w:rPr>
        <w:t>implemented).</w:t>
      </w:r>
    </w:p>
    <w:p>
      <w:pPr>
        <w:pStyle w:val="BodyText"/>
        <w:spacing w:before="2"/>
      </w:pPr>
    </w:p>
    <w:p>
      <w:pPr>
        <w:tabs>
          <w:tab w:pos="705" w:val="left" w:leader="none"/>
        </w:tabs>
        <w:spacing w:before="0"/>
        <w:ind w:left="165" w:right="0" w:firstLine="0"/>
        <w:jc w:val="left"/>
        <w:rPr>
          <w:sz w:val="20"/>
        </w:rPr>
      </w:pPr>
      <w:bookmarkStart w:name="_bookmark248" w:id="250"/>
      <w:bookmarkEnd w:id="250"/>
      <w:r>
        <w:rPr/>
      </w:r>
      <w:hyperlink w:history="true" w:anchor="_bookmark122">
        <w:r>
          <w:rPr>
            <w:color w:val="005DA1"/>
            <w:spacing w:val="-4"/>
            <w:position w:val="5"/>
            <w:sz w:val="14"/>
            <w:u w:val="single" w:color="005DA1"/>
          </w:rPr>
          <w:t>123</w:t>
        </w:r>
      </w:hyperlink>
      <w:r>
        <w:rPr>
          <w:spacing w:val="-4"/>
          <w:position w:val="5"/>
          <w:sz w:val="14"/>
        </w:rPr>
        <w:t>.</w:t>
      </w:r>
      <w:r>
        <w:rPr>
          <w:position w:val="5"/>
          <w:sz w:val="14"/>
        </w:rPr>
        <w:tab/>
      </w:r>
      <w:r>
        <w:rPr>
          <w:rFonts w:ascii="Arial"/>
          <w:i/>
          <w:sz w:val="20"/>
        </w:rPr>
        <w:t>Harris v Nickerson (1873) L.R. 8 Q.B. </w:t>
      </w:r>
      <w:r>
        <w:rPr>
          <w:rFonts w:ascii="Arial"/>
          <w:i/>
          <w:spacing w:val="-4"/>
          <w:sz w:val="20"/>
        </w:rPr>
        <w:t>286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249" w:id="251"/>
      <w:bookmarkEnd w:id="251"/>
      <w:r>
        <w:rPr/>
      </w:r>
      <w:hyperlink w:history="true" w:anchor="_bookmark123">
        <w:r>
          <w:rPr>
            <w:color w:val="005DA1"/>
            <w:spacing w:val="-4"/>
            <w:position w:val="5"/>
            <w:sz w:val="14"/>
            <w:u w:val="single" w:color="005DA1"/>
          </w:rPr>
          <w:t>124</w:t>
        </w:r>
      </w:hyperlink>
      <w:r>
        <w:rPr>
          <w:spacing w:val="-4"/>
          <w:position w:val="5"/>
          <w:sz w:val="14"/>
        </w:rPr>
        <w:t>.</w:t>
      </w:r>
      <w:r>
        <w:rPr>
          <w:position w:val="5"/>
          <w:sz w:val="14"/>
        </w:rPr>
        <w:tab/>
      </w:r>
      <w:r>
        <w:rPr>
          <w:sz w:val="20"/>
        </w:rPr>
        <w:t>Below, para.4-</w:t>
      </w:r>
      <w:r>
        <w:rPr>
          <w:spacing w:val="-4"/>
          <w:sz w:val="20"/>
        </w:rPr>
        <w:t>195.</w:t>
      </w:r>
    </w:p>
    <w:p>
      <w:pPr>
        <w:pStyle w:val="BodyText"/>
        <w:spacing w:before="5"/>
      </w:pPr>
    </w:p>
    <w:p>
      <w:pPr>
        <w:tabs>
          <w:tab w:pos="705" w:val="left" w:leader="none"/>
        </w:tabs>
        <w:spacing w:before="0"/>
        <w:ind w:left="165" w:right="0" w:firstLine="0"/>
        <w:jc w:val="left"/>
        <w:rPr>
          <w:sz w:val="20"/>
        </w:rPr>
      </w:pPr>
      <w:bookmarkStart w:name="_bookmark250" w:id="252"/>
      <w:bookmarkEnd w:id="252"/>
      <w:r>
        <w:rPr/>
      </w:r>
      <w:hyperlink w:history="true" w:anchor="_bookmark124">
        <w:r>
          <w:rPr>
            <w:color w:val="005DA1"/>
            <w:spacing w:val="-4"/>
            <w:position w:val="5"/>
            <w:sz w:val="14"/>
            <w:u w:val="single" w:color="005DA1"/>
          </w:rPr>
          <w:t>125</w:t>
        </w:r>
      </w:hyperlink>
      <w:r>
        <w:rPr>
          <w:spacing w:val="-4"/>
          <w:position w:val="5"/>
          <w:sz w:val="14"/>
        </w:rPr>
        <w:t>.</w:t>
      </w:r>
      <w:r>
        <w:rPr>
          <w:position w:val="5"/>
          <w:sz w:val="14"/>
        </w:rPr>
        <w:tab/>
      </w:r>
      <w:r>
        <w:rPr>
          <w:sz w:val="20"/>
        </w:rPr>
        <w:t>See</w:t>
      </w:r>
      <w:r>
        <w:rPr>
          <w:spacing w:val="-1"/>
          <w:sz w:val="20"/>
        </w:rPr>
        <w:t> </w:t>
      </w:r>
      <w:r>
        <w:rPr>
          <w:rFonts w:ascii="Arial"/>
          <w:i/>
          <w:sz w:val="20"/>
        </w:rPr>
        <w:t>Richards v Phillips [1969] 1 Ch. </w:t>
      </w:r>
      <w:r>
        <w:rPr>
          <w:rFonts w:ascii="Arial"/>
          <w:i/>
          <w:spacing w:val="-5"/>
          <w:sz w:val="20"/>
        </w:rPr>
        <w:t>39</w:t>
      </w:r>
      <w:r>
        <w:rPr>
          <w:spacing w:val="-5"/>
          <w:sz w:val="20"/>
        </w:rPr>
        <w:t>.</w:t>
      </w:r>
    </w:p>
    <w:p>
      <w:pPr>
        <w:pStyle w:val="BodyText"/>
        <w:spacing w:before="5"/>
      </w:pPr>
    </w:p>
    <w:p>
      <w:pPr>
        <w:pStyle w:val="BodyText"/>
        <w:tabs>
          <w:tab w:pos="705" w:val="left" w:leader="none"/>
        </w:tabs>
        <w:ind w:left="165"/>
      </w:pPr>
      <w:bookmarkStart w:name="_bookmark251" w:id="253"/>
      <w:bookmarkEnd w:id="253"/>
      <w:r>
        <w:rPr/>
      </w:r>
      <w:hyperlink w:history="true" w:anchor="_bookmark125">
        <w:r>
          <w:rPr>
            <w:color w:val="005DA1"/>
            <w:spacing w:val="-4"/>
            <w:position w:val="5"/>
            <w:sz w:val="14"/>
            <w:u w:val="single" w:color="005DA1"/>
          </w:rPr>
          <w:t>126</w:t>
        </w:r>
      </w:hyperlink>
      <w:r>
        <w:rPr>
          <w:spacing w:val="-4"/>
          <w:position w:val="5"/>
          <w:sz w:val="14"/>
        </w:rPr>
        <w:t>.</w:t>
      </w:r>
      <w:r>
        <w:rPr>
          <w:position w:val="5"/>
          <w:sz w:val="14"/>
        </w:rPr>
        <w:tab/>
      </w:r>
      <w:r>
        <w:rPr/>
        <w:t>This seems to follow from use of the word “resold” in the stipulation quoted above at </w:t>
      </w:r>
      <w:r>
        <w:rPr>
          <w:spacing w:val="-2"/>
        </w:rPr>
        <w:t>n.125.</w:t>
      </w:r>
    </w:p>
    <w:p>
      <w:pPr>
        <w:pStyle w:val="BodyText"/>
        <w:spacing w:before="5"/>
      </w:pPr>
    </w:p>
    <w:p>
      <w:pPr>
        <w:tabs>
          <w:tab w:pos="705" w:val="left" w:leader="none"/>
        </w:tabs>
        <w:spacing w:before="1"/>
        <w:ind w:left="165" w:right="0" w:firstLine="0"/>
        <w:jc w:val="left"/>
        <w:rPr>
          <w:sz w:val="20"/>
        </w:rPr>
      </w:pPr>
      <w:bookmarkStart w:name="_bookmark252" w:id="254"/>
      <w:bookmarkEnd w:id="254"/>
      <w:r>
        <w:rPr/>
      </w:r>
      <w:hyperlink w:history="true" w:anchor="_bookmark126">
        <w:r>
          <w:rPr>
            <w:color w:val="005DA1"/>
            <w:spacing w:val="-4"/>
            <w:position w:val="5"/>
            <w:sz w:val="14"/>
            <w:u w:val="single" w:color="005DA1"/>
          </w:rPr>
          <w:t>127</w:t>
        </w:r>
      </w:hyperlink>
      <w:r>
        <w:rPr>
          <w:spacing w:val="-4"/>
          <w:position w:val="5"/>
          <w:sz w:val="14"/>
        </w:rPr>
        <w:t>.</w:t>
      </w:r>
      <w:r>
        <w:rPr>
          <w:position w:val="5"/>
          <w:sz w:val="14"/>
        </w:rPr>
        <w:tab/>
      </w:r>
      <w:r>
        <w:rPr>
          <w:rFonts w:ascii="Arial"/>
          <w:i/>
          <w:sz w:val="20"/>
        </w:rPr>
        <w:t>Spencer v Harding (1870) L.R. 5 C.P. </w:t>
      </w:r>
      <w:r>
        <w:rPr>
          <w:rFonts w:ascii="Arial"/>
          <w:i/>
          <w:spacing w:val="-4"/>
          <w:sz w:val="20"/>
        </w:rPr>
        <w:t>561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53" w:id="255"/>
      <w:bookmarkEnd w:id="255"/>
      <w:r>
        <w:rPr/>
      </w:r>
      <w:hyperlink w:history="true" w:anchor="_bookmark127">
        <w:r>
          <w:rPr>
            <w:color w:val="005DA1"/>
            <w:spacing w:val="-4"/>
            <w:position w:val="5"/>
            <w:sz w:val="14"/>
            <w:u w:val="single" w:color="005DA1"/>
          </w:rPr>
          <w:t>128</w:t>
        </w:r>
      </w:hyperlink>
      <w:r>
        <w:rPr>
          <w:spacing w:val="-4"/>
          <w:position w:val="5"/>
          <w:sz w:val="14"/>
        </w:rPr>
        <w:t>.</w:t>
      </w:r>
      <w:r>
        <w:rPr>
          <w:position w:val="5"/>
          <w:sz w:val="14"/>
        </w:rPr>
        <w:tab/>
      </w:r>
      <w:r>
        <w:rPr>
          <w:rFonts w:ascii="Arial"/>
          <w:i/>
          <w:sz w:val="20"/>
        </w:rPr>
        <w:t>Spencer v Harding (1870) L.R. 5 C.P. 561, </w:t>
      </w:r>
      <w:r>
        <w:rPr>
          <w:rFonts w:ascii="Arial"/>
          <w:i/>
          <w:spacing w:val="-4"/>
          <w:sz w:val="20"/>
        </w:rPr>
        <w:t>564</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254" w:id="256"/>
      <w:bookmarkEnd w:id="256"/>
      <w:r>
        <w:rPr/>
      </w:r>
      <w:hyperlink w:history="true" w:anchor="_bookmark128">
        <w:r>
          <w:rPr>
            <w:color w:val="005DA1"/>
            <w:spacing w:val="-4"/>
            <w:position w:val="5"/>
            <w:sz w:val="14"/>
            <w:u w:val="single" w:color="005DA1"/>
          </w:rPr>
          <w:t>129</w:t>
        </w:r>
      </w:hyperlink>
      <w:r>
        <w:rPr>
          <w:spacing w:val="-4"/>
          <w:position w:val="5"/>
          <w:sz w:val="14"/>
        </w:rPr>
        <w:t>.</w:t>
      </w:r>
      <w:r>
        <w:rPr>
          <w:position w:val="5"/>
          <w:sz w:val="14"/>
        </w:rPr>
        <w:tab/>
      </w:r>
      <w:r>
        <w:rPr>
          <w:rFonts w:ascii="Arial"/>
          <w:i/>
          <w:sz w:val="20"/>
        </w:rPr>
        <w:t>Spencer v Harding (1870) L.R. 5 C.P. 561, </w:t>
      </w:r>
      <w:r>
        <w:rPr>
          <w:rFonts w:ascii="Arial"/>
          <w:i/>
          <w:spacing w:val="-4"/>
          <w:sz w:val="20"/>
        </w:rPr>
        <w:t>563</w:t>
      </w:r>
      <w:r>
        <w:rPr>
          <w:spacing w:val="-4"/>
          <w:sz w:val="20"/>
        </w:rPr>
        <w:t>.</w:t>
      </w:r>
    </w:p>
    <w:p>
      <w:pPr>
        <w:pStyle w:val="BodyText"/>
        <w:spacing w:before="8"/>
      </w:pPr>
    </w:p>
    <w:p>
      <w:pPr>
        <w:spacing w:line="235" w:lineRule="auto" w:before="0"/>
        <w:ind w:left="705" w:right="168" w:hanging="541"/>
        <w:jc w:val="both"/>
        <w:rPr>
          <w:sz w:val="20"/>
        </w:rPr>
      </w:pPr>
      <w:bookmarkStart w:name="_bookmark255" w:id="257"/>
      <w:bookmarkEnd w:id="257"/>
      <w:r>
        <w:rPr/>
      </w:r>
      <w:hyperlink w:history="true" w:anchor="_bookmark129">
        <w:r>
          <w:rPr>
            <w:color w:val="005DA1"/>
            <w:position w:val="5"/>
            <w:sz w:val="14"/>
            <w:u w:val="single" w:color="005DA1"/>
          </w:rPr>
          <w:t>130</w:t>
        </w:r>
      </w:hyperlink>
      <w:r>
        <w:rPr>
          <w:position w:val="5"/>
          <w:sz w:val="14"/>
        </w:rPr>
        <w:t>.</w:t>
      </w:r>
      <w:r>
        <w:rPr>
          <w:spacing w:val="80"/>
          <w:position w:val="5"/>
          <w:sz w:val="14"/>
        </w:rPr>
        <w:t>  </w:t>
      </w:r>
      <w:r>
        <w:rPr>
          <w:sz w:val="20"/>
        </w:rPr>
        <w:t>See</w:t>
      </w:r>
      <w:r>
        <w:rPr>
          <w:spacing w:val="-1"/>
          <w:sz w:val="20"/>
        </w:rPr>
        <w:t> </w:t>
      </w:r>
      <w:r>
        <w:rPr>
          <w:rFonts w:ascii="Arial"/>
          <w:i/>
          <w:sz w:val="20"/>
        </w:rPr>
        <w:t>William</w:t>
      </w:r>
      <w:r>
        <w:rPr>
          <w:rFonts w:ascii="Arial"/>
          <w:i/>
          <w:spacing w:val="-1"/>
          <w:sz w:val="20"/>
        </w:rPr>
        <w:t> </w:t>
      </w:r>
      <w:r>
        <w:rPr>
          <w:rFonts w:ascii="Arial"/>
          <w:i/>
          <w:sz w:val="20"/>
        </w:rPr>
        <w:t>Lacey</w:t>
      </w:r>
      <w:r>
        <w:rPr>
          <w:rFonts w:ascii="Arial"/>
          <w:i/>
          <w:spacing w:val="-1"/>
          <w:sz w:val="20"/>
        </w:rPr>
        <w:t> </w:t>
      </w:r>
      <w:r>
        <w:rPr>
          <w:rFonts w:ascii="Arial"/>
          <w:i/>
          <w:sz w:val="20"/>
        </w:rPr>
        <w:t>(Hounslow)</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Davis</w:t>
      </w:r>
      <w:r>
        <w:rPr>
          <w:rFonts w:ascii="Arial"/>
          <w:i/>
          <w:spacing w:val="-1"/>
          <w:sz w:val="20"/>
        </w:rPr>
        <w:t> </w:t>
      </w:r>
      <w:r>
        <w:rPr>
          <w:rFonts w:ascii="Arial"/>
          <w:i/>
          <w:sz w:val="20"/>
        </w:rPr>
        <w:t>[1957]</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932,</w:t>
      </w:r>
      <w:r>
        <w:rPr>
          <w:rFonts w:ascii="Arial"/>
          <w:i/>
          <w:spacing w:val="-1"/>
          <w:sz w:val="20"/>
        </w:rPr>
        <w:t> </w:t>
      </w:r>
      <w:r>
        <w:rPr>
          <w:rFonts w:ascii="Arial"/>
          <w:i/>
          <w:sz w:val="20"/>
        </w:rPr>
        <w:t>939</w:t>
      </w:r>
      <w:r>
        <w:rPr>
          <w:sz w:val="20"/>
        </w:rPr>
        <w:t>.</w:t>
      </w:r>
      <w:r>
        <w:rPr>
          <w:spacing w:val="-1"/>
          <w:sz w:val="20"/>
        </w:rPr>
        <w:t> </w:t>
      </w:r>
      <w:r>
        <w:rPr>
          <w:sz w:val="20"/>
        </w:rPr>
        <w:t>See</w:t>
      </w:r>
      <w:r>
        <w:rPr>
          <w:spacing w:val="-1"/>
          <w:sz w:val="20"/>
        </w:rPr>
        <w:t> </w:t>
      </w:r>
      <w:r>
        <w:rPr>
          <w:sz w:val="20"/>
        </w:rPr>
        <w:t>also</w:t>
      </w:r>
      <w:r>
        <w:rPr>
          <w:spacing w:val="-1"/>
          <w:sz w:val="20"/>
        </w:rPr>
        <w:t> </w:t>
      </w:r>
      <w:r>
        <w:rPr>
          <w:rFonts w:ascii="Arial"/>
          <w:i/>
          <w:sz w:val="20"/>
        </w:rPr>
        <w:t>MJB</w:t>
      </w:r>
      <w:r>
        <w:rPr>
          <w:rFonts w:ascii="Arial"/>
          <w:i/>
          <w:spacing w:val="-1"/>
          <w:sz w:val="20"/>
        </w:rPr>
        <w:t> </w:t>
      </w:r>
      <w:r>
        <w:rPr>
          <w:rFonts w:ascii="Arial"/>
          <w:i/>
          <w:sz w:val="20"/>
        </w:rPr>
        <w:t>Enterprises Ltd v Defence Construction Ltd (1999) 15 Const. L.J. 455</w:t>
      </w:r>
      <w:r>
        <w:rPr>
          <w:sz w:val="20"/>
        </w:rPr>
        <w:t>: promise to accept lowest compliant tender broken by accepting lowest non-compliant one (Supreme Court of Canada).</w:t>
      </w:r>
    </w:p>
    <w:p>
      <w:pPr>
        <w:pStyle w:val="BodyText"/>
        <w:spacing w:before="5"/>
      </w:pPr>
    </w:p>
    <w:p>
      <w:pPr>
        <w:tabs>
          <w:tab w:pos="705" w:val="left" w:leader="none"/>
        </w:tabs>
        <w:spacing w:before="1"/>
        <w:ind w:left="165" w:right="0" w:firstLine="0"/>
        <w:jc w:val="left"/>
        <w:rPr>
          <w:sz w:val="20"/>
        </w:rPr>
      </w:pPr>
      <w:bookmarkStart w:name="_bookmark256" w:id="258"/>
      <w:bookmarkEnd w:id="258"/>
      <w:r>
        <w:rPr/>
      </w:r>
      <w:hyperlink w:history="true" w:anchor="_bookmark130">
        <w:r>
          <w:rPr>
            <w:color w:val="005DA1"/>
            <w:spacing w:val="-4"/>
            <w:position w:val="5"/>
            <w:sz w:val="14"/>
            <w:u w:val="single" w:color="005DA1"/>
          </w:rPr>
          <w:t>131</w:t>
        </w:r>
      </w:hyperlink>
      <w:r>
        <w:rPr>
          <w:spacing w:val="-4"/>
          <w:position w:val="5"/>
          <w:sz w:val="14"/>
        </w:rPr>
        <w:t>.</w:t>
      </w:r>
      <w:r>
        <w:rPr>
          <w:position w:val="5"/>
          <w:sz w:val="14"/>
        </w:rPr>
        <w:tab/>
      </w:r>
      <w:r>
        <w:rPr>
          <w:rFonts w:ascii="Arial" w:hAnsi="Arial"/>
          <w:i/>
          <w:sz w:val="20"/>
        </w:rPr>
        <w:t>Harvela</w:t>
      </w:r>
      <w:r>
        <w:rPr>
          <w:rFonts w:ascii="Arial" w:hAnsi="Arial"/>
          <w:i/>
          <w:spacing w:val="-2"/>
          <w:sz w:val="20"/>
        </w:rPr>
        <w:t> </w:t>
      </w:r>
      <w:r>
        <w:rPr>
          <w:rFonts w:ascii="Arial" w:hAnsi="Arial"/>
          <w:i/>
          <w:sz w:val="20"/>
        </w:rPr>
        <w:t>Investments Ltd v Royal Trust of Canada (C.I.) Ltd [1986] A.C. 207, </w:t>
      </w:r>
      <w:r>
        <w:rPr>
          <w:rFonts w:ascii="Arial" w:hAnsi="Arial"/>
          <w:i/>
          <w:spacing w:val="-2"/>
          <w:sz w:val="20"/>
        </w:rPr>
        <w:t>224–225</w:t>
      </w:r>
      <w:r>
        <w:rPr>
          <w:spacing w:val="-2"/>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257" w:id="259"/>
      <w:bookmarkEnd w:id="259"/>
      <w:r>
        <w:rPr/>
      </w:r>
      <w:hyperlink w:history="true" w:anchor="_bookmark131">
        <w:r>
          <w:rPr>
            <w:color w:val="005DA1"/>
            <w:spacing w:val="-4"/>
            <w:position w:val="5"/>
            <w:sz w:val="14"/>
            <w:u w:val="single" w:color="005DA1"/>
          </w:rPr>
          <w:t>132</w:t>
        </w:r>
      </w:hyperlink>
      <w:r>
        <w:rPr>
          <w:spacing w:val="-4"/>
          <w:position w:val="5"/>
          <w:sz w:val="14"/>
        </w:rPr>
        <w:t>.</w:t>
      </w:r>
      <w:r>
        <w:rPr>
          <w:position w:val="5"/>
          <w:sz w:val="14"/>
        </w:rPr>
        <w:tab/>
      </w:r>
      <w:r>
        <w:rPr>
          <w:rFonts w:ascii="Arial"/>
          <w:i/>
          <w:sz w:val="20"/>
        </w:rPr>
        <w:t>[1990]</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25</w:t>
      </w:r>
      <w:r>
        <w:rPr>
          <w:sz w:val="20"/>
        </w:rPr>
        <w:t>.</w:t>
      </w:r>
      <w:r>
        <w:rPr>
          <w:spacing w:val="-1"/>
          <w:sz w:val="20"/>
        </w:rPr>
        <w:t> </w:t>
      </w:r>
      <w:r>
        <w:rPr>
          <w:sz w:val="20"/>
        </w:rPr>
        <w:t>No</w:t>
      </w:r>
      <w:r>
        <w:rPr>
          <w:spacing w:val="-1"/>
          <w:sz w:val="20"/>
        </w:rPr>
        <w:t> </w:t>
      </w:r>
      <w:r>
        <w:rPr>
          <w:sz w:val="20"/>
        </w:rPr>
        <w:t>decision</w:t>
      </w:r>
      <w:r>
        <w:rPr>
          <w:spacing w:val="-1"/>
          <w:sz w:val="20"/>
        </w:rPr>
        <w:t> </w:t>
      </w:r>
      <w:r>
        <w:rPr>
          <w:sz w:val="20"/>
        </w:rPr>
        <w:t>was</w:t>
      </w:r>
      <w:r>
        <w:rPr>
          <w:spacing w:val="-1"/>
          <w:sz w:val="20"/>
        </w:rPr>
        <w:t> </w:t>
      </w:r>
      <w:r>
        <w:rPr>
          <w:sz w:val="20"/>
        </w:rPr>
        <w:t>reached</w:t>
      </w:r>
      <w:r>
        <w:rPr>
          <w:spacing w:val="-1"/>
          <w:sz w:val="20"/>
        </w:rPr>
        <w:t> </w:t>
      </w:r>
      <w:r>
        <w:rPr>
          <w:sz w:val="20"/>
        </w:rPr>
        <w:t>on</w:t>
      </w:r>
      <w:r>
        <w:rPr>
          <w:spacing w:val="-1"/>
          <w:sz w:val="20"/>
        </w:rPr>
        <w:t> </w:t>
      </w:r>
      <w:r>
        <w:rPr>
          <w:sz w:val="20"/>
        </w:rPr>
        <w:t>the</w:t>
      </w:r>
      <w:r>
        <w:rPr>
          <w:spacing w:val="-1"/>
          <w:sz w:val="20"/>
        </w:rPr>
        <w:t> </w:t>
      </w:r>
      <w:r>
        <w:rPr>
          <w:sz w:val="20"/>
        </w:rPr>
        <w:t>quantum</w:t>
      </w:r>
      <w:r>
        <w:rPr>
          <w:spacing w:val="-1"/>
          <w:sz w:val="20"/>
        </w:rPr>
        <w:t> </w:t>
      </w:r>
      <w:r>
        <w:rPr>
          <w:sz w:val="20"/>
        </w:rPr>
        <w:t>of</w:t>
      </w:r>
      <w:r>
        <w:rPr>
          <w:spacing w:val="-1"/>
          <w:sz w:val="20"/>
        </w:rPr>
        <w:t> </w:t>
      </w:r>
      <w:r>
        <w:rPr>
          <w:sz w:val="20"/>
        </w:rPr>
        <w:t>damages.</w:t>
      </w:r>
      <w:r>
        <w:rPr>
          <w:spacing w:val="-1"/>
          <w:sz w:val="20"/>
        </w:rPr>
        <w:t> </w:t>
      </w:r>
      <w:r>
        <w:rPr>
          <w:sz w:val="20"/>
        </w:rPr>
        <w:t>See</w:t>
      </w:r>
      <w:r>
        <w:rPr>
          <w:spacing w:val="-1"/>
          <w:sz w:val="20"/>
        </w:rPr>
        <w:t> </w:t>
      </w:r>
      <w:r>
        <w:rPr>
          <w:sz w:val="20"/>
        </w:rPr>
        <w:t>also</w:t>
      </w:r>
      <w:r>
        <w:rPr>
          <w:spacing w:val="-1"/>
          <w:sz w:val="20"/>
        </w:rPr>
        <w:t> </w:t>
      </w:r>
      <w:r>
        <w:rPr>
          <w:rFonts w:ascii="Arial"/>
          <w:i/>
          <w:sz w:val="20"/>
        </w:rPr>
        <w:t>Fairclough Building v Port Talbot BC (1992) 62 B.L.R. 82</w:t>
      </w:r>
      <w:r>
        <w:rPr>
          <w:sz w:val="20"/>
        </w:rPr>
        <w:t>.</w:t>
      </w:r>
    </w:p>
    <w:p>
      <w:pPr>
        <w:pStyle w:val="BodyText"/>
        <w:spacing w:before="9"/>
      </w:pPr>
    </w:p>
    <w:p>
      <w:pPr>
        <w:spacing w:line="235" w:lineRule="auto" w:before="1"/>
        <w:ind w:left="705" w:right="167" w:hanging="541"/>
        <w:jc w:val="both"/>
        <w:rPr>
          <w:sz w:val="20"/>
        </w:rPr>
      </w:pPr>
      <w:bookmarkStart w:name="_bookmark258" w:id="260"/>
      <w:bookmarkEnd w:id="260"/>
      <w:r>
        <w:rPr/>
      </w:r>
      <w:hyperlink w:history="true" w:anchor="_bookmark132">
        <w:r>
          <w:rPr>
            <w:color w:val="005DA1"/>
            <w:position w:val="5"/>
            <w:sz w:val="14"/>
            <w:u w:val="single" w:color="005DA1"/>
          </w:rPr>
          <w:t>133</w:t>
        </w:r>
      </w:hyperlink>
      <w:r>
        <w:rPr>
          <w:position w:val="5"/>
          <w:sz w:val="14"/>
        </w:rPr>
        <w:t>.</w:t>
      </w:r>
      <w:r>
        <w:rPr>
          <w:spacing w:val="40"/>
          <w:position w:val="5"/>
          <w:sz w:val="14"/>
        </w:rPr>
        <w:t>  </w:t>
      </w:r>
      <w:r>
        <w:rPr>
          <w:sz w:val="20"/>
        </w:rPr>
        <w:t>See</w:t>
      </w:r>
      <w:r>
        <w:rPr>
          <w:spacing w:val="40"/>
          <w:sz w:val="20"/>
        </w:rPr>
        <w:t> </w:t>
      </w:r>
      <w:r>
        <w:rPr>
          <w:sz w:val="20"/>
        </w:rPr>
        <w:t>below,</w:t>
      </w:r>
      <w:r>
        <w:rPr>
          <w:spacing w:val="40"/>
          <w:sz w:val="20"/>
        </w:rPr>
        <w:t> </w:t>
      </w:r>
      <w:r>
        <w:rPr>
          <w:sz w:val="20"/>
        </w:rPr>
        <w:t>para.11-051;</w:t>
      </w:r>
      <w:r>
        <w:rPr>
          <w:spacing w:val="40"/>
          <w:sz w:val="20"/>
        </w:rPr>
        <w:t> </w:t>
      </w:r>
      <w:r>
        <w:rPr>
          <w:sz w:val="20"/>
        </w:rPr>
        <w:t>Craig</w:t>
      </w:r>
      <w:r>
        <w:rPr>
          <w:spacing w:val="40"/>
          <w:sz w:val="20"/>
        </w:rPr>
        <w:t> </w:t>
      </w:r>
      <w:r>
        <w:rPr>
          <w:sz w:val="20"/>
        </w:rPr>
        <w:t>in</w:t>
      </w:r>
      <w:r>
        <w:rPr>
          <w:spacing w:val="40"/>
          <w:sz w:val="20"/>
        </w:rPr>
        <w:t> </w:t>
      </w:r>
      <w:r>
        <w:rPr>
          <w:sz w:val="20"/>
        </w:rPr>
        <w:t>(ed.</w:t>
      </w:r>
      <w:r>
        <w:rPr>
          <w:spacing w:val="40"/>
          <w:sz w:val="20"/>
        </w:rPr>
        <w:t> </w:t>
      </w:r>
      <w:r>
        <w:rPr>
          <w:sz w:val="20"/>
        </w:rPr>
        <w:t>Rose)</w:t>
      </w:r>
      <w:r>
        <w:rPr>
          <w:spacing w:val="40"/>
          <w:sz w:val="20"/>
        </w:rPr>
        <w:t> </w:t>
      </w:r>
      <w:r>
        <w:rPr>
          <w:sz w:val="20"/>
        </w:rPr>
        <w:t>Consensus</w:t>
      </w:r>
      <w:r>
        <w:rPr>
          <w:spacing w:val="40"/>
          <w:sz w:val="20"/>
        </w:rPr>
        <w:t> </w:t>
      </w:r>
      <w:r>
        <w:rPr>
          <w:sz w:val="20"/>
        </w:rPr>
        <w:t>ad</w:t>
      </w:r>
      <w:r>
        <w:rPr>
          <w:spacing w:val="40"/>
          <w:sz w:val="20"/>
        </w:rPr>
        <w:t> </w:t>
      </w:r>
      <w:r>
        <w:rPr>
          <w:sz w:val="20"/>
        </w:rPr>
        <w:t>Idem,</w:t>
      </w:r>
      <w:r>
        <w:rPr>
          <w:spacing w:val="40"/>
          <w:sz w:val="20"/>
        </w:rPr>
        <w:t> </w:t>
      </w:r>
      <w:r>
        <w:rPr>
          <w:sz w:val="20"/>
        </w:rPr>
        <w:t>Essays</w:t>
      </w:r>
      <w:r>
        <w:rPr>
          <w:spacing w:val="40"/>
          <w:sz w:val="20"/>
        </w:rPr>
        <w:t> </w:t>
      </w:r>
      <w:r>
        <w:rPr>
          <w:sz w:val="20"/>
        </w:rPr>
        <w:t>in</w:t>
      </w:r>
      <w:r>
        <w:rPr>
          <w:spacing w:val="40"/>
          <w:sz w:val="20"/>
        </w:rPr>
        <w:t> </w:t>
      </w:r>
      <w:r>
        <w:rPr>
          <w:sz w:val="20"/>
        </w:rPr>
        <w:t>the</w:t>
      </w:r>
      <w:r>
        <w:rPr>
          <w:spacing w:val="40"/>
          <w:sz w:val="20"/>
        </w:rPr>
        <w:t> </w:t>
      </w:r>
      <w:r>
        <w:rPr>
          <w:sz w:val="20"/>
        </w:rPr>
        <w:t>Law</w:t>
      </w:r>
      <w:r>
        <w:rPr>
          <w:spacing w:val="40"/>
          <w:sz w:val="20"/>
        </w:rPr>
        <w:t> </w:t>
      </w:r>
      <w:r>
        <w:rPr>
          <w:sz w:val="20"/>
        </w:rPr>
        <w:t>of Contract in Honour of Guenter Treitel, 148–151; and Environmental Protection Act 1990 Sch.2 Pt II, applied in </w:t>
      </w:r>
      <w:r>
        <w:rPr>
          <w:rFonts w:ascii="Arial" w:hAnsi="Arial"/>
          <w:i/>
          <w:sz w:val="20"/>
        </w:rPr>
        <w:t>R. v Avon C., Ex p. Terry Adams Ltd, The Times, January 20, 1994</w:t>
      </w:r>
      <w:r>
        <w:rPr>
          <w:sz w:val="20"/>
        </w:rPr>
        <w:t>.</w:t>
      </w:r>
    </w:p>
    <w:p>
      <w:pPr>
        <w:pStyle w:val="BodyText"/>
        <w:spacing w:before="4"/>
      </w:pPr>
    </w:p>
    <w:p>
      <w:pPr>
        <w:tabs>
          <w:tab w:pos="705" w:val="left" w:leader="none"/>
        </w:tabs>
        <w:spacing w:before="1"/>
        <w:ind w:left="165" w:right="0" w:firstLine="0"/>
        <w:jc w:val="left"/>
        <w:rPr>
          <w:sz w:val="20"/>
        </w:rPr>
      </w:pPr>
      <w:bookmarkStart w:name="_bookmark259" w:id="261"/>
      <w:bookmarkEnd w:id="261"/>
      <w:r>
        <w:rPr/>
      </w:r>
      <w:hyperlink w:history="true" w:anchor="_bookmark133">
        <w:r>
          <w:rPr>
            <w:color w:val="005DA1"/>
            <w:spacing w:val="-4"/>
            <w:position w:val="5"/>
            <w:sz w:val="14"/>
            <w:u w:val="single" w:color="005DA1"/>
          </w:rPr>
          <w:t>134</w:t>
        </w:r>
      </w:hyperlink>
      <w:r>
        <w:rPr>
          <w:spacing w:val="-4"/>
          <w:position w:val="5"/>
          <w:sz w:val="14"/>
        </w:rPr>
        <w:t>.</w:t>
      </w:r>
      <w:r>
        <w:rPr>
          <w:position w:val="5"/>
          <w:sz w:val="14"/>
        </w:rPr>
        <w:tab/>
      </w:r>
      <w:r>
        <w:rPr>
          <w:sz w:val="20"/>
        </w:rPr>
        <w:t>Below, para.11-</w:t>
      </w:r>
      <w:r>
        <w:rPr>
          <w:spacing w:val="-4"/>
          <w:sz w:val="20"/>
        </w:rPr>
        <w:t>051.</w:t>
      </w:r>
    </w:p>
    <w:p>
      <w:pPr>
        <w:pStyle w:val="BodyText"/>
        <w:spacing w:before="8"/>
      </w:pPr>
    </w:p>
    <w:p>
      <w:pPr>
        <w:pStyle w:val="BodyText"/>
        <w:tabs>
          <w:tab w:pos="705" w:val="left" w:leader="none"/>
        </w:tabs>
        <w:spacing w:line="235" w:lineRule="auto"/>
        <w:ind w:left="705" w:right="168" w:hanging="541"/>
      </w:pPr>
      <w:bookmarkStart w:name="_bookmark260" w:id="262"/>
      <w:bookmarkEnd w:id="262"/>
      <w:r>
        <w:rPr/>
      </w:r>
      <w:hyperlink w:history="true" w:anchor="_bookmark134">
        <w:r>
          <w:rPr>
            <w:color w:val="005DA1"/>
            <w:spacing w:val="-4"/>
            <w:position w:val="5"/>
            <w:sz w:val="14"/>
            <w:u w:val="single" w:color="005DA1"/>
          </w:rPr>
          <w:t>135</w:t>
        </w:r>
      </w:hyperlink>
      <w:r>
        <w:rPr>
          <w:spacing w:val="-4"/>
          <w:position w:val="5"/>
          <w:sz w:val="14"/>
        </w:rPr>
        <w:t>.</w:t>
      </w:r>
      <w:r>
        <w:rPr>
          <w:position w:val="5"/>
          <w:sz w:val="14"/>
        </w:rPr>
        <w:tab/>
      </w:r>
      <w:r>
        <w:rPr/>
        <w:t>And</w:t>
      </w:r>
      <w:r>
        <w:rPr>
          <w:spacing w:val="40"/>
        </w:rPr>
        <w:t> </w:t>
      </w:r>
      <w:r>
        <w:rPr/>
        <w:t>indeed</w:t>
      </w:r>
      <w:r>
        <w:rPr>
          <w:spacing w:val="40"/>
        </w:rPr>
        <w:t> </w:t>
      </w:r>
      <w:r>
        <w:rPr/>
        <w:t>in</w:t>
      </w:r>
      <w:r>
        <w:rPr>
          <w:spacing w:val="40"/>
        </w:rPr>
        <w:t> </w:t>
      </w:r>
      <w:r>
        <w:rPr/>
        <w:t>the</w:t>
      </w:r>
      <w:r>
        <w:rPr>
          <w:spacing w:val="40"/>
        </w:rPr>
        <w:t> </w:t>
      </w:r>
      <w:r>
        <w:rPr/>
        <w:t>language</w:t>
      </w:r>
      <w:r>
        <w:rPr>
          <w:spacing w:val="40"/>
        </w:rPr>
        <w:t> </w:t>
      </w:r>
      <w:r>
        <w:rPr/>
        <w:t>of</w:t>
      </w:r>
      <w:r>
        <w:rPr>
          <w:spacing w:val="40"/>
        </w:rPr>
        <w:t> </w:t>
      </w:r>
      <w:r>
        <w:rPr/>
        <w:t>Financial</w:t>
      </w:r>
      <w:r>
        <w:rPr>
          <w:spacing w:val="40"/>
        </w:rPr>
        <w:t> </w:t>
      </w:r>
      <w:r>
        <w:rPr/>
        <w:t>Services</w:t>
      </w:r>
      <w:r>
        <w:rPr>
          <w:spacing w:val="40"/>
        </w:rPr>
        <w:t> </w:t>
      </w:r>
      <w:r>
        <w:rPr/>
        <w:t>and</w:t>
      </w:r>
      <w:r>
        <w:rPr>
          <w:spacing w:val="40"/>
        </w:rPr>
        <w:t> </w:t>
      </w:r>
      <w:r>
        <w:rPr/>
        <w:t>Markets</w:t>
      </w:r>
      <w:r>
        <w:rPr>
          <w:spacing w:val="40"/>
        </w:rPr>
        <w:t> </w:t>
      </w:r>
      <w:r>
        <w:rPr/>
        <w:t>Act</w:t>
      </w:r>
      <w:r>
        <w:rPr>
          <w:spacing w:val="40"/>
        </w:rPr>
        <w:t> </w:t>
      </w:r>
      <w:r>
        <w:rPr/>
        <w:t>2000</w:t>
      </w:r>
      <w:r>
        <w:rPr>
          <w:spacing w:val="40"/>
        </w:rPr>
        <w:t> </w:t>
      </w:r>
      <w:r>
        <w:rPr/>
        <w:t>s.103(4)</w:t>
      </w:r>
      <w:r>
        <w:rPr>
          <w:spacing w:val="40"/>
        </w:rPr>
        <w:t> </w:t>
      </w:r>
      <w:r>
        <w:rPr/>
        <w:t>and</w:t>
      </w:r>
      <w:r>
        <w:rPr>
          <w:spacing w:val="40"/>
        </w:rPr>
        <w:t> </w:t>
      </w:r>
      <w:r>
        <w:rPr/>
        <w:t>of Companies Act 2006 ss.551(17), 578 and 756.</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261" w:id="263"/>
      <w:bookmarkEnd w:id="263"/>
      <w:r>
        <w:rPr/>
      </w:r>
      <w:hyperlink w:history="true" w:anchor="_bookmark135">
        <w:r>
          <w:rPr>
            <w:color w:val="005DA1"/>
            <w:spacing w:val="-4"/>
            <w:position w:val="5"/>
            <w:sz w:val="14"/>
            <w:u w:val="single" w:color="005DA1"/>
          </w:rPr>
          <w:t>136</w:t>
        </w:r>
      </w:hyperlink>
      <w:r>
        <w:rPr>
          <w:spacing w:val="-4"/>
          <w:position w:val="5"/>
          <w:sz w:val="14"/>
        </w:rPr>
        <w:t>.</w:t>
      </w:r>
      <w:r>
        <w:rPr>
          <w:position w:val="5"/>
          <w:sz w:val="14"/>
        </w:rPr>
        <w:tab/>
      </w:r>
      <w:r>
        <w:rPr>
          <w:sz w:val="20"/>
        </w:rPr>
        <w:t>e.g.</w:t>
      </w:r>
      <w:r>
        <w:rPr>
          <w:spacing w:val="20"/>
          <w:sz w:val="20"/>
        </w:rPr>
        <w:t> </w:t>
      </w:r>
      <w:r>
        <w:rPr>
          <w:rFonts w:ascii="Arial" w:hAnsi="Arial"/>
          <w:i/>
          <w:sz w:val="20"/>
        </w:rPr>
        <w:t>Hebb’s</w:t>
      </w:r>
      <w:r>
        <w:rPr>
          <w:rFonts w:ascii="Arial" w:hAnsi="Arial"/>
          <w:i/>
          <w:spacing w:val="21"/>
          <w:sz w:val="20"/>
        </w:rPr>
        <w:t> </w:t>
      </w:r>
      <w:r>
        <w:rPr>
          <w:rFonts w:ascii="Arial" w:hAnsi="Arial"/>
          <w:i/>
          <w:sz w:val="20"/>
        </w:rPr>
        <w:t>Case</w:t>
      </w:r>
      <w:r>
        <w:rPr>
          <w:rFonts w:ascii="Arial" w:hAnsi="Arial"/>
          <w:i/>
          <w:spacing w:val="21"/>
          <w:sz w:val="20"/>
        </w:rPr>
        <w:t> </w:t>
      </w:r>
      <w:r>
        <w:rPr>
          <w:rFonts w:ascii="Arial" w:hAnsi="Arial"/>
          <w:i/>
          <w:sz w:val="20"/>
        </w:rPr>
        <w:t>(1867)</w:t>
      </w:r>
      <w:r>
        <w:rPr>
          <w:rFonts w:ascii="Arial" w:hAnsi="Arial"/>
          <w:i/>
          <w:spacing w:val="21"/>
          <w:sz w:val="20"/>
        </w:rPr>
        <w:t> </w:t>
      </w:r>
      <w:r>
        <w:rPr>
          <w:rFonts w:ascii="Arial" w:hAnsi="Arial"/>
          <w:i/>
          <w:sz w:val="20"/>
        </w:rPr>
        <w:t>L.R.</w:t>
      </w:r>
      <w:r>
        <w:rPr>
          <w:rFonts w:ascii="Arial" w:hAnsi="Arial"/>
          <w:i/>
          <w:spacing w:val="21"/>
          <w:sz w:val="20"/>
        </w:rPr>
        <w:t> </w:t>
      </w:r>
      <w:r>
        <w:rPr>
          <w:rFonts w:ascii="Arial" w:hAnsi="Arial"/>
          <w:i/>
          <w:sz w:val="20"/>
        </w:rPr>
        <w:t>4</w:t>
      </w:r>
      <w:r>
        <w:rPr>
          <w:rFonts w:ascii="Arial" w:hAnsi="Arial"/>
          <w:i/>
          <w:spacing w:val="21"/>
          <w:sz w:val="20"/>
        </w:rPr>
        <w:t> </w:t>
      </w:r>
      <w:r>
        <w:rPr>
          <w:rFonts w:ascii="Arial" w:hAnsi="Arial"/>
          <w:i/>
          <w:sz w:val="20"/>
        </w:rPr>
        <w:t>Eq.</w:t>
      </w:r>
      <w:r>
        <w:rPr>
          <w:rFonts w:ascii="Arial" w:hAnsi="Arial"/>
          <w:i/>
          <w:spacing w:val="21"/>
          <w:sz w:val="20"/>
        </w:rPr>
        <w:t> </w:t>
      </w:r>
      <w:r>
        <w:rPr>
          <w:rFonts w:ascii="Arial" w:hAnsi="Arial"/>
          <w:i/>
          <w:sz w:val="20"/>
        </w:rPr>
        <w:t>9</w:t>
      </w:r>
      <w:r>
        <w:rPr>
          <w:sz w:val="20"/>
        </w:rPr>
        <w:t>;</w:t>
      </w:r>
      <w:r>
        <w:rPr>
          <w:spacing w:val="21"/>
          <w:sz w:val="20"/>
        </w:rPr>
        <w:t> </w:t>
      </w:r>
      <w:r>
        <w:rPr>
          <w:rFonts w:ascii="Arial" w:hAnsi="Arial"/>
          <w:i/>
          <w:sz w:val="20"/>
        </w:rPr>
        <w:t>Harris’</w:t>
      </w:r>
      <w:r>
        <w:rPr>
          <w:rFonts w:ascii="Arial" w:hAnsi="Arial"/>
          <w:i/>
          <w:spacing w:val="20"/>
          <w:sz w:val="20"/>
        </w:rPr>
        <w:t> </w:t>
      </w:r>
      <w:r>
        <w:rPr>
          <w:rFonts w:ascii="Arial" w:hAnsi="Arial"/>
          <w:i/>
          <w:sz w:val="20"/>
        </w:rPr>
        <w:t>Case</w:t>
      </w:r>
      <w:r>
        <w:rPr>
          <w:rFonts w:ascii="Arial" w:hAnsi="Arial"/>
          <w:i/>
          <w:spacing w:val="21"/>
          <w:sz w:val="20"/>
        </w:rPr>
        <w:t> </w:t>
      </w:r>
      <w:r>
        <w:rPr>
          <w:rFonts w:ascii="Arial" w:hAnsi="Arial"/>
          <w:i/>
          <w:sz w:val="20"/>
        </w:rPr>
        <w:t>(1872)</w:t>
      </w:r>
      <w:r>
        <w:rPr>
          <w:rFonts w:ascii="Arial" w:hAnsi="Arial"/>
          <w:i/>
          <w:spacing w:val="21"/>
          <w:sz w:val="20"/>
        </w:rPr>
        <w:t> </w:t>
      </w:r>
      <w:r>
        <w:rPr>
          <w:rFonts w:ascii="Arial" w:hAnsi="Arial"/>
          <w:i/>
          <w:sz w:val="20"/>
        </w:rPr>
        <w:t>L.R.</w:t>
      </w:r>
      <w:r>
        <w:rPr>
          <w:rFonts w:ascii="Arial" w:hAnsi="Arial"/>
          <w:i/>
          <w:spacing w:val="21"/>
          <w:sz w:val="20"/>
        </w:rPr>
        <w:t> </w:t>
      </w:r>
      <w:r>
        <w:rPr>
          <w:rFonts w:ascii="Arial" w:hAnsi="Arial"/>
          <w:i/>
          <w:sz w:val="20"/>
        </w:rPr>
        <w:t>7</w:t>
      </w:r>
      <w:r>
        <w:rPr>
          <w:rFonts w:ascii="Arial" w:hAnsi="Arial"/>
          <w:i/>
          <w:spacing w:val="21"/>
          <w:sz w:val="20"/>
        </w:rPr>
        <w:t> </w:t>
      </w:r>
      <w:r>
        <w:rPr>
          <w:rFonts w:ascii="Arial" w:hAnsi="Arial"/>
          <w:i/>
          <w:sz w:val="20"/>
        </w:rPr>
        <w:t>Ch.</w:t>
      </w:r>
      <w:r>
        <w:rPr>
          <w:rFonts w:ascii="Arial" w:hAnsi="Arial"/>
          <w:i/>
          <w:spacing w:val="21"/>
          <w:sz w:val="20"/>
        </w:rPr>
        <w:t> </w:t>
      </w:r>
      <w:r>
        <w:rPr>
          <w:rFonts w:ascii="Arial" w:hAnsi="Arial"/>
          <w:i/>
          <w:sz w:val="20"/>
        </w:rPr>
        <w:t>App.</w:t>
      </w:r>
      <w:r>
        <w:rPr>
          <w:rFonts w:ascii="Arial" w:hAnsi="Arial"/>
          <w:i/>
          <w:spacing w:val="21"/>
          <w:sz w:val="20"/>
        </w:rPr>
        <w:t> </w:t>
      </w:r>
      <w:r>
        <w:rPr>
          <w:rFonts w:ascii="Arial" w:hAnsi="Arial"/>
          <w:i/>
          <w:sz w:val="20"/>
        </w:rPr>
        <w:t>587</w:t>
      </w:r>
      <w:r>
        <w:rPr>
          <w:sz w:val="20"/>
        </w:rPr>
        <w:t>;</w:t>
      </w:r>
      <w:r>
        <w:rPr>
          <w:spacing w:val="21"/>
          <w:sz w:val="20"/>
        </w:rPr>
        <w:t> </w:t>
      </w:r>
      <w:r>
        <w:rPr>
          <w:rFonts w:ascii="Arial" w:hAnsi="Arial"/>
          <w:i/>
          <w:sz w:val="20"/>
        </w:rPr>
        <w:t>Wall’s</w:t>
      </w:r>
      <w:r>
        <w:rPr>
          <w:rFonts w:ascii="Arial" w:hAnsi="Arial"/>
          <w:i/>
          <w:spacing w:val="21"/>
          <w:sz w:val="20"/>
        </w:rPr>
        <w:t> </w:t>
      </w:r>
      <w:r>
        <w:rPr>
          <w:rFonts w:ascii="Arial" w:hAnsi="Arial"/>
          <w:i/>
          <w:spacing w:val="-4"/>
          <w:sz w:val="20"/>
        </w:rPr>
        <w:t>Case</w:t>
      </w:r>
    </w:p>
    <w:p>
      <w:pPr>
        <w:spacing w:line="225" w:lineRule="exact" w:before="0"/>
        <w:ind w:left="705" w:right="0" w:firstLine="0"/>
        <w:jc w:val="left"/>
        <w:rPr>
          <w:rFonts w:ascii="Arial" w:hAnsi="Arial"/>
          <w:i/>
          <w:sz w:val="20"/>
        </w:rPr>
      </w:pPr>
      <w:r>
        <w:rPr>
          <w:rFonts w:ascii="Arial" w:hAnsi="Arial"/>
          <w:i/>
          <w:sz w:val="20"/>
        </w:rPr>
        <w:t>(1872)</w:t>
      </w:r>
      <w:r>
        <w:rPr>
          <w:rFonts w:ascii="Arial" w:hAnsi="Arial"/>
          <w:i/>
          <w:spacing w:val="14"/>
          <w:sz w:val="20"/>
        </w:rPr>
        <w:t> </w:t>
      </w:r>
      <w:r>
        <w:rPr>
          <w:rFonts w:ascii="Arial" w:hAnsi="Arial"/>
          <w:i/>
          <w:sz w:val="20"/>
        </w:rPr>
        <w:t>42</w:t>
      </w:r>
      <w:r>
        <w:rPr>
          <w:rFonts w:ascii="Arial" w:hAnsi="Arial"/>
          <w:i/>
          <w:spacing w:val="15"/>
          <w:sz w:val="20"/>
        </w:rPr>
        <w:t> </w:t>
      </w:r>
      <w:r>
        <w:rPr>
          <w:rFonts w:ascii="Arial" w:hAnsi="Arial"/>
          <w:i/>
          <w:sz w:val="20"/>
        </w:rPr>
        <w:t>L.J.Ch.</w:t>
      </w:r>
      <w:r>
        <w:rPr>
          <w:rFonts w:ascii="Arial" w:hAnsi="Arial"/>
          <w:i/>
          <w:spacing w:val="15"/>
          <w:sz w:val="20"/>
        </w:rPr>
        <w:t> </w:t>
      </w:r>
      <w:r>
        <w:rPr>
          <w:rFonts w:ascii="Arial" w:hAnsi="Arial"/>
          <w:i/>
          <w:sz w:val="20"/>
        </w:rPr>
        <w:t>372</w:t>
      </w:r>
      <w:r>
        <w:rPr>
          <w:sz w:val="20"/>
        </w:rPr>
        <w:t>;</w:t>
      </w:r>
      <w:r>
        <w:rPr>
          <w:spacing w:val="15"/>
          <w:sz w:val="20"/>
        </w:rPr>
        <w:t> </w:t>
      </w:r>
      <w:r>
        <w:rPr>
          <w:sz w:val="20"/>
        </w:rPr>
        <w:t>cf.</w:t>
      </w:r>
      <w:r>
        <w:rPr>
          <w:spacing w:val="15"/>
          <w:sz w:val="20"/>
        </w:rPr>
        <w:t> </w:t>
      </w:r>
      <w:r>
        <w:rPr>
          <w:rFonts w:ascii="Arial" w:hAnsi="Arial"/>
          <w:i/>
          <w:sz w:val="20"/>
        </w:rPr>
        <w:t>Wallace’s</w:t>
      </w:r>
      <w:r>
        <w:rPr>
          <w:rFonts w:ascii="Arial" w:hAnsi="Arial"/>
          <w:i/>
          <w:spacing w:val="15"/>
          <w:sz w:val="20"/>
        </w:rPr>
        <w:t> </w:t>
      </w:r>
      <w:r>
        <w:rPr>
          <w:rFonts w:ascii="Arial" w:hAnsi="Arial"/>
          <w:i/>
          <w:sz w:val="20"/>
        </w:rPr>
        <w:t>Case</w:t>
      </w:r>
      <w:r>
        <w:rPr>
          <w:rFonts w:ascii="Arial" w:hAnsi="Arial"/>
          <w:i/>
          <w:spacing w:val="15"/>
          <w:sz w:val="20"/>
        </w:rPr>
        <w:t> </w:t>
      </w:r>
      <w:r>
        <w:rPr>
          <w:rFonts w:ascii="Arial" w:hAnsi="Arial"/>
          <w:i/>
          <w:sz w:val="20"/>
        </w:rPr>
        <w:t>[1900]</w:t>
      </w:r>
      <w:r>
        <w:rPr>
          <w:rFonts w:ascii="Arial" w:hAnsi="Arial"/>
          <w:i/>
          <w:spacing w:val="14"/>
          <w:sz w:val="20"/>
        </w:rPr>
        <w:t> </w:t>
      </w:r>
      <w:r>
        <w:rPr>
          <w:rFonts w:ascii="Arial" w:hAnsi="Arial"/>
          <w:i/>
          <w:sz w:val="20"/>
        </w:rPr>
        <w:t>2</w:t>
      </w:r>
      <w:r>
        <w:rPr>
          <w:rFonts w:ascii="Arial" w:hAnsi="Arial"/>
          <w:i/>
          <w:spacing w:val="15"/>
          <w:sz w:val="20"/>
        </w:rPr>
        <w:t> </w:t>
      </w:r>
      <w:r>
        <w:rPr>
          <w:rFonts w:ascii="Arial" w:hAnsi="Arial"/>
          <w:i/>
          <w:sz w:val="20"/>
        </w:rPr>
        <w:t>Ch.</w:t>
      </w:r>
      <w:r>
        <w:rPr>
          <w:rFonts w:ascii="Arial" w:hAnsi="Arial"/>
          <w:i/>
          <w:spacing w:val="15"/>
          <w:sz w:val="20"/>
        </w:rPr>
        <w:t> </w:t>
      </w:r>
      <w:r>
        <w:rPr>
          <w:rFonts w:ascii="Arial" w:hAnsi="Arial"/>
          <w:i/>
          <w:sz w:val="20"/>
        </w:rPr>
        <w:t>671</w:t>
      </w:r>
      <w:r>
        <w:rPr>
          <w:sz w:val="20"/>
        </w:rPr>
        <w:t>;</w:t>
      </w:r>
      <w:r>
        <w:rPr>
          <w:spacing w:val="15"/>
          <w:sz w:val="20"/>
        </w:rPr>
        <w:t> </w:t>
      </w:r>
      <w:r>
        <w:rPr>
          <w:rFonts w:ascii="Arial" w:hAnsi="Arial"/>
          <w:i/>
          <w:sz w:val="20"/>
        </w:rPr>
        <w:t>National</w:t>
      </w:r>
      <w:r>
        <w:rPr>
          <w:rFonts w:ascii="Arial" w:hAnsi="Arial"/>
          <w:i/>
          <w:spacing w:val="15"/>
          <w:sz w:val="20"/>
        </w:rPr>
        <w:t> </w:t>
      </w:r>
      <w:r>
        <w:rPr>
          <w:rFonts w:ascii="Arial" w:hAnsi="Arial"/>
          <w:i/>
          <w:sz w:val="20"/>
        </w:rPr>
        <w:t>Westminster</w:t>
      </w:r>
      <w:r>
        <w:rPr>
          <w:rFonts w:ascii="Arial" w:hAnsi="Arial"/>
          <w:i/>
          <w:spacing w:val="15"/>
          <w:sz w:val="20"/>
        </w:rPr>
        <w:t> </w:t>
      </w:r>
      <w:r>
        <w:rPr>
          <w:rFonts w:ascii="Arial" w:hAnsi="Arial"/>
          <w:i/>
          <w:sz w:val="20"/>
        </w:rPr>
        <w:t>Bank</w:t>
      </w:r>
      <w:r>
        <w:rPr>
          <w:rFonts w:ascii="Arial" w:hAnsi="Arial"/>
          <w:i/>
          <w:spacing w:val="15"/>
          <w:sz w:val="20"/>
        </w:rPr>
        <w:t> </w:t>
      </w:r>
      <w:r>
        <w:rPr>
          <w:rFonts w:ascii="Arial" w:hAnsi="Arial"/>
          <w:i/>
          <w:sz w:val="20"/>
        </w:rPr>
        <w:t>Plc</w:t>
      </w:r>
      <w:r>
        <w:rPr>
          <w:rFonts w:ascii="Arial" w:hAnsi="Arial"/>
          <w:i/>
          <w:spacing w:val="15"/>
          <w:sz w:val="20"/>
        </w:rPr>
        <w:t> </w:t>
      </w:r>
      <w:r>
        <w:rPr>
          <w:rFonts w:ascii="Arial" w:hAnsi="Arial"/>
          <w:i/>
          <w:spacing w:val="-10"/>
          <w:sz w:val="20"/>
        </w:rPr>
        <w:t>v</w:t>
      </w:r>
    </w:p>
    <w:p>
      <w:pPr>
        <w:spacing w:line="235" w:lineRule="auto" w:before="1"/>
        <w:ind w:left="705" w:right="0" w:firstLine="0"/>
        <w:jc w:val="left"/>
        <w:rPr>
          <w:sz w:val="20"/>
        </w:rPr>
      </w:pPr>
      <w:r>
        <w:rPr>
          <w:rFonts w:ascii="Arial" w:hAnsi="Arial"/>
          <w:i/>
          <w:sz w:val="20"/>
        </w:rPr>
        <w:t>IRC [1995] 1 A.C. 119, 126</w:t>
      </w:r>
      <w:r>
        <w:rPr>
          <w:sz w:val="20"/>
        </w:rPr>
        <w:t>; cf. </w:t>
      </w:r>
      <w:r>
        <w:rPr>
          <w:rFonts w:ascii="Arial" w:hAnsi="Arial"/>
          <w:i/>
          <w:sz w:val="20"/>
        </w:rPr>
        <w:t>Rust v Abbey Life Ins. Co [1979] 2 Lloyd’s Rep. 335 </w:t>
      </w:r>
      <w:r>
        <w:rPr>
          <w:sz w:val="20"/>
        </w:rPr>
        <w:t>(property</w:t>
      </w:r>
      <w:r>
        <w:rPr>
          <w:spacing w:val="40"/>
          <w:sz w:val="20"/>
        </w:rPr>
        <w:t> </w:t>
      </w:r>
      <w:r>
        <w:rPr>
          <w:spacing w:val="-2"/>
          <w:sz w:val="20"/>
        </w:rPr>
        <w:t>bonds).</w:t>
      </w:r>
    </w:p>
    <w:p>
      <w:pPr>
        <w:pStyle w:val="BodyText"/>
        <w:spacing w:before="6"/>
      </w:pPr>
    </w:p>
    <w:p>
      <w:pPr>
        <w:tabs>
          <w:tab w:pos="705" w:val="left" w:leader="none"/>
        </w:tabs>
        <w:spacing w:before="0"/>
        <w:ind w:left="165" w:right="0" w:firstLine="0"/>
        <w:jc w:val="left"/>
        <w:rPr>
          <w:sz w:val="20"/>
        </w:rPr>
      </w:pPr>
      <w:bookmarkStart w:name="_bookmark262" w:id="264"/>
      <w:bookmarkEnd w:id="264"/>
      <w:r>
        <w:rPr/>
      </w:r>
      <w:hyperlink w:history="true" w:anchor="_bookmark136">
        <w:r>
          <w:rPr>
            <w:color w:val="005DA1"/>
            <w:spacing w:val="-4"/>
            <w:position w:val="5"/>
            <w:sz w:val="14"/>
            <w:u w:val="single" w:color="005DA1"/>
          </w:rPr>
          <w:t>137</w:t>
        </w:r>
      </w:hyperlink>
      <w:r>
        <w:rPr>
          <w:spacing w:val="-4"/>
          <w:position w:val="5"/>
          <w:sz w:val="14"/>
        </w:rPr>
        <w:t>.</w:t>
      </w:r>
      <w:r>
        <w:rPr>
          <w:position w:val="5"/>
          <w:sz w:val="14"/>
        </w:rPr>
        <w:tab/>
      </w:r>
      <w:r>
        <w:rPr>
          <w:rFonts w:ascii="Arial"/>
          <w:i/>
          <w:sz w:val="20"/>
        </w:rPr>
        <w:t>Jackson v Turquand (1869) L.R. 4 H.L. </w:t>
      </w:r>
      <w:r>
        <w:rPr>
          <w:rFonts w:ascii="Arial"/>
          <w:i/>
          <w:spacing w:val="-4"/>
          <w:sz w:val="20"/>
        </w:rPr>
        <w:t>305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263" w:id="265"/>
      <w:bookmarkEnd w:id="265"/>
      <w:r>
        <w:rPr/>
      </w:r>
      <w:hyperlink w:history="true" w:anchor="_bookmark137">
        <w:r>
          <w:rPr>
            <w:color w:val="005DA1"/>
            <w:spacing w:val="-4"/>
            <w:position w:val="5"/>
            <w:sz w:val="14"/>
            <w:u w:val="single" w:color="005DA1"/>
          </w:rPr>
          <w:t>138</w:t>
        </w:r>
      </w:hyperlink>
      <w:r>
        <w:rPr>
          <w:spacing w:val="-4"/>
          <w:position w:val="5"/>
          <w:sz w:val="14"/>
        </w:rPr>
        <w:t>.</w:t>
      </w:r>
      <w:r>
        <w:rPr>
          <w:position w:val="5"/>
          <w:sz w:val="14"/>
        </w:rPr>
        <w:tab/>
      </w:r>
      <w:r>
        <w:rPr>
          <w:rFonts w:ascii="Arial"/>
          <w:i/>
          <w:sz w:val="20"/>
        </w:rPr>
        <w:t>Taylor</w:t>
      </w:r>
      <w:r>
        <w:rPr>
          <w:rFonts w:ascii="Arial"/>
          <w:i/>
          <w:spacing w:val="52"/>
          <w:sz w:val="20"/>
        </w:rPr>
        <w:t> </w:t>
      </w:r>
      <w:r>
        <w:rPr>
          <w:rFonts w:ascii="Arial"/>
          <w:i/>
          <w:sz w:val="20"/>
        </w:rPr>
        <w:t>v</w:t>
      </w:r>
      <w:r>
        <w:rPr>
          <w:rFonts w:ascii="Arial"/>
          <w:i/>
          <w:spacing w:val="53"/>
          <w:sz w:val="20"/>
        </w:rPr>
        <w:t> </w:t>
      </w:r>
      <w:r>
        <w:rPr>
          <w:rFonts w:ascii="Arial"/>
          <w:i/>
          <w:sz w:val="20"/>
        </w:rPr>
        <w:t>Jones</w:t>
      </w:r>
      <w:r>
        <w:rPr>
          <w:rFonts w:ascii="Arial"/>
          <w:i/>
          <w:spacing w:val="53"/>
          <w:sz w:val="20"/>
        </w:rPr>
        <w:t> </w:t>
      </w:r>
      <w:r>
        <w:rPr>
          <w:rFonts w:ascii="Arial"/>
          <w:i/>
          <w:sz w:val="20"/>
        </w:rPr>
        <w:t>(1875)</w:t>
      </w:r>
      <w:r>
        <w:rPr>
          <w:rFonts w:ascii="Arial"/>
          <w:i/>
          <w:spacing w:val="53"/>
          <w:sz w:val="20"/>
        </w:rPr>
        <w:t> </w:t>
      </w:r>
      <w:r>
        <w:rPr>
          <w:rFonts w:ascii="Arial"/>
          <w:i/>
          <w:sz w:val="20"/>
        </w:rPr>
        <w:t>1</w:t>
      </w:r>
      <w:r>
        <w:rPr>
          <w:rFonts w:ascii="Arial"/>
          <w:i/>
          <w:spacing w:val="53"/>
          <w:sz w:val="20"/>
        </w:rPr>
        <w:t> </w:t>
      </w:r>
      <w:r>
        <w:rPr>
          <w:rFonts w:ascii="Arial"/>
          <w:i/>
          <w:sz w:val="20"/>
        </w:rPr>
        <w:t>C.P.D.</w:t>
      </w:r>
      <w:r>
        <w:rPr>
          <w:rFonts w:ascii="Arial"/>
          <w:i/>
          <w:spacing w:val="53"/>
          <w:sz w:val="20"/>
        </w:rPr>
        <w:t> </w:t>
      </w:r>
      <w:r>
        <w:rPr>
          <w:rFonts w:ascii="Arial"/>
          <w:i/>
          <w:sz w:val="20"/>
        </w:rPr>
        <w:t>87</w:t>
      </w:r>
      <w:r>
        <w:rPr>
          <w:sz w:val="20"/>
        </w:rPr>
        <w:t>;</w:t>
      </w:r>
      <w:r>
        <w:rPr>
          <w:spacing w:val="53"/>
          <w:sz w:val="20"/>
        </w:rPr>
        <w:t> </w:t>
      </w:r>
      <w:r>
        <w:rPr>
          <w:sz w:val="20"/>
        </w:rPr>
        <w:t>cf.</w:t>
      </w:r>
      <w:r>
        <w:rPr>
          <w:spacing w:val="53"/>
          <w:sz w:val="20"/>
        </w:rPr>
        <w:t> </w:t>
      </w:r>
      <w:r>
        <w:rPr>
          <w:sz w:val="20"/>
        </w:rPr>
        <w:t>in</w:t>
      </w:r>
      <w:r>
        <w:rPr>
          <w:spacing w:val="53"/>
          <w:sz w:val="20"/>
        </w:rPr>
        <w:t> </w:t>
      </w:r>
      <w:r>
        <w:rPr>
          <w:sz w:val="20"/>
        </w:rPr>
        <w:t>criminal</w:t>
      </w:r>
      <w:r>
        <w:rPr>
          <w:spacing w:val="53"/>
          <w:sz w:val="20"/>
        </w:rPr>
        <w:t> </w:t>
      </w:r>
      <w:r>
        <w:rPr>
          <w:sz w:val="20"/>
        </w:rPr>
        <w:t>law,</w:t>
      </w:r>
      <w:r>
        <w:rPr>
          <w:spacing w:val="53"/>
          <w:sz w:val="20"/>
        </w:rPr>
        <w:t> </w:t>
      </w:r>
      <w:r>
        <w:rPr>
          <w:rFonts w:ascii="Arial"/>
          <w:i/>
          <w:sz w:val="20"/>
        </w:rPr>
        <w:t>Treacy</w:t>
      </w:r>
      <w:r>
        <w:rPr>
          <w:rFonts w:ascii="Arial"/>
          <w:i/>
          <w:spacing w:val="53"/>
          <w:sz w:val="20"/>
        </w:rPr>
        <w:t> </w:t>
      </w:r>
      <w:r>
        <w:rPr>
          <w:rFonts w:ascii="Arial"/>
          <w:i/>
          <w:sz w:val="20"/>
        </w:rPr>
        <w:t>v</w:t>
      </w:r>
      <w:r>
        <w:rPr>
          <w:rFonts w:ascii="Arial"/>
          <w:i/>
          <w:spacing w:val="53"/>
          <w:sz w:val="20"/>
        </w:rPr>
        <w:t> </w:t>
      </w:r>
      <w:r>
        <w:rPr>
          <w:rFonts w:ascii="Arial"/>
          <w:i/>
          <w:sz w:val="20"/>
        </w:rPr>
        <w:t>D.P.P.</w:t>
      </w:r>
      <w:r>
        <w:rPr>
          <w:rFonts w:ascii="Arial"/>
          <w:i/>
          <w:spacing w:val="53"/>
          <w:sz w:val="20"/>
        </w:rPr>
        <w:t> </w:t>
      </w:r>
      <w:r>
        <w:rPr>
          <w:rFonts w:ascii="Arial"/>
          <w:i/>
          <w:sz w:val="20"/>
        </w:rPr>
        <w:t>[1971]</w:t>
      </w:r>
      <w:r>
        <w:rPr>
          <w:rFonts w:ascii="Arial"/>
          <w:i/>
          <w:spacing w:val="53"/>
          <w:sz w:val="20"/>
        </w:rPr>
        <w:t> </w:t>
      </w:r>
      <w:r>
        <w:rPr>
          <w:rFonts w:ascii="Arial"/>
          <w:i/>
          <w:sz w:val="20"/>
        </w:rPr>
        <w:t>A.C.</w:t>
      </w:r>
      <w:r>
        <w:rPr>
          <w:rFonts w:ascii="Arial"/>
          <w:i/>
          <w:spacing w:val="53"/>
          <w:sz w:val="20"/>
        </w:rPr>
        <w:t> </w:t>
      </w:r>
      <w:r>
        <w:rPr>
          <w:rFonts w:ascii="Arial"/>
          <w:i/>
          <w:spacing w:val="-5"/>
          <w:sz w:val="20"/>
        </w:rPr>
        <w:t>537</w:t>
      </w:r>
    </w:p>
    <w:p>
      <w:pPr>
        <w:spacing w:line="227" w:lineRule="exact" w:before="0"/>
        <w:ind w:left="705" w:right="0" w:firstLine="0"/>
        <w:jc w:val="left"/>
        <w:rPr>
          <w:sz w:val="20"/>
        </w:rPr>
      </w:pPr>
      <w:r>
        <w:rPr>
          <w:sz w:val="20"/>
        </w:rPr>
        <w:t>(blackmail); contrast</w:t>
      </w:r>
      <w:r>
        <w:rPr>
          <w:spacing w:val="-1"/>
          <w:sz w:val="20"/>
        </w:rPr>
        <w:t> </w:t>
      </w:r>
      <w:r>
        <w:rPr>
          <w:rFonts w:ascii="Arial"/>
          <w:i/>
          <w:sz w:val="20"/>
        </w:rPr>
        <w:t>R. v Baxter [1972] 1 Q.B. 1 </w:t>
      </w:r>
      <w:r>
        <w:rPr>
          <w:sz w:val="20"/>
        </w:rPr>
        <w:t>(attempt to obtain by </w:t>
      </w:r>
      <w:r>
        <w:rPr>
          <w:spacing w:val="-2"/>
          <w:sz w:val="20"/>
        </w:rPr>
        <w:t>deception).</w:t>
      </w:r>
    </w:p>
    <w:p>
      <w:pPr>
        <w:pStyle w:val="BodyText"/>
        <w:spacing w:before="5"/>
      </w:pPr>
    </w:p>
    <w:p>
      <w:pPr>
        <w:tabs>
          <w:tab w:pos="705" w:val="left" w:leader="none"/>
        </w:tabs>
        <w:spacing w:before="0"/>
        <w:ind w:left="165" w:right="0" w:firstLine="0"/>
        <w:jc w:val="left"/>
        <w:rPr>
          <w:sz w:val="20"/>
        </w:rPr>
      </w:pPr>
      <w:bookmarkStart w:name="_bookmark264" w:id="266"/>
      <w:bookmarkEnd w:id="266"/>
      <w:r>
        <w:rPr/>
      </w:r>
      <w:hyperlink w:history="true" w:anchor="_bookmark138">
        <w:r>
          <w:rPr>
            <w:color w:val="005DA1"/>
            <w:spacing w:val="-4"/>
            <w:position w:val="5"/>
            <w:sz w:val="14"/>
            <w:u w:val="single" w:color="005DA1"/>
          </w:rPr>
          <w:t>139</w:t>
        </w:r>
      </w:hyperlink>
      <w:r>
        <w:rPr>
          <w:spacing w:val="-4"/>
          <w:position w:val="5"/>
          <w:sz w:val="14"/>
        </w:rPr>
        <w:t>.</w:t>
      </w:r>
      <w:r>
        <w:rPr>
          <w:position w:val="5"/>
          <w:sz w:val="14"/>
        </w:rPr>
        <w:tab/>
      </w:r>
      <w:r>
        <w:rPr>
          <w:rFonts w:ascii="Arial"/>
          <w:i/>
          <w:sz w:val="20"/>
        </w:rPr>
        <w:t>Taylor</w:t>
      </w:r>
      <w:r>
        <w:rPr>
          <w:rFonts w:ascii="Arial"/>
          <w:i/>
          <w:spacing w:val="-1"/>
          <w:sz w:val="20"/>
        </w:rPr>
        <w:t> </w:t>
      </w:r>
      <w:r>
        <w:rPr>
          <w:rFonts w:ascii="Arial"/>
          <w:i/>
          <w:sz w:val="20"/>
        </w:rPr>
        <w:t>v Jones</w:t>
      </w:r>
      <w:r>
        <w:rPr>
          <w:sz w:val="20"/>
        </w:rPr>
        <w:t>, above </w:t>
      </w:r>
      <w:r>
        <w:rPr>
          <w:spacing w:val="-2"/>
          <w:sz w:val="20"/>
        </w:rPr>
        <w:t>n.138.</w:t>
      </w:r>
    </w:p>
    <w:p>
      <w:pPr>
        <w:spacing w:after="0"/>
        <w:jc w:val="left"/>
        <w:rPr>
          <w:sz w:val="20"/>
        </w:rPr>
        <w:sectPr>
          <w:pgSz w:w="11900" w:h="16840"/>
          <w:pgMar w:header="971" w:footer="0" w:top="1300" w:bottom="280" w:left="1275" w:right="1275"/>
        </w:sectPr>
      </w:pPr>
    </w:p>
    <w:p>
      <w:pPr>
        <w:pStyle w:val="BodyText"/>
        <w:spacing w:before="72"/>
        <w:rPr>
          <w:sz w:val="14"/>
        </w:rPr>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3. - The Acceptance</w:t>
      </w:r>
    </w:p>
    <w:p>
      <w:pPr>
        <w:pStyle w:val="ListParagraph"/>
        <w:numPr>
          <w:ilvl w:val="0"/>
          <w:numId w:val="1"/>
        </w:numPr>
        <w:tabs>
          <w:tab w:pos="4225" w:val="left" w:leader="none"/>
        </w:tabs>
        <w:spacing w:line="240" w:lineRule="auto" w:before="3" w:after="0"/>
        <w:ind w:left="4225" w:right="0" w:hanging="360"/>
        <w:jc w:val="left"/>
        <w:rPr>
          <w:b/>
          <w:sz w:val="24"/>
        </w:rPr>
      </w:pPr>
      <w:r>
        <w:rPr>
          <w:b/>
          <w:sz w:val="24"/>
        </w:rPr>
        <w:t>- </w:t>
      </w:r>
      <w:r>
        <w:rPr>
          <w:b/>
          <w:spacing w:val="-2"/>
          <w:sz w:val="24"/>
        </w:rPr>
        <w:t>Definition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Acceptance </w:t>
      </w:r>
      <w:r>
        <w:rPr>
          <w:rFonts w:ascii="Arial"/>
          <w:b/>
          <w:spacing w:val="-2"/>
          <w:sz w:val="18"/>
        </w:rPr>
        <w:t>defined</w:t>
      </w:r>
    </w:p>
    <w:p>
      <w:pPr>
        <w:pStyle w:val="BodyText"/>
        <w:spacing w:before="41"/>
        <w:rPr>
          <w:rFonts w:ascii="Arial"/>
          <w:b/>
          <w:sz w:val="18"/>
        </w:rPr>
      </w:pPr>
    </w:p>
    <w:p>
      <w:pPr>
        <w:pStyle w:val="Heading2"/>
        <w:spacing w:before="1"/>
      </w:pPr>
      <w:r>
        <w:rPr/>
        <w:t>2-</w:t>
      </w:r>
      <w:r>
        <w:rPr>
          <w:spacing w:val="-5"/>
        </w:rPr>
        <w:t>026</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1" name="Image 31"/>
            <wp:cNvGraphicFramePr>
              <a:graphicFrameLocks/>
            </wp:cNvGraphicFramePr>
            <a:graphic>
              <a:graphicData uri="http://schemas.openxmlformats.org/drawingml/2006/picture">
                <pic:pic>
                  <pic:nvPicPr>
                    <pic:cNvPr id="31" name="Image 3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65" w:id="267"/>
      <w:bookmarkEnd w:id="267"/>
      <w:r>
        <w:rPr>
          <w:rFonts w:ascii="Times New Roman" w:hAnsi="Times New Roman"/>
          <w:spacing w:val="5"/>
        </w:rPr>
      </w:r>
      <w:r>
        <w:rPr/>
        <w:t>An</w:t>
      </w:r>
      <w:r>
        <w:rPr>
          <w:spacing w:val="-2"/>
        </w:rPr>
        <w:t> </w:t>
      </w:r>
      <w:r>
        <w:rPr/>
        <w:t>acceptance</w:t>
      </w:r>
      <w:r>
        <w:rPr>
          <w:spacing w:val="-2"/>
        </w:rPr>
        <w:t> </w:t>
      </w:r>
      <w:r>
        <w:rPr/>
        <w:t>is</w:t>
      </w:r>
      <w:r>
        <w:rPr>
          <w:spacing w:val="-2"/>
        </w:rPr>
        <w:t> </w:t>
      </w:r>
      <w:r>
        <w:rPr/>
        <w:t>a</w:t>
      </w:r>
      <w:r>
        <w:rPr>
          <w:spacing w:val="-2"/>
        </w:rPr>
        <w:t> </w:t>
      </w:r>
      <w:r>
        <w:rPr/>
        <w:t>final</w:t>
      </w:r>
      <w:r>
        <w:rPr>
          <w:spacing w:val="-2"/>
        </w:rPr>
        <w:t> </w:t>
      </w:r>
      <w:r>
        <w:rPr/>
        <w:t>and</w:t>
      </w:r>
      <w:r>
        <w:rPr>
          <w:spacing w:val="-2"/>
        </w:rPr>
        <w:t> </w:t>
      </w:r>
      <w:r>
        <w:rPr/>
        <w:t>unqualified</w:t>
      </w:r>
      <w:r>
        <w:rPr>
          <w:spacing w:val="-2"/>
        </w:rPr>
        <w:t> </w:t>
      </w:r>
      <w:r>
        <w:rPr/>
        <w:t>expression</w:t>
      </w:r>
      <w:r>
        <w:rPr>
          <w:spacing w:val="-2"/>
        </w:rPr>
        <w:t> </w:t>
      </w:r>
      <w:r>
        <w:rPr/>
        <w:t>of</w:t>
      </w:r>
      <w:r>
        <w:rPr>
          <w:spacing w:val="-2"/>
        </w:rPr>
        <w:t> </w:t>
      </w:r>
      <w:r>
        <w:rPr/>
        <w:t>assent</w:t>
      </w:r>
      <w:r>
        <w:rPr>
          <w:spacing w:val="-2"/>
        </w:rPr>
        <w:t> </w:t>
      </w:r>
      <w:r>
        <w:rPr/>
        <w:t>to</w:t>
      </w:r>
      <w:r>
        <w:rPr>
          <w:spacing w:val="-2"/>
        </w:rPr>
        <w:t> </w:t>
      </w:r>
      <w:r>
        <w:rPr/>
        <w:t>the</w:t>
      </w:r>
      <w:r>
        <w:rPr>
          <w:spacing w:val="-2"/>
        </w:rPr>
        <w:t> </w:t>
      </w:r>
      <w:r>
        <w:rPr/>
        <w:t>terms</w:t>
      </w:r>
      <w:r>
        <w:rPr>
          <w:spacing w:val="-2"/>
        </w:rPr>
        <w:t> </w:t>
      </w:r>
      <w:r>
        <w:rPr/>
        <w:t>of</w:t>
      </w:r>
      <w:r>
        <w:rPr>
          <w:spacing w:val="-2"/>
        </w:rPr>
        <w:t> </w:t>
      </w:r>
      <w:r>
        <w:rPr/>
        <w:t>an</w:t>
      </w:r>
      <w:r>
        <w:rPr>
          <w:spacing w:val="-2"/>
        </w:rPr>
        <w:t> </w:t>
      </w:r>
      <w:r>
        <w:rPr/>
        <w:t>offer.</w:t>
      </w:r>
      <w:r>
        <w:rPr>
          <w:spacing w:val="-2"/>
        </w:rPr>
        <w:t> </w:t>
      </w:r>
      <w:r>
        <w:rPr/>
        <w:t>The</w:t>
      </w:r>
      <w:r>
        <w:rPr>
          <w:spacing w:val="-2"/>
        </w:rPr>
        <w:t> </w:t>
      </w:r>
      <w:r>
        <w:rPr/>
        <w:t>objective test of agreement applies to an acceptance no less than to an offer. </w:t>
      </w:r>
      <w:r>
        <w:rPr>
          <w:color w:val="005DA1"/>
          <w:u w:val="single" w:color="005DA1"/>
          <w:vertAlign w:val="superscript"/>
        </w:rPr>
        <w:t>140</w:t>
      </w:r>
      <w:r>
        <w:rPr>
          <w:color w:val="005DA1"/>
          <w:vertAlign w:val="baseline"/>
        </w:rPr>
        <w:t> </w:t>
      </w:r>
      <w:r>
        <w:rPr>
          <w:vertAlign w:val="baseline"/>
        </w:rPr>
        <w:t>On this test, a mere acknowledgement of the receipt of an offer does not amount to an acceptance; nor is there </w:t>
      </w:r>
      <w:bookmarkStart w:name="_bookmark266" w:id="268"/>
      <w:bookmarkEnd w:id="268"/>
      <w:r>
        <w:rPr>
          <w:vertAlign w:val="baseline"/>
        </w:rPr>
        <w:t>acceptance</w:t>
      </w:r>
      <w:r>
        <w:rPr>
          <w:vertAlign w:val="baseline"/>
        </w:rPr>
        <w:t> if a person, to whom an offer to sell goods had been made, merely replies that it was his “intention to place an order” </w:t>
      </w:r>
      <w:r>
        <w:rPr>
          <w:color w:val="005DA1"/>
          <w:u w:val="single" w:color="005DA1"/>
          <w:vertAlign w:val="superscript"/>
        </w:rPr>
        <w:t>141</w:t>
      </w:r>
      <w:r>
        <w:rPr>
          <w:color w:val="005DA1"/>
          <w:vertAlign w:val="baseline"/>
        </w:rPr>
        <w:t> </w:t>
      </w:r>
      <w:r>
        <w:rPr>
          <w:vertAlign w:val="baseline"/>
        </w:rPr>
        <w:t>or asks for an invoice. </w:t>
      </w:r>
      <w:r>
        <w:rPr>
          <w:color w:val="005DA1"/>
          <w:u w:val="single" w:color="005DA1"/>
          <w:vertAlign w:val="superscript"/>
        </w:rPr>
        <w:t>142</w:t>
      </w:r>
      <w:r>
        <w:rPr>
          <w:color w:val="005DA1"/>
          <w:vertAlign w:val="baseline"/>
        </w:rPr>
        <w:t> </w:t>
      </w:r>
      <w:r>
        <w:rPr>
          <w:vertAlign w:val="baseline"/>
        </w:rPr>
        <w:t>Where a prospective buyer of a home </w:t>
      </w:r>
      <w:bookmarkStart w:name="_bookmark267" w:id="269"/>
      <w:bookmarkEnd w:id="269"/>
      <w:r>
        <w:rPr>
          <w:vertAlign w:val="baseline"/>
        </w:rPr>
        <w:t>wanted</w:t>
      </w:r>
      <w:r>
        <w:rPr>
          <w:vertAlign w:val="baseline"/>
        </w:rPr>
        <w:t> to know what would happen if there were snagging defect, and the builder replied that he had an obligation under the NHBC scheme to remedy defects, there was no contract to repair any </w:t>
      </w:r>
      <w:r>
        <w:rPr>
          <w:spacing w:val="-2"/>
          <w:vertAlign w:val="baseline"/>
        </w:rPr>
        <w:t>defects.</w:t>
      </w:r>
    </w:p>
    <w:p>
      <w:pPr>
        <w:pStyle w:val="BodyText"/>
        <w:spacing w:line="235" w:lineRule="auto" w:before="117"/>
        <w:ind w:left="165" w:right="167"/>
        <w:jc w:val="both"/>
      </w:pPr>
      <w:hyperlink w:history="true" w:anchor="_bookmark359">
        <w:r>
          <w:rPr>
            <w:color w:val="005DA1"/>
            <w:u w:val="single" w:color="005DA1"/>
            <w:vertAlign w:val="superscript"/>
          </w:rPr>
          <w:t>143</w:t>
        </w:r>
        <w:r>
          <w:rPr>
            <w:color w:val="005DA1"/>
            <w:spacing w:val="80"/>
            <w:w w:val="150"/>
            <w:vertAlign w:val="baseline"/>
          </w:rPr>
          <w:t> </w:t>
        </w:r>
        <w:r>
          <w:rPr>
            <w:color w:val="005DA1"/>
            <w:spacing w:val="-5"/>
            <w:position w:val="-2"/>
            <w:vertAlign w:val="baseline"/>
          </w:rPr>
          <w:drawing>
            <wp:inline distT="0" distB="0" distL="0" distR="0">
              <wp:extent cx="107988" cy="107988"/>
              <wp:effectExtent l="0" t="0" r="0" b="0"/>
              <wp:docPr id="32" name="Image 32"/>
              <wp:cNvGraphicFramePr>
                <a:graphicFrameLocks/>
              </wp:cNvGraphicFramePr>
              <a:graphic>
                <a:graphicData uri="http://schemas.openxmlformats.org/drawingml/2006/picture">
                  <pic:pic>
                    <pic:nvPicPr>
                      <pic:cNvPr id="32" name="Image 3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5"/>
            <w:position w:val="-2"/>
            <w:vertAlign w:val="baseline"/>
          </w:rPr>
        </w:r>
        <w:r>
          <w:rPr>
            <w:rFonts w:ascii="Times New Roman" w:hAnsi="Times New Roman"/>
            <w:color w:val="005DA1"/>
            <w:spacing w:val="23"/>
            <w:vertAlign w:val="baseline"/>
          </w:rPr>
          <w:t> </w:t>
        </w:r>
        <w:r>
          <w:rPr>
            <w:vertAlign w:val="baseline"/>
          </w:rPr>
          <w:t>The mere acknowledgement of an offer, in the sense of a communication stating simply </w:t>
        </w:r>
        <w:r>
          <w:rPr>
            <w:vertAlign w:val="baseline"/>
          </w:rPr>
          <w:t>that the</w:t>
        </w:r>
        <w:r>
          <w:rPr>
            <w:spacing w:val="-1"/>
            <w:vertAlign w:val="baseline"/>
          </w:rPr>
          <w:t> </w:t>
        </w:r>
        <w:r>
          <w:rPr>
            <w:vertAlign w:val="baseline"/>
          </w:rPr>
          <w:t>offer</w:t>
        </w:r>
        <w:r>
          <w:rPr>
            <w:spacing w:val="-1"/>
            <w:vertAlign w:val="baseline"/>
          </w:rPr>
          <w:t> </w:t>
        </w:r>
        <w:r>
          <w:rPr>
            <w:vertAlign w:val="baseline"/>
          </w:rPr>
          <w:t>had</w:t>
        </w:r>
        <w:r>
          <w:rPr>
            <w:spacing w:val="-1"/>
            <w:vertAlign w:val="baseline"/>
          </w:rPr>
          <w:t> </w:t>
        </w:r>
        <w:r>
          <w:rPr>
            <w:vertAlign w:val="baseline"/>
          </w:rPr>
          <w:t>been</w:t>
        </w:r>
        <w:r>
          <w:rPr>
            <w:spacing w:val="-1"/>
            <w:vertAlign w:val="baseline"/>
          </w:rPr>
          <w:t> </w:t>
        </w:r>
        <w:r>
          <w:rPr>
            <w:vertAlign w:val="baseline"/>
          </w:rPr>
          <w:t>received,</w:t>
        </w:r>
        <w:r>
          <w:rPr>
            <w:spacing w:val="-1"/>
            <w:vertAlign w:val="baseline"/>
          </w:rPr>
          <w:t> </w:t>
        </w:r>
        <w:r>
          <w:rPr>
            <w:vertAlign w:val="baseline"/>
          </w:rPr>
          <w:t>would</w:t>
        </w:r>
        <w:r>
          <w:rPr>
            <w:spacing w:val="-1"/>
            <w:vertAlign w:val="baseline"/>
          </w:rPr>
          <w:t> </w:t>
        </w:r>
        <w:r>
          <w:rPr>
            <w:vertAlign w:val="baseline"/>
          </w:rPr>
          <w:t>likewise</w:t>
        </w:r>
        <w:r>
          <w:rPr>
            <w:spacing w:val="-1"/>
            <w:vertAlign w:val="baseline"/>
          </w:rPr>
          <w:t> </w:t>
        </w:r>
        <w:r>
          <w:rPr>
            <w:vertAlign w:val="baseline"/>
          </w:rPr>
          <w:t>not</w:t>
        </w:r>
        <w:r>
          <w:rPr>
            <w:spacing w:val="-1"/>
            <w:vertAlign w:val="baseline"/>
          </w:rPr>
          <w:t> </w:t>
        </w:r>
        <w:r>
          <w:rPr>
            <w:vertAlign w:val="baseline"/>
          </w:rPr>
          <w:t>be</w:t>
        </w:r>
        <w:r>
          <w:rPr>
            <w:spacing w:val="-1"/>
            <w:vertAlign w:val="baseline"/>
          </w:rPr>
          <w:t> </w:t>
        </w:r>
        <w:r>
          <w:rPr>
            <w:vertAlign w:val="baseline"/>
          </w:rPr>
          <w:t>an</w:t>
        </w:r>
        <w:r>
          <w:rPr>
            <w:spacing w:val="-1"/>
            <w:vertAlign w:val="baseline"/>
          </w:rPr>
          <w:t> </w:t>
        </w:r>
        <w:r>
          <w:rPr>
            <w:vertAlign w:val="baseline"/>
          </w:rPr>
          <w:t>acceptance.</w:t>
        </w:r>
        <w:r>
          <w:rPr>
            <w:spacing w:val="-1"/>
            <w:vertAlign w:val="baseline"/>
          </w:rPr>
          <w:t> </w:t>
        </w:r>
        <w:r>
          <w:rPr>
            <w:vertAlign w:val="baseline"/>
          </w:rPr>
          <w:t>But</w:t>
        </w:r>
        <w:r>
          <w:rPr>
            <w:spacing w:val="-1"/>
            <w:vertAlign w:val="baseline"/>
          </w:rPr>
          <w:t> </w:t>
        </w:r>
        <w:r>
          <w:rPr>
            <w:vertAlign w:val="baseline"/>
          </w:rPr>
          <w:t>an</w:t>
        </w:r>
        <w:r>
          <w:rPr>
            <w:spacing w:val="-1"/>
            <w:vertAlign w:val="baseline"/>
          </w:rPr>
          <w:t> </w:t>
        </w:r>
        <w:r>
          <w:rPr>
            <w:vertAlign w:val="baseline"/>
          </w:rPr>
          <w:t>“acknowledgement”</w:t>
        </w:r>
        <w:r>
          <w:rPr>
            <w:spacing w:val="-1"/>
            <w:vertAlign w:val="baseline"/>
          </w:rPr>
          <w:t> </w:t>
        </w:r>
        <w:r>
          <w:rPr>
            <w:vertAlign w:val="baseline"/>
          </w:rPr>
          <w:t>may</w:t>
        </w:r>
        <w:r>
          <w:rPr>
            <w:spacing w:val="-1"/>
            <w:vertAlign w:val="baseline"/>
          </w:rPr>
          <w:t> </w:t>
        </w:r>
        <w:r>
          <w:rPr>
            <w:vertAlign w:val="baseline"/>
          </w:rPr>
          <w:t>by its express terms or, in a particular context by implication, contain a statement that the sender had agreed to the terms of the offer and that he was therefore accepting it. Where an offer makes </w:t>
        </w:r>
        <w:bookmarkStart w:name="_bookmark268" w:id="270"/>
        <w:bookmarkEnd w:id="270"/>
        <w:r>
          <w:rPr>
            <w:vertAlign w:val="baseline"/>
          </w:rPr>
          <w:t>alternative</w:t>
        </w:r>
        <w:r>
          <w:rPr>
            <w:vertAlign w:val="baseline"/>
          </w:rPr>
          <w:t> proposals, the acceptance must make it clear to which set of terms the assent is directed. In </w:t>
        </w:r>
        <w:r>
          <w:rPr>
            <w:rFonts w:ascii="Arial" w:hAnsi="Arial"/>
            <w:i/>
            <w:vertAlign w:val="baseline"/>
          </w:rPr>
          <w:t>Peter Lind &amp; Co Ltd v Mersey Docks &amp; Harbour Board </w:t>
        </w:r>
        <w:r>
          <w:rPr>
            <w:color w:val="005DA1"/>
            <w:u w:val="single" w:color="005DA1"/>
            <w:vertAlign w:val="superscript"/>
          </w:rPr>
          <w:t>144</w:t>
        </w:r>
        <w:r>
          <w:rPr>
            <w:color w:val="005DA1"/>
            <w:vertAlign w:val="baseline"/>
          </w:rPr>
          <w:t> </w:t>
        </w:r>
        <w:r>
          <w:rPr>
            <w:vertAlign w:val="baseline"/>
          </w:rPr>
          <w:t>an offer to build a freight terminal was made by a tender quoting in the alternative a fixed, and a “cost-plus” price. The offeree purported to accept “your tender” and it was held that there was no contract.</w:t>
        </w:r>
      </w:hyperlink>
    </w:p>
    <w:p>
      <w:pPr>
        <w:pStyle w:val="BodyText"/>
      </w:pPr>
    </w:p>
    <w:p>
      <w:pPr>
        <w:pStyle w:val="BodyText"/>
        <w:spacing w:before="36"/>
      </w:pPr>
    </w:p>
    <w:p>
      <w:pPr>
        <w:spacing w:before="0"/>
        <w:ind w:left="165" w:right="0" w:firstLine="0"/>
        <w:jc w:val="left"/>
        <w:rPr>
          <w:rFonts w:ascii="Arial"/>
          <w:b/>
          <w:sz w:val="18"/>
        </w:rPr>
      </w:pPr>
      <w:bookmarkStart w:name="_bookmark269" w:id="271"/>
      <w:bookmarkEnd w:id="271"/>
      <w:r>
        <w:rPr/>
      </w:r>
      <w:r>
        <w:rPr>
          <w:rFonts w:ascii="Arial"/>
          <w:b/>
          <w:sz w:val="18"/>
        </w:rPr>
        <w:t>Continuing negotiations </w:t>
      </w:r>
      <w:r>
        <w:rPr>
          <w:rFonts w:ascii="Arial"/>
          <w:b/>
          <w:color w:val="005DA1"/>
          <w:spacing w:val="-5"/>
          <w:sz w:val="18"/>
          <w:u w:val="single" w:color="005DA1"/>
          <w:vertAlign w:val="superscript"/>
        </w:rPr>
        <w:t>145</w:t>
      </w:r>
    </w:p>
    <w:p>
      <w:pPr>
        <w:pStyle w:val="BodyText"/>
        <w:spacing w:before="41"/>
        <w:rPr>
          <w:rFonts w:ascii="Arial"/>
          <w:b/>
          <w:sz w:val="18"/>
        </w:rPr>
      </w:pPr>
    </w:p>
    <w:p>
      <w:pPr>
        <w:pStyle w:val="Heading2"/>
      </w:pPr>
      <w:r>
        <w:rPr/>
        <w:t>2-</w:t>
      </w:r>
      <w:r>
        <w:rPr>
          <w:spacing w:val="-5"/>
        </w:rPr>
        <w:t>027</w:t>
      </w:r>
    </w:p>
    <w:p>
      <w:pPr>
        <w:pStyle w:val="BodyText"/>
        <w:spacing w:line="235" w:lineRule="auto" w:before="203"/>
        <w:ind w:left="164" w:right="167"/>
        <w:jc w:val="both"/>
      </w:pPr>
      <w:r>
        <w:rPr/>
        <w:t>When parties carry on lengthy negotiations, it may be hard to say exactly when an offer has been made and accepted. As negotiations progress, each party may make concessions or new demands and the parties may in the end disagree as to whether they had ever agreed at all. The court must </w:t>
      </w:r>
      <w:bookmarkStart w:name="_bookmark270" w:id="272"/>
      <w:bookmarkEnd w:id="272"/>
      <w:r>
        <w:rPr/>
        <w:t>then</w:t>
      </w:r>
      <w:r>
        <w:rPr/>
        <w:t> look at the whole correspondence and decide whether, on its true construction, the parties had </w:t>
      </w:r>
      <w:bookmarkStart w:name="_bookmark271" w:id="273"/>
      <w:bookmarkEnd w:id="273"/>
      <w:r>
        <w:rPr/>
        <w:t>agreed</w:t>
      </w:r>
      <w:r>
        <w:rPr/>
        <w:t> to the same terms. </w:t>
      </w:r>
      <w:r>
        <w:rPr>
          <w:color w:val="005DA1"/>
          <w:u w:val="single" w:color="005DA1"/>
          <w:vertAlign w:val="superscript"/>
        </w:rPr>
        <w:t>146</w:t>
      </w:r>
      <w:r>
        <w:rPr>
          <w:color w:val="005DA1"/>
          <w:vertAlign w:val="baseline"/>
        </w:rPr>
        <w:t> </w:t>
      </w:r>
      <w:r>
        <w:rPr>
          <w:vertAlign w:val="baseline"/>
        </w:rPr>
        <w:t>If so, there is a contract even though both parties, or one of them, had reservations not expressed in the correspondence. </w:t>
      </w:r>
      <w:r>
        <w:rPr>
          <w:color w:val="005DA1"/>
          <w:u w:val="single" w:color="005DA1"/>
          <w:vertAlign w:val="superscript"/>
        </w:rPr>
        <w:t>147</w:t>
      </w:r>
      <w:r>
        <w:rPr>
          <w:color w:val="005DA1"/>
          <w:vertAlign w:val="baseline"/>
        </w:rPr>
        <w:t> </w:t>
      </w:r>
      <w:r>
        <w:rPr>
          <w:vertAlign w:val="baseline"/>
        </w:rPr>
        <w:t>The court will be particularly anxious to hold that continuing negotiations have resulted in a contract where the performance which was the</w:t>
      </w:r>
      <w:r>
        <w:rPr>
          <w:spacing w:val="80"/>
          <w:vertAlign w:val="baseline"/>
        </w:rPr>
        <w:t> </w:t>
      </w:r>
      <w:r>
        <w:rPr>
          <w:vertAlign w:val="baseline"/>
        </w:rPr>
        <w:t>subject-matter</w:t>
      </w:r>
      <w:r>
        <w:rPr>
          <w:spacing w:val="78"/>
          <w:vertAlign w:val="baseline"/>
        </w:rPr>
        <w:t> </w:t>
      </w:r>
      <w:r>
        <w:rPr>
          <w:vertAlign w:val="baseline"/>
        </w:rPr>
        <w:t>of</w:t>
      </w:r>
      <w:r>
        <w:rPr>
          <w:spacing w:val="78"/>
          <w:vertAlign w:val="baseline"/>
        </w:rPr>
        <w:t> </w:t>
      </w:r>
      <w:r>
        <w:rPr>
          <w:vertAlign w:val="baseline"/>
        </w:rPr>
        <w:t>the</w:t>
      </w:r>
      <w:r>
        <w:rPr>
          <w:spacing w:val="78"/>
          <w:vertAlign w:val="baseline"/>
        </w:rPr>
        <w:t> </w:t>
      </w:r>
      <w:r>
        <w:rPr>
          <w:vertAlign w:val="baseline"/>
        </w:rPr>
        <w:t>negotiations</w:t>
      </w:r>
      <w:r>
        <w:rPr>
          <w:spacing w:val="78"/>
          <w:vertAlign w:val="baseline"/>
        </w:rPr>
        <w:t> </w:t>
      </w:r>
      <w:r>
        <w:rPr>
          <w:vertAlign w:val="baseline"/>
        </w:rPr>
        <w:t>has</w:t>
      </w:r>
      <w:r>
        <w:rPr>
          <w:spacing w:val="78"/>
          <w:vertAlign w:val="baseline"/>
        </w:rPr>
        <w:t> </w:t>
      </w:r>
      <w:r>
        <w:rPr>
          <w:vertAlign w:val="baseline"/>
        </w:rPr>
        <w:t>actually</w:t>
      </w:r>
      <w:r>
        <w:rPr>
          <w:spacing w:val="78"/>
          <w:vertAlign w:val="baseline"/>
        </w:rPr>
        <w:t> </w:t>
      </w:r>
      <w:r>
        <w:rPr>
          <w:vertAlign w:val="baseline"/>
        </w:rPr>
        <w:t>been</w:t>
      </w:r>
      <w:r>
        <w:rPr>
          <w:spacing w:val="78"/>
          <w:vertAlign w:val="baseline"/>
        </w:rPr>
        <w:t> </w:t>
      </w:r>
      <w:r>
        <w:rPr>
          <w:vertAlign w:val="baseline"/>
        </w:rPr>
        <w:t>rendered.</w:t>
      </w:r>
      <w:r>
        <w:rPr>
          <w:spacing w:val="78"/>
          <w:vertAlign w:val="baseline"/>
        </w:rPr>
        <w:t> </w:t>
      </w:r>
      <w:r>
        <w:rPr>
          <w:vertAlign w:val="baseline"/>
        </w:rPr>
        <w:t>In</w:t>
      </w:r>
      <w:r>
        <w:rPr>
          <w:spacing w:val="78"/>
          <w:vertAlign w:val="baseline"/>
        </w:rPr>
        <w:t> </w:t>
      </w:r>
      <w:r>
        <w:rPr>
          <w:vertAlign w:val="baseline"/>
        </w:rPr>
        <w:t>one</w:t>
      </w:r>
      <w:r>
        <w:rPr>
          <w:spacing w:val="78"/>
          <w:vertAlign w:val="baseline"/>
        </w:rPr>
        <w:t> </w:t>
      </w:r>
      <w:r>
        <w:rPr>
          <w:vertAlign w:val="baseline"/>
        </w:rPr>
        <w:t>such</w:t>
      </w:r>
      <w:r>
        <w:rPr>
          <w:spacing w:val="78"/>
          <w:vertAlign w:val="baseline"/>
        </w:rPr>
        <w:t> </w:t>
      </w:r>
      <w:r>
        <w:rPr>
          <w:vertAlign w:val="baseline"/>
        </w:rPr>
        <w:t>case</w:t>
      </w:r>
      <w:r>
        <w:rPr>
          <w:spacing w:val="78"/>
          <w:vertAlign w:val="baseline"/>
        </w:rPr>
        <w:t> </w:t>
      </w:r>
      <w:r>
        <w:rPr>
          <w:vertAlign w:val="baseline"/>
        </w:rPr>
        <w:t>a</w:t>
      </w:r>
      <w:r>
        <w:rPr>
          <w:spacing w:val="78"/>
          <w:vertAlign w:val="baseline"/>
        </w:rPr>
        <w:t> </w:t>
      </w:r>
      <w:r>
        <w:rPr>
          <w:vertAlign w:val="baseline"/>
        </w:rPr>
        <w:t>building sub-contract was held to have come into existence (even though agreement had not yet </w:t>
      </w:r>
      <w:r>
        <w:rPr>
          <w:vertAlign w:val="baseline"/>
        </w:rPr>
        <w:t>been</w:t>
      </w:r>
      <w:r>
        <w:rPr>
          <w:spacing w:val="40"/>
          <w:vertAlign w:val="baseline"/>
        </w:rPr>
        <w:t> </w:t>
      </w:r>
      <w:bookmarkStart w:name="_bookmark272" w:id="274"/>
      <w:bookmarkEnd w:id="274"/>
      <w:r>
        <w:rPr>
          <w:vertAlign w:val="baseline"/>
        </w:rPr>
        <w:t>reached</w:t>
      </w:r>
      <w:r>
        <w:rPr>
          <w:vertAlign w:val="baseline"/>
        </w:rPr>
        <w:t> when the contractor began work) as during its progress outstanding matters were resolved</w:t>
      </w:r>
      <w:r>
        <w:rPr>
          <w:spacing w:val="40"/>
          <w:vertAlign w:val="baseline"/>
        </w:rPr>
        <w:t> </w:t>
      </w:r>
      <w:bookmarkStart w:name="_bookmark273" w:id="275"/>
      <w:bookmarkEnd w:id="275"/>
      <w:r>
        <w:rPr>
          <w:vertAlign w:val="baseline"/>
        </w:rPr>
        <w:t>by</w:t>
      </w:r>
      <w:r>
        <w:rPr>
          <w:vertAlign w:val="baseline"/>
        </w:rPr>
        <w:t> further negotiations. </w:t>
      </w:r>
      <w:r>
        <w:rPr>
          <w:color w:val="005DA1"/>
          <w:u w:val="single" w:color="005DA1"/>
          <w:vertAlign w:val="superscript"/>
        </w:rPr>
        <w:t>148</w:t>
      </w:r>
      <w:r>
        <w:rPr>
          <w:color w:val="005DA1"/>
          <w:vertAlign w:val="baseline"/>
        </w:rPr>
        <w:t> </w:t>
      </w:r>
      <w:r>
        <w:rPr>
          <w:vertAlign w:val="baseline"/>
        </w:rPr>
        <w:t>The contract may then be given retrospective effect, so as to cover work done before the final agreement was reached. </w:t>
      </w:r>
      <w:r>
        <w:rPr>
          <w:color w:val="005DA1"/>
          <w:u w:val="single" w:color="005DA1"/>
          <w:vertAlign w:val="superscript"/>
        </w:rPr>
        <w:t>149</w:t>
      </w:r>
    </w:p>
    <w:p>
      <w:pPr>
        <w:pStyle w:val="BodyText"/>
      </w:pPr>
    </w:p>
    <w:p>
      <w:pPr>
        <w:pStyle w:val="BodyText"/>
        <w:spacing w:before="34"/>
      </w:pPr>
    </w:p>
    <w:p>
      <w:pPr>
        <w:spacing w:before="0"/>
        <w:ind w:left="164" w:right="0" w:firstLine="0"/>
        <w:jc w:val="left"/>
        <w:rPr>
          <w:rFonts w:ascii="Arial"/>
          <w:b/>
          <w:sz w:val="18"/>
        </w:rPr>
      </w:pPr>
      <w:r>
        <w:rPr>
          <w:rFonts w:ascii="Arial"/>
          <w:b/>
          <w:sz w:val="18"/>
        </w:rPr>
        <w:t>Negotiation after apparent </w:t>
      </w:r>
      <w:r>
        <w:rPr>
          <w:rFonts w:ascii="Arial"/>
          <w:b/>
          <w:spacing w:val="-2"/>
          <w:sz w:val="18"/>
        </w:rPr>
        <w:t>agreement</w:t>
      </w:r>
    </w:p>
    <w:p>
      <w:pPr>
        <w:pStyle w:val="BodyText"/>
        <w:spacing w:before="41"/>
        <w:rPr>
          <w:rFonts w:ascii="Arial"/>
          <w:b/>
          <w:sz w:val="18"/>
        </w:rPr>
      </w:pPr>
    </w:p>
    <w:p>
      <w:pPr>
        <w:pStyle w:val="Heading2"/>
        <w:ind w:left="164"/>
      </w:pPr>
      <w:r>
        <w:rPr/>
        <w:t>2-</w:t>
      </w:r>
      <w:r>
        <w:rPr>
          <w:spacing w:val="-5"/>
        </w:rPr>
        <w:t>028</w:t>
      </w:r>
    </w:p>
    <w:p>
      <w:pPr>
        <w:pStyle w:val="Heading2"/>
        <w:spacing w:after="0"/>
        <w:sectPr>
          <w:headerReference w:type="default" r:id="rId9"/>
          <w:pgSz w:w="11900" w:h="16840"/>
          <w:pgMar w:header="971" w:footer="0" w:top="1300" w:bottom="280" w:left="1275" w:right="1275"/>
          <w:pgNumType w:start="1"/>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33" name="Image 33"/>
            <wp:cNvGraphicFramePr>
              <a:graphicFrameLocks/>
            </wp:cNvGraphicFramePr>
            <a:graphic>
              <a:graphicData uri="http://schemas.openxmlformats.org/drawingml/2006/picture">
                <pic:pic>
                  <pic:nvPicPr>
                    <pic:cNvPr id="33" name="Image 3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Businessmen do not, any more than the courts, find it easy to say precisely when they </w:t>
      </w:r>
      <w:r>
        <w:rPr/>
        <w:t>have reached agreement, and may continue to negotiate after they appear to have agreed to the same </w:t>
      </w:r>
      <w:bookmarkStart w:name="_bookmark274" w:id="276"/>
      <w:bookmarkEnd w:id="276"/>
      <w:r>
        <w:rPr/>
        <w:t>terms.</w:t>
      </w:r>
      <w:r>
        <w:rPr/>
        <w:t> The court will then look at the entire course of negotiations to decide whether an apparently </w:t>
      </w:r>
      <w:bookmarkStart w:name="_bookmark275" w:id="277"/>
      <w:bookmarkEnd w:id="277"/>
      <w:r>
        <w:rPr/>
        <w:t>unqualified</w:t>
      </w:r>
      <w:r>
        <w:rPr>
          <w:spacing w:val="44"/>
        </w:rPr>
        <w:t> </w:t>
      </w:r>
      <w:r>
        <w:rPr/>
        <w:t>acceptance</w:t>
      </w:r>
      <w:r>
        <w:rPr>
          <w:spacing w:val="45"/>
        </w:rPr>
        <w:t> </w:t>
      </w:r>
      <w:r>
        <w:rPr/>
        <w:t>did</w:t>
      </w:r>
      <w:r>
        <w:rPr>
          <w:spacing w:val="45"/>
        </w:rPr>
        <w:t> </w:t>
      </w:r>
      <w:r>
        <w:rPr/>
        <w:t>in</w:t>
      </w:r>
      <w:r>
        <w:rPr>
          <w:spacing w:val="45"/>
        </w:rPr>
        <w:t> </w:t>
      </w:r>
      <w:r>
        <w:rPr/>
        <w:t>fact</w:t>
      </w:r>
      <w:r>
        <w:rPr>
          <w:spacing w:val="45"/>
        </w:rPr>
        <w:t> </w:t>
      </w:r>
      <w:r>
        <w:rPr/>
        <w:t>conclude</w:t>
      </w:r>
      <w:r>
        <w:rPr>
          <w:spacing w:val="45"/>
        </w:rPr>
        <w:t> </w:t>
      </w:r>
      <w:r>
        <w:rPr/>
        <w:t>the</w:t>
      </w:r>
      <w:r>
        <w:rPr>
          <w:spacing w:val="45"/>
        </w:rPr>
        <w:t> </w:t>
      </w:r>
      <w:r>
        <w:rPr/>
        <w:t>agreement.</w:t>
      </w:r>
      <w:r>
        <w:rPr>
          <w:spacing w:val="44"/>
        </w:rPr>
        <w:t> </w:t>
      </w:r>
      <w:r>
        <w:rPr>
          <w:color w:val="005DA1"/>
          <w:u w:val="single" w:color="005DA1"/>
          <w:vertAlign w:val="superscript"/>
        </w:rPr>
        <w:t>150</w:t>
      </w:r>
      <w:r>
        <w:rPr>
          <w:color w:val="005DA1"/>
          <w:spacing w:val="45"/>
          <w:vertAlign w:val="baseline"/>
        </w:rPr>
        <w:t> </w:t>
      </w:r>
      <w:r>
        <w:rPr>
          <w:vertAlign w:val="baseline"/>
        </w:rPr>
        <w:t>If</w:t>
      </w:r>
      <w:r>
        <w:rPr>
          <w:spacing w:val="45"/>
          <w:vertAlign w:val="baseline"/>
        </w:rPr>
        <w:t> </w:t>
      </w:r>
      <w:r>
        <w:rPr>
          <w:vertAlign w:val="baseline"/>
        </w:rPr>
        <w:t>it</w:t>
      </w:r>
      <w:r>
        <w:rPr>
          <w:spacing w:val="45"/>
          <w:vertAlign w:val="baseline"/>
        </w:rPr>
        <w:t> </w:t>
      </w:r>
      <w:r>
        <w:rPr>
          <w:vertAlign w:val="baseline"/>
        </w:rPr>
        <w:t>did,</w:t>
      </w:r>
      <w:r>
        <w:rPr>
          <w:spacing w:val="44"/>
          <w:vertAlign w:val="baseline"/>
        </w:rPr>
        <w:t> </w:t>
      </w:r>
      <w:r>
        <w:rPr>
          <w:vertAlign w:val="baseline"/>
        </w:rPr>
        <w:t>the</w:t>
      </w:r>
      <w:r>
        <w:rPr>
          <w:spacing w:val="45"/>
          <w:vertAlign w:val="baseline"/>
        </w:rPr>
        <w:t> </w:t>
      </w:r>
      <w:r>
        <w:rPr>
          <w:vertAlign w:val="baseline"/>
        </w:rPr>
        <w:t>fact</w:t>
      </w:r>
      <w:r>
        <w:rPr>
          <w:spacing w:val="45"/>
          <w:vertAlign w:val="baseline"/>
        </w:rPr>
        <w:t> </w:t>
      </w:r>
      <w:r>
        <w:rPr>
          <w:vertAlign w:val="baseline"/>
        </w:rPr>
        <w:t>that</w:t>
      </w:r>
      <w:r>
        <w:rPr>
          <w:spacing w:val="45"/>
          <w:vertAlign w:val="baseline"/>
        </w:rPr>
        <w:t> </w:t>
      </w:r>
      <w:r>
        <w:rPr>
          <w:vertAlign w:val="baseline"/>
        </w:rPr>
        <w:t>the</w:t>
      </w:r>
      <w:r>
        <w:rPr>
          <w:spacing w:val="45"/>
          <w:vertAlign w:val="baseline"/>
        </w:rPr>
        <w:t> </w:t>
      </w:r>
      <w:r>
        <w:rPr>
          <w:spacing w:val="-2"/>
          <w:vertAlign w:val="baseline"/>
        </w:rPr>
        <w:t>parties</w:t>
      </w:r>
    </w:p>
    <w:p>
      <w:pPr>
        <w:pStyle w:val="BodyText"/>
        <w:spacing w:line="227" w:lineRule="exact" w:before="115"/>
        <w:ind w:left="165"/>
        <w:jc w:val="both"/>
      </w:pPr>
      <w:r>
        <w:rPr/>
        <w:t>continued</w:t>
      </w:r>
      <w:r>
        <w:rPr>
          <w:spacing w:val="2"/>
        </w:rPr>
        <w:t> </w:t>
      </w:r>
      <w:r>
        <w:rPr/>
        <w:t>negotiations</w:t>
      </w:r>
      <w:r>
        <w:rPr>
          <w:spacing w:val="2"/>
        </w:rPr>
        <w:t> </w:t>
      </w:r>
      <w:r>
        <w:rPr/>
        <w:t>after</w:t>
      </w:r>
      <w:r>
        <w:rPr>
          <w:spacing w:val="2"/>
        </w:rPr>
        <w:t> </w:t>
      </w:r>
      <w:r>
        <w:rPr/>
        <w:t>this</w:t>
      </w:r>
      <w:r>
        <w:rPr>
          <w:spacing w:val="2"/>
        </w:rPr>
        <w:t> </w:t>
      </w:r>
      <w:r>
        <w:rPr/>
        <w:t>point</w:t>
      </w:r>
      <w:r>
        <w:rPr>
          <w:spacing w:val="2"/>
        </w:rPr>
        <w:t> </w:t>
      </w:r>
      <w:r>
        <w:rPr/>
        <w:t>does</w:t>
      </w:r>
      <w:r>
        <w:rPr>
          <w:spacing w:val="2"/>
        </w:rPr>
        <w:t> </w:t>
      </w:r>
      <w:r>
        <w:rPr/>
        <w:t>not</w:t>
      </w:r>
      <w:r>
        <w:rPr>
          <w:spacing w:val="2"/>
        </w:rPr>
        <w:t> </w:t>
      </w:r>
      <w:r>
        <w:rPr/>
        <w:t>affect</w:t>
      </w:r>
      <w:r>
        <w:rPr>
          <w:spacing w:val="2"/>
        </w:rPr>
        <w:t> </w:t>
      </w:r>
      <w:r>
        <w:rPr/>
        <w:t>the</w:t>
      </w:r>
      <w:r>
        <w:rPr>
          <w:spacing w:val="2"/>
        </w:rPr>
        <w:t> </w:t>
      </w:r>
      <w:r>
        <w:rPr/>
        <w:t>existence</w:t>
      </w:r>
      <w:r>
        <w:rPr>
          <w:spacing w:val="2"/>
        </w:rPr>
        <w:t> </w:t>
      </w:r>
      <w:r>
        <w:rPr/>
        <w:t>of</w:t>
      </w:r>
      <w:r>
        <w:rPr>
          <w:spacing w:val="2"/>
        </w:rPr>
        <w:t> </w:t>
      </w:r>
      <w:r>
        <w:rPr/>
        <w:t>the</w:t>
      </w:r>
      <w:r>
        <w:rPr>
          <w:spacing w:val="2"/>
        </w:rPr>
        <w:t> </w:t>
      </w:r>
      <w:r>
        <w:rPr/>
        <w:t>contract</w:t>
      </w:r>
      <w:r>
        <w:rPr>
          <w:spacing w:val="2"/>
        </w:rPr>
        <w:t> </w:t>
      </w:r>
      <w:r>
        <w:rPr/>
        <w:t>between</w:t>
      </w:r>
      <w:r>
        <w:rPr>
          <w:spacing w:val="2"/>
        </w:rPr>
        <w:t> </w:t>
      </w:r>
      <w:r>
        <w:rPr/>
        <w:t>them</w:t>
      </w:r>
      <w:r>
        <w:rPr>
          <w:spacing w:val="1"/>
        </w:rPr>
        <w:t> </w:t>
      </w:r>
      <w:r>
        <w:rPr>
          <w:color w:val="005DA1"/>
          <w:spacing w:val="-5"/>
          <w:u w:val="single" w:color="005DA1"/>
          <w:vertAlign w:val="superscript"/>
        </w:rPr>
        <w:t>151</w:t>
      </w:r>
    </w:p>
    <w:p>
      <w:pPr>
        <w:pStyle w:val="BodyText"/>
        <w:spacing w:line="235" w:lineRule="auto" w:before="1"/>
        <w:ind w:left="165" w:right="167" w:firstLine="170"/>
        <w:jc w:val="both"/>
      </w:pPr>
      <w:r>
        <w:rPr/>
        <w:drawing>
          <wp:anchor distT="0" distB="0" distL="0" distR="0" allowOverlap="1" layoutInCell="1" locked="0" behindDoc="0" simplePos="0" relativeHeight="15739904">
            <wp:simplePos x="0" y="0"/>
            <wp:positionH relativeFrom="page">
              <wp:posOffset>914400</wp:posOffset>
            </wp:positionH>
            <wp:positionV relativeFrom="paragraph">
              <wp:posOffset>26529</wp:posOffset>
            </wp:positionV>
            <wp:extent cx="107988" cy="107988"/>
            <wp:effectExtent l="0" t="0" r="0" b="0"/>
            <wp:wrapNone/>
            <wp:docPr id="34" name="Image 34"/>
            <wp:cNvGraphicFramePr>
              <a:graphicFrameLocks/>
            </wp:cNvGraphicFramePr>
            <a:graphic>
              <a:graphicData uri="http://schemas.openxmlformats.org/drawingml/2006/picture">
                <pic:pic>
                  <pic:nvPicPr>
                    <pic:cNvPr id="34" name="Image 3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276" w:id="278"/>
      <w:bookmarkEnd w:id="278"/>
      <w:r>
        <w:rPr/>
      </w:r>
      <w:r>
        <w:rPr/>
        <w:t>:</w:t>
      </w:r>
      <w:r>
        <w:rPr>
          <w:spacing w:val="-2"/>
        </w:rPr>
        <w:t> </w:t>
      </w:r>
      <w:r>
        <w:rPr/>
        <w:t>for</w:t>
      </w:r>
      <w:r>
        <w:rPr>
          <w:spacing w:val="-2"/>
        </w:rPr>
        <w:t> </w:t>
      </w:r>
      <w:r>
        <w:rPr/>
        <w:t>example,</w:t>
      </w:r>
      <w:r>
        <w:rPr>
          <w:spacing w:val="-2"/>
        </w:rPr>
        <w:t> </w:t>
      </w:r>
      <w:r>
        <w:rPr/>
        <w:t>in</w:t>
      </w:r>
      <w:r>
        <w:rPr>
          <w:spacing w:val="-2"/>
        </w:rPr>
        <w:t> </w:t>
      </w:r>
      <w:r>
        <w:rPr/>
        <w:t>one</w:t>
      </w:r>
      <w:r>
        <w:rPr>
          <w:spacing w:val="-2"/>
        </w:rPr>
        <w:t> </w:t>
      </w:r>
      <w:r>
        <w:rPr/>
        <w:t>such</w:t>
      </w:r>
      <w:r>
        <w:rPr>
          <w:spacing w:val="-2"/>
        </w:rPr>
        <w:t> </w:t>
      </w:r>
      <w:r>
        <w:rPr/>
        <w:t>case</w:t>
      </w:r>
      <w:r>
        <w:rPr>
          <w:spacing w:val="-2"/>
        </w:rPr>
        <w:t> </w:t>
      </w:r>
      <w:r>
        <w:rPr/>
        <w:t>the</w:t>
      </w:r>
      <w:r>
        <w:rPr>
          <w:spacing w:val="-2"/>
        </w:rPr>
        <w:t> </w:t>
      </w:r>
      <w:r>
        <w:rPr/>
        <w:t>subsequent</w:t>
      </w:r>
      <w:r>
        <w:rPr>
          <w:spacing w:val="-2"/>
        </w:rPr>
        <w:t> </w:t>
      </w:r>
      <w:r>
        <w:rPr/>
        <w:t>negotiations</w:t>
      </w:r>
      <w:r>
        <w:rPr>
          <w:spacing w:val="-2"/>
        </w:rPr>
        <w:t> </w:t>
      </w:r>
      <w:r>
        <w:rPr/>
        <w:t>showed</w:t>
      </w:r>
      <w:r>
        <w:rPr>
          <w:spacing w:val="-2"/>
        </w:rPr>
        <w:t> </w:t>
      </w:r>
      <w:r>
        <w:rPr/>
        <w:t>“only</w:t>
      </w:r>
      <w:r>
        <w:rPr>
          <w:spacing w:val="-2"/>
        </w:rPr>
        <w:t> </w:t>
      </w:r>
      <w:r>
        <w:rPr/>
        <w:t>that</w:t>
      </w:r>
      <w:r>
        <w:rPr>
          <w:spacing w:val="-2"/>
        </w:rPr>
        <w:t> </w:t>
      </w:r>
      <w:r>
        <w:rPr/>
        <w:t>the</w:t>
      </w:r>
      <w:r>
        <w:rPr>
          <w:spacing w:val="-2"/>
        </w:rPr>
        <w:t> </w:t>
      </w:r>
      <w:r>
        <w:rPr/>
        <w:t>parties</w:t>
      </w:r>
      <w:r>
        <w:rPr>
          <w:spacing w:val="-2"/>
        </w:rPr>
        <w:t> </w:t>
      </w:r>
      <w:r>
        <w:rPr/>
        <w:t>wished</w:t>
      </w:r>
      <w:r>
        <w:rPr>
          <w:spacing w:val="-2"/>
        </w:rPr>
        <w:t> </w:t>
      </w:r>
      <w:r>
        <w:rPr/>
        <w:t>to discuss the </w:t>
      </w:r>
      <w:r>
        <w:rPr>
          <w:rFonts w:ascii="Arial" w:hAnsi="Arial"/>
          <w:i/>
        </w:rPr>
        <w:t>implementation </w:t>
      </w:r>
      <w:r>
        <w:rPr/>
        <w:t>of the agreement </w:t>
      </w:r>
      <w:r>
        <w:rPr>
          <w:color w:val="005DA1"/>
          <w:u w:val="single" w:color="005DA1"/>
          <w:vertAlign w:val="superscript"/>
        </w:rPr>
        <w:t>152</w:t>
      </w:r>
      <w:r>
        <w:rPr>
          <w:color w:val="005DA1"/>
          <w:vertAlign w:val="baseline"/>
        </w:rPr>
        <w:t> </w:t>
      </w:r>
      <w:r>
        <w:rPr>
          <w:vertAlign w:val="baseline"/>
        </w:rPr>
        <w:t>and that [one of them] wished to improve the terms </w:t>
      </w:r>
      <w:bookmarkStart w:name="_bookmark277" w:id="279"/>
      <w:bookmarkEnd w:id="279"/>
      <w:r>
        <w:rPr>
          <w:vertAlign w:val="baseline"/>
        </w:rPr>
        <w:t>that</w:t>
      </w:r>
      <w:r>
        <w:rPr>
          <w:vertAlign w:val="baseline"/>
        </w:rPr>
        <w:t> </w:t>
      </w:r>
      <w:r>
        <w:rPr>
          <w:rFonts w:ascii="Arial" w:hAnsi="Arial"/>
          <w:i/>
          <w:vertAlign w:val="baseline"/>
        </w:rPr>
        <w:t>had been agreed</w:t>
      </w:r>
      <w:r>
        <w:rPr>
          <w:vertAlign w:val="baseline"/>
        </w:rPr>
        <w:t>”. The position would, of course, be different if the continued negotiations could be construed </w:t>
      </w:r>
      <w:r>
        <w:rPr>
          <w:color w:val="005DA1"/>
          <w:u w:val="single" w:color="005DA1"/>
          <w:vertAlign w:val="superscript"/>
        </w:rPr>
        <w:t>153</w:t>
      </w:r>
      <w:r>
        <w:rPr>
          <w:color w:val="005DA1"/>
          <w:vertAlign w:val="baseline"/>
        </w:rPr>
        <w:t> </w:t>
      </w:r>
      <w:r>
        <w:rPr>
          <w:vertAlign w:val="baseline"/>
        </w:rPr>
        <w:t>as an agreement to rescind the contract. A fortiori, the binding force of an oral </w:t>
      </w:r>
      <w:bookmarkStart w:name="_bookmark278" w:id="280"/>
      <w:bookmarkEnd w:id="280"/>
      <w:r>
        <w:rPr>
          <w:vertAlign w:val="baseline"/>
        </w:rPr>
        <w:t>contract</w:t>
      </w:r>
      <w:r>
        <w:rPr>
          <w:vertAlign w:val="baseline"/>
        </w:rPr>
        <w:t> is not affected or altered merely by the fact that, after its conclusion, one party sends to the other a document containing terms significantly different from those which had been orally agreed. </w:t>
      </w:r>
      <w:r>
        <w:rPr>
          <w:color w:val="005DA1"/>
          <w:u w:val="single" w:color="005DA1"/>
          <w:vertAlign w:val="superscript"/>
        </w:rPr>
        <w:t>154</w:t>
      </w:r>
    </w:p>
    <w:p>
      <w:pPr>
        <w:pStyle w:val="BodyText"/>
      </w:pPr>
    </w:p>
    <w:p>
      <w:pPr>
        <w:pStyle w:val="BodyText"/>
        <w:spacing w:before="36"/>
      </w:pPr>
    </w:p>
    <w:p>
      <w:pPr>
        <w:spacing w:before="1"/>
        <w:ind w:left="165" w:right="0" w:firstLine="0"/>
        <w:jc w:val="left"/>
        <w:rPr>
          <w:rFonts w:ascii="Arial"/>
          <w:b/>
          <w:sz w:val="18"/>
        </w:rPr>
      </w:pPr>
      <w:bookmarkStart w:name="_bookmark279" w:id="281"/>
      <w:bookmarkEnd w:id="281"/>
      <w:r>
        <w:rPr/>
      </w:r>
      <w:r>
        <w:rPr>
          <w:rFonts w:ascii="Arial"/>
          <w:b/>
          <w:sz w:val="18"/>
        </w:rPr>
        <w:t>Acceptance by conduct</w:t>
      </w:r>
      <w:r>
        <w:rPr>
          <w:rFonts w:ascii="Arial"/>
          <w:b/>
          <w:spacing w:val="-1"/>
          <w:sz w:val="18"/>
        </w:rPr>
        <w:t> </w:t>
      </w:r>
      <w:r>
        <w:rPr>
          <w:rFonts w:ascii="Arial"/>
          <w:b/>
          <w:color w:val="005DA1"/>
          <w:spacing w:val="-5"/>
          <w:sz w:val="18"/>
          <w:u w:val="single" w:color="005DA1"/>
          <w:vertAlign w:val="superscript"/>
        </w:rPr>
        <w:t>155</w:t>
      </w:r>
    </w:p>
    <w:p>
      <w:pPr>
        <w:pStyle w:val="BodyText"/>
        <w:spacing w:before="41"/>
        <w:rPr>
          <w:rFonts w:ascii="Arial"/>
          <w:b/>
          <w:sz w:val="18"/>
        </w:rPr>
      </w:pPr>
    </w:p>
    <w:p>
      <w:pPr>
        <w:pStyle w:val="Heading2"/>
        <w:ind w:left="164"/>
      </w:pPr>
      <w:r>
        <w:rPr/>
        <w:t>2-</w:t>
      </w:r>
      <w:r>
        <w:rPr>
          <w:spacing w:val="-5"/>
        </w:rPr>
        <w:t>029</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35" name="Image 35"/>
            <wp:cNvGraphicFramePr>
              <a:graphicFrameLocks/>
            </wp:cNvGraphicFramePr>
            <a:graphic>
              <a:graphicData uri="http://schemas.openxmlformats.org/drawingml/2006/picture">
                <pic:pic>
                  <pic:nvPicPr>
                    <pic:cNvPr id="35" name="Image 3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280" w:id="282"/>
      <w:bookmarkEnd w:id="282"/>
      <w:r>
        <w:rPr>
          <w:rFonts w:ascii="Times New Roman" w:hAnsi="Times New Roman"/>
          <w:spacing w:val="-18"/>
        </w:rPr>
      </w:r>
      <w:r>
        <w:rPr/>
        <w:t>An offer may be accepted by conduct. For example, an offer to buy goods can be accepted by </w:t>
      </w:r>
      <w:bookmarkStart w:name="_bookmark281" w:id="283"/>
      <w:bookmarkEnd w:id="283"/>
      <w:r>
        <w:rPr/>
        <w:t>supplying</w:t>
      </w:r>
      <w:r>
        <w:rPr/>
        <w:t> them </w:t>
      </w:r>
      <w:r>
        <w:rPr>
          <w:color w:val="005DA1"/>
          <w:u w:val="single" w:color="005DA1"/>
          <w:vertAlign w:val="superscript"/>
        </w:rPr>
        <w:t>156</w:t>
      </w:r>
      <w:r>
        <w:rPr>
          <w:vertAlign w:val="baseline"/>
        </w:rPr>
        <w:t>; an offer to sell goods made by sending them to the offeree, can be accepted by </w:t>
      </w:r>
      <w:bookmarkStart w:name="_bookmark282" w:id="284"/>
      <w:bookmarkEnd w:id="284"/>
      <w:r>
        <w:rPr>
          <w:vertAlign w:val="baseline"/>
        </w:rPr>
        <w:t>using</w:t>
      </w:r>
      <w:r>
        <w:rPr>
          <w:vertAlign w:val="baseline"/>
        </w:rPr>
        <w:t> them, </w:t>
      </w:r>
      <w:r>
        <w:rPr>
          <w:color w:val="005DA1"/>
          <w:u w:val="single" w:color="005DA1"/>
          <w:vertAlign w:val="superscript"/>
        </w:rPr>
        <w:t>157</w:t>
      </w:r>
      <w:r>
        <w:rPr>
          <w:color w:val="005DA1"/>
          <w:vertAlign w:val="baseline"/>
        </w:rPr>
        <w:t> </w:t>
      </w:r>
      <w:r>
        <w:rPr>
          <w:vertAlign w:val="baseline"/>
        </w:rPr>
        <w:t>and an offer contained in a request for services can be accepted by beginning to render them, </w:t>
      </w:r>
      <w:r>
        <w:rPr>
          <w:color w:val="005DA1"/>
          <w:u w:val="single" w:color="005DA1"/>
          <w:vertAlign w:val="superscript"/>
        </w:rPr>
        <w:t>158</w:t>
      </w:r>
      <w:r>
        <w:rPr>
          <w:color w:val="005DA1"/>
          <w:vertAlign w:val="baseline"/>
        </w:rPr>
        <w:t> </w:t>
      </w:r>
      <w:r>
        <w:rPr>
          <w:vertAlign w:val="baseline"/>
        </w:rPr>
        <w:t>where a customer of a bank draws a cheque which will, if honoured, cause his </w:t>
      </w:r>
      <w:bookmarkStart w:name="_bookmark283" w:id="285"/>
      <w:bookmarkEnd w:id="285"/>
      <w:r>
        <w:rPr>
          <w:vertAlign w:val="baseline"/>
        </w:rPr>
        <w:t>account</w:t>
      </w:r>
      <w:r>
        <w:rPr>
          <w:vertAlign w:val="baseline"/>
        </w:rPr>
        <w:t> to be overdrawn, the bank, by deciding to honour the cheque, impliedly accepts </w:t>
      </w:r>
      <w:r>
        <w:rPr>
          <w:vertAlign w:val="baseline"/>
        </w:rPr>
        <w:t>the customer’s implied request for an overdraft on the bank’s usual terms. </w:t>
      </w:r>
      <w:r>
        <w:rPr>
          <w:color w:val="005DA1"/>
          <w:u w:val="single" w:color="005DA1"/>
          <w:vertAlign w:val="superscript"/>
        </w:rPr>
        <w:t>159</w:t>
      </w:r>
      <w:r>
        <w:rPr>
          <w:color w:val="005DA1"/>
          <w:vertAlign w:val="baseline"/>
        </w:rPr>
        <w:t> </w:t>
      </w:r>
      <w:r>
        <w:rPr>
          <w:vertAlign w:val="baseline"/>
        </w:rPr>
        <w:t>But conduct will only</w:t>
      </w:r>
      <w:r>
        <w:rPr>
          <w:spacing w:val="40"/>
          <w:vertAlign w:val="baseline"/>
        </w:rPr>
        <w:t> </w:t>
      </w:r>
      <w:bookmarkStart w:name="_bookmark284" w:id="286"/>
      <w:bookmarkEnd w:id="286"/>
      <w:r>
        <w:rPr>
          <w:vertAlign w:val="baseline"/>
        </w:rPr>
        <w:t>amount</w:t>
      </w:r>
      <w:r>
        <w:rPr>
          <w:vertAlign w:val="baseline"/>
        </w:rPr>
        <w:t> to acceptance if it is clear that the offeree’s alleged act of acceptance was done with the intention (ascertained in accordance with the objective principle </w:t>
      </w:r>
      <w:r>
        <w:rPr>
          <w:color w:val="005DA1"/>
          <w:u w:val="single" w:color="005DA1"/>
          <w:vertAlign w:val="superscript"/>
        </w:rPr>
        <w:t>160</w:t>
      </w:r>
      <w:r>
        <w:rPr>
          <w:vertAlign w:val="baseline"/>
        </w:rPr>
        <w:t>) of accepting the offer. Thus a buyer’s taking delivery of goods after the conclusion of an oral contract of sale will not amount to his </w:t>
      </w:r>
      <w:bookmarkStart w:name="_bookmark285" w:id="287"/>
      <w:bookmarkEnd w:id="287"/>
      <w:r>
        <w:rPr>
          <w:vertAlign w:val="baseline"/>
        </w:rPr>
        <w:t>acceptance</w:t>
      </w:r>
      <w:r>
        <w:rPr>
          <w:vertAlign w:val="baseline"/>
        </w:rPr>
        <w:t> of written terms which differ significantly from those orally agreed, and which are sent to him by the seller after the oral contract was made but before taking delivery. </w:t>
      </w:r>
      <w:r>
        <w:rPr>
          <w:color w:val="005DA1"/>
          <w:u w:val="single" w:color="005DA1"/>
          <w:vertAlign w:val="superscript"/>
        </w:rPr>
        <w:t>161</w:t>
      </w:r>
      <w:r>
        <w:rPr>
          <w:color w:val="005DA1"/>
          <w:vertAlign w:val="baseline"/>
        </w:rPr>
        <w:t> </w:t>
      </w:r>
      <w:r>
        <w:rPr>
          <w:vertAlign w:val="baseline"/>
        </w:rPr>
        <w:t>That conduct is then referable to the oral contract rather than to the later attempted variation. Nor is a company’s offer to </w:t>
      </w:r>
      <w:bookmarkStart w:name="_bookmark286" w:id="288"/>
      <w:bookmarkEnd w:id="288"/>
      <w:r>
        <w:rPr>
          <w:vertAlign w:val="baseline"/>
        </w:rPr>
        <w:t>insure</w:t>
      </w:r>
      <w:r>
        <w:rPr>
          <w:vertAlign w:val="baseline"/>
        </w:rPr>
        <w:t> a car accepted by taking the car out on the road, if there is evidence that the driver intended to insure with another company. </w:t>
      </w:r>
      <w:r>
        <w:rPr>
          <w:color w:val="005DA1"/>
          <w:u w:val="single" w:color="005DA1"/>
          <w:vertAlign w:val="superscript"/>
        </w:rPr>
        <w:t>162</w:t>
      </w:r>
      <w:r>
        <w:rPr>
          <w:color w:val="005DA1"/>
          <w:vertAlign w:val="baseline"/>
        </w:rPr>
        <w:t> </w:t>
      </w:r>
      <w:r>
        <w:rPr>
          <w:vertAlign w:val="baseline"/>
        </w:rPr>
        <w:t>Nor is a managing director’s proposal of an employment contract </w:t>
      </w:r>
      <w:bookmarkStart w:name="_bookmark287" w:id="289"/>
      <w:bookmarkEnd w:id="289"/>
      <w:r>
        <w:rPr>
          <w:vertAlign w:val="baseline"/>
        </w:rPr>
        <w:t>accepted</w:t>
      </w:r>
      <w:r>
        <w:rPr>
          <w:spacing w:val="15"/>
          <w:vertAlign w:val="baseline"/>
        </w:rPr>
        <w:t> </w:t>
      </w:r>
      <w:r>
        <w:rPr>
          <w:vertAlign w:val="baseline"/>
        </w:rPr>
        <w:t>by</w:t>
      </w:r>
      <w:r>
        <w:rPr>
          <w:spacing w:val="15"/>
          <w:vertAlign w:val="baseline"/>
        </w:rPr>
        <w:t> </w:t>
      </w:r>
      <w:r>
        <w:rPr>
          <w:vertAlign w:val="baseline"/>
        </w:rPr>
        <w:t>the</w:t>
      </w:r>
      <w:r>
        <w:rPr>
          <w:spacing w:val="15"/>
          <w:vertAlign w:val="baseline"/>
        </w:rPr>
        <w:t> </w:t>
      </w:r>
      <w:r>
        <w:rPr>
          <w:vertAlign w:val="baseline"/>
        </w:rPr>
        <w:t>company</w:t>
      </w:r>
      <w:r>
        <w:rPr>
          <w:spacing w:val="15"/>
          <w:vertAlign w:val="baseline"/>
        </w:rPr>
        <w:t> </w:t>
      </w:r>
      <w:r>
        <w:rPr>
          <w:vertAlign w:val="baseline"/>
        </w:rPr>
        <w:t>paying</w:t>
      </w:r>
      <w:r>
        <w:rPr>
          <w:spacing w:val="15"/>
          <w:vertAlign w:val="baseline"/>
        </w:rPr>
        <w:t> </w:t>
      </w:r>
      <w:r>
        <w:rPr>
          <w:vertAlign w:val="baseline"/>
        </w:rPr>
        <w:t>him</w:t>
      </w:r>
      <w:r>
        <w:rPr>
          <w:spacing w:val="15"/>
          <w:vertAlign w:val="baseline"/>
        </w:rPr>
        <w:t> </w:t>
      </w:r>
      <w:r>
        <w:rPr>
          <w:vertAlign w:val="baseline"/>
        </w:rPr>
        <w:t>at</w:t>
      </w:r>
      <w:r>
        <w:rPr>
          <w:spacing w:val="15"/>
          <w:vertAlign w:val="baseline"/>
        </w:rPr>
        <w:t> </w:t>
      </w:r>
      <w:r>
        <w:rPr>
          <w:vertAlign w:val="baseline"/>
        </w:rPr>
        <w:t>the</w:t>
      </w:r>
      <w:r>
        <w:rPr>
          <w:spacing w:val="15"/>
          <w:vertAlign w:val="baseline"/>
        </w:rPr>
        <w:t> </w:t>
      </w:r>
      <w:r>
        <w:rPr>
          <w:vertAlign w:val="baseline"/>
        </w:rPr>
        <w:t>stated</w:t>
      </w:r>
      <w:r>
        <w:rPr>
          <w:spacing w:val="15"/>
          <w:vertAlign w:val="baseline"/>
        </w:rPr>
        <w:t> </w:t>
      </w:r>
      <w:r>
        <w:rPr>
          <w:vertAlign w:val="baseline"/>
        </w:rPr>
        <w:t>rate,</w:t>
      </w:r>
      <w:r>
        <w:rPr>
          <w:spacing w:val="15"/>
          <w:vertAlign w:val="baseline"/>
        </w:rPr>
        <w:t> </w:t>
      </w:r>
      <w:r>
        <w:rPr>
          <w:vertAlign w:val="baseline"/>
        </w:rPr>
        <w:t>if</w:t>
      </w:r>
      <w:r>
        <w:rPr>
          <w:spacing w:val="15"/>
          <w:vertAlign w:val="baseline"/>
        </w:rPr>
        <w:t> </w:t>
      </w:r>
      <w:r>
        <w:rPr>
          <w:vertAlign w:val="baseline"/>
        </w:rPr>
        <w:t>there</w:t>
      </w:r>
      <w:r>
        <w:rPr>
          <w:spacing w:val="15"/>
          <w:vertAlign w:val="baseline"/>
        </w:rPr>
        <w:t> </w:t>
      </w:r>
      <w:r>
        <w:rPr>
          <w:vertAlign w:val="baseline"/>
        </w:rPr>
        <w:t>is</w:t>
      </w:r>
      <w:r>
        <w:rPr>
          <w:spacing w:val="15"/>
          <w:vertAlign w:val="baseline"/>
        </w:rPr>
        <w:t> </w:t>
      </w:r>
      <w:r>
        <w:rPr>
          <w:vertAlign w:val="baseline"/>
        </w:rPr>
        <w:t>doubt</w:t>
      </w:r>
      <w:r>
        <w:rPr>
          <w:spacing w:val="15"/>
          <w:vertAlign w:val="baseline"/>
        </w:rPr>
        <w:t> </w:t>
      </w:r>
      <w:r>
        <w:rPr>
          <w:vertAlign w:val="baseline"/>
        </w:rPr>
        <w:t>over</w:t>
      </w:r>
      <w:r>
        <w:rPr>
          <w:spacing w:val="15"/>
          <w:vertAlign w:val="baseline"/>
        </w:rPr>
        <w:t> </w:t>
      </w:r>
      <w:r>
        <w:rPr>
          <w:vertAlign w:val="baseline"/>
        </w:rPr>
        <w:t>whether</w:t>
      </w:r>
      <w:r>
        <w:rPr>
          <w:spacing w:val="15"/>
          <w:vertAlign w:val="baseline"/>
        </w:rPr>
        <w:t> </w:t>
      </w:r>
      <w:r>
        <w:rPr>
          <w:vertAlign w:val="baseline"/>
        </w:rPr>
        <w:t>the</w:t>
      </w:r>
      <w:r>
        <w:rPr>
          <w:spacing w:val="15"/>
          <w:vertAlign w:val="baseline"/>
        </w:rPr>
        <w:t> </w:t>
      </w:r>
      <w:r>
        <w:rPr>
          <w:spacing w:val="-2"/>
          <w:vertAlign w:val="baseline"/>
        </w:rPr>
        <w:t>company</w:t>
      </w:r>
    </w:p>
    <w:p>
      <w:pPr>
        <w:pStyle w:val="BodyText"/>
        <w:spacing w:line="235" w:lineRule="auto" w:before="114"/>
        <w:ind w:left="165" w:right="167"/>
        <w:jc w:val="both"/>
      </w:pPr>
      <w:r>
        <w:rPr/>
        <w:t>accepted the other terms. </w:t>
      </w:r>
      <w:r>
        <w:rPr>
          <w:color w:val="005DA1"/>
          <w:u w:val="single" w:color="005DA1"/>
          <w:vertAlign w:val="superscript"/>
        </w:rPr>
        <w:t>163</w:t>
      </w:r>
      <w:r>
        <w:rPr>
          <w:color w:val="005DA1"/>
          <w:spacing w:val="80"/>
          <w:vertAlign w:val="baseline"/>
        </w:rPr>
        <w:t> </w:t>
      </w:r>
      <w:r>
        <w:rPr>
          <w:color w:val="005DA1"/>
          <w:spacing w:val="14"/>
          <w:position w:val="-2"/>
          <w:vertAlign w:val="baseline"/>
        </w:rPr>
        <w:drawing>
          <wp:inline distT="0" distB="0" distL="0" distR="0">
            <wp:extent cx="107988" cy="107988"/>
            <wp:effectExtent l="0" t="0" r="0" b="0"/>
            <wp:docPr id="36" name="Image 36"/>
            <wp:cNvGraphicFramePr>
              <a:graphicFrameLocks/>
            </wp:cNvGraphicFramePr>
            <a:graphic>
              <a:graphicData uri="http://schemas.openxmlformats.org/drawingml/2006/picture">
                <pic:pic>
                  <pic:nvPicPr>
                    <pic:cNvPr id="36" name="Image 3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6"/>
          <w:vertAlign w:val="baseline"/>
        </w:rPr>
        <w:t> </w:t>
      </w:r>
      <w:r>
        <w:rPr>
          <w:vertAlign w:val="baseline"/>
        </w:rPr>
        <w:t>A fortiori, there is no acceptance where the offeree’s conduct clearly indicates an intention to reject the offer. This was the position in a Scottish case where a notice on </w:t>
      </w:r>
      <w:r>
        <w:rPr>
          <w:vertAlign w:val="baseline"/>
        </w:rPr>
        <w:t>a </w:t>
      </w:r>
      <w:bookmarkStart w:name="_bookmark288" w:id="290"/>
      <w:bookmarkEnd w:id="290"/>
      <w:r>
        <w:rPr>
          <w:vertAlign w:val="baseline"/>
        </w:rPr>
        <w:t>package</w:t>
      </w:r>
      <w:r>
        <w:rPr>
          <w:vertAlign w:val="baseline"/>
        </w:rPr>
        <w:t> containing computer software stated that opening the package would indicate acceptance of the terms on which the supply was made, and the customer returned the package unopened. </w:t>
      </w:r>
      <w:r>
        <w:rPr>
          <w:color w:val="005DA1"/>
          <w:u w:val="single" w:color="005DA1"/>
          <w:vertAlign w:val="superscript"/>
        </w:rPr>
        <w:t>164</w:t>
      </w:r>
    </w:p>
    <w:p>
      <w:pPr>
        <w:pStyle w:val="BodyText"/>
      </w:pPr>
    </w:p>
    <w:p>
      <w:pPr>
        <w:pStyle w:val="BodyText"/>
        <w:spacing w:before="37"/>
      </w:pPr>
    </w:p>
    <w:p>
      <w:pPr>
        <w:spacing w:before="0"/>
        <w:ind w:left="165" w:right="0" w:firstLine="0"/>
        <w:jc w:val="both"/>
        <w:rPr>
          <w:rFonts w:ascii="Arial"/>
          <w:b/>
          <w:sz w:val="18"/>
        </w:rPr>
      </w:pPr>
      <w:r>
        <w:rPr>
          <w:rFonts w:ascii="Arial"/>
          <w:b/>
          <w:sz w:val="18"/>
        </w:rPr>
        <w:t>Establishing the terms of contracts made by </w:t>
      </w:r>
      <w:r>
        <w:rPr>
          <w:rFonts w:ascii="Arial"/>
          <w:b/>
          <w:spacing w:val="-2"/>
          <w:sz w:val="18"/>
        </w:rPr>
        <w:t>conduct</w:t>
      </w:r>
    </w:p>
    <w:p>
      <w:pPr>
        <w:pStyle w:val="BodyText"/>
        <w:spacing w:before="41"/>
        <w:rPr>
          <w:rFonts w:ascii="Arial"/>
          <w:b/>
          <w:sz w:val="18"/>
        </w:rPr>
      </w:pPr>
    </w:p>
    <w:p>
      <w:pPr>
        <w:pStyle w:val="Heading2"/>
      </w:pPr>
      <w:r>
        <w:rPr/>
        <w:t>2-</w:t>
      </w:r>
      <w:r>
        <w:rPr>
          <w:spacing w:val="-5"/>
        </w:rPr>
        <w:t>030</w:t>
      </w:r>
    </w:p>
    <w:p>
      <w:pPr>
        <w:pStyle w:val="BodyText"/>
        <w:spacing w:line="235" w:lineRule="auto" w:before="203"/>
        <w:ind w:left="164" w:right="167"/>
        <w:jc w:val="both"/>
      </w:pPr>
      <w:r>
        <w:rPr/>
        <w:t>Where an offer or an acceptance or both are alleged to have been made by conduct, the terms of the agreement may be more difficult to ascertain than where the agreement was negotiated by </w:t>
      </w:r>
      <w:r>
        <w:rPr/>
        <w:t>express </w:t>
      </w:r>
      <w:bookmarkStart w:name="_bookmark289" w:id="291"/>
      <w:bookmarkEnd w:id="291"/>
      <w:r>
        <w:rPr/>
        <w:t>words.</w:t>
      </w:r>
      <w:r>
        <w:rPr/>
        <w:t> The difficulty may be so great as to force the court to conclude that no agreement was</w:t>
      </w:r>
      <w:r>
        <w:rPr>
          <w:spacing w:val="40"/>
        </w:rPr>
        <w:t> </w:t>
      </w:r>
      <w:bookmarkStart w:name="_bookmark290" w:id="292"/>
      <w:bookmarkEnd w:id="292"/>
      <w:r>
        <w:rPr/>
        <w:t>reached</w:t>
      </w:r>
      <w:r>
        <w:rPr/>
        <w:t> at all. </w:t>
      </w:r>
      <w:r>
        <w:rPr>
          <w:color w:val="005DA1"/>
          <w:u w:val="single" w:color="005DA1"/>
          <w:vertAlign w:val="superscript"/>
        </w:rPr>
        <w:t>165</w:t>
      </w:r>
      <w:r>
        <w:rPr>
          <w:color w:val="005DA1"/>
          <w:vertAlign w:val="baseline"/>
        </w:rPr>
        <w:t> </w:t>
      </w:r>
      <w:r>
        <w:rPr>
          <w:vertAlign w:val="baseline"/>
        </w:rPr>
        <w:t>But sometimes the court can resolve the uncertainty by applying the standard of </w:t>
      </w:r>
      <w:bookmarkStart w:name="_bookmark291" w:id="293"/>
      <w:bookmarkEnd w:id="293"/>
      <w:r>
        <w:rPr>
          <w:vertAlign w:val="baseline"/>
        </w:rPr>
        <w:t>reasonableness</w:t>
      </w:r>
      <w:r>
        <w:rPr>
          <w:vertAlign w:val="baseline"/>
        </w:rPr>
        <w:t> </w:t>
      </w:r>
      <w:r>
        <w:rPr>
          <w:color w:val="005DA1"/>
          <w:u w:val="single" w:color="005DA1"/>
          <w:vertAlign w:val="superscript"/>
        </w:rPr>
        <w:t>166</w:t>
      </w:r>
      <w:r>
        <w:rPr>
          <w:color w:val="005DA1"/>
          <w:vertAlign w:val="baseline"/>
        </w:rPr>
        <w:t> </w:t>
      </w:r>
      <w:r>
        <w:rPr>
          <w:vertAlign w:val="baseline"/>
        </w:rPr>
        <w:t>or by reference to another contract (whether between the same parties or</w:t>
      </w:r>
      <w:r>
        <w:rPr>
          <w:spacing w:val="40"/>
          <w:vertAlign w:val="baseline"/>
        </w:rPr>
        <w:t> </w:t>
      </w:r>
      <w:bookmarkStart w:name="_bookmark292" w:id="294"/>
      <w:bookmarkEnd w:id="294"/>
      <w:r>
        <w:rPr>
          <w:vertAlign w:val="baseline"/>
        </w:rPr>
        <w:t>between</w:t>
      </w:r>
      <w:r>
        <w:rPr>
          <w:vertAlign w:val="baseline"/>
        </w:rPr>
        <w:t> one of them and a third party </w:t>
      </w:r>
      <w:r>
        <w:rPr>
          <w:color w:val="005DA1"/>
          <w:u w:val="single" w:color="005DA1"/>
          <w:vertAlign w:val="superscript"/>
        </w:rPr>
        <w:t>167</w:t>
      </w:r>
      <w:r>
        <w:rPr>
          <w:vertAlign w:val="baseline"/>
        </w:rPr>
        <w:t>), or even to a draft agreement between them, which had never matured into a contract. For example, in </w:t>
      </w:r>
      <w:r>
        <w:rPr>
          <w:rFonts w:ascii="Arial" w:hAnsi="Arial"/>
          <w:i/>
          <w:vertAlign w:val="baseline"/>
        </w:rPr>
        <w:t>Brogden v Metropolitan Ry </w:t>
      </w:r>
      <w:r>
        <w:rPr>
          <w:color w:val="005DA1"/>
          <w:u w:val="single" w:color="005DA1"/>
          <w:vertAlign w:val="superscript"/>
        </w:rPr>
        <w:t>168</w:t>
      </w:r>
      <w:r>
        <w:rPr>
          <w:color w:val="005DA1"/>
          <w:vertAlign w:val="baseline"/>
        </w:rPr>
        <w:t> </w:t>
      </w:r>
      <w:r>
        <w:rPr>
          <w:vertAlign w:val="baseline"/>
        </w:rPr>
        <w:t>a railway company submitted to a merchant a draft agreement for the supply of coal. The merchant returned it marked “approved” but also made a number of alterations to it, to which the railway company did not</w:t>
      </w:r>
      <w:r>
        <w:rPr>
          <w:spacing w:val="40"/>
          <w:vertAlign w:val="baseline"/>
        </w:rPr>
        <w:t> </w:t>
      </w:r>
      <w:r>
        <w:rPr>
          <w:vertAlign w:val="baseline"/>
        </w:rPr>
        <w:t>expressly assent; but the company accepted deliveries of coal under the draft agreement for two </w:t>
      </w:r>
      <w:bookmarkStart w:name="_bookmark293" w:id="295"/>
      <w:bookmarkEnd w:id="295"/>
      <w:r>
        <w:rPr>
          <w:vertAlign w:val="baseline"/>
        </w:rPr>
        <w:t>years.</w:t>
      </w:r>
      <w:r>
        <w:rPr>
          <w:vertAlign w:val="baseline"/>
        </w:rPr>
        <w:t> It was held that once the company began to accept these deliveries there was a contract on</w:t>
      </w:r>
      <w:r>
        <w:rPr>
          <w:spacing w:val="40"/>
          <w:vertAlign w:val="baseline"/>
        </w:rPr>
        <w:t> </w:t>
      </w:r>
      <w:r>
        <w:rPr>
          <w:vertAlign w:val="baseline"/>
        </w:rPr>
        <w:t>the terms of the draft agreement. </w:t>
      </w:r>
      <w:r>
        <w:rPr>
          <w:color w:val="005DA1"/>
          <w:u w:val="single" w:color="005DA1"/>
          <w:vertAlign w:val="superscript"/>
        </w:rPr>
        <w:t>169</w:t>
      </w:r>
    </w:p>
    <w:p>
      <w:pPr>
        <w:pStyle w:val="BodyText"/>
      </w:pPr>
    </w:p>
    <w:p>
      <w:pPr>
        <w:pStyle w:val="BodyText"/>
        <w:spacing w:before="34"/>
      </w:pPr>
    </w:p>
    <w:p>
      <w:pPr>
        <w:spacing w:before="0"/>
        <w:ind w:left="165" w:right="0" w:firstLine="0"/>
        <w:jc w:val="left"/>
        <w:rPr>
          <w:rFonts w:ascii="Arial"/>
          <w:b/>
          <w:sz w:val="18"/>
        </w:rPr>
      </w:pPr>
      <w:r>
        <w:rPr>
          <w:rFonts w:ascii="Arial"/>
          <w:b/>
          <w:sz w:val="18"/>
        </w:rPr>
        <w:t>Correspondence between acceptance and </w:t>
      </w:r>
      <w:r>
        <w:rPr>
          <w:rFonts w:ascii="Arial"/>
          <w:b/>
          <w:spacing w:val="-2"/>
          <w:sz w:val="18"/>
        </w:rPr>
        <w:t>offer</w:t>
      </w:r>
    </w:p>
    <w:p>
      <w:pPr>
        <w:spacing w:after="0"/>
        <w:jc w:val="left"/>
        <w:rPr>
          <w:rFonts w:ascii="Arial"/>
          <w:b/>
          <w:sz w:val="18"/>
        </w:rPr>
        <w:sectPr>
          <w:pgSz w:w="11900" w:h="16840"/>
          <w:pgMar w:header="971" w:footer="0" w:top="1300" w:bottom="280" w:left="1275" w:right="1275"/>
        </w:sectPr>
      </w:pPr>
    </w:p>
    <w:p>
      <w:pPr>
        <w:pStyle w:val="Heading2"/>
        <w:spacing w:before="262"/>
      </w:pPr>
      <w:r>
        <w:rPr/>
        <w:t>2-</w:t>
      </w:r>
      <w:r>
        <w:rPr>
          <w:spacing w:val="-5"/>
        </w:rPr>
        <w:t>031</w:t>
      </w:r>
    </w:p>
    <w:p>
      <w:pPr>
        <w:pStyle w:val="BodyText"/>
        <w:spacing w:line="235" w:lineRule="auto" w:before="202"/>
        <w:ind w:left="164" w:right="167"/>
        <w:jc w:val="both"/>
      </w:pPr>
      <w:bookmarkStart w:name="_bookmark294" w:id="296"/>
      <w:bookmarkEnd w:id="296"/>
      <w:r>
        <w:rPr/>
      </w:r>
      <w:r>
        <w:rPr/>
        <w:t>A</w:t>
      </w:r>
      <w:r>
        <w:rPr>
          <w:spacing w:val="-1"/>
        </w:rPr>
        <w:t> </w:t>
      </w:r>
      <w:r>
        <w:rPr/>
        <w:t>communication</w:t>
      </w:r>
      <w:r>
        <w:rPr>
          <w:spacing w:val="-1"/>
        </w:rPr>
        <w:t> </w:t>
      </w:r>
      <w:r>
        <w:rPr/>
        <w:t>may</w:t>
      </w:r>
      <w:r>
        <w:rPr>
          <w:spacing w:val="-1"/>
        </w:rPr>
        <w:t> </w:t>
      </w:r>
      <w:r>
        <w:rPr/>
        <w:t>fail</w:t>
      </w:r>
      <w:r>
        <w:rPr>
          <w:spacing w:val="-1"/>
        </w:rPr>
        <w:t> </w:t>
      </w:r>
      <w:r>
        <w:rPr/>
        <w:t>to</w:t>
      </w:r>
      <w:r>
        <w:rPr>
          <w:spacing w:val="-1"/>
        </w:rPr>
        <w:t> </w:t>
      </w:r>
      <w:r>
        <w:rPr/>
        <w:t>take</w:t>
      </w:r>
      <w:r>
        <w:rPr>
          <w:spacing w:val="-1"/>
        </w:rPr>
        <w:t> </w:t>
      </w:r>
      <w:r>
        <w:rPr/>
        <w:t>effect</w:t>
      </w:r>
      <w:r>
        <w:rPr>
          <w:spacing w:val="-1"/>
        </w:rPr>
        <w:t> </w:t>
      </w:r>
      <w:r>
        <w:rPr/>
        <w:t>as</w:t>
      </w:r>
      <w:r>
        <w:rPr>
          <w:spacing w:val="-1"/>
        </w:rPr>
        <w:t> </w:t>
      </w:r>
      <w:r>
        <w:rPr/>
        <w:t>an</w:t>
      </w:r>
      <w:r>
        <w:rPr>
          <w:spacing w:val="-1"/>
        </w:rPr>
        <w:t> </w:t>
      </w:r>
      <w:r>
        <w:rPr/>
        <w:t>acceptance</w:t>
      </w:r>
      <w:r>
        <w:rPr>
          <w:spacing w:val="-1"/>
        </w:rPr>
        <w:t> </w:t>
      </w:r>
      <w:r>
        <w:rPr/>
        <w:t>because</w:t>
      </w:r>
      <w:r>
        <w:rPr>
          <w:spacing w:val="-1"/>
        </w:rPr>
        <w:t> </w:t>
      </w:r>
      <w:r>
        <w:rPr/>
        <w:t>it</w:t>
      </w:r>
      <w:r>
        <w:rPr>
          <w:spacing w:val="-1"/>
        </w:rPr>
        <w:t> </w:t>
      </w:r>
      <w:r>
        <w:rPr/>
        <w:t>attempts</w:t>
      </w:r>
      <w:r>
        <w:rPr>
          <w:spacing w:val="-1"/>
        </w:rPr>
        <w:t> </w:t>
      </w:r>
      <w:r>
        <w:rPr/>
        <w:t>to</w:t>
      </w:r>
      <w:r>
        <w:rPr>
          <w:spacing w:val="-1"/>
        </w:rPr>
        <w:t> </w:t>
      </w:r>
      <w:r>
        <w:rPr/>
        <w:t>vary</w:t>
      </w:r>
      <w:r>
        <w:rPr>
          <w:spacing w:val="-1"/>
        </w:rPr>
        <w:t> </w:t>
      </w:r>
      <w:r>
        <w:rPr/>
        <w:t>the</w:t>
      </w:r>
      <w:r>
        <w:rPr>
          <w:spacing w:val="-1"/>
        </w:rPr>
        <w:t> </w:t>
      </w:r>
      <w:r>
        <w:rPr/>
        <w:t>terms</w:t>
      </w:r>
      <w:r>
        <w:rPr>
          <w:spacing w:val="-1"/>
        </w:rPr>
        <w:t> </w:t>
      </w:r>
      <w:r>
        <w:rPr/>
        <w:t>of</w:t>
      </w:r>
      <w:r>
        <w:rPr>
          <w:spacing w:val="-1"/>
        </w:rPr>
        <w:t> </w:t>
      </w:r>
      <w:r>
        <w:rPr/>
        <w:t>the offer.</w:t>
      </w:r>
      <w:r>
        <w:rPr>
          <w:spacing w:val="-1"/>
        </w:rPr>
        <w:t> </w:t>
      </w:r>
      <w:r>
        <w:rPr/>
        <w:t>Thus</w:t>
      </w:r>
      <w:r>
        <w:rPr>
          <w:spacing w:val="-1"/>
        </w:rPr>
        <w:t> </w:t>
      </w:r>
      <w:r>
        <w:rPr/>
        <w:t>an</w:t>
      </w:r>
      <w:r>
        <w:rPr>
          <w:spacing w:val="-1"/>
        </w:rPr>
        <w:t> </w:t>
      </w:r>
      <w:r>
        <w:rPr/>
        <w:t>offer</w:t>
      </w:r>
      <w:r>
        <w:rPr>
          <w:spacing w:val="-1"/>
        </w:rPr>
        <w:t> </w:t>
      </w:r>
      <w:r>
        <w:rPr/>
        <w:t>to</w:t>
      </w:r>
      <w:r>
        <w:rPr>
          <w:spacing w:val="-1"/>
        </w:rPr>
        <w:t> </w:t>
      </w:r>
      <w:r>
        <w:rPr/>
        <w:t>sell</w:t>
      </w:r>
      <w:r>
        <w:rPr>
          <w:spacing w:val="-1"/>
        </w:rPr>
        <w:t> </w:t>
      </w:r>
      <w:r>
        <w:rPr/>
        <w:t>1,200</w:t>
      </w:r>
      <w:r>
        <w:rPr>
          <w:spacing w:val="-1"/>
        </w:rPr>
        <w:t> </w:t>
      </w:r>
      <w:r>
        <w:rPr/>
        <w:t>tons</w:t>
      </w:r>
      <w:r>
        <w:rPr>
          <w:spacing w:val="-1"/>
        </w:rPr>
        <w:t> </w:t>
      </w:r>
      <w:r>
        <w:rPr/>
        <w:t>of</w:t>
      </w:r>
      <w:r>
        <w:rPr>
          <w:spacing w:val="-1"/>
        </w:rPr>
        <w:t> </w:t>
      </w:r>
      <w:r>
        <w:rPr/>
        <w:t>iron</w:t>
      </w:r>
      <w:r>
        <w:rPr>
          <w:spacing w:val="-1"/>
        </w:rPr>
        <w:t> </w:t>
      </w:r>
      <w:r>
        <w:rPr/>
        <w:t>is</w:t>
      </w:r>
      <w:r>
        <w:rPr>
          <w:spacing w:val="-1"/>
        </w:rPr>
        <w:t> </w:t>
      </w:r>
      <w:r>
        <w:rPr/>
        <w:t>not</w:t>
      </w:r>
      <w:r>
        <w:rPr>
          <w:spacing w:val="-1"/>
        </w:rPr>
        <w:t> </w:t>
      </w:r>
      <w:r>
        <w:rPr/>
        <w:t>accepted</w:t>
      </w:r>
      <w:r>
        <w:rPr>
          <w:spacing w:val="-1"/>
        </w:rPr>
        <w:t> </w:t>
      </w:r>
      <w:r>
        <w:rPr/>
        <w:t>by</w:t>
      </w:r>
      <w:r>
        <w:rPr>
          <w:spacing w:val="-1"/>
        </w:rPr>
        <w:t> </w:t>
      </w:r>
      <w:r>
        <w:rPr/>
        <w:t>a</w:t>
      </w:r>
      <w:r>
        <w:rPr>
          <w:spacing w:val="-1"/>
        </w:rPr>
        <w:t> </w:t>
      </w:r>
      <w:r>
        <w:rPr/>
        <w:t>reply</w:t>
      </w:r>
      <w:r>
        <w:rPr>
          <w:spacing w:val="-1"/>
        </w:rPr>
        <w:t> </w:t>
      </w:r>
      <w:r>
        <w:rPr/>
        <w:t>asking</w:t>
      </w:r>
      <w:r>
        <w:rPr>
          <w:spacing w:val="-1"/>
        </w:rPr>
        <w:t> </w:t>
      </w:r>
      <w:r>
        <w:rPr/>
        <w:t>for</w:t>
      </w:r>
      <w:r>
        <w:rPr>
          <w:spacing w:val="-1"/>
        </w:rPr>
        <w:t> </w:t>
      </w:r>
      <w:r>
        <w:rPr/>
        <w:t>800</w:t>
      </w:r>
      <w:r>
        <w:rPr>
          <w:spacing w:val="-1"/>
        </w:rPr>
        <w:t> </w:t>
      </w:r>
      <w:r>
        <w:rPr/>
        <w:t>tons</w:t>
      </w:r>
      <w:r>
        <w:rPr>
          <w:spacing w:val="-2"/>
        </w:rPr>
        <w:t> </w:t>
      </w:r>
      <w:r>
        <w:rPr>
          <w:color w:val="005DA1"/>
          <w:u w:val="single" w:color="005DA1"/>
          <w:vertAlign w:val="superscript"/>
        </w:rPr>
        <w:t>170</w:t>
      </w:r>
      <w:r>
        <w:rPr>
          <w:vertAlign w:val="baseline"/>
        </w:rPr>
        <w:t>;</w:t>
      </w:r>
      <w:r>
        <w:rPr>
          <w:spacing w:val="-1"/>
          <w:vertAlign w:val="baseline"/>
        </w:rPr>
        <w:t> </w:t>
      </w:r>
      <w:r>
        <w:rPr>
          <w:vertAlign w:val="baseline"/>
        </w:rPr>
        <w:t>an</w:t>
      </w:r>
      <w:r>
        <w:rPr>
          <w:spacing w:val="-1"/>
          <w:vertAlign w:val="baseline"/>
        </w:rPr>
        <w:t> </w:t>
      </w:r>
      <w:r>
        <w:rPr>
          <w:vertAlign w:val="baseline"/>
        </w:rPr>
        <w:t>offer </w:t>
      </w:r>
      <w:bookmarkStart w:name="_bookmark295" w:id="297"/>
      <w:bookmarkEnd w:id="297"/>
      <w:r>
        <w:rPr>
          <w:vertAlign w:val="baseline"/>
        </w:rPr>
        <w:t>to</w:t>
      </w:r>
      <w:r>
        <w:rPr>
          <w:vertAlign w:val="baseline"/>
        </w:rPr>
        <w:t> pay a </w:t>
      </w:r>
      <w:r>
        <w:rPr>
          <w:rFonts w:ascii="Arial" w:hAnsi="Arial"/>
          <w:i/>
          <w:vertAlign w:val="baseline"/>
        </w:rPr>
        <w:t>fixed </w:t>
      </w:r>
      <w:r>
        <w:rPr>
          <w:vertAlign w:val="baseline"/>
        </w:rPr>
        <w:t>price for building work cannot be accepted by a promise to do the work for a </w:t>
      </w:r>
      <w:r>
        <w:rPr>
          <w:rFonts w:ascii="Arial" w:hAnsi="Arial"/>
          <w:i/>
          <w:vertAlign w:val="baseline"/>
        </w:rPr>
        <w:t>variable </w:t>
      </w:r>
      <w:bookmarkStart w:name="_bookmark296" w:id="298"/>
      <w:bookmarkEnd w:id="298"/>
      <w:r>
        <w:rPr>
          <w:rFonts w:ascii="Arial" w:hAnsi="Arial"/>
          <w:i/>
          <w:vertAlign w:val="baseline"/>
        </w:rPr>
      </w:r>
      <w:r>
        <w:rPr>
          <w:vertAlign w:val="baseline"/>
        </w:rPr>
        <w:t>price </w:t>
      </w:r>
      <w:r>
        <w:rPr>
          <w:color w:val="005DA1"/>
          <w:u w:val="single" w:color="005DA1"/>
          <w:vertAlign w:val="superscript"/>
        </w:rPr>
        <w:t>171</w:t>
      </w:r>
      <w:r>
        <w:rPr>
          <w:vertAlign w:val="baseline"/>
        </w:rPr>
        <w:t>; and an offer to </w:t>
      </w:r>
      <w:r>
        <w:rPr>
          <w:rFonts w:ascii="Arial" w:hAnsi="Arial"/>
          <w:i/>
          <w:vertAlign w:val="baseline"/>
        </w:rPr>
        <w:t>supply </w:t>
      </w:r>
      <w:r>
        <w:rPr>
          <w:vertAlign w:val="baseline"/>
        </w:rPr>
        <w:t>goods cannot be accepted by an “order” for their “</w:t>
      </w:r>
      <w:r>
        <w:rPr>
          <w:spacing w:val="-10"/>
          <w:vertAlign w:val="baseline"/>
        </w:rPr>
        <w:t> </w:t>
      </w:r>
      <w:r>
        <w:rPr>
          <w:rFonts w:ascii="Arial" w:hAnsi="Arial"/>
          <w:i/>
          <w:vertAlign w:val="baseline"/>
        </w:rPr>
        <w:t>supply and </w:t>
      </w:r>
      <w:bookmarkStart w:name="_bookmark297" w:id="299"/>
      <w:bookmarkEnd w:id="299"/>
      <w:r>
        <w:rPr>
          <w:rFonts w:ascii="Arial" w:hAnsi="Arial"/>
          <w:i/>
          <w:vertAlign w:val="baseline"/>
        </w:rPr>
        <w:t>installatio</w:t>
      </w:r>
      <w:r>
        <w:rPr>
          <w:rFonts w:ascii="Arial" w:hAnsi="Arial"/>
          <w:i/>
          <w:vertAlign w:val="baseline"/>
        </w:rPr>
        <w:t>n</w:t>
      </w:r>
      <w:r>
        <w:rPr>
          <w:vertAlign w:val="baseline"/>
        </w:rPr>
        <w:t>”. </w:t>
      </w:r>
      <w:r>
        <w:rPr>
          <w:color w:val="005DA1"/>
          <w:u w:val="single" w:color="005DA1"/>
          <w:vertAlign w:val="superscript"/>
        </w:rPr>
        <w:t>172</w:t>
      </w:r>
      <w:r>
        <w:rPr>
          <w:color w:val="005DA1"/>
          <w:vertAlign w:val="baseline"/>
        </w:rPr>
        <w:t> </w:t>
      </w:r>
      <w:r>
        <w:rPr>
          <w:vertAlign w:val="baseline"/>
        </w:rPr>
        <w:t>Nor, generally, can an offer be accepted by a reply which varies one of its other terms </w:t>
      </w:r>
      <w:bookmarkStart w:name="_bookmark298" w:id="300"/>
      <w:bookmarkEnd w:id="300"/>
      <w:r>
        <w:rPr>
          <w:vertAlign w:val="baseline"/>
        </w:rPr>
        <w:t>(e.g.</w:t>
      </w:r>
      <w:r>
        <w:rPr>
          <w:spacing w:val="5"/>
          <w:vertAlign w:val="baseline"/>
        </w:rPr>
        <w:t> </w:t>
      </w:r>
      <w:r>
        <w:rPr>
          <w:vertAlign w:val="baseline"/>
        </w:rPr>
        <w:t>that</w:t>
      </w:r>
      <w:r>
        <w:rPr>
          <w:spacing w:val="6"/>
          <w:vertAlign w:val="baseline"/>
        </w:rPr>
        <w:t> </w:t>
      </w:r>
      <w:r>
        <w:rPr>
          <w:vertAlign w:val="baseline"/>
        </w:rPr>
        <w:t>specifying</w:t>
      </w:r>
      <w:r>
        <w:rPr>
          <w:spacing w:val="6"/>
          <w:vertAlign w:val="baseline"/>
        </w:rPr>
        <w:t> </w:t>
      </w:r>
      <w:r>
        <w:rPr>
          <w:vertAlign w:val="baseline"/>
        </w:rPr>
        <w:t>the</w:t>
      </w:r>
      <w:r>
        <w:rPr>
          <w:spacing w:val="6"/>
          <w:vertAlign w:val="baseline"/>
        </w:rPr>
        <w:t> </w:t>
      </w:r>
      <w:r>
        <w:rPr>
          <w:vertAlign w:val="baseline"/>
        </w:rPr>
        <w:t>time</w:t>
      </w:r>
      <w:r>
        <w:rPr>
          <w:spacing w:val="6"/>
          <w:vertAlign w:val="baseline"/>
        </w:rPr>
        <w:t> </w:t>
      </w:r>
      <w:r>
        <w:rPr>
          <w:vertAlign w:val="baseline"/>
        </w:rPr>
        <w:t>of</w:t>
      </w:r>
      <w:r>
        <w:rPr>
          <w:spacing w:val="6"/>
          <w:vertAlign w:val="baseline"/>
        </w:rPr>
        <w:t> </w:t>
      </w:r>
      <w:r>
        <w:rPr>
          <w:vertAlign w:val="baseline"/>
        </w:rPr>
        <w:t>performance),</w:t>
      </w:r>
      <w:r>
        <w:rPr>
          <w:spacing w:val="5"/>
          <w:vertAlign w:val="baseline"/>
        </w:rPr>
        <w:t> </w:t>
      </w:r>
      <w:r>
        <w:rPr>
          <w:color w:val="005DA1"/>
          <w:u w:val="single" w:color="005DA1"/>
          <w:vertAlign w:val="superscript"/>
        </w:rPr>
        <w:t>173</w:t>
      </w:r>
      <w:r>
        <w:rPr>
          <w:color w:val="005DA1"/>
          <w:spacing w:val="6"/>
          <w:vertAlign w:val="baseline"/>
        </w:rPr>
        <w:t> </w:t>
      </w:r>
      <w:r>
        <w:rPr>
          <w:vertAlign w:val="baseline"/>
        </w:rPr>
        <w:t>or</w:t>
      </w:r>
      <w:r>
        <w:rPr>
          <w:spacing w:val="6"/>
          <w:vertAlign w:val="baseline"/>
        </w:rPr>
        <w:t> </w:t>
      </w:r>
      <w:r>
        <w:rPr>
          <w:vertAlign w:val="baseline"/>
        </w:rPr>
        <w:t>by</w:t>
      </w:r>
      <w:r>
        <w:rPr>
          <w:spacing w:val="6"/>
          <w:vertAlign w:val="baseline"/>
        </w:rPr>
        <w:t> </w:t>
      </w:r>
      <w:r>
        <w:rPr>
          <w:vertAlign w:val="baseline"/>
        </w:rPr>
        <w:t>a</w:t>
      </w:r>
      <w:r>
        <w:rPr>
          <w:spacing w:val="6"/>
          <w:vertAlign w:val="baseline"/>
        </w:rPr>
        <w:t> </w:t>
      </w:r>
      <w:r>
        <w:rPr>
          <w:vertAlign w:val="baseline"/>
        </w:rPr>
        <w:t>reply</w:t>
      </w:r>
      <w:r>
        <w:rPr>
          <w:spacing w:val="6"/>
          <w:vertAlign w:val="baseline"/>
        </w:rPr>
        <w:t> </w:t>
      </w:r>
      <w:r>
        <w:rPr>
          <w:vertAlign w:val="baseline"/>
        </w:rPr>
        <w:t>which</w:t>
      </w:r>
      <w:r>
        <w:rPr>
          <w:spacing w:val="6"/>
          <w:vertAlign w:val="baseline"/>
        </w:rPr>
        <w:t> </w:t>
      </w:r>
      <w:r>
        <w:rPr>
          <w:vertAlign w:val="baseline"/>
        </w:rPr>
        <w:t>introduces</w:t>
      </w:r>
      <w:r>
        <w:rPr>
          <w:spacing w:val="6"/>
          <w:vertAlign w:val="baseline"/>
        </w:rPr>
        <w:t> </w:t>
      </w:r>
      <w:r>
        <w:rPr>
          <w:vertAlign w:val="baseline"/>
        </w:rPr>
        <w:t>an</w:t>
      </w:r>
      <w:r>
        <w:rPr>
          <w:spacing w:val="6"/>
          <w:vertAlign w:val="baseline"/>
        </w:rPr>
        <w:t> </w:t>
      </w:r>
      <w:r>
        <w:rPr>
          <w:vertAlign w:val="baseline"/>
        </w:rPr>
        <w:t>entirely</w:t>
      </w:r>
      <w:r>
        <w:rPr>
          <w:spacing w:val="6"/>
          <w:vertAlign w:val="baseline"/>
        </w:rPr>
        <w:t> </w:t>
      </w:r>
      <w:r>
        <w:rPr>
          <w:vertAlign w:val="baseline"/>
        </w:rPr>
        <w:t>new</w:t>
      </w:r>
      <w:r>
        <w:rPr>
          <w:spacing w:val="6"/>
          <w:vertAlign w:val="baseline"/>
        </w:rPr>
        <w:t> </w:t>
      </w:r>
      <w:r>
        <w:rPr>
          <w:spacing w:val="-2"/>
          <w:vertAlign w:val="baseline"/>
        </w:rPr>
        <w:t>term.</w:t>
      </w:r>
    </w:p>
    <w:p>
      <w:pPr>
        <w:pStyle w:val="BodyText"/>
        <w:spacing w:line="235" w:lineRule="auto"/>
        <w:ind w:left="164" w:right="167"/>
        <w:jc w:val="both"/>
      </w:pPr>
      <w:r>
        <w:rPr>
          <w:color w:val="005DA1"/>
          <w:u w:val="single" w:color="005DA1"/>
          <w:vertAlign w:val="superscript"/>
        </w:rPr>
        <w:t>174</w:t>
      </w:r>
      <w:r>
        <w:rPr>
          <w:color w:val="005DA1"/>
          <w:vertAlign w:val="baseline"/>
        </w:rPr>
        <w:t> </w:t>
      </w:r>
      <w:r>
        <w:rPr>
          <w:vertAlign w:val="baseline"/>
        </w:rPr>
        <w:t>Such a reply is not an acceptance; but it may, rather, be a counter-offer, </w:t>
      </w:r>
      <w:r>
        <w:rPr>
          <w:color w:val="005DA1"/>
          <w:u w:val="single" w:color="005DA1"/>
          <w:vertAlign w:val="superscript"/>
        </w:rPr>
        <w:t>175</w:t>
      </w:r>
      <w:r>
        <w:rPr>
          <w:color w:val="005DA1"/>
          <w:vertAlign w:val="baseline"/>
        </w:rPr>
        <w:t> </w:t>
      </w:r>
      <w:r>
        <w:rPr>
          <w:vertAlign w:val="baseline"/>
        </w:rPr>
        <w:t>which the original offeror can then accept or reject and the new offeror can revoke prior to its acceptance. On the other </w:t>
      </w:r>
      <w:bookmarkStart w:name="_bookmark299" w:id="301"/>
      <w:bookmarkEnd w:id="301"/>
      <w:r>
        <w:rPr>
          <w:vertAlign w:val="baseline"/>
        </w:rPr>
        <w:t>hand,</w:t>
      </w:r>
      <w:r>
        <w:rPr>
          <w:vertAlign w:val="baseline"/>
        </w:rPr>
        <w:t> statements that are not intended to vary the terms of the offer, or to add new terms, do not disqualify the acceptance, even where they do not precisely match the words of the offer. </w:t>
      </w:r>
      <w:r>
        <w:rPr>
          <w:color w:val="005DA1"/>
          <w:u w:val="single" w:color="005DA1"/>
          <w:vertAlign w:val="superscript"/>
        </w:rPr>
        <w:t>176</w:t>
      </w:r>
      <w:r>
        <w:rPr>
          <w:color w:val="005DA1"/>
          <w:vertAlign w:val="baseline"/>
        </w:rPr>
        <w:t> </w:t>
      </w:r>
      <w:r>
        <w:rPr>
          <w:vertAlign w:val="baseline"/>
        </w:rPr>
        <w:t>It is, </w:t>
      </w:r>
      <w:bookmarkStart w:name="_bookmark300" w:id="302"/>
      <w:bookmarkEnd w:id="302"/>
      <w:r>
        <w:rPr>
          <w:vertAlign w:val="baseline"/>
        </w:rPr>
        <w:t>moreover,</w:t>
      </w:r>
      <w:r>
        <w:rPr>
          <w:vertAlign w:val="baseline"/>
        </w:rPr>
        <w:t> submitted that, if the introduced term merely makes express what would otherwise be implied, it does not destroy the effectiveness of the acceptance. </w:t>
      </w:r>
      <w:r>
        <w:rPr>
          <w:color w:val="005DA1"/>
          <w:u w:val="single" w:color="005DA1"/>
          <w:vertAlign w:val="superscript"/>
        </w:rPr>
        <w:t>177</w:t>
      </w:r>
      <w:r>
        <w:rPr>
          <w:color w:val="005DA1"/>
          <w:vertAlign w:val="baseline"/>
        </w:rPr>
        <w:t> </w:t>
      </w:r>
      <w:r>
        <w:rPr>
          <w:vertAlign w:val="baseline"/>
        </w:rPr>
        <w:t>Nor will the introduced term have </w:t>
      </w:r>
      <w:bookmarkStart w:name="_bookmark301" w:id="303"/>
      <w:bookmarkEnd w:id="303"/>
      <w:r>
        <w:rPr>
          <w:vertAlign w:val="baseline"/>
        </w:rPr>
        <w:t>this</w:t>
      </w:r>
      <w:r>
        <w:rPr>
          <w:vertAlign w:val="baseline"/>
        </w:rPr>
        <w:t> effect if it is merely a declaration by the acceptor that he is prepared to grant some indulgence to the offeror, e.g. to condone late payment in return for specified interest. </w:t>
      </w:r>
      <w:r>
        <w:rPr>
          <w:color w:val="005DA1"/>
          <w:u w:val="single" w:color="005DA1"/>
          <w:vertAlign w:val="superscript"/>
        </w:rPr>
        <w:t>178</w:t>
      </w:r>
      <w:r>
        <w:rPr>
          <w:color w:val="005DA1"/>
          <w:vertAlign w:val="baseline"/>
        </w:rPr>
        <w:t> </w:t>
      </w:r>
      <w:r>
        <w:rPr>
          <w:vertAlign w:val="baseline"/>
        </w:rPr>
        <w:t>Similarly, it is </w:t>
      </w:r>
      <w:r>
        <w:rPr>
          <w:vertAlign w:val="baseline"/>
        </w:rPr>
        <w:t>submitted that an acceptance which asks for some indulgence to the offeree is, nevertheless, effective, so long as it is clear that the offeree is prepared to perform even if the indulgence is not granted: e.g. to buy for cash if his request for credit is refused. The test in each case is whether the offeror reasonably </w:t>
      </w:r>
      <w:bookmarkStart w:name="_bookmark302" w:id="304"/>
      <w:bookmarkEnd w:id="304"/>
      <w:r>
        <w:rPr>
          <w:vertAlign w:val="baseline"/>
        </w:rPr>
        <w:t>regarded</w:t>
      </w:r>
      <w:r>
        <w:rPr>
          <w:vertAlign w:val="baseline"/>
        </w:rPr>
        <w:t> the purported acceptance “as introducing a new term into the bargain and not as a clear </w:t>
      </w:r>
      <w:bookmarkStart w:name="_bookmark303" w:id="305"/>
      <w:bookmarkEnd w:id="305"/>
      <w:r>
        <w:rPr>
          <w:vertAlign w:val="baseline"/>
        </w:rPr>
        <w:t>acceptance</w:t>
      </w:r>
      <w:r>
        <w:rPr>
          <w:vertAlign w:val="baseline"/>
        </w:rPr>
        <w:t> of the offer”. </w:t>
      </w:r>
      <w:r>
        <w:rPr>
          <w:color w:val="005DA1"/>
          <w:u w:val="single" w:color="005DA1"/>
          <w:vertAlign w:val="superscript"/>
        </w:rPr>
        <w:t>179</w:t>
      </w:r>
      <w:r>
        <w:rPr>
          <w:color w:val="005DA1"/>
          <w:vertAlign w:val="baseline"/>
        </w:rPr>
        <w:t> </w:t>
      </w:r>
      <w:r>
        <w:rPr>
          <w:vertAlign w:val="baseline"/>
        </w:rPr>
        <w:t>In the case of continuing negotiations, the court must look at the whole correspondence between the parties. </w:t>
      </w:r>
      <w:r>
        <w:rPr>
          <w:color w:val="005DA1"/>
          <w:u w:val="single" w:color="005DA1"/>
          <w:vertAlign w:val="superscript"/>
        </w:rPr>
        <w:t>180</w:t>
      </w:r>
      <w:r>
        <w:rPr>
          <w:color w:val="005DA1"/>
          <w:vertAlign w:val="baseline"/>
        </w:rPr>
        <w:t> </w:t>
      </w:r>
      <w:r>
        <w:rPr>
          <w:vertAlign w:val="baseline"/>
        </w:rPr>
        <w:t>It is also possible for a communication which contains new </w:t>
      </w:r>
      <w:bookmarkStart w:name="_bookmark304" w:id="306"/>
      <w:bookmarkEnd w:id="306"/>
      <w:r>
        <w:rPr>
          <w:vertAlign w:val="baseline"/>
        </w:rPr>
        <w:t>terms</w:t>
      </w:r>
      <w:r>
        <w:rPr>
          <w:vertAlign w:val="baseline"/>
        </w:rPr>
        <w:t> to amount at the same time: (1) to a firm acceptance of the offer; and (2) to a new offer to enter </w:t>
      </w:r>
      <w:bookmarkStart w:name="_bookmark305" w:id="307"/>
      <w:bookmarkEnd w:id="307"/>
      <w:r>
        <w:rPr>
          <w:vertAlign w:val="baseline"/>
        </w:rPr>
        <w:t>into</w:t>
      </w:r>
      <w:r>
        <w:rPr>
          <w:vertAlign w:val="baseline"/>
        </w:rPr>
        <w:t> a further contract. </w:t>
      </w:r>
      <w:r>
        <w:rPr>
          <w:color w:val="005DA1"/>
          <w:u w:val="single" w:color="005DA1"/>
          <w:vertAlign w:val="superscript"/>
        </w:rPr>
        <w:t>181</w:t>
      </w:r>
      <w:r>
        <w:rPr>
          <w:color w:val="005DA1"/>
          <w:vertAlign w:val="baseline"/>
        </w:rPr>
        <w:t> </w:t>
      </w:r>
      <w:r>
        <w:rPr>
          <w:vertAlign w:val="baseline"/>
        </w:rPr>
        <w:t>In such a case, there will be a contract on the terms of the original offer, but none on the terms of the new offer, unless that, in turn, is accepted. </w:t>
      </w:r>
      <w:r>
        <w:rPr>
          <w:color w:val="005DA1"/>
          <w:u w:val="single" w:color="005DA1"/>
          <w:vertAlign w:val="superscript"/>
        </w:rPr>
        <w:t>182</w:t>
      </w:r>
    </w:p>
    <w:p>
      <w:pPr>
        <w:pStyle w:val="BodyText"/>
      </w:pPr>
    </w:p>
    <w:p>
      <w:pPr>
        <w:pStyle w:val="BodyText"/>
        <w:spacing w:before="30"/>
      </w:pPr>
    </w:p>
    <w:p>
      <w:pPr>
        <w:spacing w:before="0"/>
        <w:ind w:left="165" w:right="0" w:firstLine="0"/>
        <w:jc w:val="left"/>
        <w:rPr>
          <w:rFonts w:ascii="Arial"/>
          <w:b/>
          <w:sz w:val="18"/>
        </w:rPr>
      </w:pPr>
      <w:r>
        <w:rPr>
          <w:rFonts w:ascii="Arial"/>
          <w:b/>
          <w:sz w:val="18"/>
        </w:rPr>
        <w:t>Subsequent formal document </w:t>
      </w:r>
      <w:r>
        <w:rPr>
          <w:rFonts w:ascii="Arial"/>
          <w:b/>
          <w:spacing w:val="-2"/>
          <w:sz w:val="18"/>
        </w:rPr>
        <w:t>inaccurate</w:t>
      </w:r>
    </w:p>
    <w:p>
      <w:pPr>
        <w:pStyle w:val="BodyText"/>
        <w:spacing w:before="41"/>
        <w:rPr>
          <w:rFonts w:ascii="Arial"/>
          <w:b/>
          <w:sz w:val="18"/>
        </w:rPr>
      </w:pPr>
    </w:p>
    <w:p>
      <w:pPr>
        <w:pStyle w:val="Heading2"/>
        <w:spacing w:before="1"/>
      </w:pPr>
      <w:r>
        <w:rPr/>
        <w:t>2-</w:t>
      </w:r>
      <w:r>
        <w:rPr>
          <w:spacing w:val="-5"/>
        </w:rPr>
        <w:t>032</w:t>
      </w:r>
    </w:p>
    <w:p>
      <w:pPr>
        <w:pStyle w:val="BodyText"/>
        <w:spacing w:line="235" w:lineRule="auto" w:before="202"/>
        <w:ind w:left="164" w:right="167"/>
        <w:jc w:val="both"/>
      </w:pPr>
      <w:bookmarkStart w:name="_bookmark306" w:id="308"/>
      <w:bookmarkEnd w:id="308"/>
      <w:r>
        <w:rPr/>
      </w:r>
      <w:r>
        <w:rPr/>
        <w:t>After parties have reached agreement, the offer and acceptance may be set out in formal </w:t>
      </w:r>
      <w:r>
        <w:rPr/>
        <w:t>documents. The purpose of such documents may be merely to record the agreed terms </w:t>
      </w:r>
      <w:r>
        <w:rPr>
          <w:color w:val="005DA1"/>
          <w:u w:val="single" w:color="005DA1"/>
          <w:vertAlign w:val="superscript"/>
        </w:rPr>
        <w:t>183</w:t>
      </w:r>
      <w:r>
        <w:rPr>
          <w:vertAlign w:val="baseline"/>
        </w:rPr>
        <w:t>; and where one of the documents performs this function accurately while the other fails to do so, the discrepancy between </w:t>
      </w:r>
      <w:bookmarkStart w:name="_bookmark307" w:id="309"/>
      <w:bookmarkEnd w:id="309"/>
      <w:r>
        <w:rPr>
          <w:vertAlign w:val="baseline"/>
        </w:rPr>
        <w:t>them</w:t>
      </w:r>
      <w:r>
        <w:rPr>
          <w:vertAlign w:val="baseline"/>
        </w:rPr>
        <w:t> will not prevent the formation of a contract. In such a case, the court can rectify the document which fails to record the agreed terms, and the contract will be on those agreed terms. </w:t>
      </w:r>
      <w:r>
        <w:rPr>
          <w:color w:val="005DA1"/>
          <w:u w:val="single" w:color="005DA1"/>
          <w:vertAlign w:val="superscript"/>
        </w:rPr>
        <w:t>184</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The “battle of </w:t>
      </w:r>
      <w:r>
        <w:rPr>
          <w:rFonts w:ascii="Arial" w:hAnsi="Arial"/>
          <w:b/>
          <w:spacing w:val="-2"/>
          <w:sz w:val="18"/>
        </w:rPr>
        <w:t>forms”</w:t>
      </w:r>
    </w:p>
    <w:p>
      <w:pPr>
        <w:pStyle w:val="BodyText"/>
        <w:spacing w:before="41"/>
        <w:rPr>
          <w:rFonts w:ascii="Arial"/>
          <w:b/>
          <w:sz w:val="18"/>
        </w:rPr>
      </w:pPr>
    </w:p>
    <w:p>
      <w:pPr>
        <w:pStyle w:val="Heading2"/>
      </w:pPr>
      <w:r>
        <w:rPr/>
        <w:t>2-</w:t>
      </w:r>
      <w:r>
        <w:rPr>
          <w:spacing w:val="-5"/>
        </w:rPr>
        <w:t>033</w:t>
      </w:r>
    </w:p>
    <w:p>
      <w:pPr>
        <w:pStyle w:val="BodyText"/>
        <w:spacing w:line="235" w:lineRule="auto" w:before="203"/>
        <w:ind w:left="165" w:right="167"/>
        <w:jc w:val="both"/>
      </w:pPr>
      <w:r>
        <w:rPr/>
        <w:t>The rule that offer and acceptance must correspond gives rise to problems where one or both of the parties wish to contract by reference to a “standard form” contractual document. Two </w:t>
      </w:r>
      <w:r>
        <w:rPr/>
        <w:t>situations (described in paras 2-034 and 2-035 below) call for discussion.</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One party’s “usual </w:t>
      </w:r>
      <w:r>
        <w:rPr>
          <w:rFonts w:ascii="Arial" w:hAnsi="Arial"/>
          <w:b/>
          <w:spacing w:val="-2"/>
          <w:sz w:val="18"/>
        </w:rPr>
        <w:t>conditions”</w:t>
      </w:r>
    </w:p>
    <w:p>
      <w:pPr>
        <w:pStyle w:val="BodyText"/>
        <w:spacing w:before="41"/>
        <w:rPr>
          <w:rFonts w:ascii="Arial"/>
          <w:b/>
          <w:sz w:val="18"/>
        </w:rPr>
      </w:pPr>
    </w:p>
    <w:p>
      <w:pPr>
        <w:pStyle w:val="Heading2"/>
        <w:spacing w:before="1"/>
      </w:pPr>
      <w:r>
        <w:rPr/>
        <w:t>2-</w:t>
      </w:r>
      <w:r>
        <w:rPr>
          <w:spacing w:val="-5"/>
        </w:rPr>
        <w:t>034</w:t>
      </w:r>
    </w:p>
    <w:p>
      <w:pPr>
        <w:pStyle w:val="BodyText"/>
        <w:spacing w:line="235" w:lineRule="auto" w:before="202"/>
        <w:ind w:left="165" w:right="167"/>
        <w:jc w:val="both"/>
      </w:pPr>
      <w:r>
        <w:rPr/>
        <w:t>First, A may make an offer to B by asking for a supply of goods or services. B may reply that he is willing to supply the goods or services on his “usual conditions”. Prima facie, B’s statement is a counter-offer which A is free to accept or reject, and he may accept it by accepting the goods or services. If he does so, there is a contract between A and B, though the question whether B’s “usual </w:t>
      </w:r>
      <w:bookmarkStart w:name="_bookmark308" w:id="310"/>
      <w:bookmarkEnd w:id="310"/>
      <w:r>
        <w:rPr/>
        <w:t>conditions”</w:t>
      </w:r>
      <w:r>
        <w:rPr/>
        <w:t> actually form part of it may depend on a number of further factors which are discussed in Ch.13. </w:t>
      </w:r>
      <w:r>
        <w:rPr>
          <w:color w:val="005DA1"/>
          <w:u w:val="single" w:color="005DA1"/>
          <w:vertAlign w:val="superscript"/>
        </w:rPr>
        <w:t>185</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Each party refers to own </w:t>
      </w:r>
      <w:r>
        <w:rPr>
          <w:rFonts w:ascii="Arial"/>
          <w:b/>
          <w:spacing w:val="-2"/>
          <w:sz w:val="18"/>
        </w:rPr>
        <w:t>conditions</w:t>
      </w:r>
    </w:p>
    <w:p>
      <w:pPr>
        <w:pStyle w:val="BodyText"/>
        <w:spacing w:before="41"/>
        <w:rPr>
          <w:rFonts w:ascii="Arial"/>
          <w:b/>
          <w:sz w:val="18"/>
        </w:rPr>
      </w:pPr>
    </w:p>
    <w:p>
      <w:pPr>
        <w:pStyle w:val="Heading2"/>
      </w:pPr>
      <w:r>
        <w:rPr/>
        <w:t>2-</w:t>
      </w:r>
      <w:r>
        <w:rPr>
          <w:spacing w:val="-5"/>
        </w:rPr>
        <w:t>035</w:t>
      </w:r>
    </w:p>
    <w:p>
      <w:pPr>
        <w:pStyle w:val="BodyText"/>
        <w:spacing w:line="235" w:lineRule="auto" w:before="203"/>
        <w:ind w:left="165" w:right="167"/>
        <w:jc w:val="both"/>
      </w:pPr>
      <w:bookmarkStart w:name="_bookmark309" w:id="311"/>
      <w:bookmarkEnd w:id="311"/>
      <w:r>
        <w:rPr/>
      </w:r>
      <w:r>
        <w:rPr/>
        <w:t>Secondly, </w:t>
      </w:r>
      <w:r>
        <w:rPr>
          <w:rFonts w:ascii="Arial" w:hAnsi="Arial"/>
          <w:i/>
        </w:rPr>
        <w:t>each </w:t>
      </w:r>
      <w:r>
        <w:rPr/>
        <w:t>party may purport to contract with reference to his own set of standard terms and these terms may conflict. In </w:t>
      </w:r>
      <w:r>
        <w:rPr>
          <w:rFonts w:ascii="Arial" w:hAnsi="Arial"/>
          <w:i/>
        </w:rPr>
        <w:t>B.R.S. v Arthur V. Crutchley Ltd </w:t>
      </w:r>
      <w:r>
        <w:rPr>
          <w:color w:val="005DA1"/>
          <w:u w:val="single" w:color="005DA1"/>
          <w:vertAlign w:val="superscript"/>
        </w:rPr>
        <w:t>186</w:t>
      </w:r>
      <w:r>
        <w:rPr>
          <w:color w:val="005DA1"/>
          <w:vertAlign w:val="baseline"/>
        </w:rPr>
        <w:t> </w:t>
      </w:r>
      <w:r>
        <w:rPr>
          <w:vertAlign w:val="baseline"/>
        </w:rPr>
        <w:t>the claimants delivered a</w:t>
      </w:r>
      <w:r>
        <w:rPr>
          <w:spacing w:val="40"/>
          <w:vertAlign w:val="baseline"/>
        </w:rPr>
        <w:t> </w:t>
      </w:r>
      <w:r>
        <w:rPr>
          <w:vertAlign w:val="baseline"/>
        </w:rPr>
        <w:t>consignment of whisky to the defendants for storage. Their driver handed the defendants a </w:t>
      </w:r>
      <w:r>
        <w:rPr>
          <w:vertAlign w:val="baseline"/>
        </w:rPr>
        <w:t>delivery note purporting to incorporate the claimants’ “conditions of carriage”. The note was stamped by the </w:t>
      </w:r>
      <w:bookmarkStart w:name="_bookmark310" w:id="312"/>
      <w:bookmarkEnd w:id="312"/>
      <w:r>
        <w:rPr>
          <w:vertAlign w:val="baseline"/>
        </w:rPr>
        <w:t>defendants:</w:t>
      </w:r>
      <w:r>
        <w:rPr>
          <w:vertAlign w:val="baseline"/>
        </w:rPr>
        <w:t> “Received under [the defendants’] conditions”. It was held that this amounted to a counter-offer</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claimants</w:t>
      </w:r>
      <w:r>
        <w:rPr>
          <w:spacing w:val="-3"/>
          <w:vertAlign w:val="baseline"/>
        </w:rPr>
        <w:t> </w:t>
      </w:r>
      <w:r>
        <w:rPr>
          <w:vertAlign w:val="baseline"/>
        </w:rPr>
        <w:t>had</w:t>
      </w:r>
      <w:r>
        <w:rPr>
          <w:spacing w:val="-3"/>
          <w:vertAlign w:val="baseline"/>
        </w:rPr>
        <w:t> </w:t>
      </w:r>
      <w:r>
        <w:rPr>
          <w:vertAlign w:val="baseline"/>
        </w:rPr>
        <w:t>accepted</w:t>
      </w:r>
      <w:r>
        <w:rPr>
          <w:spacing w:val="-3"/>
          <w:vertAlign w:val="baseline"/>
        </w:rPr>
        <w:t> </w:t>
      </w:r>
      <w:r>
        <w:rPr>
          <w:vertAlign w:val="baseline"/>
        </w:rPr>
        <w:t>by</w:t>
      </w:r>
      <w:r>
        <w:rPr>
          <w:spacing w:val="-3"/>
          <w:vertAlign w:val="baseline"/>
        </w:rPr>
        <w:t> </w:t>
      </w:r>
      <w:r>
        <w:rPr>
          <w:vertAlign w:val="baseline"/>
        </w:rPr>
        <w:t>conduct</w:t>
      </w:r>
      <w:r>
        <w:rPr>
          <w:spacing w:val="-3"/>
          <w:vertAlign w:val="baseline"/>
        </w:rPr>
        <w:t> </w:t>
      </w:r>
      <w:r>
        <w:rPr>
          <w:color w:val="005DA1"/>
          <w:u w:val="single" w:color="005DA1"/>
          <w:vertAlign w:val="superscript"/>
        </w:rPr>
        <w:t>187</w:t>
      </w:r>
      <w:r>
        <w:rPr>
          <w:color w:val="005DA1"/>
          <w:spacing w:val="-3"/>
          <w:vertAlign w:val="baseline"/>
        </w:rPr>
        <w:t> </w:t>
      </w:r>
      <w:r>
        <w:rPr>
          <w:vertAlign w:val="baseline"/>
        </w:rPr>
        <w:t>in</w:t>
      </w:r>
      <w:r>
        <w:rPr>
          <w:spacing w:val="-3"/>
          <w:vertAlign w:val="baseline"/>
        </w:rPr>
        <w:t> </w:t>
      </w:r>
      <w:r>
        <w:rPr>
          <w:vertAlign w:val="baseline"/>
        </w:rPr>
        <w:t>handing</w:t>
      </w:r>
      <w:r>
        <w:rPr>
          <w:spacing w:val="-3"/>
          <w:vertAlign w:val="baseline"/>
        </w:rPr>
        <w:t> </w:t>
      </w:r>
      <w:r>
        <w:rPr>
          <w:vertAlign w:val="baseline"/>
        </w:rPr>
        <w:t>over</w:t>
      </w:r>
      <w:r>
        <w:rPr>
          <w:spacing w:val="-3"/>
          <w:vertAlign w:val="baseline"/>
        </w:rPr>
        <w:t> </w:t>
      </w:r>
      <w:r>
        <w:rPr>
          <w:vertAlign w:val="baseline"/>
        </w:rPr>
        <w:t>the</w:t>
      </w:r>
      <w:r>
        <w:rPr>
          <w:spacing w:val="-3"/>
          <w:vertAlign w:val="baseline"/>
        </w:rPr>
        <w:t> </w:t>
      </w:r>
      <w:r>
        <w:rPr>
          <w:vertAlign w:val="baseline"/>
        </w:rPr>
        <w:t>goods,</w:t>
      </w:r>
      <w:r>
        <w:rPr>
          <w:spacing w:val="-3"/>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the contract therefore incorporated the defendants’ and not the claimants’ conditions.</w:t>
      </w:r>
    </w:p>
    <w:p>
      <w:pPr>
        <w:pStyle w:val="BodyText"/>
      </w:pPr>
    </w:p>
    <w:p>
      <w:pPr>
        <w:pStyle w:val="BodyText"/>
        <w:spacing w:before="36"/>
      </w:pPr>
    </w:p>
    <w:p>
      <w:pPr>
        <w:spacing w:before="0"/>
        <w:ind w:left="165" w:right="0" w:firstLine="0"/>
        <w:jc w:val="both"/>
        <w:rPr>
          <w:rFonts w:ascii="Arial" w:hAnsi="Arial"/>
          <w:b/>
          <w:sz w:val="18"/>
        </w:rPr>
      </w:pPr>
      <w:r>
        <w:rPr>
          <w:rFonts w:ascii="Arial" w:hAnsi="Arial"/>
          <w:b/>
          <w:sz w:val="18"/>
        </w:rPr>
        <w:t>“Last shot” </w:t>
      </w:r>
      <w:r>
        <w:rPr>
          <w:rFonts w:ascii="Arial" w:hAnsi="Arial"/>
          <w:b/>
          <w:spacing w:val="-2"/>
          <w:sz w:val="18"/>
        </w:rPr>
        <w:t>doctrine</w:t>
      </w:r>
    </w:p>
    <w:p>
      <w:pPr>
        <w:pStyle w:val="BodyText"/>
        <w:spacing w:before="41"/>
        <w:rPr>
          <w:rFonts w:ascii="Arial"/>
          <w:b/>
          <w:sz w:val="18"/>
        </w:rPr>
      </w:pPr>
    </w:p>
    <w:p>
      <w:pPr>
        <w:pStyle w:val="Heading2"/>
      </w:pPr>
      <w:r>
        <w:rPr/>
        <w:t>2-</w:t>
      </w:r>
      <w:r>
        <w:rPr>
          <w:spacing w:val="-5"/>
        </w:rPr>
        <w:t>036</w:t>
      </w:r>
    </w:p>
    <w:p>
      <w:pPr>
        <w:pStyle w:val="BodyText"/>
        <w:spacing w:line="235" w:lineRule="auto" w:before="203"/>
        <w:ind w:left="165" w:right="167"/>
        <w:jc w:val="both"/>
      </w:pPr>
      <w:r>
        <w:rPr/>
        <w:t>This case gave some support to the so-called “last shot” doctrine: i.e. to the view that, where conflicting communications are exchanged, each is a counter-offer, so that if a contract results at all </w:t>
      </w:r>
      <w:bookmarkStart w:name="_bookmark311" w:id="313"/>
      <w:bookmarkEnd w:id="313"/>
      <w:r>
        <w:rPr/>
        <w:t>(e.g.</w:t>
      </w:r>
      <w:r>
        <w:rPr/>
        <w:t> from an acceptance by conduct) it must be on the terms of the final document in the series </w:t>
      </w:r>
      <w:bookmarkStart w:name="_bookmark312" w:id="314"/>
      <w:bookmarkEnd w:id="314"/>
      <w:r>
        <w:rPr/>
        <w:t>leading</w:t>
      </w:r>
      <w:r>
        <w:rPr/>
        <w:t> to the conclusion of the contract. </w:t>
      </w:r>
      <w:r>
        <w:rPr>
          <w:color w:val="005DA1"/>
          <w:u w:val="single" w:color="005DA1"/>
          <w:vertAlign w:val="superscript"/>
        </w:rPr>
        <w:t>188</w:t>
      </w:r>
      <w:r>
        <w:rPr>
          <w:color w:val="005DA1"/>
          <w:vertAlign w:val="baseline"/>
        </w:rPr>
        <w:t> </w:t>
      </w:r>
      <w:r>
        <w:rPr>
          <w:vertAlign w:val="baseline"/>
        </w:rPr>
        <w:t>This view was, for example, applied in </w:t>
      </w:r>
      <w:r>
        <w:rPr>
          <w:rFonts w:ascii="Arial" w:hAnsi="Arial"/>
          <w:i/>
          <w:vertAlign w:val="baseline"/>
        </w:rPr>
        <w:t>Tekdata Interconnections Ltd v Amphenol Ltd</w:t>
      </w:r>
      <w:r>
        <w:rPr>
          <w:vertAlign w:val="baseline"/>
        </w:rPr>
        <w:t>, </w:t>
      </w:r>
      <w:r>
        <w:rPr>
          <w:color w:val="005DA1"/>
          <w:u w:val="single" w:color="005DA1"/>
          <w:vertAlign w:val="superscript"/>
        </w:rPr>
        <w:t>189</w:t>
      </w:r>
      <w:r>
        <w:rPr>
          <w:color w:val="005DA1"/>
          <w:vertAlign w:val="baseline"/>
        </w:rPr>
        <w:t> </w:t>
      </w:r>
      <w:r>
        <w:rPr>
          <w:vertAlign w:val="baseline"/>
        </w:rPr>
        <w:t>where a contract for the sale of goods was made by (1) the </w:t>
      </w:r>
      <w:bookmarkStart w:name="_bookmark313" w:id="315"/>
      <w:bookmarkEnd w:id="315"/>
      <w:r>
        <w:rPr>
          <w:vertAlign w:val="baseline"/>
        </w:rPr>
        <w:t>buyer’s</w:t>
      </w:r>
      <w:r>
        <w:rPr>
          <w:spacing w:val="-1"/>
          <w:vertAlign w:val="baseline"/>
        </w:rPr>
        <w:t> </w:t>
      </w:r>
      <w:r>
        <w:rPr>
          <w:vertAlign w:val="baseline"/>
        </w:rPr>
        <w:t>sending</w:t>
      </w:r>
      <w:r>
        <w:rPr>
          <w:spacing w:val="-1"/>
          <w:vertAlign w:val="baseline"/>
        </w:rPr>
        <w:t> </w:t>
      </w:r>
      <w:r>
        <w:rPr>
          <w:vertAlign w:val="baseline"/>
        </w:rPr>
        <w:t>a</w:t>
      </w:r>
      <w:r>
        <w:rPr>
          <w:spacing w:val="-1"/>
          <w:vertAlign w:val="baseline"/>
        </w:rPr>
        <w:t> </w:t>
      </w:r>
      <w:r>
        <w:rPr>
          <w:vertAlign w:val="baseline"/>
        </w:rPr>
        <w:t>purchase</w:t>
      </w:r>
      <w:r>
        <w:rPr>
          <w:spacing w:val="-1"/>
          <w:vertAlign w:val="baseline"/>
        </w:rPr>
        <w:t> </w:t>
      </w:r>
      <w:r>
        <w:rPr>
          <w:vertAlign w:val="baseline"/>
        </w:rPr>
        <w:t>order</w:t>
      </w:r>
      <w:r>
        <w:rPr>
          <w:spacing w:val="-1"/>
          <w:vertAlign w:val="baseline"/>
        </w:rPr>
        <w:t> </w:t>
      </w:r>
      <w:r>
        <w:rPr>
          <w:vertAlign w:val="baseline"/>
        </w:rPr>
        <w:t>on</w:t>
      </w:r>
      <w:r>
        <w:rPr>
          <w:spacing w:val="-1"/>
          <w:vertAlign w:val="baseline"/>
        </w:rPr>
        <w:t> </w:t>
      </w:r>
      <w:r>
        <w:rPr>
          <w:vertAlign w:val="baseline"/>
        </w:rPr>
        <w:t>its</w:t>
      </w:r>
      <w:r>
        <w:rPr>
          <w:spacing w:val="-1"/>
          <w:vertAlign w:val="baseline"/>
        </w:rPr>
        <w:t> </w:t>
      </w:r>
      <w:r>
        <w:rPr>
          <w:vertAlign w:val="baseline"/>
        </w:rPr>
        <w:t>own</w:t>
      </w:r>
      <w:r>
        <w:rPr>
          <w:spacing w:val="-1"/>
          <w:vertAlign w:val="baseline"/>
        </w:rPr>
        <w:t> </w:t>
      </w:r>
      <w:r>
        <w:rPr>
          <w:vertAlign w:val="baseline"/>
        </w:rPr>
        <w:t>terms</w:t>
      </w:r>
      <w:r>
        <w:rPr>
          <w:spacing w:val="-1"/>
          <w:vertAlign w:val="baseline"/>
        </w:rPr>
        <w:t> </w:t>
      </w:r>
      <w:r>
        <w:rPr>
          <w:vertAlign w:val="baseline"/>
        </w:rPr>
        <w:t>and</w:t>
      </w:r>
      <w:r>
        <w:rPr>
          <w:spacing w:val="-1"/>
          <w:vertAlign w:val="baseline"/>
        </w:rPr>
        <w:t> </w:t>
      </w:r>
      <w:r>
        <w:rPr>
          <w:vertAlign w:val="baseline"/>
        </w:rPr>
        <w:t>conditions</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seller</w:t>
      </w:r>
      <w:r>
        <w:rPr>
          <w:spacing w:val="-1"/>
          <w:vertAlign w:val="baseline"/>
        </w:rPr>
        <w:t> </w:t>
      </w:r>
      <w:r>
        <w:rPr>
          <w:vertAlign w:val="baseline"/>
        </w:rPr>
        <w:t>(2)</w:t>
      </w:r>
      <w:r>
        <w:rPr>
          <w:spacing w:val="-1"/>
          <w:vertAlign w:val="baseline"/>
        </w:rPr>
        <w:t> </w:t>
      </w:r>
      <w:r>
        <w:rPr>
          <w:vertAlign w:val="baseline"/>
        </w:rPr>
        <w:t>the</w:t>
      </w:r>
      <w:r>
        <w:rPr>
          <w:spacing w:val="-1"/>
          <w:vertAlign w:val="baseline"/>
        </w:rPr>
        <w:t> </w:t>
      </w:r>
      <w:r>
        <w:rPr>
          <w:vertAlign w:val="baseline"/>
        </w:rPr>
        <w:t>seller’s</w:t>
      </w:r>
      <w:r>
        <w:rPr>
          <w:spacing w:val="-1"/>
          <w:vertAlign w:val="baseline"/>
        </w:rPr>
        <w:t> </w:t>
      </w:r>
      <w:r>
        <w:rPr>
          <w:vertAlign w:val="baseline"/>
        </w:rPr>
        <w:t>sending </w:t>
      </w:r>
      <w:bookmarkStart w:name="_bookmark314" w:id="316"/>
      <w:bookmarkEnd w:id="316"/>
      <w:r>
        <w:rPr>
          <w:vertAlign w:val="baseline"/>
        </w:rPr>
        <w:t>an</w:t>
      </w:r>
      <w:r>
        <w:rPr>
          <w:vertAlign w:val="baseline"/>
        </w:rPr>
        <w:t> acknowledgement on its own terms to the buyer and (3) receipt of the goods by the buyer. </w:t>
      </w:r>
      <w:r>
        <w:rPr>
          <w:color w:val="005DA1"/>
          <w:u w:val="single" w:color="005DA1"/>
          <w:vertAlign w:val="superscript"/>
        </w:rPr>
        <w:t>190</w:t>
      </w:r>
      <w:r>
        <w:rPr>
          <w:color w:val="005DA1"/>
          <w:vertAlign w:val="baseline"/>
        </w:rPr>
        <w:t> </w:t>
      </w:r>
      <w:r>
        <w:rPr>
          <w:vertAlign w:val="baseline"/>
        </w:rPr>
        <w:t>It was held, applying the “traditional offer and acceptance analysis” </w:t>
      </w:r>
      <w:r>
        <w:rPr>
          <w:color w:val="005DA1"/>
          <w:u w:val="single" w:color="005DA1"/>
          <w:vertAlign w:val="superscript"/>
        </w:rPr>
        <w:t>191</w:t>
      </w:r>
      <w:r>
        <w:rPr>
          <w:color w:val="005DA1"/>
          <w:vertAlign w:val="baseline"/>
        </w:rPr>
        <w:t> </w:t>
      </w:r>
      <w:r>
        <w:rPr>
          <w:vertAlign w:val="baseline"/>
        </w:rPr>
        <w:t>that the contract was on the </w:t>
      </w:r>
      <w:bookmarkStart w:name="_bookmark315" w:id="317"/>
      <w:bookmarkEnd w:id="317"/>
      <w:r>
        <w:rPr>
          <w:vertAlign w:val="baseline"/>
        </w:rPr>
        <w:t>seller’s</w:t>
      </w:r>
      <w:r>
        <w:rPr>
          <w:vertAlign w:val="baseline"/>
        </w:rPr>
        <w:t> terms, which excluded or limited the seller’s liability. But it was recognised that this analysis, </w:t>
      </w:r>
      <w:bookmarkStart w:name="_bookmark316" w:id="318"/>
      <w:bookmarkEnd w:id="318"/>
      <w:r>
        <w:rPr>
          <w:vertAlign w:val="baseline"/>
        </w:rPr>
        <w:t>and</w:t>
      </w:r>
      <w:r>
        <w:rPr>
          <w:vertAlign w:val="baseline"/>
        </w:rPr>
        <w:t> hence the “last shot” doctrine, might be </w:t>
      </w:r>
      <w:r>
        <w:rPr>
          <w:color w:val="005DA1"/>
          <w:u w:val="single" w:color="005DA1"/>
          <w:vertAlign w:val="superscript"/>
        </w:rPr>
        <w:t>192</w:t>
      </w:r>
      <w:r>
        <w:rPr>
          <w:color w:val="005DA1"/>
          <w:vertAlign w:val="baseline"/>
        </w:rPr>
        <w:t> </w:t>
      </w:r>
      <w:r>
        <w:rPr>
          <w:vertAlign w:val="baseline"/>
        </w:rPr>
        <w:t>(though here it was not) </w:t>
      </w:r>
      <w:r>
        <w:rPr>
          <w:color w:val="005DA1"/>
          <w:u w:val="single" w:color="005DA1"/>
          <w:vertAlign w:val="superscript"/>
        </w:rPr>
        <w:t>193</w:t>
      </w:r>
      <w:r>
        <w:rPr>
          <w:color w:val="005DA1"/>
          <w:vertAlign w:val="baseline"/>
        </w:rPr>
        <w:t> </w:t>
      </w:r>
      <w:r>
        <w:rPr>
          <w:vertAlign w:val="baseline"/>
        </w:rPr>
        <w:t>displaced by evidence of the parties’ “objective intention” that the “last shot” should not prevail. In one case, </w:t>
      </w:r>
      <w:r>
        <w:rPr>
          <w:color w:val="005DA1"/>
          <w:u w:val="single" w:color="005DA1"/>
          <w:vertAlign w:val="superscript"/>
        </w:rPr>
        <w:t>194</w:t>
      </w:r>
      <w:r>
        <w:rPr>
          <w:color w:val="005DA1"/>
          <w:vertAlign w:val="baseline"/>
        </w:rPr>
        <w:t> </w:t>
      </w:r>
      <w:r>
        <w:rPr>
          <w:vertAlign w:val="baseline"/>
        </w:rPr>
        <w:t>for example, a buyer placed a purchase order subject to its own conditions, and the seller acknowledged the order</w:t>
      </w:r>
      <w:r>
        <w:rPr>
          <w:spacing w:val="40"/>
          <w:vertAlign w:val="baseline"/>
        </w:rPr>
        <w:t> </w:t>
      </w:r>
      <w:r>
        <w:rPr>
          <w:vertAlign w:val="baseline"/>
        </w:rPr>
        <w:t>by a fax containing the words “Delivery based on our general conditions of sale”. These were not attached and, mainly for this reason, it was held that the seller’s acknowledgement was not a</w:t>
      </w:r>
      <w:r>
        <w:rPr>
          <w:spacing w:val="80"/>
          <w:vertAlign w:val="baseline"/>
        </w:rPr>
        <w:t> </w:t>
      </w:r>
      <w:r>
        <w:rPr>
          <w:vertAlign w:val="baseline"/>
        </w:rPr>
        <w:t>counter-offer but an acceptance, so that the resulting contract was on the buyer’s conditions even though the seller’s acknowledgement was the last shot in the exchange of messages. It has been </w:t>
      </w:r>
      <w:bookmarkStart w:name="_bookmark317" w:id="319"/>
      <w:bookmarkEnd w:id="319"/>
      <w:r>
        <w:rPr>
          <w:vertAlign w:val="baseline"/>
        </w:rPr>
        <w:t>emphasised</w:t>
      </w:r>
      <w:r>
        <w:rPr>
          <w:vertAlign w:val="baseline"/>
        </w:rPr>
        <w:t> that a party’s standard terms and conditions will not be incorporated unless that party</w:t>
      </w:r>
      <w:r>
        <w:rPr>
          <w:spacing w:val="40"/>
          <w:vertAlign w:val="baseline"/>
        </w:rPr>
        <w:t> </w:t>
      </w:r>
      <w:r>
        <w:rPr>
          <w:vertAlign w:val="baseline"/>
        </w:rPr>
        <w:t>has given reasonable notice of them to the other party. In one case, </w:t>
      </w:r>
      <w:r>
        <w:rPr>
          <w:color w:val="005DA1"/>
          <w:u w:val="single" w:color="005DA1"/>
          <w:vertAlign w:val="superscript"/>
        </w:rPr>
        <w:t>195</w:t>
      </w:r>
      <w:r>
        <w:rPr>
          <w:color w:val="005DA1"/>
          <w:vertAlign w:val="baseline"/>
        </w:rPr>
        <w:t> </w:t>
      </w:r>
      <w:r>
        <w:rPr>
          <w:vertAlign w:val="baseline"/>
        </w:rPr>
        <w:t>the buyer’s purchase order sent by email or fax, did not, on its face, refer to the terms and conditions on the back; neither were the terms and conditions sent separately. The seller’s acknowledgement </w:t>
      </w:r>
      <w:r>
        <w:rPr>
          <w:rFonts w:ascii="Arial" w:hAnsi="Arial"/>
          <w:i/>
          <w:vertAlign w:val="baseline"/>
        </w:rPr>
        <w:t>did </w:t>
      </w:r>
      <w:r>
        <w:rPr>
          <w:vertAlign w:val="baseline"/>
        </w:rPr>
        <w:t>refer to its terms but these were neither included nor were in common use in the industry. Neither party’s terms and conditions were incorporated in the contract. However, where both parties </w:t>
      </w:r>
      <w:r>
        <w:rPr>
          <w:rFonts w:ascii="Arial" w:hAnsi="Arial"/>
          <w:i/>
          <w:vertAlign w:val="baseline"/>
        </w:rPr>
        <w:t>had </w:t>
      </w:r>
      <w:r>
        <w:rPr>
          <w:vertAlign w:val="baseline"/>
        </w:rPr>
        <w:t>attached its terms and </w:t>
      </w:r>
      <w:bookmarkStart w:name="_bookmark318" w:id="320"/>
      <w:bookmarkEnd w:id="320"/>
      <w:r>
        <w:rPr>
          <w:vertAlign w:val="baseline"/>
        </w:rPr>
        <w:t>conditions</w:t>
      </w:r>
      <w:r>
        <w:rPr>
          <w:vertAlign w:val="baseline"/>
        </w:rPr>
        <w:t> but there had been no acceptance of either set of terms, there may be a contract, but on neither party’s terms. </w:t>
      </w:r>
      <w:r>
        <w:rPr>
          <w:color w:val="005DA1"/>
          <w:u w:val="single" w:color="005DA1"/>
          <w:vertAlign w:val="superscript"/>
        </w:rPr>
        <w:t>196</w:t>
      </w:r>
    </w:p>
    <w:p>
      <w:pPr>
        <w:pStyle w:val="BodyText"/>
        <w:spacing w:before="80"/>
      </w:pPr>
    </w:p>
    <w:p>
      <w:pPr>
        <w:pStyle w:val="BodyText"/>
        <w:spacing w:line="235" w:lineRule="auto" w:before="1"/>
        <w:ind w:left="165" w:right="167"/>
        <w:jc w:val="both"/>
      </w:pPr>
      <w:bookmarkStart w:name="_bookmark319" w:id="321"/>
      <w:bookmarkEnd w:id="321"/>
      <w:r>
        <w:rPr/>
      </w:r>
      <w:r>
        <w:rPr/>
        <w:t>A more complex situation arose in </w:t>
      </w:r>
      <w:r>
        <w:rPr>
          <w:rFonts w:ascii="Arial" w:hAnsi="Arial"/>
          <w:i/>
        </w:rPr>
        <w:t>Butler Machine Tool Co Ltd v Ex-Cell-O Corp (England) Ltd</w:t>
      </w:r>
      <w:r>
        <w:rPr/>
        <w:t>, </w:t>
      </w:r>
      <w:r>
        <w:rPr>
          <w:color w:val="005DA1"/>
          <w:u w:val="single" w:color="005DA1"/>
          <w:vertAlign w:val="superscript"/>
        </w:rPr>
        <w:t>197</w:t>
      </w:r>
      <w:r>
        <w:rPr>
          <w:color w:val="005DA1"/>
          <w:vertAlign w:val="baseline"/>
        </w:rPr>
        <w:t> </w:t>
      </w:r>
      <w:r>
        <w:rPr>
          <w:vertAlign w:val="baseline"/>
        </w:rPr>
        <w:t>where sellers had offered to supply a machine for a specified sum. The offer was expressed to be subject to certain terms and conditions, including a “price escalation clause” by which the amount actually payable by the buyers was to depend on “prices ruling upon date of delivery”. In reply the buyers placed an order for the machinery on a form setting out their own terms and conditions, which </w:t>
      </w:r>
      <w:bookmarkStart w:name="_bookmark320" w:id="322"/>
      <w:bookmarkEnd w:id="322"/>
      <w:r>
        <w:rPr>
          <w:vertAlign w:val="baseline"/>
        </w:rPr>
        <w:t>differed</w:t>
      </w:r>
      <w:r>
        <w:rPr>
          <w:vertAlign w:val="baseline"/>
        </w:rPr>
        <w:t> from those of the sellers in containing no price-escalation clause and also in various other respects. </w:t>
      </w:r>
      <w:r>
        <w:rPr>
          <w:color w:val="005DA1"/>
          <w:u w:val="single" w:color="005DA1"/>
          <w:vertAlign w:val="superscript"/>
        </w:rPr>
        <w:t>198</w:t>
      </w:r>
      <w:r>
        <w:rPr>
          <w:color w:val="005DA1"/>
          <w:vertAlign w:val="baseline"/>
        </w:rPr>
        <w:t> </w:t>
      </w:r>
      <w:r>
        <w:rPr>
          <w:vertAlign w:val="baseline"/>
        </w:rPr>
        <w:t>It also contained a tear-off slip to be signed by the sellers and returned to the buyers, stating that the sellers accepted the buyers’ order “on the terms and conditions stated therein”. The sellers did sign the slip and returned it with a letter saying that they were “entering” the order “in </w:t>
      </w:r>
      <w:bookmarkStart w:name="_bookmark321" w:id="323"/>
      <w:bookmarkEnd w:id="323"/>
      <w:r>
        <w:rPr>
          <w:vertAlign w:val="baseline"/>
        </w:rPr>
        <w:t>accordance</w:t>
      </w:r>
      <w:r>
        <w:rPr>
          <w:spacing w:val="-1"/>
          <w:vertAlign w:val="baseline"/>
        </w:rPr>
        <w:t> </w:t>
      </w:r>
      <w:r>
        <w:rPr>
          <w:vertAlign w:val="baseline"/>
        </w:rPr>
        <w:t>with”</w:t>
      </w:r>
      <w:r>
        <w:rPr>
          <w:spacing w:val="-1"/>
          <w:vertAlign w:val="baseline"/>
        </w:rPr>
        <w:t> </w:t>
      </w:r>
      <w:r>
        <w:rPr>
          <w:vertAlign w:val="baseline"/>
        </w:rPr>
        <w:t>their</w:t>
      </w:r>
      <w:r>
        <w:rPr>
          <w:spacing w:val="-1"/>
          <w:vertAlign w:val="baseline"/>
        </w:rPr>
        <w:t> </w:t>
      </w:r>
      <w:r>
        <w:rPr>
          <w:vertAlign w:val="baseline"/>
        </w:rPr>
        <w:t>offer.</w:t>
      </w:r>
      <w:r>
        <w:rPr>
          <w:spacing w:val="-1"/>
          <w:vertAlign w:val="baseline"/>
        </w:rPr>
        <w:t> </w:t>
      </w:r>
      <w:r>
        <w:rPr>
          <w:vertAlign w:val="baseline"/>
        </w:rPr>
        <w:t>This</w:t>
      </w:r>
      <w:r>
        <w:rPr>
          <w:spacing w:val="-1"/>
          <w:vertAlign w:val="baseline"/>
        </w:rPr>
        <w:t> </w:t>
      </w:r>
      <w:r>
        <w:rPr>
          <w:vertAlign w:val="baseline"/>
        </w:rPr>
        <w:t>communication</w:t>
      </w:r>
      <w:r>
        <w:rPr>
          <w:spacing w:val="-1"/>
          <w:vertAlign w:val="baseline"/>
        </w:rPr>
        <w:t> </w:t>
      </w:r>
      <w:r>
        <w:rPr>
          <w:vertAlign w:val="baseline"/>
        </w:rPr>
        <w:t>from</w:t>
      </w:r>
      <w:r>
        <w:rPr>
          <w:spacing w:val="-1"/>
          <w:vertAlign w:val="baseline"/>
        </w:rPr>
        <w:t> </w:t>
      </w:r>
      <w:r>
        <w:rPr>
          <w:vertAlign w:val="baseline"/>
        </w:rPr>
        <w:t>the</w:t>
      </w:r>
      <w:r>
        <w:rPr>
          <w:spacing w:val="-1"/>
          <w:vertAlign w:val="baseline"/>
        </w:rPr>
        <w:t> </w:t>
      </w:r>
      <w:r>
        <w:rPr>
          <w:vertAlign w:val="baseline"/>
        </w:rPr>
        <w:t>sellers</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an</w:t>
      </w:r>
      <w:r>
        <w:rPr>
          <w:spacing w:val="-1"/>
          <w:vertAlign w:val="baseline"/>
        </w:rPr>
        <w:t> </w:t>
      </w:r>
      <w:r>
        <w:rPr>
          <w:vertAlign w:val="baseline"/>
        </w:rPr>
        <w:t>acceptance</w:t>
      </w:r>
      <w:r>
        <w:rPr>
          <w:spacing w:val="-1"/>
          <w:vertAlign w:val="baseline"/>
        </w:rPr>
        <w:t> </w:t>
      </w:r>
      <w:r>
        <w:rPr>
          <w:vertAlign w:val="baseline"/>
        </w:rPr>
        <w:t>of</w:t>
      </w:r>
      <w:r>
        <w:rPr>
          <w:spacing w:val="-1"/>
          <w:vertAlign w:val="baseline"/>
        </w:rPr>
        <w:t> </w:t>
      </w:r>
      <w:r>
        <w:rPr>
          <w:vertAlign w:val="baseline"/>
        </w:rPr>
        <w:t>the buyers’ counter-offer </w:t>
      </w:r>
      <w:r>
        <w:rPr>
          <w:color w:val="005DA1"/>
          <w:u w:val="single" w:color="005DA1"/>
          <w:vertAlign w:val="superscript"/>
        </w:rPr>
        <w:t>199</w:t>
      </w:r>
      <w:r>
        <w:rPr>
          <w:color w:val="005DA1"/>
          <w:vertAlign w:val="baseline"/>
        </w:rPr>
        <w:t> </w:t>
      </w:r>
      <w:r>
        <w:rPr>
          <w:vertAlign w:val="baseline"/>
        </w:rPr>
        <w:t>so that the resulting contract was on the buyers’ terms, and the sellers were not entitled to the benefit of the price escalation clause. It was held that the sellers’ reply to the</w:t>
      </w:r>
      <w:r>
        <w:rPr>
          <w:spacing w:val="40"/>
          <w:vertAlign w:val="baseline"/>
        </w:rPr>
        <w:t> </w:t>
      </w:r>
      <w:r>
        <w:rPr>
          <w:vertAlign w:val="baseline"/>
        </w:rPr>
        <w:t>buyers’ order did not prevail (though it was the “last shot” in the series) because the reference in it to the sellers’ original offer was made, not for the purpose of reiterating all its terms, but only for the purpose of identifying the subject-matter. It would, however, have been possible for the sellers to</w:t>
      </w:r>
      <w:r>
        <w:rPr>
          <w:spacing w:val="40"/>
          <w:vertAlign w:val="baseline"/>
        </w:rPr>
        <w:t> </w:t>
      </w:r>
      <w:r>
        <w:rPr>
          <w:vertAlign w:val="baseline"/>
        </w:rPr>
        <w:t>have turned their final communication into a counter-offer by explicitly referring in it not only to the subject-matter of the original offer, but also to all its other terms. In that case no contract would have been</w:t>
      </w:r>
      <w:r>
        <w:rPr>
          <w:spacing w:val="15"/>
          <w:vertAlign w:val="baseline"/>
        </w:rPr>
        <w:t> </w:t>
      </w:r>
      <w:r>
        <w:rPr>
          <w:vertAlign w:val="baseline"/>
        </w:rPr>
        <w:t>concluded,</w:t>
      </w:r>
      <w:r>
        <w:rPr>
          <w:spacing w:val="15"/>
          <w:vertAlign w:val="baseline"/>
        </w:rPr>
        <w:t> </w:t>
      </w:r>
      <w:r>
        <w:rPr>
          <w:vertAlign w:val="baseline"/>
        </w:rPr>
        <w:t>since</w:t>
      </w:r>
      <w:r>
        <w:rPr>
          <w:spacing w:val="15"/>
          <w:vertAlign w:val="baseline"/>
        </w:rPr>
        <w:t> </w:t>
      </w:r>
      <w:r>
        <w:rPr>
          <w:vertAlign w:val="baseline"/>
        </w:rPr>
        <w:t>the</w:t>
      </w:r>
      <w:r>
        <w:rPr>
          <w:spacing w:val="15"/>
          <w:vertAlign w:val="baseline"/>
        </w:rPr>
        <w:t> </w:t>
      </w:r>
      <w:r>
        <w:rPr>
          <w:vertAlign w:val="baseline"/>
        </w:rPr>
        <w:t>buyers</w:t>
      </w:r>
      <w:r>
        <w:rPr>
          <w:spacing w:val="15"/>
          <w:vertAlign w:val="baseline"/>
        </w:rPr>
        <w:t> </w:t>
      </w:r>
      <w:r>
        <w:rPr>
          <w:vertAlign w:val="baseline"/>
        </w:rPr>
        <w:t>had</w:t>
      </w:r>
      <w:r>
        <w:rPr>
          <w:spacing w:val="15"/>
          <w:vertAlign w:val="baseline"/>
        </w:rPr>
        <w:t> </w:t>
      </w:r>
      <w:r>
        <w:rPr>
          <w:vertAlign w:val="baseline"/>
        </w:rPr>
        <w:t>made</w:t>
      </w:r>
      <w:r>
        <w:rPr>
          <w:spacing w:val="15"/>
          <w:vertAlign w:val="baseline"/>
        </w:rPr>
        <w:t> </w:t>
      </w:r>
      <w:r>
        <w:rPr>
          <w:vertAlign w:val="baseline"/>
        </w:rPr>
        <w:t>it</w:t>
      </w:r>
      <w:r>
        <w:rPr>
          <w:spacing w:val="15"/>
          <w:vertAlign w:val="baseline"/>
        </w:rPr>
        <w:t> </w:t>
      </w:r>
      <w:r>
        <w:rPr>
          <w:vertAlign w:val="baseline"/>
        </w:rPr>
        <w:t>clear</w:t>
      </w:r>
      <w:r>
        <w:rPr>
          <w:spacing w:val="15"/>
          <w:vertAlign w:val="baseline"/>
        </w:rPr>
        <w:t> </w:t>
      </w:r>
      <w:r>
        <w:rPr>
          <w:vertAlign w:val="baseline"/>
        </w:rPr>
        <w:t>before</w:t>
      </w:r>
      <w:r>
        <w:rPr>
          <w:spacing w:val="15"/>
          <w:vertAlign w:val="baseline"/>
        </w:rPr>
        <w:t> </w:t>
      </w:r>
      <w:r>
        <w:rPr>
          <w:vertAlign w:val="baseline"/>
        </w:rPr>
        <w:t>the</w:t>
      </w:r>
      <w:r>
        <w:rPr>
          <w:spacing w:val="15"/>
          <w:vertAlign w:val="baseline"/>
        </w:rPr>
        <w:t> </w:t>
      </w:r>
      <w:r>
        <w:rPr>
          <w:vertAlign w:val="baseline"/>
        </w:rPr>
        <w:t>machine</w:t>
      </w:r>
      <w:r>
        <w:rPr>
          <w:spacing w:val="15"/>
          <w:vertAlign w:val="baseline"/>
        </w:rPr>
        <w:t> </w:t>
      </w:r>
      <w:r>
        <w:rPr>
          <w:vertAlign w:val="baseline"/>
        </w:rPr>
        <w:t>was</w:t>
      </w:r>
      <w:r>
        <w:rPr>
          <w:spacing w:val="15"/>
          <w:vertAlign w:val="baseline"/>
        </w:rPr>
        <w:t> </w:t>
      </w:r>
      <w:r>
        <w:rPr>
          <w:vertAlign w:val="baseline"/>
        </w:rPr>
        <w:t>delivered</w:t>
      </w:r>
      <w:r>
        <w:rPr>
          <w:spacing w:val="15"/>
          <w:vertAlign w:val="baseline"/>
        </w:rPr>
        <w:t> </w:t>
      </w:r>
      <w:r>
        <w:rPr>
          <w:vertAlign w:val="baseline"/>
        </w:rPr>
        <w:t>that</w:t>
      </w:r>
      <w:r>
        <w:rPr>
          <w:spacing w:val="15"/>
          <w:vertAlign w:val="baseline"/>
        </w:rPr>
        <w:t> </w:t>
      </w:r>
      <w:r>
        <w:rPr>
          <w:vertAlign w:val="baseline"/>
        </w:rPr>
        <w:t>they</w:t>
      </w:r>
      <w:r>
        <w:rPr>
          <w:spacing w:val="15"/>
          <w:vertAlign w:val="baseline"/>
        </w:rPr>
        <w:t> </w:t>
      </w:r>
      <w:r>
        <w:rPr>
          <w:spacing w:val="-5"/>
          <w:vertAlign w:val="baseline"/>
        </w:rPr>
        <w:t>did</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64" w:right="167"/>
        <w:jc w:val="both"/>
      </w:pPr>
      <w:bookmarkStart w:name="_bookmark322" w:id="324"/>
      <w:bookmarkEnd w:id="324"/>
      <w:r>
        <w:rPr/>
      </w:r>
      <w:r>
        <w:rPr/>
        <w:t>not agree to the “price escalation” clause. </w:t>
      </w:r>
      <w:r>
        <w:rPr>
          <w:color w:val="005DA1"/>
          <w:u w:val="single" w:color="005DA1"/>
          <w:vertAlign w:val="superscript"/>
        </w:rPr>
        <w:t>200</w:t>
      </w:r>
      <w:r>
        <w:rPr>
          <w:color w:val="005DA1"/>
          <w:vertAlign w:val="baseline"/>
        </w:rPr>
        <w:t> </w:t>
      </w:r>
      <w:r>
        <w:rPr>
          <w:vertAlign w:val="baseline"/>
        </w:rPr>
        <w:t>Thus, it is possible by careful draftsmanship to </w:t>
      </w:r>
      <w:r>
        <w:rPr>
          <w:vertAlign w:val="baseline"/>
        </w:rPr>
        <w:t>avoid losing the battle of forms, but not (if the other party is equally careful) to win it. In the </w:t>
      </w:r>
      <w:r>
        <w:rPr>
          <w:rFonts w:ascii="Arial" w:hAnsi="Arial"/>
          <w:i/>
          <w:vertAlign w:val="baseline"/>
        </w:rPr>
        <w:t>Butler Machine Tool </w:t>
      </w:r>
      <w:r>
        <w:rPr>
          <w:vertAlign w:val="baseline"/>
        </w:rPr>
        <w:t>case, for example, the sellers’ conditions included one by which their terms were to “prevail over </w:t>
      </w:r>
      <w:bookmarkStart w:name="_bookmark323" w:id="325"/>
      <w:bookmarkEnd w:id="325"/>
      <w:r>
        <w:rPr>
          <w:vertAlign w:val="baseline"/>
        </w:rPr>
        <w:t>any</w:t>
      </w:r>
      <w:r>
        <w:rPr>
          <w:vertAlign w:val="baseline"/>
        </w:rPr>
        <w:t> terms and conditions in Buyer’s order”; but this failed (in consequence of the terms of the buyers’ counter-offer) to produce the effect desired by the sellers. </w:t>
      </w:r>
      <w:r>
        <w:rPr>
          <w:color w:val="005DA1"/>
          <w:u w:val="single" w:color="005DA1"/>
          <w:vertAlign w:val="superscript"/>
        </w:rPr>
        <w:t>201</w:t>
      </w:r>
      <w:r>
        <w:rPr>
          <w:color w:val="005DA1"/>
          <w:vertAlign w:val="baseline"/>
        </w:rPr>
        <w:t> </w:t>
      </w:r>
      <w:r>
        <w:rPr>
          <w:vertAlign w:val="baseline"/>
        </w:rPr>
        <w:t>The most that the draftsman can be </w:t>
      </w:r>
      <w:bookmarkStart w:name="_bookmark324" w:id="326"/>
      <w:bookmarkEnd w:id="326"/>
      <w:r>
        <w:rPr>
          <w:vertAlign w:val="baseline"/>
        </w:rPr>
        <w:t>certain</w:t>
      </w:r>
      <w:r>
        <w:rPr>
          <w:vertAlign w:val="baseline"/>
        </w:rPr>
        <w:t> of achieving is the stalemate situation in which there is no contract at all. Such a conclusion </w:t>
      </w:r>
      <w:bookmarkStart w:name="_bookmark325" w:id="327"/>
      <w:bookmarkEnd w:id="327"/>
      <w:r>
        <w:rPr>
          <w:vertAlign w:val="baseline"/>
        </w:rPr>
        <w:t>will</w:t>
      </w:r>
      <w:r>
        <w:rPr>
          <w:vertAlign w:val="baseline"/>
        </w:rPr>
        <w:t> often be inconvenient, </w:t>
      </w:r>
      <w:r>
        <w:rPr>
          <w:color w:val="005DA1"/>
          <w:u w:val="single" w:color="005DA1"/>
          <w:vertAlign w:val="superscript"/>
        </w:rPr>
        <w:t>202</w:t>
      </w:r>
      <w:r>
        <w:rPr>
          <w:color w:val="005DA1"/>
          <w:vertAlign w:val="baseline"/>
        </w:rPr>
        <w:t> </w:t>
      </w:r>
      <w:r>
        <w:rPr>
          <w:vertAlign w:val="baseline"/>
        </w:rPr>
        <w:t>though where the goods are nevertheless delivered it may lead to a liability on the part of the buyers to pay a reasonable price. </w:t>
      </w:r>
      <w:r>
        <w:rPr>
          <w:color w:val="005DA1"/>
          <w:u w:val="single" w:color="005DA1"/>
          <w:vertAlign w:val="superscript"/>
        </w:rPr>
        <w:t>203</w:t>
      </w:r>
    </w:p>
    <w:p>
      <w:pPr>
        <w:pStyle w:val="BodyText"/>
      </w:pPr>
    </w:p>
    <w:p>
      <w:pPr>
        <w:pStyle w:val="BodyText"/>
        <w:spacing w:before="36"/>
      </w:pPr>
    </w:p>
    <w:p>
      <w:pPr>
        <w:spacing w:before="0"/>
        <w:ind w:left="165" w:right="0" w:firstLine="0"/>
        <w:jc w:val="left"/>
        <w:rPr>
          <w:rFonts w:ascii="Arial"/>
          <w:b/>
          <w:sz w:val="18"/>
        </w:rPr>
      </w:pPr>
      <w:r>
        <w:rPr>
          <w:rFonts w:ascii="Arial"/>
          <w:b/>
          <w:sz w:val="18"/>
        </w:rPr>
        <w:t>Documents sent after contract </w:t>
      </w:r>
      <w:r>
        <w:rPr>
          <w:rFonts w:ascii="Arial"/>
          <w:b/>
          <w:spacing w:val="-4"/>
          <w:sz w:val="18"/>
        </w:rPr>
        <w:t>made</w:t>
      </w:r>
    </w:p>
    <w:p>
      <w:pPr>
        <w:pStyle w:val="BodyText"/>
        <w:spacing w:before="41"/>
        <w:rPr>
          <w:rFonts w:ascii="Arial"/>
          <w:b/>
          <w:sz w:val="18"/>
        </w:rPr>
      </w:pPr>
    </w:p>
    <w:p>
      <w:pPr>
        <w:pStyle w:val="Heading2"/>
      </w:pPr>
      <w:r>
        <w:rPr/>
        <w:t>2-</w:t>
      </w:r>
      <w:r>
        <w:rPr>
          <w:spacing w:val="-5"/>
        </w:rPr>
        <w:t>037</w:t>
      </w:r>
    </w:p>
    <w:p>
      <w:pPr>
        <w:pStyle w:val="BodyText"/>
        <w:spacing w:line="235" w:lineRule="auto" w:before="203"/>
        <w:ind w:left="165" w:right="167"/>
        <w:jc w:val="both"/>
      </w:pPr>
      <w:r>
        <w:rPr/>
        <w:t>The discussion in para.2-036 above is concerned with the effect of the transmission of a document or </w:t>
      </w:r>
      <w:bookmarkStart w:name="_bookmark326" w:id="328"/>
      <w:bookmarkEnd w:id="328"/>
      <w:r>
        <w:rPr/>
        <w:t>documents</w:t>
      </w:r>
      <w:r>
        <w:rPr/>
        <w:t> containing terms </w:t>
      </w:r>
      <w:r>
        <w:rPr>
          <w:rFonts w:ascii="Arial"/>
          <w:i/>
        </w:rPr>
        <w:t>before </w:t>
      </w:r>
      <w:r>
        <w:rPr/>
        <w:t>the alleged contract is made. The transmission of such </w:t>
      </w:r>
      <w:r>
        <w:rPr/>
        <w:t>a document by one party </w:t>
      </w:r>
      <w:r>
        <w:rPr>
          <w:rFonts w:ascii="Arial"/>
          <w:i/>
        </w:rPr>
        <w:t>after </w:t>
      </w:r>
      <w:r>
        <w:rPr/>
        <w:t>the making of the contract will not affect the existence of the contract </w:t>
      </w:r>
      <w:r>
        <w:rPr>
          <w:color w:val="005DA1"/>
          <w:u w:val="single" w:color="005DA1"/>
          <w:vertAlign w:val="superscript"/>
        </w:rPr>
        <w:t>204</w:t>
      </w:r>
      <w:r>
        <w:rPr>
          <w:vertAlign w:val="baseline"/>
        </w:rPr>
        <w:t>; nor will the terms of the document form part of the contract unless they are, in turn, accepted as variations of the contract, either expressly or by conduct.</w:t>
      </w:r>
    </w:p>
    <w:p>
      <w:pPr>
        <w:pStyle w:val="BodyText"/>
      </w:pPr>
    </w:p>
    <w:p>
      <w:pPr>
        <w:pStyle w:val="BodyText"/>
        <w:spacing w:before="36"/>
      </w:pPr>
    </w:p>
    <w:p>
      <w:pPr>
        <w:spacing w:before="1"/>
        <w:ind w:left="165" w:right="0" w:firstLine="0"/>
        <w:jc w:val="left"/>
        <w:rPr>
          <w:rFonts w:ascii="Arial"/>
          <w:b/>
          <w:sz w:val="18"/>
        </w:rPr>
      </w:pPr>
      <w:r>
        <w:rPr>
          <w:rFonts w:ascii="Arial"/>
          <w:b/>
          <w:sz w:val="18"/>
        </w:rPr>
        <w:t>Acceptance of </w:t>
      </w:r>
      <w:r>
        <w:rPr>
          <w:rFonts w:ascii="Arial"/>
          <w:b/>
          <w:spacing w:val="-2"/>
          <w:sz w:val="18"/>
        </w:rPr>
        <w:t>tenders</w:t>
      </w:r>
    </w:p>
    <w:p>
      <w:pPr>
        <w:pStyle w:val="BodyText"/>
        <w:spacing w:before="41"/>
        <w:rPr>
          <w:rFonts w:ascii="Arial"/>
          <w:b/>
          <w:sz w:val="18"/>
        </w:rPr>
      </w:pPr>
    </w:p>
    <w:p>
      <w:pPr>
        <w:pStyle w:val="Heading2"/>
      </w:pPr>
      <w:r>
        <w:rPr/>
        <w:t>2-</w:t>
      </w:r>
      <w:r>
        <w:rPr>
          <w:spacing w:val="-5"/>
        </w:rPr>
        <w:t>038</w:t>
      </w:r>
    </w:p>
    <w:p>
      <w:pPr>
        <w:pStyle w:val="BodyText"/>
        <w:spacing w:line="235" w:lineRule="auto" w:before="202"/>
        <w:ind w:left="164" w:right="167"/>
        <w:jc w:val="both"/>
      </w:pPr>
      <w:bookmarkStart w:name="_bookmark327" w:id="329"/>
      <w:bookmarkEnd w:id="329"/>
      <w:r>
        <w:rPr/>
      </w:r>
      <w:r>
        <w:rPr/>
        <w:t>The</w:t>
      </w:r>
      <w:r>
        <w:rPr>
          <w:spacing w:val="-2"/>
        </w:rPr>
        <w:t> </w:t>
      </w:r>
      <w:r>
        <w:rPr/>
        <w:t>submission</w:t>
      </w:r>
      <w:r>
        <w:rPr>
          <w:spacing w:val="-2"/>
        </w:rPr>
        <w:t> </w:t>
      </w:r>
      <w:r>
        <w:rPr/>
        <w:t>of</w:t>
      </w:r>
      <w:r>
        <w:rPr>
          <w:spacing w:val="-2"/>
        </w:rPr>
        <w:t> </w:t>
      </w:r>
      <w:r>
        <w:rPr/>
        <w:t>a</w:t>
      </w:r>
      <w:r>
        <w:rPr>
          <w:spacing w:val="-2"/>
        </w:rPr>
        <w:t> </w:t>
      </w:r>
      <w:r>
        <w:rPr/>
        <w:t>tender</w:t>
      </w:r>
      <w:r>
        <w:rPr>
          <w:spacing w:val="-2"/>
        </w:rPr>
        <w:t> </w:t>
      </w:r>
      <w:r>
        <w:rPr/>
        <w:t>normally</w:t>
      </w:r>
      <w:r>
        <w:rPr>
          <w:spacing w:val="-2"/>
        </w:rPr>
        <w:t> </w:t>
      </w:r>
      <w:r>
        <w:rPr/>
        <w:t>amounts</w:t>
      </w:r>
      <w:r>
        <w:rPr>
          <w:spacing w:val="-2"/>
        </w:rPr>
        <w:t> </w:t>
      </w:r>
      <w:r>
        <w:rPr/>
        <w:t>to</w:t>
      </w:r>
      <w:r>
        <w:rPr>
          <w:spacing w:val="-2"/>
        </w:rPr>
        <w:t> </w:t>
      </w:r>
      <w:r>
        <w:rPr/>
        <w:t>an</w:t>
      </w:r>
      <w:r>
        <w:rPr>
          <w:spacing w:val="-2"/>
        </w:rPr>
        <w:t> </w:t>
      </w:r>
      <w:r>
        <w:rPr/>
        <w:t>offer</w:t>
      </w:r>
      <w:r>
        <w:rPr>
          <w:spacing w:val="-3"/>
        </w:rPr>
        <w:t> </w:t>
      </w:r>
      <w:r>
        <w:rPr>
          <w:color w:val="005DA1"/>
          <w:u w:val="single" w:color="005DA1"/>
          <w:vertAlign w:val="superscript"/>
        </w:rPr>
        <w:t>205</w:t>
      </w:r>
      <w:r>
        <w:rPr>
          <w:vertAlign w:val="baseline"/>
        </w:rPr>
        <w:t>;</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effect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“acceptance”</w:t>
      </w:r>
      <w:r>
        <w:rPr>
          <w:spacing w:val="-2"/>
          <w:vertAlign w:val="baseline"/>
        </w:rPr>
        <w:t> </w:t>
      </w:r>
      <w:r>
        <w:rPr>
          <w:vertAlign w:val="baseline"/>
        </w:rPr>
        <w:t>of</w:t>
      </w:r>
      <w:r>
        <w:rPr>
          <w:spacing w:val="-2"/>
          <w:vertAlign w:val="baseline"/>
        </w:rPr>
        <w:t> </w:t>
      </w:r>
      <w:r>
        <w:rPr>
          <w:vertAlign w:val="baseline"/>
        </w:rPr>
        <w:t>such a tender turns on the construction of the acceptance and the tender in each case. Where a tender is submitted, e.g. for the erection of a building, a binding contract will normally arise from acceptance of </w:t>
      </w:r>
      <w:bookmarkStart w:name="_bookmark328" w:id="330"/>
      <w:bookmarkEnd w:id="330"/>
      <w:r>
        <w:rPr>
          <w:vertAlign w:val="baseline"/>
        </w:rPr>
        <w:t>the</w:t>
      </w:r>
      <w:r>
        <w:rPr>
          <w:vertAlign w:val="baseline"/>
        </w:rPr>
        <w:t> tender, unless it is expressly stipulated that there is to be no contract until certain formal documents have been executed. </w:t>
      </w:r>
      <w:r>
        <w:rPr>
          <w:color w:val="005DA1"/>
          <w:u w:val="single" w:color="005DA1"/>
          <w:vertAlign w:val="superscript"/>
        </w:rPr>
        <w:t>206</w:t>
      </w:r>
      <w:r>
        <w:rPr>
          <w:color w:val="005DA1"/>
          <w:vertAlign w:val="baseline"/>
        </w:rPr>
        <w:t> </w:t>
      </w:r>
      <w:r>
        <w:rPr>
          <w:vertAlign w:val="baseline"/>
        </w:rPr>
        <w:t>But greater difficulty arises in construing an “acceptance” of a tender for an indefinite amount for example, of one to supply “such quantities (not exceeding a </w:t>
      </w:r>
      <w:bookmarkStart w:name="_bookmark329" w:id="331"/>
      <w:bookmarkEnd w:id="331"/>
      <w:r>
        <w:rPr>
          <w:vertAlign w:val="baseline"/>
        </w:rPr>
        <w:t>specified</w:t>
      </w:r>
      <w:r>
        <w:rPr>
          <w:vertAlign w:val="baseline"/>
        </w:rPr>
        <w:t> amount) as you may order”. The person to whom such a tender is submitted does not incur </w:t>
      </w:r>
      <w:bookmarkStart w:name="_bookmark330" w:id="332"/>
      <w:bookmarkEnd w:id="332"/>
      <w:r>
        <w:rPr>
          <w:vertAlign w:val="baseline"/>
        </w:rPr>
        <w:t>any</w:t>
      </w:r>
      <w:r>
        <w:rPr>
          <w:vertAlign w:val="baseline"/>
        </w:rPr>
        <w:t> liability merely by “accepting” it: he becomes liable only when he places an order for goods, </w:t>
      </w:r>
      <w:r>
        <w:rPr>
          <w:color w:val="005DA1"/>
          <w:u w:val="single" w:color="005DA1"/>
          <w:vertAlign w:val="superscript"/>
        </w:rPr>
        <w:t>207</w:t>
      </w:r>
      <w:r>
        <w:rPr>
          <w:color w:val="005DA1"/>
          <w:vertAlign w:val="baseline"/>
        </w:rPr>
        <w:t> </w:t>
      </w:r>
      <w:bookmarkStart w:name="_bookmark331" w:id="333"/>
      <w:bookmarkEnd w:id="333"/>
      <w:r>
        <w:rPr>
          <w:color w:val="005DA1"/>
          <w:w w:val="92"/>
          <w:vertAlign w:val="baseline"/>
        </w:rPr>
      </w:r>
      <w:r>
        <w:rPr>
          <w:vertAlign w:val="baseline"/>
        </w:rPr>
        <w:t>and he would not be bound to place any order at all </w:t>
      </w:r>
      <w:r>
        <w:rPr>
          <w:color w:val="005DA1"/>
          <w:u w:val="single" w:color="005DA1"/>
          <w:vertAlign w:val="superscript"/>
        </w:rPr>
        <w:t>208</w:t>
      </w:r>
      <w:r>
        <w:rPr>
          <w:color w:val="005DA1"/>
          <w:vertAlign w:val="baseline"/>
        </w:rPr>
        <w:t> </w:t>
      </w:r>
      <w:r>
        <w:rPr>
          <w:vertAlign w:val="baseline"/>
        </w:rPr>
        <w:t>unless he had (expressly or by necessary </w:t>
      </w:r>
      <w:bookmarkStart w:name="_bookmark332" w:id="334"/>
      <w:bookmarkEnd w:id="334"/>
      <w:r>
        <w:rPr>
          <w:vertAlign w:val="baseline"/>
        </w:rPr>
        <w:t>implication</w:t>
      </w:r>
      <w:r>
        <w:rPr>
          <w:vertAlign w:val="baseline"/>
        </w:rPr>
        <w:t> </w:t>
      </w:r>
      <w:r>
        <w:rPr>
          <w:color w:val="005DA1"/>
          <w:u w:val="single" w:color="005DA1"/>
          <w:vertAlign w:val="superscript"/>
        </w:rPr>
        <w:t>209</w:t>
      </w:r>
      <w:r>
        <w:rPr>
          <w:vertAlign w:val="baseline"/>
        </w:rPr>
        <w:t>) indicated in his invitation for tenders that he would do so. </w:t>
      </w:r>
      <w:r>
        <w:rPr>
          <w:color w:val="005DA1"/>
          <w:u w:val="single" w:color="005DA1"/>
          <w:vertAlign w:val="superscript"/>
        </w:rPr>
        <w:t>210</w:t>
      </w:r>
      <w:r>
        <w:rPr>
          <w:color w:val="005DA1"/>
          <w:vertAlign w:val="baseline"/>
        </w:rPr>
        <w:t> </w:t>
      </w:r>
      <w:r>
        <w:rPr>
          <w:vertAlign w:val="baseline"/>
        </w:rPr>
        <w:t>The party submitting the tender also becomes bound, once a definite order has been placed, to fulfil it. </w:t>
      </w:r>
      <w:r>
        <w:rPr>
          <w:color w:val="005DA1"/>
          <w:u w:val="single" w:color="005DA1"/>
          <w:vertAlign w:val="superscript"/>
        </w:rPr>
        <w:t>211</w:t>
      </w:r>
      <w:r>
        <w:rPr>
          <w:color w:val="005DA1"/>
          <w:vertAlign w:val="baseline"/>
        </w:rPr>
        <w:t> </w:t>
      </w:r>
      <w:r>
        <w:rPr>
          <w:vertAlign w:val="baseline"/>
        </w:rPr>
        <w:t>Whether he can </w:t>
      </w:r>
      <w:bookmarkStart w:name="_bookmark333" w:id="335"/>
      <w:bookmarkEnd w:id="335"/>
      <w:r>
        <w:rPr>
          <w:vertAlign w:val="baseline"/>
        </w:rPr>
        <w:t>withdraw</w:t>
      </w:r>
      <w:r>
        <w:rPr>
          <w:spacing w:val="-1"/>
          <w:vertAlign w:val="baseline"/>
        </w:rPr>
        <w:t> </w:t>
      </w:r>
      <w:r>
        <w:rPr>
          <w:vertAlign w:val="baseline"/>
        </w:rPr>
        <w:t>before</w:t>
      </w:r>
      <w:r>
        <w:rPr>
          <w:spacing w:val="-1"/>
          <w:vertAlign w:val="baseline"/>
        </w:rPr>
        <w:t> </w:t>
      </w:r>
      <w:r>
        <w:rPr>
          <w:vertAlign w:val="baseline"/>
        </w:rPr>
        <w:t>this</w:t>
      </w:r>
      <w:r>
        <w:rPr>
          <w:spacing w:val="-1"/>
          <w:vertAlign w:val="baseline"/>
        </w:rPr>
        <w:t> </w:t>
      </w:r>
      <w:r>
        <w:rPr>
          <w:vertAlign w:val="baseline"/>
        </w:rPr>
        <w:t>point,</w:t>
      </w:r>
      <w:r>
        <w:rPr>
          <w:spacing w:val="-2"/>
          <w:vertAlign w:val="baseline"/>
        </w:rPr>
        <w:t> </w:t>
      </w:r>
      <w:r>
        <w:rPr>
          <w:vertAlign w:val="baseline"/>
        </w:rPr>
        <w:t>or</w:t>
      </w:r>
      <w:r>
        <w:rPr>
          <w:spacing w:val="-1"/>
          <w:vertAlign w:val="baseline"/>
        </w:rPr>
        <w:t> </w:t>
      </w:r>
      <w:r>
        <w:rPr>
          <w:vertAlign w:val="baseline"/>
        </w:rPr>
        <w:t>avoid</w:t>
      </w:r>
      <w:r>
        <w:rPr>
          <w:spacing w:val="-1"/>
          <w:vertAlign w:val="baseline"/>
        </w:rPr>
        <w:t> </w:t>
      </w:r>
      <w:r>
        <w:rPr>
          <w:vertAlign w:val="baseline"/>
        </w:rPr>
        <w:t>liability</w:t>
      </w:r>
      <w:r>
        <w:rPr>
          <w:spacing w:val="-1"/>
          <w:vertAlign w:val="baseline"/>
        </w:rPr>
        <w:t> </w:t>
      </w:r>
      <w:r>
        <w:rPr>
          <w:vertAlign w:val="baseline"/>
        </w:rPr>
        <w:t>with</w:t>
      </w:r>
      <w:r>
        <w:rPr>
          <w:spacing w:val="-2"/>
          <w:vertAlign w:val="baseline"/>
        </w:rPr>
        <w:t> </w:t>
      </w:r>
      <w:r>
        <w:rPr>
          <w:vertAlign w:val="baseline"/>
        </w:rPr>
        <w:t>respect</w:t>
      </w:r>
      <w:r>
        <w:rPr>
          <w:spacing w:val="-1"/>
          <w:vertAlign w:val="baseline"/>
        </w:rPr>
        <w:t> </w:t>
      </w:r>
      <w:r>
        <w:rPr>
          <w:vertAlign w:val="baseline"/>
        </w:rPr>
        <w:t>to</w:t>
      </w:r>
      <w:r>
        <w:rPr>
          <w:spacing w:val="-1"/>
          <w:vertAlign w:val="baseline"/>
        </w:rPr>
        <w:t> </w:t>
      </w:r>
      <w:r>
        <w:rPr>
          <w:vertAlign w:val="baseline"/>
        </w:rPr>
        <w:t>future</w:t>
      </w:r>
      <w:r>
        <w:rPr>
          <w:spacing w:val="-1"/>
          <w:vertAlign w:val="baseline"/>
        </w:rPr>
        <w:t> </w:t>
      </w:r>
      <w:r>
        <w:rPr>
          <w:vertAlign w:val="baseline"/>
        </w:rPr>
        <w:t>orders,</w:t>
      </w:r>
      <w:r>
        <w:rPr>
          <w:spacing w:val="-2"/>
          <w:vertAlign w:val="baseline"/>
        </w:rPr>
        <w:t> </w:t>
      </w:r>
      <w:r>
        <w:rPr>
          <w:vertAlign w:val="baseline"/>
        </w:rPr>
        <w:t>depends</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interpretation of the tender. He can do so if the tender means: “I will supply such quantities as you may order.” </w:t>
      </w:r>
      <w:r>
        <w:rPr>
          <w:color w:val="005DA1"/>
          <w:u w:val="single" w:color="005DA1"/>
          <w:vertAlign w:val="superscript"/>
        </w:rPr>
        <w:t>212</w:t>
      </w:r>
      <w:r>
        <w:rPr>
          <w:color w:val="005DA1"/>
          <w:vertAlign w:val="baseline"/>
        </w:rPr>
        <w:t> </w:t>
      </w:r>
      <w:bookmarkStart w:name="_bookmark334" w:id="336"/>
      <w:bookmarkEnd w:id="336"/>
      <w:r>
        <w:rPr>
          <w:color w:val="005DA1"/>
          <w:w w:val="92"/>
          <w:vertAlign w:val="baseline"/>
        </w:rPr>
      </w:r>
      <w:r>
        <w:rPr>
          <w:vertAlign w:val="baseline"/>
        </w:rPr>
        <w:t>But he will not be entitled to withdraw if the tender means “I hereby bind myself to execute orders which you may place”, and if this promise is supported by some consideration. </w:t>
      </w:r>
      <w:r>
        <w:rPr>
          <w:color w:val="005DA1"/>
          <w:u w:val="single" w:color="005DA1"/>
          <w:vertAlign w:val="superscript"/>
        </w:rPr>
        <w:t>213</w:t>
      </w:r>
    </w:p>
    <w:p>
      <w:pPr>
        <w:pStyle w:val="BodyText"/>
      </w:pPr>
    </w:p>
    <w:p>
      <w:pPr>
        <w:pStyle w:val="BodyText"/>
        <w:spacing w:before="33"/>
      </w:pPr>
    </w:p>
    <w:p>
      <w:pPr>
        <w:spacing w:before="0"/>
        <w:ind w:left="165" w:right="0" w:firstLine="0"/>
        <w:jc w:val="left"/>
        <w:rPr>
          <w:rFonts w:ascii="Arial"/>
          <w:b/>
          <w:sz w:val="18"/>
        </w:rPr>
      </w:pPr>
      <w:r>
        <w:rPr>
          <w:rFonts w:ascii="Arial"/>
          <w:b/>
          <w:sz w:val="18"/>
        </w:rPr>
        <w:t>Acceptance by </w:t>
      </w:r>
      <w:r>
        <w:rPr>
          <w:rFonts w:ascii="Arial"/>
          <w:b/>
          <w:spacing w:val="-2"/>
          <w:sz w:val="18"/>
        </w:rPr>
        <w:t>tender</w:t>
      </w:r>
    </w:p>
    <w:p>
      <w:pPr>
        <w:pStyle w:val="BodyText"/>
        <w:spacing w:before="42"/>
        <w:rPr>
          <w:rFonts w:ascii="Arial"/>
          <w:b/>
          <w:sz w:val="18"/>
        </w:rPr>
      </w:pPr>
    </w:p>
    <w:p>
      <w:pPr>
        <w:pStyle w:val="Heading2"/>
      </w:pPr>
      <w:r>
        <w:rPr/>
        <w:t>2-</w:t>
      </w:r>
      <w:r>
        <w:rPr>
          <w:spacing w:val="-5"/>
        </w:rPr>
        <w:t>039</w:t>
      </w:r>
    </w:p>
    <w:p>
      <w:pPr>
        <w:pStyle w:val="BodyText"/>
        <w:spacing w:line="235" w:lineRule="auto" w:before="202"/>
        <w:ind w:left="165" w:right="167"/>
        <w:jc w:val="both"/>
      </w:pPr>
      <w:bookmarkStart w:name="_bookmark335" w:id="337"/>
      <w:bookmarkEnd w:id="337"/>
      <w:r>
        <w:rPr/>
      </w:r>
      <w:r>
        <w:rPr/>
        <w:t>An invitation for tenders may, exceptionally, amount to an offer, e.g. where the person issuing the invitation binds himself to accept the highest or, as the case may be, the lowest tender. </w:t>
      </w:r>
      <w:r>
        <w:rPr>
          <w:color w:val="005DA1"/>
          <w:u w:val="single" w:color="005DA1"/>
          <w:vertAlign w:val="superscript"/>
        </w:rPr>
        <w:t>214</w:t>
      </w:r>
      <w:r>
        <w:rPr>
          <w:color w:val="005DA1"/>
          <w:vertAlign w:val="baseline"/>
        </w:rPr>
        <w:t> </w:t>
      </w:r>
      <w:r>
        <w:rPr>
          <w:vertAlign w:val="baseline"/>
        </w:rPr>
        <w:t>The acceptance then takes the form of the submission of a tender; but difficulties can arise where several </w:t>
      </w:r>
      <w:bookmarkStart w:name="_bookmark336" w:id="338"/>
      <w:bookmarkEnd w:id="338"/>
      <w:r>
        <w:rPr>
          <w:vertAlign w:val="baseline"/>
        </w:rPr>
        <w:t>tenders</w:t>
      </w:r>
      <w:r>
        <w:rPr>
          <w:vertAlign w:val="baseline"/>
        </w:rPr>
        <w:t> are made and one (or more) of them takes the form of a so-called “referential bid”. In </w:t>
      </w:r>
      <w:r>
        <w:rPr>
          <w:rFonts w:ascii="Arial" w:hAnsi="Arial"/>
          <w:i/>
          <w:vertAlign w:val="baseline"/>
        </w:rPr>
        <w:t>Harvela Investments Ltd v Royal Trust Co of Canada (C.I.) Ltd</w:t>
      </w:r>
      <w:r>
        <w:rPr>
          <w:rFonts w:ascii="Arial" w:hAnsi="Arial"/>
          <w:i/>
          <w:spacing w:val="-1"/>
          <w:vertAlign w:val="baseline"/>
        </w:rPr>
        <w:t> </w:t>
      </w:r>
      <w:r>
        <w:rPr>
          <w:color w:val="005DA1"/>
          <w:u w:val="single" w:color="005DA1"/>
          <w:vertAlign w:val="superscript"/>
        </w:rPr>
        <w:t>215</w:t>
      </w:r>
      <w:r>
        <w:rPr>
          <w:color w:val="005DA1"/>
          <w:vertAlign w:val="baseline"/>
        </w:rPr>
        <w:t> </w:t>
      </w:r>
      <w:r>
        <w:rPr>
          <w:vertAlign w:val="baseline"/>
        </w:rPr>
        <w:t>an invitation for the submission of “offers” to buy shares was addressed to two persons, it stated that the prospective sellers bound themselves to accept the “highest offer”. One of the persons to whom the invitation was addressed made a bid of a fixed sum while the other submitted a “referential bid” undertaking to pay either a particular fixed sum or a specified amount in excess of the bid made by the other, whichever was the higher amount. It was held that the “referential bid” was ineffective and that the submission of the other person’s bid</w:t>
      </w:r>
      <w:r>
        <w:rPr>
          <w:spacing w:val="40"/>
          <w:vertAlign w:val="baseline"/>
        </w:rPr>
        <w:t> </w:t>
      </w:r>
      <w:r>
        <w:rPr>
          <w:vertAlign w:val="baseline"/>
        </w:rPr>
        <w:t>had concluded the contract for the sale of the shares. In reaching this conclusion, the House of Lords stressed that the bids were, by the terms of the invitation, to be confidential, so that neither bidder would know the amount bid by the other. In these circumstances the object of the invitation, which</w:t>
      </w:r>
      <w:r>
        <w:rPr>
          <w:spacing w:val="40"/>
          <w:vertAlign w:val="baseline"/>
        </w:rPr>
        <w:t> </w:t>
      </w:r>
      <w:r>
        <w:rPr>
          <w:vertAlign w:val="baseline"/>
        </w:rPr>
        <w:t>was to ascertain the highest amount that each of the persons to whom it was addressed was willing </w:t>
      </w:r>
      <w:r>
        <w:rPr>
          <w:spacing w:val="-5"/>
          <w:vertAlign w:val="baseline"/>
        </w:rPr>
        <w:t>to</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r>
        <w:rPr/>
        <w:t>pay, would have been defeated by allowing it to be accepted by a “referential </w:t>
      </w:r>
      <w:r>
        <w:rPr>
          <w:spacing w:val="-2"/>
        </w:rPr>
        <w:t>bid”.</w:t>
      </w:r>
    </w:p>
    <w:p>
      <w:pPr>
        <w:pStyle w:val="BodyText"/>
      </w:pPr>
    </w:p>
    <w:p>
      <w:pPr>
        <w:pStyle w:val="BodyText"/>
        <w:spacing w:before="38"/>
      </w:pPr>
    </w:p>
    <w:p>
      <w:pPr>
        <w:spacing w:before="0"/>
        <w:ind w:left="165" w:right="0" w:firstLine="0"/>
        <w:jc w:val="left"/>
        <w:rPr>
          <w:rFonts w:ascii="Arial"/>
          <w:b/>
          <w:sz w:val="18"/>
        </w:rPr>
      </w:pPr>
      <w:r>
        <w:rPr>
          <w:rFonts w:ascii="Arial"/>
          <w:b/>
          <w:sz w:val="18"/>
        </w:rPr>
        <w:t>Acceptance in ignorance of offer: unilateral </w:t>
      </w:r>
      <w:r>
        <w:rPr>
          <w:rFonts w:ascii="Arial"/>
          <w:b/>
          <w:spacing w:val="-2"/>
          <w:sz w:val="18"/>
        </w:rPr>
        <w:t>contracts</w:t>
      </w:r>
    </w:p>
    <w:p>
      <w:pPr>
        <w:pStyle w:val="BodyText"/>
        <w:spacing w:before="41"/>
        <w:rPr>
          <w:rFonts w:ascii="Arial"/>
          <w:b/>
          <w:sz w:val="18"/>
        </w:rPr>
      </w:pPr>
    </w:p>
    <w:p>
      <w:pPr>
        <w:pStyle w:val="Heading2"/>
      </w:pPr>
      <w:r>
        <w:rPr/>
        <w:t>2-</w:t>
      </w:r>
      <w:r>
        <w:rPr>
          <w:spacing w:val="-5"/>
        </w:rPr>
        <w:t>040</w:t>
      </w:r>
    </w:p>
    <w:p>
      <w:pPr>
        <w:pStyle w:val="BodyText"/>
        <w:spacing w:line="235" w:lineRule="auto" w:before="203"/>
        <w:ind w:left="164" w:right="167"/>
        <w:jc w:val="both"/>
      </w:pPr>
      <w:r>
        <w:rPr/>
        <w:t>In some jurisdictions it has been held that a person who gives information for which a reward has </w:t>
      </w:r>
      <w:bookmarkStart w:name="_bookmark337" w:id="339"/>
      <w:bookmarkEnd w:id="339"/>
      <w:r>
        <w:rPr/>
        <w:t>been</w:t>
      </w:r>
      <w:r>
        <w:rPr/>
        <w:t> offered cannot claim the reward if he did not know of the offer at the time of giving </w:t>
      </w:r>
      <w:r>
        <w:rPr/>
        <w:t>the </w:t>
      </w:r>
      <w:bookmarkStart w:name="_bookmark338" w:id="340"/>
      <w:bookmarkEnd w:id="340"/>
      <w:r>
        <w:rPr/>
        <w:t>information</w:t>
      </w:r>
      <w:r>
        <w:rPr/>
        <w:t> </w:t>
      </w:r>
      <w:r>
        <w:rPr>
          <w:color w:val="005DA1"/>
          <w:u w:val="single" w:color="005DA1"/>
          <w:vertAlign w:val="superscript"/>
        </w:rPr>
        <w:t>216</w:t>
      </w:r>
      <w:r>
        <w:rPr>
          <w:vertAlign w:val="baseline"/>
        </w:rPr>
        <w:t>; and the position has been said to be the same where that person once knew of the </w:t>
      </w:r>
      <w:bookmarkStart w:name="_bookmark339" w:id="341"/>
      <w:bookmarkEnd w:id="341"/>
      <w:r>
        <w:rPr>
          <w:vertAlign w:val="baseline"/>
        </w:rPr>
        <w:t>offer</w:t>
      </w:r>
      <w:r>
        <w:rPr>
          <w:vertAlign w:val="baseline"/>
        </w:rPr>
        <w:t> but had, at the time of the alleged acceptance, forgotten it. </w:t>
      </w:r>
      <w:r>
        <w:rPr>
          <w:color w:val="005DA1"/>
          <w:u w:val="single" w:color="005DA1"/>
          <w:vertAlign w:val="superscript"/>
        </w:rPr>
        <w:t>217</w:t>
      </w:r>
      <w:r>
        <w:rPr>
          <w:color w:val="005DA1"/>
          <w:vertAlign w:val="baseline"/>
        </w:rPr>
        <w:t> </w:t>
      </w:r>
      <w:r>
        <w:rPr>
          <w:vertAlign w:val="baseline"/>
        </w:rPr>
        <w:t>The English case of </w:t>
      </w:r>
      <w:r>
        <w:rPr>
          <w:rFonts w:ascii="Arial"/>
          <w:i/>
          <w:vertAlign w:val="baseline"/>
        </w:rPr>
        <w:t>Gibbons v Proctor </w:t>
      </w:r>
      <w:r>
        <w:rPr>
          <w:color w:val="005DA1"/>
          <w:u w:val="single" w:color="005DA1"/>
          <w:vertAlign w:val="superscript"/>
        </w:rPr>
        <w:t>218</w:t>
      </w:r>
      <w:r>
        <w:rPr>
          <w:color w:val="005DA1"/>
          <w:vertAlign w:val="baseline"/>
        </w:rPr>
        <w:t> </w:t>
      </w:r>
      <w:r>
        <w:rPr>
          <w:vertAlign w:val="baseline"/>
        </w:rPr>
        <w:t>is sometimes thought to support the contrary view, but the actual decision can probably be </w:t>
      </w:r>
      <w:bookmarkStart w:name="_bookmark340" w:id="342"/>
      <w:bookmarkEnd w:id="342"/>
      <w:r>
        <w:rPr>
          <w:vertAlign w:val="baseline"/>
        </w:rPr>
        <w:t>explained</w:t>
      </w:r>
      <w:r>
        <w:rPr>
          <w:vertAlign w:val="baseline"/>
        </w:rPr>
        <w:t> on the ground that the claimant did know of the offer of reward by the time the information was given on his behalf to the recipient named in the advertisement. </w:t>
      </w:r>
      <w:r>
        <w:rPr>
          <w:color w:val="005DA1"/>
          <w:u w:val="single" w:color="005DA1"/>
          <w:vertAlign w:val="superscript"/>
        </w:rPr>
        <w:t>219</w:t>
      </w:r>
      <w:r>
        <w:rPr>
          <w:color w:val="005DA1"/>
          <w:vertAlign w:val="baseline"/>
        </w:rPr>
        <w:t> </w:t>
      </w:r>
      <w:r>
        <w:rPr>
          <w:vertAlign w:val="baseline"/>
        </w:rPr>
        <w:t>To allow recovery where the claimant did </w:t>
      </w:r>
      <w:r>
        <w:rPr>
          <w:rFonts w:ascii="Arial"/>
          <w:i/>
          <w:vertAlign w:val="baseline"/>
        </w:rPr>
        <w:t>not </w:t>
      </w:r>
      <w:r>
        <w:rPr>
          <w:vertAlign w:val="baseline"/>
        </w:rPr>
        <w:t>know of the offer when he gave the information may raise the doctrinal difficulty that, in such cases, the parties have not </w:t>
      </w:r>
      <w:r>
        <w:rPr>
          <w:rFonts w:ascii="Arial"/>
          <w:i/>
          <w:vertAlign w:val="baseline"/>
        </w:rPr>
        <w:t>reached </w:t>
      </w:r>
      <w:r>
        <w:rPr>
          <w:vertAlign w:val="baseline"/>
        </w:rPr>
        <w:t>any agreement; the position is simply that their wishes coincide. But in the case of a unilateral contract it is hard to see what legitimate interest of the </w:t>
      </w:r>
      <w:bookmarkStart w:name="_bookmark341" w:id="343"/>
      <w:bookmarkEnd w:id="343"/>
      <w:r>
        <w:rPr>
          <w:vertAlign w:val="baseline"/>
        </w:rPr>
        <w:t>promisor</w:t>
      </w:r>
      <w:r>
        <w:rPr>
          <w:vertAlign w:val="baseline"/>
        </w:rPr>
        <w:t> is prejudiced by holding him liable to a party who has in fact complied with the terms of his offer, though without being aware of it. </w:t>
      </w:r>
      <w:r>
        <w:rPr>
          <w:color w:val="005DA1"/>
          <w:u w:val="single" w:color="005DA1"/>
          <w:vertAlign w:val="superscript"/>
        </w:rPr>
        <w:t>220</w:t>
      </w:r>
      <w:r>
        <w:rPr>
          <w:color w:val="005DA1"/>
          <w:vertAlign w:val="baseline"/>
        </w:rPr>
        <w:t> </w:t>
      </w:r>
      <w:r>
        <w:rPr>
          <w:vertAlign w:val="baseline"/>
        </w:rPr>
        <w:t>The suggestion that, in the case of a unilateral contract, the promisor might therefore be liable to a party who had complied with the terms of the offer, though </w:t>
      </w:r>
      <w:bookmarkStart w:name="_bookmark342" w:id="344"/>
      <w:bookmarkEnd w:id="344"/>
      <w:r>
        <w:rPr>
          <w:vertAlign w:val="baseline"/>
        </w:rPr>
        <w:t>without</w:t>
      </w:r>
      <w:r>
        <w:rPr>
          <w:vertAlign w:val="baseline"/>
        </w:rPr>
        <w:t> being aware of it, was considered in </w:t>
      </w:r>
      <w:r>
        <w:rPr>
          <w:rFonts w:ascii="Arial"/>
          <w:i/>
          <w:vertAlign w:val="baseline"/>
        </w:rPr>
        <w:t>Great Eastern Shipping Company Ltd v Far East Chartering</w:t>
      </w:r>
      <w:r>
        <w:rPr>
          <w:rFonts w:ascii="Arial"/>
          <w:i/>
          <w:spacing w:val="-3"/>
          <w:vertAlign w:val="baseline"/>
        </w:rPr>
        <w:t> </w:t>
      </w:r>
      <w:r>
        <w:rPr>
          <w:rFonts w:ascii="Arial"/>
          <w:i/>
          <w:vertAlign w:val="baseline"/>
        </w:rPr>
        <w:t>Ltd</w:t>
      </w:r>
      <w:r>
        <w:rPr>
          <w:rFonts w:ascii="Arial"/>
          <w:i/>
          <w:spacing w:val="-3"/>
          <w:vertAlign w:val="baseline"/>
        </w:rPr>
        <w:t> </w:t>
      </w:r>
      <w:r>
        <w:rPr>
          <w:rFonts w:ascii="Arial"/>
          <w:i/>
          <w:vertAlign w:val="baseline"/>
        </w:rPr>
        <w:t>(The</w:t>
      </w:r>
      <w:r>
        <w:rPr>
          <w:rFonts w:ascii="Arial"/>
          <w:i/>
          <w:spacing w:val="-3"/>
          <w:vertAlign w:val="baseline"/>
        </w:rPr>
        <w:t> </w:t>
      </w:r>
      <w:r>
        <w:rPr>
          <w:rFonts w:ascii="Arial"/>
          <w:i/>
          <w:vertAlign w:val="baseline"/>
        </w:rPr>
        <w:t>Jag</w:t>
      </w:r>
      <w:r>
        <w:rPr>
          <w:rFonts w:ascii="Arial"/>
          <w:i/>
          <w:spacing w:val="-3"/>
          <w:vertAlign w:val="baseline"/>
        </w:rPr>
        <w:t> </w:t>
      </w:r>
      <w:r>
        <w:rPr>
          <w:rFonts w:ascii="Arial"/>
          <w:i/>
          <w:vertAlign w:val="baseline"/>
        </w:rPr>
        <w:t>Ravi)</w:t>
      </w:r>
      <w:r>
        <w:rPr>
          <w:vertAlign w:val="baseline"/>
        </w:rPr>
        <w:t>,</w:t>
      </w:r>
      <w:r>
        <w:rPr>
          <w:spacing w:val="-3"/>
          <w:vertAlign w:val="baseline"/>
        </w:rPr>
        <w:t> </w:t>
      </w:r>
      <w:r>
        <w:rPr>
          <w:color w:val="005DA1"/>
          <w:u w:val="single" w:color="005DA1"/>
          <w:vertAlign w:val="superscript"/>
        </w:rPr>
        <w:t>221</w:t>
      </w:r>
      <w:r>
        <w:rPr>
          <w:color w:val="005DA1"/>
          <w:spacing w:val="-3"/>
          <w:vertAlign w:val="baseline"/>
        </w:rPr>
        <w:t> </w:t>
      </w:r>
      <w:r>
        <w:rPr>
          <w:vertAlign w:val="baseline"/>
        </w:rPr>
        <w:t>where</w:t>
      </w:r>
      <w:r>
        <w:rPr>
          <w:spacing w:val="-3"/>
          <w:vertAlign w:val="baseline"/>
        </w:rPr>
        <w:t> </w:t>
      </w:r>
      <w:r>
        <w:rPr>
          <w:vertAlign w:val="baseline"/>
        </w:rPr>
        <w:t>a</w:t>
      </w:r>
      <w:r>
        <w:rPr>
          <w:spacing w:val="-3"/>
          <w:vertAlign w:val="baseline"/>
        </w:rPr>
        <w:t> </w:t>
      </w:r>
      <w:r>
        <w:rPr>
          <w:vertAlign w:val="baseline"/>
        </w:rPr>
        <w:t>shipowner</w:t>
      </w:r>
      <w:r>
        <w:rPr>
          <w:spacing w:val="-3"/>
          <w:vertAlign w:val="baseline"/>
        </w:rPr>
        <w:t> </w:t>
      </w:r>
      <w:r>
        <w:rPr>
          <w:vertAlign w:val="baseline"/>
        </w:rPr>
        <w:t>sought</w:t>
      </w:r>
      <w:r>
        <w:rPr>
          <w:spacing w:val="-3"/>
          <w:vertAlign w:val="baseline"/>
        </w:rPr>
        <w:t> </w:t>
      </w:r>
      <w:r>
        <w:rPr>
          <w:vertAlign w:val="baseline"/>
        </w:rPr>
        <w:t>at</w:t>
      </w:r>
      <w:r>
        <w:rPr>
          <w:spacing w:val="-3"/>
          <w:vertAlign w:val="baseline"/>
        </w:rPr>
        <w:t> </w:t>
      </w:r>
      <w:r>
        <w:rPr>
          <w:vertAlign w:val="baseline"/>
        </w:rPr>
        <w:t>first</w:t>
      </w:r>
      <w:r>
        <w:rPr>
          <w:spacing w:val="-3"/>
          <w:vertAlign w:val="baseline"/>
        </w:rPr>
        <w:t> </w:t>
      </w:r>
      <w:r>
        <w:rPr>
          <w:vertAlign w:val="baseline"/>
        </w:rPr>
        <w:t>instance</w:t>
      </w:r>
      <w:r>
        <w:rPr>
          <w:spacing w:val="-3"/>
          <w:vertAlign w:val="baseline"/>
        </w:rPr>
        <w:t> </w:t>
      </w:r>
      <w:r>
        <w:rPr>
          <w:vertAlign w:val="baseline"/>
        </w:rPr>
        <w:t>to</w:t>
      </w:r>
      <w:r>
        <w:rPr>
          <w:spacing w:val="-3"/>
          <w:vertAlign w:val="baseline"/>
        </w:rPr>
        <w:t> </w:t>
      </w:r>
      <w:r>
        <w:rPr>
          <w:vertAlign w:val="baseline"/>
        </w:rPr>
        <w:t>rely</w:t>
      </w:r>
      <w:r>
        <w:rPr>
          <w:spacing w:val="-3"/>
          <w:vertAlign w:val="baseline"/>
        </w:rPr>
        <w:t> </w:t>
      </w:r>
      <w:r>
        <w:rPr>
          <w:vertAlign w:val="baseline"/>
        </w:rPr>
        <w:t>on</w:t>
      </w:r>
      <w:r>
        <w:rPr>
          <w:spacing w:val="-3"/>
          <w:vertAlign w:val="baseline"/>
        </w:rPr>
        <w:t> </w:t>
      </w:r>
      <w:r>
        <w:rPr>
          <w:vertAlign w:val="baseline"/>
        </w:rPr>
        <w:t>this</w:t>
      </w:r>
      <w:r>
        <w:rPr>
          <w:spacing w:val="-3"/>
          <w:vertAlign w:val="baseline"/>
        </w:rPr>
        <w:t> </w:t>
      </w:r>
      <w:r>
        <w:rPr>
          <w:vertAlign w:val="baseline"/>
        </w:rPr>
        <w:t>suggestion so as to enforce a letter of indemnity, even though when he did the act subjecting him to a liability </w:t>
      </w:r>
      <w:bookmarkStart w:name="_bookmark343" w:id="345"/>
      <w:bookmarkEnd w:id="345"/>
      <w:r>
        <w:rPr>
          <w:vertAlign w:val="baseline"/>
        </w:rPr>
        <w:t>which</w:t>
      </w:r>
      <w:r>
        <w:rPr>
          <w:vertAlign w:val="baseline"/>
        </w:rPr>
        <w:t> was covered by the letter of indemnity, he was unaware of the existence of that letter; but the point was left open. </w:t>
      </w:r>
      <w:r>
        <w:rPr>
          <w:color w:val="005DA1"/>
          <w:u w:val="single" w:color="005DA1"/>
          <w:vertAlign w:val="superscript"/>
        </w:rPr>
        <w:t>222</w:t>
      </w:r>
    </w:p>
    <w:p>
      <w:pPr>
        <w:pStyle w:val="BodyText"/>
      </w:pPr>
    </w:p>
    <w:p>
      <w:pPr>
        <w:pStyle w:val="BodyText"/>
        <w:spacing w:before="31"/>
      </w:pPr>
    </w:p>
    <w:p>
      <w:pPr>
        <w:spacing w:before="1"/>
        <w:ind w:left="165" w:right="0" w:firstLine="0"/>
        <w:jc w:val="left"/>
        <w:rPr>
          <w:rFonts w:ascii="Arial"/>
          <w:b/>
          <w:sz w:val="18"/>
        </w:rPr>
      </w:pPr>
      <w:r>
        <w:rPr>
          <w:rFonts w:ascii="Arial"/>
          <w:b/>
          <w:sz w:val="18"/>
        </w:rPr>
        <w:t>Acceptance in ignorance of offer: bilateral </w:t>
      </w:r>
      <w:r>
        <w:rPr>
          <w:rFonts w:ascii="Arial"/>
          <w:b/>
          <w:spacing w:val="-2"/>
          <w:sz w:val="18"/>
        </w:rPr>
        <w:t>contracts</w:t>
      </w:r>
    </w:p>
    <w:p>
      <w:pPr>
        <w:pStyle w:val="BodyText"/>
        <w:spacing w:before="41"/>
        <w:rPr>
          <w:rFonts w:ascii="Arial"/>
          <w:b/>
          <w:sz w:val="18"/>
        </w:rPr>
      </w:pPr>
    </w:p>
    <w:p>
      <w:pPr>
        <w:pStyle w:val="Heading2"/>
      </w:pPr>
      <w:r>
        <w:rPr/>
        <w:t>2-</w:t>
      </w:r>
      <w:r>
        <w:rPr>
          <w:spacing w:val="-5"/>
        </w:rPr>
        <w:t>041</w:t>
      </w:r>
    </w:p>
    <w:p>
      <w:pPr>
        <w:pStyle w:val="BodyText"/>
        <w:spacing w:line="235" w:lineRule="auto" w:before="203"/>
        <w:ind w:left="165" w:right="167"/>
        <w:jc w:val="both"/>
      </w:pPr>
      <w:r>
        <w:rPr/>
        <w:t>Different</w:t>
      </w:r>
      <w:r>
        <w:rPr>
          <w:spacing w:val="-2"/>
        </w:rPr>
        <w:t> </w:t>
      </w:r>
      <w:r>
        <w:rPr/>
        <w:t>considerations</w:t>
      </w:r>
      <w:r>
        <w:rPr>
          <w:spacing w:val="-2"/>
        </w:rPr>
        <w:t> </w:t>
      </w:r>
      <w:r>
        <w:rPr/>
        <w:t>may</w:t>
      </w:r>
      <w:r>
        <w:rPr>
          <w:spacing w:val="-2"/>
        </w:rPr>
        <w:t> </w:t>
      </w:r>
      <w:r>
        <w:rPr/>
        <w:t>apply</w:t>
      </w:r>
      <w:r>
        <w:rPr>
          <w:spacing w:val="-2"/>
        </w:rPr>
        <w:t> </w:t>
      </w:r>
      <w:r>
        <w:rPr/>
        <w:t>where</w:t>
      </w:r>
      <w:r>
        <w:rPr>
          <w:spacing w:val="-2"/>
        </w:rPr>
        <w:t> </w:t>
      </w:r>
      <w:r>
        <w:rPr/>
        <w:t>a</w:t>
      </w:r>
      <w:r>
        <w:rPr>
          <w:spacing w:val="-2"/>
        </w:rPr>
        <w:t> </w:t>
      </w:r>
      <w:r>
        <w:rPr/>
        <w:t>person</w:t>
      </w:r>
      <w:r>
        <w:rPr>
          <w:spacing w:val="-2"/>
        </w:rPr>
        <w:t> </w:t>
      </w:r>
      <w:r>
        <w:rPr/>
        <w:t>who</w:t>
      </w:r>
      <w:r>
        <w:rPr>
          <w:spacing w:val="-2"/>
        </w:rPr>
        <w:t> </w:t>
      </w:r>
      <w:r>
        <w:rPr/>
        <w:t>does</w:t>
      </w:r>
      <w:r>
        <w:rPr>
          <w:spacing w:val="-2"/>
        </w:rPr>
        <w:t> </w:t>
      </w:r>
      <w:r>
        <w:rPr/>
        <w:t>acts</w:t>
      </w:r>
      <w:r>
        <w:rPr>
          <w:spacing w:val="-2"/>
        </w:rPr>
        <w:t> </w:t>
      </w:r>
      <w:r>
        <w:rPr/>
        <w:t>alleged</w:t>
      </w:r>
      <w:r>
        <w:rPr>
          <w:spacing w:val="-2"/>
        </w:rPr>
        <w:t> </w:t>
      </w:r>
      <w:r>
        <w:rPr/>
        <w:t>to</w:t>
      </w:r>
      <w:r>
        <w:rPr>
          <w:spacing w:val="-2"/>
        </w:rPr>
        <w:t> </w:t>
      </w:r>
      <w:r>
        <w:rPr/>
        <w:t>amount</w:t>
      </w:r>
      <w:r>
        <w:rPr>
          <w:spacing w:val="-2"/>
        </w:rPr>
        <w:t> </w:t>
      </w:r>
      <w:r>
        <w:rPr/>
        <w:t>to</w:t>
      </w:r>
      <w:r>
        <w:rPr>
          <w:spacing w:val="-2"/>
        </w:rPr>
        <w:t> </w:t>
      </w:r>
      <w:r>
        <w:rPr/>
        <w:t>acceptance</w:t>
      </w:r>
      <w:r>
        <w:rPr>
          <w:spacing w:val="-2"/>
        </w:rPr>
        <w:t> </w:t>
      </w:r>
      <w:r>
        <w:rPr/>
        <w:t>of an offer of a bilateral contract does those acts in ignorance of the offer. For, if those acts </w:t>
      </w:r>
      <w:r>
        <w:rPr/>
        <w:t>are construed to amount to an acceptance, the actor may not only acquire rights but also incur liabilities under the contract. It may be unfair to subject him to these if at the time of the alleged acceptance he </w:t>
      </w:r>
      <w:bookmarkStart w:name="_bookmark344" w:id="346"/>
      <w:bookmarkEnd w:id="346"/>
      <w:r>
        <w:rPr/>
        <w:t>was</w:t>
      </w:r>
      <w:r>
        <w:rPr/>
        <w:t> not aware of the fact that an offer had been made to him, and thus had no intention of entering into a contract. In </w:t>
      </w:r>
      <w:r>
        <w:rPr>
          <w:rFonts w:ascii="Arial" w:hAnsi="Arial"/>
          <w:i/>
        </w:rPr>
        <w:t>Upton RDC v Powell </w:t>
      </w:r>
      <w:r>
        <w:rPr>
          <w:color w:val="005DA1"/>
          <w:u w:val="single" w:color="005DA1"/>
          <w:vertAlign w:val="superscript"/>
        </w:rPr>
        <w:t>223</w:t>
      </w:r>
      <w:r>
        <w:rPr>
          <w:color w:val="005DA1"/>
          <w:vertAlign w:val="baseline"/>
        </w:rPr>
        <w:t> </w:t>
      </w:r>
      <w:r>
        <w:rPr>
          <w:vertAlign w:val="baseline"/>
        </w:rPr>
        <w:t>the defendant, whose house was on fire, telephoned the Upton police and asked for “the fire brigade”. He was entitled to the services of the Pershore fire brigade free of charge as he lived in its district; but the police called the Upton fire brigade, in the </w:t>
      </w:r>
      <w:bookmarkStart w:name="_bookmark345" w:id="347"/>
      <w:bookmarkEnd w:id="347"/>
      <w:r>
        <w:rPr>
          <w:vertAlign w:val="baseline"/>
        </w:rPr>
        <w:t>belief</w:t>
      </w:r>
      <w:r>
        <w:rPr>
          <w:vertAlign w:val="baseline"/>
        </w:rPr>
        <w:t> that the defendant lived in that district. The Upton fire brigade for a time shared this belief and thought “that they were rendering gratuitous services in their own area”. </w:t>
      </w:r>
      <w:r>
        <w:rPr>
          <w:color w:val="005DA1"/>
          <w:u w:val="single" w:color="005DA1"/>
          <w:vertAlign w:val="superscript"/>
        </w:rPr>
        <w:t>224</w:t>
      </w:r>
      <w:r>
        <w:rPr>
          <w:color w:val="005DA1"/>
          <w:vertAlign w:val="baseline"/>
        </w:rPr>
        <w:t> </w:t>
      </w:r>
      <w:r>
        <w:rPr>
          <w:vertAlign w:val="baseline"/>
        </w:rPr>
        <w:t>It was held that the defendant was contractually bound to pay for these services. But even if the defendant’s telephone call was an offer, it is hard to see how the Upton fire brigade’s services, given with no thought of </w:t>
      </w:r>
      <w:bookmarkStart w:name="_bookmark346" w:id="348"/>
      <w:bookmarkEnd w:id="348"/>
      <w:r>
        <w:rPr>
          <w:vertAlign w:val="baseline"/>
        </w:rPr>
        <w:t>reward,</w:t>
      </w:r>
      <w:r>
        <w:rPr>
          <w:vertAlign w:val="baseline"/>
        </w:rPr>
        <w:t> could be an acceptance. It would have been better to have given the claimants a</w:t>
      </w:r>
      <w:r>
        <w:rPr>
          <w:spacing w:val="40"/>
          <w:vertAlign w:val="baseline"/>
        </w:rPr>
        <w:t> </w:t>
      </w:r>
      <w:r>
        <w:rPr>
          <w:vertAlign w:val="baseline"/>
        </w:rPr>
        <w:t>restitutionary</w:t>
      </w:r>
      <w:r>
        <w:rPr>
          <w:spacing w:val="-1"/>
          <w:vertAlign w:val="baseline"/>
        </w:rPr>
        <w:t> </w:t>
      </w:r>
      <w:r>
        <w:rPr>
          <w:vertAlign w:val="baseline"/>
        </w:rPr>
        <w:t>remedy</w:t>
      </w:r>
      <w:r>
        <w:rPr>
          <w:spacing w:val="-1"/>
          <w:vertAlign w:val="baseline"/>
        </w:rPr>
        <w:t> </w:t>
      </w:r>
      <w:r>
        <w:rPr>
          <w:vertAlign w:val="baseline"/>
        </w:rPr>
        <w:t>than</w:t>
      </w:r>
      <w:r>
        <w:rPr>
          <w:spacing w:val="-1"/>
          <w:vertAlign w:val="baseline"/>
        </w:rPr>
        <w:t> </w:t>
      </w:r>
      <w:r>
        <w:rPr>
          <w:vertAlign w:val="baseline"/>
        </w:rPr>
        <w:t>to</w:t>
      </w:r>
      <w:r>
        <w:rPr>
          <w:spacing w:val="-1"/>
          <w:vertAlign w:val="baseline"/>
        </w:rPr>
        <w:t> </w:t>
      </w:r>
      <w:r>
        <w:rPr>
          <w:vertAlign w:val="baseline"/>
        </w:rPr>
        <w:t>hold</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color w:val="005DA1"/>
          <w:u w:val="single" w:color="005DA1"/>
          <w:vertAlign w:val="superscript"/>
        </w:rPr>
        <w:t>225</w:t>
      </w:r>
      <w:r>
        <w:rPr>
          <w:color w:val="005DA1"/>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was</w:t>
      </w:r>
      <w:r>
        <w:rPr>
          <w:spacing w:val="-1"/>
          <w:vertAlign w:val="baseline"/>
        </w:rPr>
        <w:t> </w:t>
      </w:r>
      <w:r>
        <w:rPr>
          <w:vertAlign w:val="baseline"/>
        </w:rPr>
        <w:t>concerned</w:t>
      </w:r>
      <w:r>
        <w:rPr>
          <w:spacing w:val="-1"/>
          <w:vertAlign w:val="baseline"/>
        </w:rPr>
        <w:t> </w:t>
      </w:r>
      <w:r>
        <w:rPr>
          <w:vertAlign w:val="baseline"/>
        </w:rPr>
        <w:t>only</w:t>
      </w:r>
      <w:r>
        <w:rPr>
          <w:spacing w:val="-1"/>
          <w:vertAlign w:val="baseline"/>
        </w:rPr>
        <w:t> </w:t>
      </w:r>
      <w:r>
        <w:rPr>
          <w:vertAlign w:val="baseline"/>
        </w:rPr>
        <w:t>with</w:t>
      </w:r>
      <w:r>
        <w:rPr>
          <w:spacing w:val="-1"/>
          <w:vertAlign w:val="baseline"/>
        </w:rPr>
        <w:t> </w:t>
      </w:r>
      <w:r>
        <w:rPr>
          <w:vertAlign w:val="baseline"/>
        </w:rPr>
        <w:t>the rights of the fire brigade, but, if there was a contract, the fire brigade would also have owed more </w:t>
      </w:r>
      <w:bookmarkStart w:name="_bookmark347" w:id="349"/>
      <w:bookmarkEnd w:id="349"/>
      <w:r>
        <w:rPr>
          <w:vertAlign w:val="baseline"/>
        </w:rPr>
        <w:t>extensive</w:t>
      </w:r>
      <w:r>
        <w:rPr>
          <w:vertAlign w:val="baseline"/>
        </w:rPr>
        <w:t> duties than they would have owed, had they been volunteers. It may well be unfair to subject a person who thinks he is a volunteer to the more stringent duties of a contractor. </w:t>
      </w:r>
      <w:r>
        <w:rPr>
          <w:color w:val="005DA1"/>
          <w:u w:val="single" w:color="005DA1"/>
          <w:vertAlign w:val="superscript"/>
        </w:rPr>
        <w:t>226</w:t>
      </w:r>
      <w:r>
        <w:rPr>
          <w:color w:val="005DA1"/>
          <w:vertAlign w:val="baseline"/>
        </w:rPr>
        <w:t> </w:t>
      </w:r>
      <w:r>
        <w:rPr>
          <w:vertAlign w:val="baseline"/>
        </w:rPr>
        <w:t>Similar reasoning</w:t>
      </w:r>
      <w:r>
        <w:rPr>
          <w:spacing w:val="-1"/>
          <w:vertAlign w:val="baseline"/>
        </w:rPr>
        <w:t> </w:t>
      </w:r>
      <w:r>
        <w:rPr>
          <w:vertAlign w:val="baseline"/>
        </w:rPr>
        <w:t>applies</w:t>
      </w:r>
      <w:r>
        <w:rPr>
          <w:spacing w:val="-1"/>
          <w:vertAlign w:val="baseline"/>
        </w:rPr>
        <w:t> </w:t>
      </w:r>
      <w:r>
        <w:rPr>
          <w:vertAlign w:val="baseline"/>
        </w:rPr>
        <w:t>where</w:t>
      </w:r>
      <w:r>
        <w:rPr>
          <w:spacing w:val="-1"/>
          <w:vertAlign w:val="baseline"/>
        </w:rPr>
        <w:t> </w:t>
      </w:r>
      <w:r>
        <w:rPr>
          <w:vertAlign w:val="baseline"/>
        </w:rPr>
        <w:t>the</w:t>
      </w:r>
      <w:r>
        <w:rPr>
          <w:spacing w:val="-1"/>
          <w:vertAlign w:val="baseline"/>
        </w:rPr>
        <w:t> </w:t>
      </w:r>
      <w:r>
        <w:rPr>
          <w:vertAlign w:val="baseline"/>
        </w:rPr>
        <w:t>effect</w:t>
      </w:r>
      <w:r>
        <w:rPr>
          <w:spacing w:val="-1"/>
          <w:vertAlign w:val="baseline"/>
        </w:rPr>
        <w:t> </w:t>
      </w:r>
      <w:r>
        <w:rPr>
          <w:vertAlign w:val="baseline"/>
        </w:rPr>
        <w:t>of</w:t>
      </w:r>
      <w:r>
        <w:rPr>
          <w:spacing w:val="-1"/>
          <w:vertAlign w:val="baseline"/>
        </w:rPr>
        <w:t> </w:t>
      </w:r>
      <w:r>
        <w:rPr>
          <w:vertAlign w:val="baseline"/>
        </w:rPr>
        <w:t>an</w:t>
      </w:r>
      <w:r>
        <w:rPr>
          <w:spacing w:val="-1"/>
          <w:vertAlign w:val="baseline"/>
        </w:rPr>
        <w:t> </w:t>
      </w:r>
      <w:r>
        <w:rPr>
          <w:vertAlign w:val="baseline"/>
        </w:rPr>
        <w:t>alleged</w:t>
      </w:r>
      <w:r>
        <w:rPr>
          <w:spacing w:val="-1"/>
          <w:vertAlign w:val="baseline"/>
        </w:rPr>
        <w:t> </w:t>
      </w:r>
      <w:r>
        <w:rPr>
          <w:vertAlign w:val="baseline"/>
        </w:rPr>
        <w:t>bilateral</w:t>
      </w:r>
      <w:r>
        <w:rPr>
          <w:spacing w:val="-1"/>
          <w:vertAlign w:val="baseline"/>
        </w:rPr>
        <w:t> </w:t>
      </w:r>
      <w:r>
        <w:rPr>
          <w:vertAlign w:val="baseline"/>
        </w:rPr>
        <w:t>contract</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impose</w:t>
      </w:r>
      <w:r>
        <w:rPr>
          <w:spacing w:val="-1"/>
          <w:vertAlign w:val="baseline"/>
        </w:rPr>
        <w:t> </w:t>
      </w:r>
      <w:r>
        <w:rPr>
          <w:vertAlign w:val="baseline"/>
        </w:rPr>
        <w:t>liabilities</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party but simply to deprive him of rights. It has accordingly been held that an alleged offer to abandon </w:t>
      </w:r>
      <w:bookmarkStart w:name="_bookmark348" w:id="350"/>
      <w:bookmarkEnd w:id="350"/>
      <w:r>
        <w:rPr>
          <w:vertAlign w:val="baseline"/>
        </w:rPr>
        <w:t>arbitration</w:t>
      </w:r>
      <w:r>
        <w:rPr>
          <w:vertAlign w:val="baseline"/>
        </w:rPr>
        <w:t> proceedings cannot be accepted unless the persons claiming to have accepted it understood or believed at the time of the alleged acceptance that such an offer was being made. </w:t>
      </w:r>
      <w:r>
        <w:rPr>
          <w:color w:val="005DA1"/>
          <w:u w:val="single" w:color="005DA1"/>
          <w:vertAlign w:val="superscript"/>
        </w:rPr>
        <w:t>227</w:t>
      </w:r>
    </w:p>
    <w:p>
      <w:pPr>
        <w:pStyle w:val="BodyText"/>
      </w:pPr>
    </w:p>
    <w:p>
      <w:pPr>
        <w:pStyle w:val="BodyText"/>
        <w:spacing w:before="30"/>
      </w:pPr>
    </w:p>
    <w:p>
      <w:pPr>
        <w:spacing w:before="0"/>
        <w:ind w:left="165" w:right="0" w:firstLine="0"/>
        <w:jc w:val="left"/>
        <w:rPr>
          <w:rFonts w:ascii="Arial"/>
          <w:b/>
          <w:sz w:val="18"/>
        </w:rPr>
      </w:pPr>
      <w:r>
        <w:rPr>
          <w:rFonts w:ascii="Arial"/>
          <w:b/>
          <w:sz w:val="18"/>
        </w:rPr>
        <w:t>Motive for the </w:t>
      </w:r>
      <w:r>
        <w:rPr>
          <w:rFonts w:ascii="Arial"/>
          <w:b/>
          <w:spacing w:val="-2"/>
          <w:sz w:val="18"/>
        </w:rPr>
        <w:t>acceptance</w:t>
      </w:r>
    </w:p>
    <w:p>
      <w:pPr>
        <w:pStyle w:val="BodyText"/>
        <w:spacing w:before="41"/>
        <w:rPr>
          <w:rFonts w:ascii="Arial"/>
          <w:b/>
          <w:sz w:val="18"/>
        </w:rPr>
      </w:pPr>
    </w:p>
    <w:p>
      <w:pPr>
        <w:pStyle w:val="Heading2"/>
        <w:spacing w:before="1"/>
      </w:pPr>
      <w:r>
        <w:rPr/>
        <w:t>2-</w:t>
      </w:r>
      <w:r>
        <w:rPr>
          <w:spacing w:val="-5"/>
        </w:rPr>
        <w:t>042</w:t>
      </w:r>
    </w:p>
    <w:p>
      <w:pPr>
        <w:pStyle w:val="BodyText"/>
        <w:spacing w:line="235" w:lineRule="auto" w:before="202"/>
        <w:ind w:left="165" w:right="167"/>
        <w:jc w:val="both"/>
      </w:pPr>
      <w:bookmarkStart w:name="_bookmark349" w:id="351"/>
      <w:bookmarkEnd w:id="351"/>
      <w:r>
        <w:rPr/>
      </w:r>
      <w:r>
        <w:rPr/>
        <w:t>A person who knows of the offer may perform the act required for acceptance with some motive </w:t>
      </w:r>
      <w:r>
        <w:rPr/>
        <w:t>other than</w:t>
      </w:r>
      <w:r>
        <w:rPr>
          <w:spacing w:val="5"/>
        </w:rPr>
        <w:t> </w:t>
      </w:r>
      <w:r>
        <w:rPr/>
        <w:t>that</w:t>
      </w:r>
      <w:r>
        <w:rPr>
          <w:spacing w:val="5"/>
        </w:rPr>
        <w:t> </w:t>
      </w:r>
      <w:r>
        <w:rPr/>
        <w:t>of</w:t>
      </w:r>
      <w:r>
        <w:rPr>
          <w:spacing w:val="5"/>
        </w:rPr>
        <w:t> </w:t>
      </w:r>
      <w:r>
        <w:rPr/>
        <w:t>accepting</w:t>
      </w:r>
      <w:r>
        <w:rPr>
          <w:spacing w:val="5"/>
        </w:rPr>
        <w:t> </w:t>
      </w:r>
      <w:r>
        <w:rPr/>
        <w:t>the</w:t>
      </w:r>
      <w:r>
        <w:rPr>
          <w:spacing w:val="5"/>
        </w:rPr>
        <w:t> </w:t>
      </w:r>
      <w:r>
        <w:rPr/>
        <w:t>offer.</w:t>
      </w:r>
      <w:r>
        <w:rPr>
          <w:spacing w:val="5"/>
        </w:rPr>
        <w:t> </w:t>
      </w:r>
      <w:r>
        <w:rPr/>
        <w:t>In</w:t>
      </w:r>
      <w:r>
        <w:rPr>
          <w:spacing w:val="5"/>
        </w:rPr>
        <w:t> </w:t>
      </w:r>
      <w:r>
        <w:rPr>
          <w:rFonts w:ascii="Arial" w:hAnsi="Arial"/>
          <w:i/>
        </w:rPr>
        <w:t>Williams</w:t>
      </w:r>
      <w:r>
        <w:rPr>
          <w:rFonts w:ascii="Arial" w:hAnsi="Arial"/>
          <w:i/>
          <w:spacing w:val="5"/>
        </w:rPr>
        <w:t> </w:t>
      </w:r>
      <w:r>
        <w:rPr>
          <w:rFonts w:ascii="Arial" w:hAnsi="Arial"/>
          <w:i/>
        </w:rPr>
        <w:t>v</w:t>
      </w:r>
      <w:r>
        <w:rPr>
          <w:rFonts w:ascii="Arial" w:hAnsi="Arial"/>
          <w:i/>
          <w:spacing w:val="5"/>
        </w:rPr>
        <w:t> </w:t>
      </w:r>
      <w:r>
        <w:rPr>
          <w:rFonts w:ascii="Arial" w:hAnsi="Arial"/>
          <w:i/>
        </w:rPr>
        <w:t>Carwardine</w:t>
      </w:r>
      <w:r>
        <w:rPr>
          <w:rFonts w:ascii="Arial" w:hAnsi="Arial"/>
          <w:i/>
          <w:spacing w:val="5"/>
        </w:rPr>
        <w:t> </w:t>
      </w:r>
      <w:r>
        <w:rPr>
          <w:color w:val="005DA1"/>
          <w:u w:val="single" w:color="005DA1"/>
          <w:vertAlign w:val="superscript"/>
        </w:rPr>
        <w:t>228</w:t>
      </w:r>
      <w:r>
        <w:rPr>
          <w:color w:val="005DA1"/>
          <w:spacing w:val="5"/>
          <w:vertAlign w:val="baseline"/>
        </w:rPr>
        <w:t> </w:t>
      </w:r>
      <w:r>
        <w:rPr>
          <w:vertAlign w:val="baseline"/>
        </w:rPr>
        <w:t>the</w:t>
      </w:r>
      <w:r>
        <w:rPr>
          <w:spacing w:val="5"/>
          <w:vertAlign w:val="baseline"/>
        </w:rPr>
        <w:t> </w:t>
      </w:r>
      <w:r>
        <w:rPr>
          <w:vertAlign w:val="baseline"/>
        </w:rPr>
        <w:t>defendant</w:t>
      </w:r>
      <w:r>
        <w:rPr>
          <w:spacing w:val="5"/>
          <w:vertAlign w:val="baseline"/>
        </w:rPr>
        <w:t> </w:t>
      </w:r>
      <w:r>
        <w:rPr>
          <w:vertAlign w:val="baseline"/>
        </w:rPr>
        <w:t>offered</w:t>
      </w:r>
      <w:r>
        <w:rPr>
          <w:spacing w:val="5"/>
          <w:vertAlign w:val="baseline"/>
        </w:rPr>
        <w:t> </w:t>
      </w:r>
      <w:r>
        <w:rPr>
          <w:vertAlign w:val="baseline"/>
        </w:rPr>
        <w:t>a</w:t>
      </w:r>
      <w:r>
        <w:rPr>
          <w:spacing w:val="5"/>
          <w:vertAlign w:val="baseline"/>
        </w:rPr>
        <w:t> </w:t>
      </w:r>
      <w:r>
        <w:rPr>
          <w:vertAlign w:val="baseline"/>
        </w:rPr>
        <w:t>reward</w:t>
      </w:r>
      <w:r>
        <w:rPr>
          <w:spacing w:val="5"/>
          <w:vertAlign w:val="baseline"/>
        </w:rPr>
        <w:t> </w:t>
      </w:r>
      <w:r>
        <w:rPr>
          <w:vertAlign w:val="baseline"/>
        </w:rPr>
        <w:t>of</w:t>
      </w:r>
      <w:r>
        <w:rPr>
          <w:spacing w:val="5"/>
          <w:vertAlign w:val="baseline"/>
        </w:rPr>
        <w:t> </w:t>
      </w:r>
      <w:r>
        <w:rPr>
          <w:vertAlign w:val="baseline"/>
        </w:rPr>
        <w:t>£20</w:t>
      </w:r>
      <w:r>
        <w:rPr>
          <w:spacing w:val="5"/>
          <w:vertAlign w:val="baseline"/>
        </w:rPr>
        <w:t> </w:t>
      </w:r>
      <w:r>
        <w:rPr>
          <w:spacing w:val="-5"/>
          <w:vertAlign w:val="baseline"/>
        </w:rPr>
        <w:t>to</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anyone who gave information leading to the conviction of the murderers of Walter Carwardine. The plaintiff knew of the offer, but gave a “voluntary statement to ease my conscience, and in hopes of forgiveness hereafter” because she thought she had not long to live. This statement resulted in the </w:t>
      </w:r>
      <w:bookmarkStart w:name="_bookmark350" w:id="352"/>
      <w:bookmarkEnd w:id="352"/>
      <w:r>
        <w:rPr/>
        <w:t>conviction</w:t>
      </w:r>
      <w:r>
        <w:rPr/>
        <w:t> of the murderers. It was held that the plaintiff had brought herself within the terms of the </w:t>
      </w:r>
      <w:bookmarkStart w:name="_bookmark351" w:id="353"/>
      <w:bookmarkEnd w:id="353"/>
      <w:r>
        <w:rPr/>
        <w:t>offer</w:t>
      </w:r>
      <w:r>
        <w:rPr/>
        <w:t> and was entitled to the reward. Patteson J. added: “We cannot go into the plaintiff’s motives.” </w:t>
      </w:r>
      <w:r>
        <w:rPr>
          <w:color w:val="005DA1"/>
          <w:u w:val="single" w:color="005DA1"/>
          <w:vertAlign w:val="superscript"/>
        </w:rPr>
        <w:t>229</w:t>
      </w:r>
      <w:r>
        <w:rPr>
          <w:color w:val="005DA1"/>
          <w:vertAlign w:val="baseline"/>
        </w:rPr>
        <w:t> </w:t>
      </w:r>
      <w:r>
        <w:rPr>
          <w:vertAlign w:val="baseline"/>
        </w:rPr>
        <w:t>Similarly, in </w:t>
      </w:r>
      <w:r>
        <w:rPr>
          <w:rFonts w:ascii="Arial" w:hAnsi="Arial"/>
          <w:i/>
          <w:vertAlign w:val="baseline"/>
        </w:rPr>
        <w:t>Carlill v Carbolic Smoke Ball Co</w:t>
      </w:r>
      <w:r>
        <w:rPr>
          <w:vertAlign w:val="baseline"/>
        </w:rPr>
        <w:t>, </w:t>
      </w:r>
      <w:r>
        <w:rPr>
          <w:color w:val="005DA1"/>
          <w:u w:val="single" w:color="005DA1"/>
          <w:vertAlign w:val="superscript"/>
        </w:rPr>
        <w:t>230</w:t>
      </w:r>
      <w:r>
        <w:rPr>
          <w:color w:val="005DA1"/>
          <w:vertAlign w:val="baseline"/>
        </w:rPr>
        <w:t> </w:t>
      </w:r>
      <w:r>
        <w:rPr>
          <w:vertAlign w:val="baseline"/>
        </w:rPr>
        <w:t>the claimant recovered the £100, although her </w:t>
      </w:r>
      <w:bookmarkStart w:name="_bookmark352" w:id="354"/>
      <w:bookmarkEnd w:id="354"/>
      <w:r>
        <w:rPr>
          <w:vertAlign w:val="baseline"/>
        </w:rPr>
        <w:t>predominant</w:t>
      </w:r>
      <w:r>
        <w:rPr>
          <w:vertAlign w:val="baseline"/>
        </w:rPr>
        <w:t> motive in using the smoke ball was (presumably) to avoid catching influenza. But in the Australian case of </w:t>
      </w:r>
      <w:r>
        <w:rPr>
          <w:rFonts w:ascii="Arial" w:hAnsi="Arial"/>
          <w:i/>
          <w:vertAlign w:val="baseline"/>
        </w:rPr>
        <w:t>R. v Clarke </w:t>
      </w:r>
      <w:r>
        <w:rPr>
          <w:color w:val="005DA1"/>
          <w:u w:val="single" w:color="005DA1"/>
          <w:vertAlign w:val="superscript"/>
        </w:rPr>
        <w:t>231</w:t>
      </w:r>
      <w:r>
        <w:rPr>
          <w:color w:val="005DA1"/>
          <w:vertAlign w:val="baseline"/>
        </w:rPr>
        <w:t> </w:t>
      </w:r>
      <w:r>
        <w:rPr>
          <w:vertAlign w:val="baseline"/>
        </w:rPr>
        <w:t>a reward had been offered for information leading to the arrest and conviction of the murderers of two police officers. Clarke was suspected of the crime and gave information leading to the conviction of the culprits in order to clear himself of the charge; he admitted </w:t>
      </w:r>
      <w:bookmarkStart w:name="_bookmark353" w:id="355"/>
      <w:bookmarkEnd w:id="355"/>
      <w:r>
        <w:rPr>
          <w:vertAlign w:val="baseline"/>
        </w:rPr>
        <w:t>that</w:t>
      </w:r>
      <w:r>
        <w:rPr>
          <w:spacing w:val="-1"/>
          <w:vertAlign w:val="baseline"/>
        </w:rPr>
        <w:t> </w:t>
      </w:r>
      <w:r>
        <w:rPr>
          <w:vertAlign w:val="baseline"/>
        </w:rPr>
        <w:t>he</w:t>
      </w:r>
      <w:r>
        <w:rPr>
          <w:spacing w:val="-1"/>
          <w:vertAlign w:val="baseline"/>
        </w:rPr>
        <w:t> </w:t>
      </w:r>
      <w:r>
        <w:rPr>
          <w:vertAlign w:val="baseline"/>
        </w:rPr>
        <w:t>gave</w:t>
      </w:r>
      <w:r>
        <w:rPr>
          <w:spacing w:val="-1"/>
          <w:vertAlign w:val="baseline"/>
        </w:rPr>
        <w:t> </w:t>
      </w:r>
      <w:r>
        <w:rPr>
          <w:vertAlign w:val="baseline"/>
        </w:rPr>
        <w:t>the</w:t>
      </w:r>
      <w:r>
        <w:rPr>
          <w:spacing w:val="-1"/>
          <w:vertAlign w:val="baseline"/>
        </w:rPr>
        <w:t> </w:t>
      </w:r>
      <w:r>
        <w:rPr>
          <w:vertAlign w:val="baseline"/>
        </w:rPr>
        <w:t>information</w:t>
      </w:r>
      <w:r>
        <w:rPr>
          <w:spacing w:val="-1"/>
          <w:vertAlign w:val="baseline"/>
        </w:rPr>
        <w:t> </w:t>
      </w:r>
      <w:r>
        <w:rPr>
          <w:vertAlign w:val="baseline"/>
        </w:rPr>
        <w:t>with</w:t>
      </w:r>
      <w:r>
        <w:rPr>
          <w:spacing w:val="-1"/>
          <w:vertAlign w:val="baseline"/>
        </w:rPr>
        <w:t> </w:t>
      </w:r>
      <w:r>
        <w:rPr>
          <w:vertAlign w:val="baseline"/>
        </w:rPr>
        <w:t>no</w:t>
      </w:r>
      <w:r>
        <w:rPr>
          <w:spacing w:val="-1"/>
          <w:vertAlign w:val="baseline"/>
        </w:rPr>
        <w:t> </w:t>
      </w:r>
      <w:r>
        <w:rPr>
          <w:vertAlign w:val="baseline"/>
        </w:rPr>
        <w:t>thought</w:t>
      </w:r>
      <w:r>
        <w:rPr>
          <w:spacing w:val="-1"/>
          <w:vertAlign w:val="baseline"/>
        </w:rPr>
        <w:t> </w:t>
      </w:r>
      <w:r>
        <w:rPr>
          <w:vertAlign w:val="baseline"/>
        </w:rPr>
        <w:t>of</w:t>
      </w:r>
      <w:r>
        <w:rPr>
          <w:spacing w:val="-1"/>
          <w:vertAlign w:val="baseline"/>
        </w:rPr>
        <w:t> </w:t>
      </w:r>
      <w:r>
        <w:rPr>
          <w:vertAlign w:val="baseline"/>
        </w:rPr>
        <w:t>claiming</w:t>
      </w:r>
      <w:r>
        <w:rPr>
          <w:spacing w:val="-1"/>
          <w:vertAlign w:val="baseline"/>
        </w:rPr>
        <w:t> </w:t>
      </w:r>
      <w:r>
        <w:rPr>
          <w:vertAlign w:val="baseline"/>
        </w:rPr>
        <w:t>the</w:t>
      </w:r>
      <w:r>
        <w:rPr>
          <w:spacing w:val="-1"/>
          <w:vertAlign w:val="baseline"/>
        </w:rPr>
        <w:t> </w:t>
      </w:r>
      <w:r>
        <w:rPr>
          <w:vertAlign w:val="baseline"/>
        </w:rPr>
        <w:t>reward.</w:t>
      </w:r>
      <w:r>
        <w:rPr>
          <w:spacing w:val="-1"/>
          <w:vertAlign w:val="baseline"/>
        </w:rPr>
        <w:t> </w:t>
      </w:r>
      <w:r>
        <w:rPr>
          <w:vertAlign w:val="baseline"/>
        </w:rPr>
        <w:t>Although</w:t>
      </w:r>
      <w:r>
        <w:rPr>
          <w:spacing w:val="-1"/>
          <w:vertAlign w:val="baseline"/>
        </w:rPr>
        <w:t> </w:t>
      </w:r>
      <w:r>
        <w:rPr>
          <w:vertAlign w:val="baseline"/>
        </w:rPr>
        <w:t>he</w:t>
      </w:r>
      <w:r>
        <w:rPr>
          <w:spacing w:val="-1"/>
          <w:vertAlign w:val="baseline"/>
        </w:rPr>
        <w:t> </w:t>
      </w:r>
      <w:r>
        <w:rPr>
          <w:vertAlign w:val="baseline"/>
        </w:rPr>
        <w:t>knew</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offer,</w:t>
      </w:r>
      <w:r>
        <w:rPr>
          <w:spacing w:val="-1"/>
          <w:vertAlign w:val="baseline"/>
        </w:rPr>
        <w:t> </w:t>
      </w:r>
      <w:r>
        <w:rPr>
          <w:vertAlign w:val="baseline"/>
        </w:rPr>
        <w:t>his claim for the reward failed as he had not given the information “in exchange for the offer”.</w:t>
      </w:r>
      <w:r>
        <w:rPr>
          <w:spacing w:val="-1"/>
          <w:vertAlign w:val="baseline"/>
        </w:rPr>
        <w:t> </w:t>
      </w:r>
      <w:r>
        <w:rPr>
          <w:color w:val="005DA1"/>
          <w:u w:val="single" w:color="005DA1"/>
          <w:vertAlign w:val="superscript"/>
        </w:rPr>
        <w:t>232</w:t>
      </w:r>
      <w:r>
        <w:rPr>
          <w:color w:val="005DA1"/>
          <w:vertAlign w:val="baseline"/>
        </w:rPr>
        <w:t> </w:t>
      </w:r>
      <w:r>
        <w:rPr>
          <w:vertAlign w:val="baseline"/>
        </w:rPr>
        <w:t>It seems </w:t>
      </w:r>
      <w:bookmarkStart w:name="_bookmark354" w:id="356"/>
      <w:bookmarkEnd w:id="356"/>
      <w:r>
        <w:rPr>
          <w:vertAlign w:val="baseline"/>
        </w:rPr>
        <w:t>that</w:t>
      </w:r>
      <w:r>
        <w:rPr>
          <w:vertAlign w:val="baseline"/>
        </w:rPr>
        <w:t> an act which is </w:t>
      </w:r>
      <w:r>
        <w:rPr>
          <w:rFonts w:ascii="Arial" w:hAnsi="Arial"/>
          <w:i/>
          <w:vertAlign w:val="baseline"/>
        </w:rPr>
        <w:t>wholly </w:t>
      </w:r>
      <w:r>
        <w:rPr>
          <w:vertAlign w:val="baseline"/>
        </w:rPr>
        <w:t>motivated by factors other than the existence of the offer cannot amount to an acceptance </w:t>
      </w:r>
      <w:r>
        <w:rPr>
          <w:color w:val="005DA1"/>
          <w:u w:val="single" w:color="005DA1"/>
          <w:vertAlign w:val="superscript"/>
        </w:rPr>
        <w:t>233</w:t>
      </w:r>
      <w:r>
        <w:rPr>
          <w:vertAlign w:val="baseline"/>
        </w:rPr>
        <w:t>; but if the existence of the offer plays some part, however small, in inducing a person to do the required act, there is a valid acceptance of the offer.</w:t>
      </w:r>
    </w:p>
    <w:p>
      <w:pPr>
        <w:pStyle w:val="BodyText"/>
      </w:pPr>
    </w:p>
    <w:p>
      <w:pPr>
        <w:pStyle w:val="BodyText"/>
        <w:spacing w:before="33"/>
      </w:pPr>
    </w:p>
    <w:p>
      <w:pPr>
        <w:spacing w:before="0"/>
        <w:ind w:left="165" w:right="0" w:firstLine="0"/>
        <w:jc w:val="left"/>
        <w:rPr>
          <w:rFonts w:ascii="Arial"/>
          <w:b/>
          <w:sz w:val="18"/>
        </w:rPr>
      </w:pPr>
      <w:r>
        <w:rPr>
          <w:rFonts w:ascii="Arial"/>
          <w:b/>
          <w:sz w:val="18"/>
        </w:rPr>
        <w:t>Cross-</w:t>
      </w:r>
      <w:r>
        <w:rPr>
          <w:rFonts w:ascii="Arial"/>
          <w:b/>
          <w:spacing w:val="-2"/>
          <w:sz w:val="18"/>
        </w:rPr>
        <w:t>offers</w:t>
      </w:r>
    </w:p>
    <w:p>
      <w:pPr>
        <w:pStyle w:val="BodyText"/>
        <w:spacing w:before="41"/>
        <w:rPr>
          <w:rFonts w:ascii="Arial"/>
          <w:b/>
          <w:sz w:val="18"/>
        </w:rPr>
      </w:pPr>
    </w:p>
    <w:p>
      <w:pPr>
        <w:pStyle w:val="Heading2"/>
        <w:spacing w:before="1"/>
      </w:pPr>
      <w:r>
        <w:rPr/>
        <w:t>2-</w:t>
      </w:r>
      <w:r>
        <w:rPr>
          <w:spacing w:val="-5"/>
        </w:rPr>
        <w:t>043</w:t>
      </w:r>
    </w:p>
    <w:p>
      <w:pPr>
        <w:pStyle w:val="BodyText"/>
        <w:spacing w:line="235" w:lineRule="auto" w:before="202"/>
        <w:ind w:left="165" w:right="167"/>
        <w:jc w:val="both"/>
      </w:pPr>
      <w:r>
        <w:rPr/>
        <w:t>It</w:t>
      </w:r>
      <w:r>
        <w:rPr>
          <w:spacing w:val="-2"/>
        </w:rPr>
        <w:t> </w:t>
      </w:r>
      <w:r>
        <w:rPr/>
        <w:t>seems</w:t>
      </w:r>
      <w:r>
        <w:rPr>
          <w:spacing w:val="-2"/>
        </w:rPr>
        <w:t> </w:t>
      </w:r>
      <w:r>
        <w:rPr/>
        <w:t>that</w:t>
      </w:r>
      <w:r>
        <w:rPr>
          <w:spacing w:val="-2"/>
        </w:rPr>
        <w:t> </w:t>
      </w:r>
      <w:r>
        <w:rPr/>
        <w:t>there</w:t>
      </w:r>
      <w:r>
        <w:rPr>
          <w:spacing w:val="-2"/>
        </w:rPr>
        <w:t> </w:t>
      </w:r>
      <w:r>
        <w:rPr/>
        <w:t>is</w:t>
      </w:r>
      <w:r>
        <w:rPr>
          <w:spacing w:val="-2"/>
        </w:rPr>
        <w:t> </w:t>
      </w:r>
      <w:r>
        <w:rPr/>
        <w:t>generally</w:t>
      </w:r>
      <w:r>
        <w:rPr>
          <w:spacing w:val="-2"/>
        </w:rPr>
        <w:t> </w:t>
      </w:r>
      <w:r>
        <w:rPr/>
        <w:t>no</w:t>
      </w:r>
      <w:r>
        <w:rPr>
          <w:spacing w:val="-2"/>
        </w:rPr>
        <w:t> </w:t>
      </w:r>
      <w:r>
        <w:rPr/>
        <w:t>contract</w:t>
      </w:r>
      <w:r>
        <w:rPr>
          <w:spacing w:val="-2"/>
        </w:rPr>
        <w:t> </w:t>
      </w:r>
      <w:r>
        <w:rPr/>
        <w:t>if</w:t>
      </w:r>
      <w:r>
        <w:rPr>
          <w:spacing w:val="-2"/>
        </w:rPr>
        <w:t> </w:t>
      </w:r>
      <w:r>
        <w:rPr/>
        <w:t>two</w:t>
      </w:r>
      <w:r>
        <w:rPr>
          <w:spacing w:val="-2"/>
        </w:rPr>
        <w:t> </w:t>
      </w:r>
      <w:r>
        <w:rPr/>
        <w:t>persons</w:t>
      </w:r>
      <w:r>
        <w:rPr>
          <w:spacing w:val="-2"/>
        </w:rPr>
        <w:t> </w:t>
      </w:r>
      <w:r>
        <w:rPr/>
        <w:t>make</w:t>
      </w:r>
      <w:r>
        <w:rPr>
          <w:spacing w:val="-2"/>
        </w:rPr>
        <w:t> </w:t>
      </w:r>
      <w:r>
        <w:rPr/>
        <w:t>identical</w:t>
      </w:r>
      <w:r>
        <w:rPr>
          <w:spacing w:val="-2"/>
        </w:rPr>
        <w:t> </w:t>
      </w:r>
      <w:r>
        <w:rPr/>
        <w:t>cross-offers,</w:t>
      </w:r>
      <w:r>
        <w:rPr>
          <w:spacing w:val="-2"/>
        </w:rPr>
        <w:t> </w:t>
      </w:r>
      <w:r>
        <w:rPr/>
        <w:t>neither</w:t>
      </w:r>
      <w:r>
        <w:rPr>
          <w:spacing w:val="-2"/>
        </w:rPr>
        <w:t> </w:t>
      </w:r>
      <w:r>
        <w:rPr/>
        <w:t>knowing of the other’s offer when he made his own: e.g. if A writes to B offering to sell B his car for £5,000 and B simultaneously writes to A offering to buy the car for £5,000. The most natural reaction to letters which cross in this way would be for one of the parties to communicate with the other to make sure that there was indeed an agreement between them. To hold that there was a contract without </w:t>
      </w:r>
      <w:r>
        <w:rPr/>
        <w:t>some </w:t>
      </w:r>
      <w:bookmarkStart w:name="_bookmark355" w:id="357"/>
      <w:bookmarkEnd w:id="357"/>
      <w:r>
        <w:rPr/>
        <w:t>such</w:t>
      </w:r>
      <w:r>
        <w:rPr/>
        <w:t> further communication might cause considerable surprise to one of the parties, or possibly to both. The view that “cross-offers are not an acceptance of each other” </w:t>
      </w:r>
      <w:r>
        <w:rPr>
          <w:color w:val="005DA1"/>
          <w:u w:val="single" w:color="005DA1"/>
          <w:vertAlign w:val="superscript"/>
        </w:rPr>
        <w:t>234</w:t>
      </w:r>
      <w:r>
        <w:rPr>
          <w:color w:val="005DA1"/>
          <w:vertAlign w:val="baseline"/>
        </w:rPr>
        <w:t> </w:t>
      </w:r>
      <w:r>
        <w:rPr>
          <w:vertAlign w:val="baseline"/>
        </w:rPr>
        <w:t>can therefore be supported not only on the theoretical ground that the requirements of offer and acceptance are not satisfied, but also on the practical grounds that it accords with normal commercial expectations and that it</w:t>
      </w:r>
      <w:r>
        <w:rPr>
          <w:spacing w:val="80"/>
          <w:vertAlign w:val="baseline"/>
        </w:rPr>
        <w:t> </w:t>
      </w:r>
      <w:r>
        <w:rPr>
          <w:vertAlign w:val="baseline"/>
        </w:rPr>
        <w:t>promotes certainty.</w:t>
      </w:r>
    </w:p>
    <w:p>
      <w:pPr>
        <w:pStyle w:val="BodyText"/>
      </w:pPr>
    </w:p>
    <w:p>
      <w:pPr>
        <w:pStyle w:val="BodyText"/>
        <w:spacing w:before="36"/>
      </w:pPr>
      <w:r>
        <w:rPr/>
        <mc:AlternateContent>
          <mc:Choice Requires="wps">
            <w:drawing>
              <wp:anchor distT="0" distB="0" distL="0" distR="0" allowOverlap="1" layoutInCell="1" locked="0" behindDoc="1" simplePos="0" relativeHeight="487599616">
                <wp:simplePos x="0" y="0"/>
                <wp:positionH relativeFrom="page">
                  <wp:posOffset>914400</wp:posOffset>
                </wp:positionH>
                <wp:positionV relativeFrom="paragraph">
                  <wp:posOffset>184447</wp:posOffset>
                </wp:positionV>
                <wp:extent cx="5724525" cy="1270"/>
                <wp:effectExtent l="0" t="0" r="0" b="0"/>
                <wp:wrapTopAndBottom/>
                <wp:docPr id="37" name="Graphic 37"/>
                <wp:cNvGraphicFramePr>
                  <a:graphicFrameLocks/>
                </wp:cNvGraphicFramePr>
                <a:graphic>
                  <a:graphicData uri="http://schemas.microsoft.com/office/word/2010/wordprocessingShape">
                    <wps:wsp>
                      <wps:cNvPr id="37" name="Graphic 3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23426pt;width:450.75pt;height:.1pt;mso-position-horizontal-relative:page;mso-position-vertical-relative:paragraph;z-index:-15716864;mso-wrap-distance-left:0;mso-wrap-distance-right:0" id="docshape8"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356" w:id="358"/>
      <w:bookmarkEnd w:id="358"/>
      <w:r>
        <w:rPr/>
      </w:r>
      <w:hyperlink w:history="true" w:anchor="_bookmark265">
        <w:r>
          <w:rPr>
            <w:color w:val="005DA1"/>
            <w:spacing w:val="-4"/>
            <w:position w:val="5"/>
            <w:sz w:val="14"/>
            <w:u w:val="single" w:color="005DA1"/>
          </w:rPr>
          <w:t>140</w:t>
        </w:r>
      </w:hyperlink>
      <w:r>
        <w:rPr>
          <w:spacing w:val="-4"/>
          <w:position w:val="5"/>
          <w:sz w:val="14"/>
        </w:rPr>
        <w:t>.</w:t>
      </w:r>
      <w:r>
        <w:rPr>
          <w:position w:val="5"/>
          <w:sz w:val="14"/>
        </w:rPr>
        <w:tab/>
      </w:r>
      <w:r>
        <w:rPr>
          <w:sz w:val="20"/>
        </w:rPr>
        <w:t>Above,</w:t>
      </w:r>
      <w:r>
        <w:rPr>
          <w:spacing w:val="32"/>
          <w:sz w:val="20"/>
        </w:rPr>
        <w:t> </w:t>
      </w:r>
      <w:r>
        <w:rPr>
          <w:sz w:val="20"/>
        </w:rPr>
        <w:t>para.2-003;</w:t>
      </w:r>
      <w:r>
        <w:rPr>
          <w:spacing w:val="34"/>
          <w:sz w:val="20"/>
        </w:rPr>
        <w:t> </w:t>
      </w:r>
      <w:r>
        <w:rPr>
          <w:rFonts w:ascii="Arial"/>
          <w:i/>
          <w:sz w:val="20"/>
        </w:rPr>
        <w:t>Inland</w:t>
      </w:r>
      <w:r>
        <w:rPr>
          <w:rFonts w:ascii="Arial"/>
          <w:i/>
          <w:spacing w:val="34"/>
          <w:sz w:val="20"/>
        </w:rPr>
        <w:t> </w:t>
      </w:r>
      <w:r>
        <w:rPr>
          <w:rFonts w:ascii="Arial"/>
          <w:i/>
          <w:sz w:val="20"/>
        </w:rPr>
        <w:t>Revenue</w:t>
      </w:r>
      <w:r>
        <w:rPr>
          <w:rFonts w:ascii="Arial"/>
          <w:i/>
          <w:spacing w:val="34"/>
          <w:sz w:val="20"/>
        </w:rPr>
        <w:t> </w:t>
      </w:r>
      <w:r>
        <w:rPr>
          <w:rFonts w:ascii="Arial"/>
          <w:i/>
          <w:sz w:val="20"/>
        </w:rPr>
        <w:t>Commissioners</w:t>
      </w:r>
      <w:r>
        <w:rPr>
          <w:rFonts w:ascii="Arial"/>
          <w:i/>
          <w:spacing w:val="34"/>
          <w:sz w:val="20"/>
        </w:rPr>
        <w:t> </w:t>
      </w:r>
      <w:r>
        <w:rPr>
          <w:rFonts w:ascii="Arial"/>
          <w:i/>
          <w:sz w:val="20"/>
        </w:rPr>
        <w:t>v</w:t>
      </w:r>
      <w:r>
        <w:rPr>
          <w:rFonts w:ascii="Arial"/>
          <w:i/>
          <w:spacing w:val="34"/>
          <w:sz w:val="20"/>
        </w:rPr>
        <w:t> </w:t>
      </w:r>
      <w:r>
        <w:rPr>
          <w:rFonts w:ascii="Arial"/>
          <w:i/>
          <w:sz w:val="20"/>
        </w:rPr>
        <w:t>Fry</w:t>
      </w:r>
      <w:r>
        <w:rPr>
          <w:rFonts w:ascii="Arial"/>
          <w:i/>
          <w:spacing w:val="34"/>
          <w:sz w:val="20"/>
        </w:rPr>
        <w:t> </w:t>
      </w:r>
      <w:r>
        <w:rPr>
          <w:rFonts w:ascii="Arial"/>
          <w:i/>
          <w:sz w:val="20"/>
        </w:rPr>
        <w:t>[2001]</w:t>
      </w:r>
      <w:r>
        <w:rPr>
          <w:rFonts w:ascii="Arial"/>
          <w:i/>
          <w:spacing w:val="34"/>
          <w:sz w:val="20"/>
        </w:rPr>
        <w:t> </w:t>
      </w:r>
      <w:r>
        <w:rPr>
          <w:rFonts w:ascii="Arial"/>
          <w:i/>
          <w:sz w:val="20"/>
        </w:rPr>
        <w:t>S.T.C.</w:t>
      </w:r>
      <w:r>
        <w:rPr>
          <w:rFonts w:ascii="Arial"/>
          <w:i/>
          <w:spacing w:val="34"/>
          <w:sz w:val="20"/>
        </w:rPr>
        <w:t> </w:t>
      </w:r>
      <w:r>
        <w:rPr>
          <w:rFonts w:ascii="Arial"/>
          <w:i/>
          <w:sz w:val="20"/>
        </w:rPr>
        <w:t>1715</w:t>
      </w:r>
      <w:r>
        <w:rPr>
          <w:rFonts w:ascii="Arial"/>
          <w:i/>
          <w:spacing w:val="34"/>
          <w:sz w:val="20"/>
        </w:rPr>
        <w:t> </w:t>
      </w:r>
      <w:r>
        <w:rPr>
          <w:sz w:val="20"/>
        </w:rPr>
        <w:t>at</w:t>
      </w:r>
      <w:r>
        <w:rPr>
          <w:spacing w:val="34"/>
          <w:sz w:val="20"/>
        </w:rPr>
        <w:t> </w:t>
      </w:r>
      <w:r>
        <w:rPr>
          <w:sz w:val="20"/>
        </w:rPr>
        <w:t>[6],</w:t>
      </w:r>
      <w:r>
        <w:rPr>
          <w:spacing w:val="34"/>
          <w:sz w:val="20"/>
        </w:rPr>
        <w:t> </w:t>
      </w:r>
      <w:r>
        <w:rPr>
          <w:sz w:val="20"/>
        </w:rPr>
        <w:t>[7];</w:t>
      </w:r>
      <w:r>
        <w:rPr>
          <w:spacing w:val="34"/>
          <w:sz w:val="20"/>
        </w:rPr>
        <w:t> </w:t>
      </w:r>
      <w:r>
        <w:rPr>
          <w:rFonts w:ascii="Arial"/>
          <w:i/>
          <w:spacing w:val="-5"/>
          <w:sz w:val="20"/>
        </w:rPr>
        <w:t>Air</w:t>
      </w:r>
    </w:p>
    <w:p>
      <w:pPr>
        <w:spacing w:line="235" w:lineRule="auto" w:before="1"/>
        <w:ind w:left="705" w:right="167" w:firstLine="0"/>
        <w:jc w:val="both"/>
        <w:rPr>
          <w:sz w:val="20"/>
        </w:rPr>
      </w:pPr>
      <w:r>
        <w:rPr>
          <w:rFonts w:ascii="Arial" w:hAnsi="Arial"/>
          <w:i/>
          <w:sz w:val="20"/>
        </w:rPr>
        <w:t>Transworld Ltd v Bombardier Inc [2012] EWHC 243 (Comm)</w:t>
      </w:r>
      <w:r>
        <w:rPr>
          <w:sz w:val="20"/>
        </w:rPr>
        <w:t>, </w:t>
      </w:r>
      <w:r>
        <w:rPr>
          <w:rFonts w:ascii="Arial" w:hAnsi="Arial"/>
          <w:i/>
          <w:sz w:val="20"/>
        </w:rPr>
        <w:t>[2012] 1 Lloyd’s Rep. 349 </w:t>
      </w:r>
      <w:r>
        <w:rPr>
          <w:sz w:val="20"/>
        </w:rPr>
        <w:t>at </w:t>
      </w:r>
      <w:r>
        <w:rPr>
          <w:sz w:val="20"/>
        </w:rPr>
        <w:t>[79]. For an application of the objective test to an acceptance, see </w:t>
      </w:r>
      <w:r>
        <w:rPr>
          <w:rFonts w:ascii="Arial" w:hAnsi="Arial"/>
          <w:i/>
          <w:sz w:val="20"/>
        </w:rPr>
        <w:t>University of Edinburgh v Onifade 2005 S.L.T. (Sh Ct) 63</w:t>
      </w:r>
      <w:r>
        <w:rPr>
          <w:sz w:val="20"/>
        </w:rPr>
        <w:t>, above para.2-013. The motorist was there held to have accepted the landowner’s offer by parking his car on the owner’s land and it was “nothing to the purpose that he did not intend to pay” (at 6) the “fine” specified in the offer.</w:t>
      </w:r>
    </w:p>
    <w:p>
      <w:pPr>
        <w:pStyle w:val="BodyText"/>
        <w:spacing w:before="5"/>
      </w:pPr>
    </w:p>
    <w:p>
      <w:pPr>
        <w:tabs>
          <w:tab w:pos="705" w:val="left" w:leader="none"/>
        </w:tabs>
        <w:spacing w:before="0"/>
        <w:ind w:left="165" w:right="0" w:firstLine="0"/>
        <w:jc w:val="left"/>
        <w:rPr>
          <w:sz w:val="20"/>
        </w:rPr>
      </w:pPr>
      <w:bookmarkStart w:name="_bookmark357" w:id="359"/>
      <w:bookmarkEnd w:id="359"/>
      <w:r>
        <w:rPr/>
      </w:r>
      <w:hyperlink w:history="true" w:anchor="_bookmark266">
        <w:r>
          <w:rPr>
            <w:color w:val="005DA1"/>
            <w:spacing w:val="-4"/>
            <w:position w:val="5"/>
            <w:sz w:val="14"/>
            <w:u w:val="single" w:color="005DA1"/>
          </w:rPr>
          <w:t>141</w:t>
        </w:r>
      </w:hyperlink>
      <w:r>
        <w:rPr>
          <w:spacing w:val="-4"/>
          <w:position w:val="5"/>
          <w:sz w:val="14"/>
        </w:rPr>
        <w:t>.</w:t>
      </w:r>
      <w:r>
        <w:rPr>
          <w:position w:val="5"/>
          <w:sz w:val="14"/>
        </w:rPr>
        <w:tab/>
      </w:r>
      <w:r>
        <w:rPr>
          <w:rFonts w:ascii="Arial" w:hAnsi="Arial"/>
          <w:i/>
          <w:sz w:val="20"/>
        </w:rPr>
        <w:t>O.T.M. Ltd v Hydranautics [1981] 2 Lloyd’s Rep. 211, </w:t>
      </w:r>
      <w:r>
        <w:rPr>
          <w:rFonts w:ascii="Arial" w:hAnsi="Arial"/>
          <w:i/>
          <w:spacing w:val="-4"/>
          <w:sz w:val="20"/>
        </w:rPr>
        <w:t>214</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358" w:id="360"/>
      <w:bookmarkEnd w:id="360"/>
      <w:r>
        <w:rPr/>
      </w:r>
      <w:hyperlink w:history="true" w:anchor="_bookmark266">
        <w:r>
          <w:rPr>
            <w:color w:val="005DA1"/>
            <w:spacing w:val="-4"/>
            <w:position w:val="5"/>
            <w:sz w:val="14"/>
            <w:u w:val="single" w:color="005DA1"/>
          </w:rPr>
          <w:t>142</w:t>
        </w:r>
      </w:hyperlink>
      <w:r>
        <w:rPr>
          <w:spacing w:val="-4"/>
          <w:position w:val="5"/>
          <w:sz w:val="14"/>
        </w:rPr>
        <w:t>.</w:t>
      </w:r>
      <w:r>
        <w:rPr>
          <w:position w:val="5"/>
          <w:sz w:val="14"/>
        </w:rPr>
        <w:tab/>
      </w:r>
      <w:r>
        <w:rPr>
          <w:rFonts w:ascii="Arial"/>
          <w:i/>
          <w:sz w:val="20"/>
        </w:rPr>
        <w:t>Michael</w:t>
      </w:r>
      <w:r>
        <w:rPr>
          <w:rFonts w:ascii="Arial"/>
          <w:i/>
          <w:spacing w:val="-1"/>
          <w:sz w:val="20"/>
        </w:rPr>
        <w:t> </w:t>
      </w:r>
      <w:r>
        <w:rPr>
          <w:rFonts w:ascii="Arial"/>
          <w:i/>
          <w:sz w:val="20"/>
        </w:rPr>
        <w:t>Gerson</w:t>
      </w:r>
      <w:r>
        <w:rPr>
          <w:rFonts w:ascii="Arial"/>
          <w:i/>
          <w:spacing w:val="-1"/>
          <w:sz w:val="20"/>
        </w:rPr>
        <w:t> </w:t>
      </w:r>
      <w:r>
        <w:rPr>
          <w:rFonts w:ascii="Arial"/>
          <w:i/>
          <w:sz w:val="20"/>
        </w:rPr>
        <w:t>(Leasing)</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Wilkinson</w:t>
      </w:r>
      <w:r>
        <w:rPr>
          <w:rFonts w:ascii="Arial"/>
          <w:i/>
          <w:spacing w:val="-1"/>
          <w:sz w:val="20"/>
        </w:rPr>
        <w:t> </w:t>
      </w:r>
      <w:r>
        <w:rPr>
          <w:rFonts w:ascii="Arial"/>
          <w:i/>
          <w:sz w:val="20"/>
        </w:rPr>
        <w:t>[2000]</w:t>
      </w:r>
      <w:r>
        <w:rPr>
          <w:rFonts w:ascii="Arial"/>
          <w:i/>
          <w:spacing w:val="-1"/>
          <w:sz w:val="20"/>
        </w:rPr>
        <w:t> </w:t>
      </w:r>
      <w:r>
        <w:rPr>
          <w:rFonts w:ascii="Arial"/>
          <w:i/>
          <w:sz w:val="20"/>
        </w:rPr>
        <w:t>Q.B.</w:t>
      </w:r>
      <w:r>
        <w:rPr>
          <w:rFonts w:ascii="Arial"/>
          <w:i/>
          <w:spacing w:val="-1"/>
          <w:sz w:val="20"/>
        </w:rPr>
        <w:t> </w:t>
      </w:r>
      <w:r>
        <w:rPr>
          <w:rFonts w:ascii="Arial"/>
          <w:i/>
          <w:sz w:val="20"/>
        </w:rPr>
        <w:t>514</w:t>
      </w:r>
      <w:r>
        <w:rPr>
          <w:rFonts w:ascii="Arial"/>
          <w:i/>
          <w:spacing w:val="-1"/>
          <w:sz w:val="20"/>
        </w:rPr>
        <w:t> </w:t>
      </w:r>
      <w:r>
        <w:rPr>
          <w:sz w:val="20"/>
        </w:rPr>
        <w:t>at</w:t>
      </w:r>
      <w:r>
        <w:rPr>
          <w:spacing w:val="-1"/>
          <w:sz w:val="20"/>
        </w:rPr>
        <w:t> </w:t>
      </w:r>
      <w:r>
        <w:rPr>
          <w:sz w:val="20"/>
        </w:rPr>
        <w:t>530</w:t>
      </w:r>
      <w:r>
        <w:rPr>
          <w:spacing w:val="-1"/>
          <w:sz w:val="20"/>
        </w:rPr>
        <w:t> </w:t>
      </w:r>
      <w:r>
        <w:rPr>
          <w:sz w:val="20"/>
        </w:rPr>
        <w:t>(where</w:t>
      </w:r>
      <w:r>
        <w:rPr>
          <w:spacing w:val="-1"/>
          <w:sz w:val="20"/>
        </w:rPr>
        <w:t> </w:t>
      </w:r>
      <w:r>
        <w:rPr>
          <w:sz w:val="20"/>
        </w:rPr>
        <w:t>there</w:t>
      </w:r>
      <w:r>
        <w:rPr>
          <w:spacing w:val="-1"/>
          <w:sz w:val="20"/>
        </w:rPr>
        <w:t> </w:t>
      </w:r>
      <w:r>
        <w:rPr>
          <w:sz w:val="20"/>
        </w:rPr>
        <w:t>was</w:t>
      </w:r>
      <w:r>
        <w:rPr>
          <w:spacing w:val="-1"/>
          <w:sz w:val="20"/>
        </w:rPr>
        <w:t> </w:t>
      </w:r>
      <w:r>
        <w:rPr>
          <w:sz w:val="20"/>
        </w:rPr>
        <w:t>probably</w:t>
      </w:r>
      <w:r>
        <w:rPr>
          <w:spacing w:val="-1"/>
          <w:sz w:val="20"/>
        </w:rPr>
        <w:t> </w:t>
      </w:r>
      <w:r>
        <w:rPr>
          <w:sz w:val="20"/>
        </w:rPr>
        <w:t>no offer: see above, para.2-007 n.37).</w:t>
      </w:r>
    </w:p>
    <w:p>
      <w:pPr>
        <w:pStyle w:val="BodyText"/>
        <w:spacing w:before="81"/>
        <w:rPr>
          <w:sz w:val="14"/>
        </w:rPr>
      </w:pPr>
    </w:p>
    <w:p>
      <w:pPr>
        <w:spacing w:line="137" w:lineRule="exact" w:before="0"/>
        <w:ind w:left="165" w:right="0" w:firstLine="0"/>
        <w:jc w:val="left"/>
        <w:rPr>
          <w:sz w:val="14"/>
        </w:rPr>
      </w:pPr>
      <w:bookmarkStart w:name="_bookmark359" w:id="361"/>
      <w:bookmarkEnd w:id="361"/>
      <w:r>
        <w:rPr/>
      </w:r>
      <w:hyperlink w:history="true" w:anchor="_bookmark267">
        <w:r>
          <w:rPr>
            <w:color w:val="005DA1"/>
            <w:spacing w:val="-4"/>
            <w:sz w:val="14"/>
            <w:u w:val="single" w:color="005DA1"/>
          </w:rPr>
          <w:t>143</w:t>
        </w:r>
      </w:hyperlink>
      <w:r>
        <w:rPr>
          <w:spacing w:val="-4"/>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740928">
            <wp:simplePos x="0" y="0"/>
            <wp:positionH relativeFrom="page">
              <wp:posOffset>1257846</wp:posOffset>
            </wp:positionH>
            <wp:positionV relativeFrom="paragraph">
              <wp:posOffset>12980</wp:posOffset>
            </wp:positionV>
            <wp:extent cx="107988" cy="107988"/>
            <wp:effectExtent l="0" t="0" r="0" b="0"/>
            <wp:wrapNone/>
            <wp:docPr id="38" name="Image 38"/>
            <wp:cNvGraphicFramePr>
              <a:graphicFrameLocks/>
            </wp:cNvGraphicFramePr>
            <a:graphic>
              <a:graphicData uri="http://schemas.openxmlformats.org/drawingml/2006/picture">
                <pic:pic>
                  <pic:nvPicPr>
                    <pic:cNvPr id="38" name="Image 38"/>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Secker</w:t>
      </w:r>
      <w:r>
        <w:rPr>
          <w:rFonts w:ascii="Arial"/>
          <w:i/>
          <w:spacing w:val="-2"/>
          <w:sz w:val="20"/>
        </w:rPr>
        <w:t> </w:t>
      </w:r>
      <w:r>
        <w:rPr>
          <w:rFonts w:ascii="Arial"/>
          <w:i/>
          <w:sz w:val="20"/>
        </w:rPr>
        <w:t>v Fairhill Property Services Ltd [2017] EWHC 69 </w:t>
      </w:r>
      <w:r>
        <w:rPr>
          <w:rFonts w:ascii="Arial"/>
          <w:i/>
          <w:spacing w:val="-2"/>
          <w:sz w:val="20"/>
        </w:rPr>
        <w:t>(QB)</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60" w:id="362"/>
      <w:bookmarkEnd w:id="362"/>
      <w:r>
        <w:rPr/>
      </w:r>
      <w:hyperlink w:history="true" w:anchor="_bookmark268">
        <w:r>
          <w:rPr>
            <w:color w:val="005DA1"/>
            <w:spacing w:val="-4"/>
            <w:position w:val="5"/>
            <w:sz w:val="14"/>
            <w:u w:val="single" w:color="005DA1"/>
          </w:rPr>
          <w:t>144</w:t>
        </w:r>
      </w:hyperlink>
      <w:r>
        <w:rPr>
          <w:spacing w:val="-4"/>
          <w:position w:val="5"/>
          <w:sz w:val="14"/>
        </w:rPr>
        <w:t>.</w:t>
      </w:r>
      <w:r>
        <w:rPr>
          <w:position w:val="5"/>
          <w:sz w:val="14"/>
        </w:rPr>
        <w:tab/>
      </w:r>
      <w:r>
        <w:rPr>
          <w:rFonts w:ascii="Arial" w:hAnsi="Arial"/>
          <w:i/>
          <w:sz w:val="20"/>
        </w:rPr>
        <w:t>[1972] 2 Lloyd’s Rep. </w:t>
      </w:r>
      <w:r>
        <w:rPr>
          <w:rFonts w:ascii="Arial" w:hAnsi="Arial"/>
          <w:i/>
          <w:spacing w:val="-4"/>
          <w:sz w:val="20"/>
        </w:rPr>
        <w:t>234</w:t>
      </w:r>
      <w:r>
        <w:rPr>
          <w:spacing w:val="-4"/>
          <w:sz w:val="20"/>
        </w:rPr>
        <w:t>.</w:t>
      </w:r>
    </w:p>
    <w:p>
      <w:pPr>
        <w:pStyle w:val="BodyText"/>
        <w:spacing w:before="9"/>
      </w:pPr>
    </w:p>
    <w:p>
      <w:pPr>
        <w:tabs>
          <w:tab w:pos="705" w:val="left" w:leader="none"/>
        </w:tabs>
        <w:spacing w:line="235" w:lineRule="auto" w:before="0"/>
        <w:ind w:left="705" w:right="167" w:hanging="541"/>
        <w:jc w:val="left"/>
        <w:rPr>
          <w:rFonts w:ascii="Arial" w:hAnsi="Arial"/>
          <w:i/>
          <w:sz w:val="20"/>
        </w:rPr>
      </w:pPr>
      <w:bookmarkStart w:name="_bookmark361" w:id="363"/>
      <w:bookmarkEnd w:id="363"/>
      <w:r>
        <w:rPr/>
      </w:r>
      <w:hyperlink w:history="true" w:anchor="_bookmark269">
        <w:r>
          <w:rPr>
            <w:color w:val="005DA1"/>
            <w:spacing w:val="-4"/>
            <w:position w:val="5"/>
            <w:sz w:val="14"/>
            <w:u w:val="single" w:color="005DA1"/>
          </w:rPr>
          <w:t>145</w:t>
        </w:r>
      </w:hyperlink>
      <w:r>
        <w:rPr>
          <w:spacing w:val="-4"/>
          <w:position w:val="5"/>
          <w:sz w:val="14"/>
        </w:rPr>
        <w:t>.</w:t>
      </w:r>
      <w:r>
        <w:rPr>
          <w:position w:val="5"/>
          <w:sz w:val="14"/>
        </w:rPr>
        <w:tab/>
      </w:r>
      <w:r>
        <w:rPr>
          <w:sz w:val="20"/>
        </w:rPr>
        <w:t>Paras</w:t>
      </w:r>
      <w:r>
        <w:rPr>
          <w:spacing w:val="40"/>
          <w:sz w:val="20"/>
        </w:rPr>
        <w:t> </w:t>
      </w:r>
      <w:r>
        <w:rPr>
          <w:sz w:val="20"/>
        </w:rPr>
        <w:t>2-027</w:t>
      </w:r>
      <w:r>
        <w:rPr>
          <w:spacing w:val="40"/>
          <w:sz w:val="20"/>
        </w:rPr>
        <w:t> </w:t>
      </w:r>
      <w:r>
        <w:rPr>
          <w:sz w:val="20"/>
        </w:rPr>
        <w:t>and</w:t>
      </w:r>
      <w:r>
        <w:rPr>
          <w:spacing w:val="40"/>
          <w:sz w:val="20"/>
        </w:rPr>
        <w:t> </w:t>
      </w:r>
      <w:r>
        <w:rPr>
          <w:sz w:val="20"/>
        </w:rPr>
        <w:t>2-028</w:t>
      </w:r>
      <w:r>
        <w:rPr>
          <w:spacing w:val="40"/>
          <w:sz w:val="20"/>
        </w:rPr>
        <w:t> </w:t>
      </w:r>
      <w:r>
        <w:rPr>
          <w:sz w:val="20"/>
        </w:rPr>
        <w:t>are</w:t>
      </w:r>
      <w:r>
        <w:rPr>
          <w:spacing w:val="40"/>
          <w:sz w:val="20"/>
        </w:rPr>
        <w:t> </w:t>
      </w:r>
      <w:r>
        <w:rPr>
          <w:sz w:val="20"/>
        </w:rPr>
        <w:t>referred</w:t>
      </w:r>
      <w:r>
        <w:rPr>
          <w:spacing w:val="40"/>
          <w:sz w:val="20"/>
        </w:rPr>
        <w:t> </w:t>
      </w:r>
      <w:r>
        <w:rPr>
          <w:sz w:val="20"/>
        </w:rPr>
        <w:t>to</w:t>
      </w:r>
      <w:r>
        <w:rPr>
          <w:spacing w:val="40"/>
          <w:sz w:val="20"/>
        </w:rPr>
        <w:t> </w:t>
      </w:r>
      <w:r>
        <w:rPr>
          <w:sz w:val="20"/>
        </w:rPr>
        <w:t>with</w:t>
      </w:r>
      <w:r>
        <w:rPr>
          <w:spacing w:val="40"/>
          <w:sz w:val="20"/>
        </w:rPr>
        <w:t> </w:t>
      </w:r>
      <w:r>
        <w:rPr>
          <w:sz w:val="20"/>
        </w:rPr>
        <w:t>apparent</w:t>
      </w:r>
      <w:r>
        <w:rPr>
          <w:spacing w:val="40"/>
          <w:sz w:val="20"/>
        </w:rPr>
        <w:t> </w:t>
      </w:r>
      <w:r>
        <w:rPr>
          <w:sz w:val="20"/>
        </w:rPr>
        <w:t>approval</w:t>
      </w:r>
      <w:r>
        <w:rPr>
          <w:spacing w:val="40"/>
          <w:sz w:val="20"/>
        </w:rPr>
        <w:t> </w:t>
      </w:r>
      <w:r>
        <w:rPr>
          <w:sz w:val="20"/>
        </w:rPr>
        <w:t>by</w:t>
      </w:r>
      <w:r>
        <w:rPr>
          <w:spacing w:val="40"/>
          <w:sz w:val="20"/>
        </w:rPr>
        <w:t> </w:t>
      </w:r>
      <w:r>
        <w:rPr>
          <w:sz w:val="20"/>
        </w:rPr>
        <w:t>Males</w:t>
      </w:r>
      <w:r>
        <w:rPr>
          <w:spacing w:val="40"/>
          <w:sz w:val="20"/>
        </w:rPr>
        <w:t> </w:t>
      </w:r>
      <w:r>
        <w:rPr>
          <w:sz w:val="20"/>
        </w:rPr>
        <w:t>J.</w:t>
      </w:r>
      <w:r>
        <w:rPr>
          <w:spacing w:val="40"/>
          <w:sz w:val="20"/>
        </w:rPr>
        <w:t> </w:t>
      </w:r>
      <w:r>
        <w:rPr>
          <w:sz w:val="20"/>
        </w:rPr>
        <w:t>in</w:t>
      </w:r>
      <w:r>
        <w:rPr>
          <w:spacing w:val="40"/>
          <w:sz w:val="20"/>
        </w:rPr>
        <w:t> </w:t>
      </w:r>
      <w:r>
        <w:rPr>
          <w:rFonts w:ascii="Arial" w:hAnsi="Arial"/>
          <w:i/>
          <w:sz w:val="20"/>
        </w:rPr>
        <w:t>Air</w:t>
      </w:r>
      <w:r>
        <w:rPr>
          <w:rFonts w:ascii="Arial" w:hAnsi="Arial"/>
          <w:i/>
          <w:spacing w:val="40"/>
          <w:sz w:val="20"/>
        </w:rPr>
        <w:t> </w:t>
      </w:r>
      <w:r>
        <w:rPr>
          <w:rFonts w:ascii="Arial" w:hAnsi="Arial"/>
          <w:i/>
          <w:sz w:val="20"/>
        </w:rPr>
        <w:t>Studios (Lyndhurst)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Lombard</w:t>
      </w:r>
      <w:r>
        <w:rPr>
          <w:rFonts w:ascii="Arial" w:hAnsi="Arial"/>
          <w:i/>
          <w:spacing w:val="1"/>
          <w:sz w:val="20"/>
        </w:rPr>
        <w:t> </w:t>
      </w:r>
      <w:r>
        <w:rPr>
          <w:rFonts w:ascii="Arial" w:hAnsi="Arial"/>
          <w:i/>
          <w:sz w:val="20"/>
        </w:rPr>
        <w:t>North</w:t>
      </w:r>
      <w:r>
        <w:rPr>
          <w:rFonts w:ascii="Arial" w:hAnsi="Arial"/>
          <w:i/>
          <w:spacing w:val="1"/>
          <w:sz w:val="20"/>
        </w:rPr>
        <w:t> </w:t>
      </w:r>
      <w:r>
        <w:rPr>
          <w:rFonts w:ascii="Arial" w:hAnsi="Arial"/>
          <w:i/>
          <w:sz w:val="20"/>
        </w:rPr>
        <w:t>Central</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[2012]</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3162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[2013]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pacing w:val="-5"/>
          <w:sz w:val="20"/>
        </w:rPr>
        <w:t>63</w:t>
      </w:r>
    </w:p>
    <w:p>
      <w:pPr>
        <w:pStyle w:val="BodyText"/>
        <w:spacing w:line="225" w:lineRule="exact"/>
        <w:ind w:left="705"/>
      </w:pPr>
      <w:r>
        <w:rPr/>
        <w:t>at </w:t>
      </w:r>
      <w:r>
        <w:rPr>
          <w:spacing w:val="-4"/>
        </w:rPr>
        <w:t>[5].</w:t>
      </w:r>
    </w:p>
    <w:p>
      <w:pPr>
        <w:pStyle w:val="BodyText"/>
        <w:spacing w:before="9"/>
      </w:pPr>
    </w:p>
    <w:p>
      <w:pPr>
        <w:spacing w:line="235" w:lineRule="auto" w:before="0"/>
        <w:ind w:left="705" w:right="167" w:hanging="541"/>
        <w:jc w:val="both"/>
        <w:rPr>
          <w:sz w:val="20"/>
        </w:rPr>
      </w:pPr>
      <w:bookmarkStart w:name="_bookmark362" w:id="364"/>
      <w:bookmarkEnd w:id="364"/>
      <w:r>
        <w:rPr/>
      </w:r>
      <w:hyperlink w:history="true" w:anchor="_bookmark270">
        <w:r>
          <w:rPr>
            <w:color w:val="005DA1"/>
            <w:position w:val="5"/>
            <w:sz w:val="14"/>
            <w:u w:val="single" w:color="005DA1"/>
          </w:rPr>
          <w:t>146</w:t>
        </w:r>
      </w:hyperlink>
      <w:r>
        <w:rPr>
          <w:position w:val="5"/>
          <w:sz w:val="14"/>
        </w:rPr>
        <w:t>.</w:t>
      </w:r>
      <w:r>
        <w:rPr>
          <w:spacing w:val="80"/>
          <w:w w:val="150"/>
          <w:position w:val="5"/>
          <w:sz w:val="14"/>
        </w:rPr>
        <w:t> </w:t>
      </w:r>
      <w:r>
        <w:rPr>
          <w:sz w:val="20"/>
        </w:rPr>
        <w:t>See </w:t>
      </w:r>
      <w:r>
        <w:rPr>
          <w:rFonts w:ascii="Arial" w:hAnsi="Arial"/>
          <w:i/>
          <w:sz w:val="20"/>
        </w:rPr>
        <w:t>Glencore Energy Ltd v Cirrus Oil Services Ltd [2014] EWHC 87 (Comm)</w:t>
      </w:r>
      <w:r>
        <w:rPr>
          <w:sz w:val="20"/>
        </w:rPr>
        <w:t>, </w:t>
      </w:r>
      <w:r>
        <w:rPr>
          <w:rFonts w:ascii="Arial" w:hAnsi="Arial"/>
          <w:i/>
          <w:sz w:val="20"/>
        </w:rPr>
        <w:t>[2014] All E.R. (Comm) 513</w:t>
      </w:r>
      <w:r>
        <w:rPr>
          <w:sz w:val="20"/>
        </w:rPr>
        <w:t>, where a communication forming part of continuing email exchanges was held </w:t>
      </w:r>
      <w:r>
        <w:rPr>
          <w:sz w:val="20"/>
        </w:rPr>
        <w:t>on its true construction to be a “clear acceptance” (at [60], [62]) of the offer contained in the communication referred to in n.10.</w:t>
      </w:r>
    </w:p>
    <w:p>
      <w:pPr>
        <w:spacing w:after="0" w:line="235" w:lineRule="auto"/>
        <w:jc w:val="both"/>
        <w:rPr>
          <w:sz w:val="20"/>
        </w:rPr>
        <w:sectPr>
          <w:pgSz w:w="11900" w:h="16840"/>
          <w:pgMar w:header="971" w:footer="0" w:top="1300" w:bottom="280" w:left="1275" w:right="1275"/>
        </w:sectPr>
      </w:pPr>
    </w:p>
    <w:p>
      <w:pPr>
        <w:spacing w:line="235" w:lineRule="auto" w:before="170"/>
        <w:ind w:left="705" w:right="168" w:hanging="541"/>
        <w:jc w:val="both"/>
        <w:rPr>
          <w:rFonts w:ascii="Arial" w:hAnsi="Arial"/>
          <w:i/>
          <w:sz w:val="20"/>
        </w:rPr>
      </w:pPr>
      <w:hyperlink w:history="true" w:anchor="_bookmark271">
        <w:r>
          <w:rPr>
            <w:color w:val="005DA1"/>
            <w:position w:val="5"/>
            <w:sz w:val="14"/>
            <w:u w:val="single" w:color="005DA1"/>
          </w:rPr>
          <w:t>147</w:t>
        </w:r>
      </w:hyperlink>
      <w:r>
        <w:rPr>
          <w:position w:val="5"/>
          <w:sz w:val="14"/>
        </w:rPr>
        <w:t>.</w:t>
      </w:r>
      <w:r>
        <w:rPr>
          <w:spacing w:val="40"/>
          <w:position w:val="5"/>
          <w:sz w:val="14"/>
        </w:rPr>
        <w:t>  </w:t>
      </w:r>
      <w:r>
        <w:rPr>
          <w:rFonts w:ascii="Arial" w:hAnsi="Arial"/>
          <w:i/>
          <w:sz w:val="20"/>
        </w:rPr>
        <w:t>Kennedy v Lee (1817) 3 Mer. 441</w:t>
      </w:r>
      <w:r>
        <w:rPr>
          <w:sz w:val="20"/>
        </w:rPr>
        <w:t>; cf. </w:t>
      </w:r>
      <w:r>
        <w:rPr>
          <w:rFonts w:ascii="Arial" w:hAnsi="Arial"/>
          <w:i/>
          <w:sz w:val="20"/>
        </w:rPr>
        <w:t>Cie de Commerce, etc. v Parkinson Stove Co [1953] 2 Lloyd’s Rep. 487, B.S.E., 17 M.L.R. 476</w:t>
      </w:r>
      <w:r>
        <w:rPr>
          <w:sz w:val="20"/>
        </w:rPr>
        <w:t>; </w:t>
      </w:r>
      <w:r>
        <w:rPr>
          <w:rFonts w:ascii="Arial" w:hAnsi="Arial"/>
          <w:i/>
          <w:sz w:val="20"/>
        </w:rPr>
        <w:t>Port Sudan Cotton Co v Govindaswamy Chettiar &amp; Sons</w:t>
      </w:r>
      <w:r>
        <w:rPr>
          <w:rFonts w:ascii="Arial" w:hAnsi="Arial"/>
          <w:i/>
          <w:spacing w:val="31"/>
          <w:sz w:val="20"/>
        </w:rPr>
        <w:t> </w:t>
      </w:r>
      <w:r>
        <w:rPr>
          <w:rFonts w:ascii="Arial" w:hAnsi="Arial"/>
          <w:i/>
          <w:sz w:val="20"/>
        </w:rPr>
        <w:t>[1977]</w:t>
      </w:r>
      <w:r>
        <w:rPr>
          <w:rFonts w:ascii="Arial" w:hAnsi="Arial"/>
          <w:i/>
          <w:spacing w:val="32"/>
          <w:sz w:val="20"/>
        </w:rPr>
        <w:t> </w:t>
      </w:r>
      <w:r>
        <w:rPr>
          <w:rFonts w:ascii="Arial" w:hAnsi="Arial"/>
          <w:i/>
          <w:sz w:val="20"/>
        </w:rPr>
        <w:t>2</w:t>
      </w:r>
      <w:r>
        <w:rPr>
          <w:rFonts w:ascii="Arial" w:hAnsi="Arial"/>
          <w:i/>
          <w:spacing w:val="32"/>
          <w:sz w:val="20"/>
        </w:rPr>
        <w:t> </w:t>
      </w:r>
      <w:r>
        <w:rPr>
          <w:rFonts w:ascii="Arial" w:hAnsi="Arial"/>
          <w:i/>
          <w:sz w:val="20"/>
        </w:rPr>
        <w:t>Lloyd’s</w:t>
      </w:r>
      <w:r>
        <w:rPr>
          <w:rFonts w:ascii="Arial" w:hAnsi="Arial"/>
          <w:i/>
          <w:spacing w:val="32"/>
          <w:sz w:val="20"/>
        </w:rPr>
        <w:t> </w:t>
      </w:r>
      <w:r>
        <w:rPr>
          <w:rFonts w:ascii="Arial" w:hAnsi="Arial"/>
          <w:i/>
          <w:sz w:val="20"/>
        </w:rPr>
        <w:t>Rep.</w:t>
      </w:r>
      <w:r>
        <w:rPr>
          <w:rFonts w:ascii="Arial" w:hAnsi="Arial"/>
          <w:i/>
          <w:spacing w:val="32"/>
          <w:sz w:val="20"/>
        </w:rPr>
        <w:t> </w:t>
      </w:r>
      <w:r>
        <w:rPr>
          <w:rFonts w:ascii="Arial" w:hAnsi="Arial"/>
          <w:i/>
          <w:sz w:val="20"/>
        </w:rPr>
        <w:t>5</w:t>
      </w:r>
      <w:r>
        <w:rPr>
          <w:sz w:val="20"/>
        </w:rPr>
        <w:t>;</w:t>
      </w:r>
      <w:r>
        <w:rPr>
          <w:spacing w:val="32"/>
          <w:sz w:val="20"/>
        </w:rPr>
        <w:t> </w:t>
      </w:r>
      <w:r>
        <w:rPr>
          <w:rFonts w:ascii="Arial" w:hAnsi="Arial"/>
          <w:i/>
          <w:sz w:val="20"/>
        </w:rPr>
        <w:t>Thoresen</w:t>
      </w:r>
      <w:r>
        <w:rPr>
          <w:rFonts w:ascii="Arial" w:hAnsi="Arial"/>
          <w:i/>
          <w:spacing w:val="32"/>
          <w:sz w:val="20"/>
        </w:rPr>
        <w:t> </w:t>
      </w:r>
      <w:r>
        <w:rPr>
          <w:rFonts w:ascii="Arial" w:hAnsi="Arial"/>
          <w:i/>
          <w:sz w:val="20"/>
        </w:rPr>
        <w:t>Car</w:t>
      </w:r>
      <w:r>
        <w:rPr>
          <w:rFonts w:ascii="Arial" w:hAnsi="Arial"/>
          <w:i/>
          <w:spacing w:val="32"/>
          <w:sz w:val="20"/>
        </w:rPr>
        <w:t> </w:t>
      </w:r>
      <w:r>
        <w:rPr>
          <w:rFonts w:ascii="Arial" w:hAnsi="Arial"/>
          <w:i/>
          <w:sz w:val="20"/>
        </w:rPr>
        <w:t>Ferries</w:t>
      </w:r>
      <w:r>
        <w:rPr>
          <w:rFonts w:ascii="Arial" w:hAnsi="Arial"/>
          <w:i/>
          <w:spacing w:val="32"/>
          <w:sz w:val="20"/>
        </w:rPr>
        <w:t> </w:t>
      </w:r>
      <w:r>
        <w:rPr>
          <w:rFonts w:ascii="Arial" w:hAnsi="Arial"/>
          <w:i/>
          <w:sz w:val="20"/>
        </w:rPr>
        <w:t>Ltd</w:t>
      </w:r>
      <w:r>
        <w:rPr>
          <w:rFonts w:ascii="Arial" w:hAnsi="Arial"/>
          <w:i/>
          <w:spacing w:val="32"/>
          <w:sz w:val="20"/>
        </w:rPr>
        <w:t> </w:t>
      </w:r>
      <w:r>
        <w:rPr>
          <w:rFonts w:ascii="Arial" w:hAnsi="Arial"/>
          <w:i/>
          <w:sz w:val="20"/>
        </w:rPr>
        <w:t>v</w:t>
      </w:r>
      <w:r>
        <w:rPr>
          <w:rFonts w:ascii="Arial" w:hAnsi="Arial"/>
          <w:i/>
          <w:spacing w:val="32"/>
          <w:sz w:val="20"/>
        </w:rPr>
        <w:t> </w:t>
      </w:r>
      <w:r>
        <w:rPr>
          <w:rFonts w:ascii="Arial" w:hAnsi="Arial"/>
          <w:i/>
          <w:sz w:val="20"/>
        </w:rPr>
        <w:t>Weymouth</w:t>
      </w:r>
      <w:r>
        <w:rPr>
          <w:rFonts w:ascii="Arial" w:hAnsi="Arial"/>
          <w:i/>
          <w:spacing w:val="32"/>
          <w:sz w:val="20"/>
        </w:rPr>
        <w:t> </w:t>
      </w:r>
      <w:r>
        <w:rPr>
          <w:rFonts w:ascii="Arial" w:hAnsi="Arial"/>
          <w:i/>
          <w:sz w:val="20"/>
        </w:rPr>
        <w:t>Portland</w:t>
      </w:r>
      <w:r>
        <w:rPr>
          <w:rFonts w:ascii="Arial" w:hAnsi="Arial"/>
          <w:i/>
          <w:spacing w:val="32"/>
          <w:sz w:val="20"/>
        </w:rPr>
        <w:t> </w:t>
      </w:r>
      <w:r>
        <w:rPr>
          <w:rFonts w:ascii="Arial" w:hAnsi="Arial"/>
          <w:i/>
          <w:sz w:val="20"/>
        </w:rPr>
        <w:t>BC</w:t>
      </w:r>
      <w:r>
        <w:rPr>
          <w:rFonts w:ascii="Arial" w:hAnsi="Arial"/>
          <w:i/>
          <w:spacing w:val="32"/>
          <w:sz w:val="20"/>
        </w:rPr>
        <w:t> </w:t>
      </w:r>
      <w:r>
        <w:rPr>
          <w:rFonts w:ascii="Arial" w:hAnsi="Arial"/>
          <w:i/>
          <w:sz w:val="20"/>
        </w:rPr>
        <w:t>[1977]</w:t>
      </w:r>
      <w:r>
        <w:rPr>
          <w:rFonts w:ascii="Arial" w:hAnsi="Arial"/>
          <w:i/>
          <w:spacing w:val="32"/>
          <w:sz w:val="20"/>
        </w:rPr>
        <w:t> </w:t>
      </w:r>
      <w:r>
        <w:rPr>
          <w:rFonts w:ascii="Arial" w:hAnsi="Arial"/>
          <w:i/>
          <w:spacing w:val="-10"/>
          <w:sz w:val="20"/>
        </w:rPr>
        <w:t>2</w:t>
      </w:r>
    </w:p>
    <w:p>
      <w:pPr>
        <w:spacing w:line="235" w:lineRule="auto" w:before="0"/>
        <w:ind w:left="705" w:right="168" w:firstLine="0"/>
        <w:jc w:val="both"/>
        <w:rPr>
          <w:sz w:val="20"/>
        </w:rPr>
      </w:pPr>
      <w:r>
        <w:rPr>
          <w:rFonts w:ascii="Arial" w:hAnsi="Arial"/>
          <w:i/>
          <w:sz w:val="20"/>
        </w:rPr>
        <w:t>Lloyd’s Rep. 614</w:t>
      </w:r>
      <w:r>
        <w:rPr>
          <w:sz w:val="20"/>
        </w:rPr>
        <w:t>; </w:t>
      </w:r>
      <w:r>
        <w:rPr>
          <w:rFonts w:ascii="Arial" w:hAnsi="Arial"/>
          <w:i/>
          <w:sz w:val="20"/>
        </w:rPr>
        <w:t>O.T.M. Ltd v Hydranautics [1981] 2 Lloyd’s Rep. 211, 215</w:t>
      </w:r>
      <w:r>
        <w:rPr>
          <w:sz w:val="20"/>
        </w:rPr>
        <w:t>; </w:t>
      </w:r>
      <w:r>
        <w:rPr>
          <w:rFonts w:ascii="Arial" w:hAnsi="Arial"/>
          <w:i/>
          <w:sz w:val="20"/>
        </w:rPr>
        <w:t>Manatee Towing Co v Oceanbulk Maritime SA (The Bay Ridge) [1999] 2 All E.R. (Comm) 306</w:t>
      </w:r>
      <w:r>
        <w:rPr>
          <w:sz w:val="20"/>
        </w:rPr>
        <w:t>; </w:t>
      </w:r>
      <w:r>
        <w:rPr>
          <w:rFonts w:ascii="Arial" w:hAnsi="Arial"/>
          <w:i/>
          <w:sz w:val="20"/>
        </w:rPr>
        <w:t>David de </w:t>
      </w:r>
      <w:r>
        <w:rPr>
          <w:rFonts w:ascii="Arial" w:hAnsi="Arial"/>
          <w:i/>
          <w:sz w:val="20"/>
        </w:rPr>
        <w:t>Jongh Weill v Mean Fiddler Holdings [2003] EWCA Civ 1058</w:t>
      </w:r>
      <w:r>
        <w:rPr>
          <w:sz w:val="20"/>
        </w:rPr>
        <w:t>; </w:t>
      </w:r>
      <w:r>
        <w:rPr>
          <w:rFonts w:ascii="Arial" w:hAnsi="Arial"/>
          <w:i/>
          <w:sz w:val="20"/>
        </w:rPr>
        <w:t>Allianz Insurance Co of Egypt v Agaion Insurance Co SA [2008] EWCA Civ 1455, [2009] 2 All E.R. (Comm) 745</w:t>
      </w:r>
      <w:r>
        <w:rPr>
          <w:sz w:val="20"/>
        </w:rPr>
        <w:t>.</w:t>
      </w:r>
    </w:p>
    <w:p>
      <w:pPr>
        <w:pStyle w:val="BodyText"/>
        <w:spacing w:before="7"/>
      </w:pPr>
    </w:p>
    <w:p>
      <w:pPr>
        <w:spacing w:line="235" w:lineRule="auto" w:before="1"/>
        <w:ind w:left="705" w:right="167" w:hanging="541"/>
        <w:jc w:val="both"/>
        <w:rPr>
          <w:sz w:val="20"/>
        </w:rPr>
      </w:pPr>
      <w:bookmarkStart w:name="_bookmark363" w:id="365"/>
      <w:bookmarkEnd w:id="365"/>
      <w:r>
        <w:rPr/>
      </w:r>
      <w:hyperlink w:history="true" w:anchor="_bookmark272">
        <w:r>
          <w:rPr>
            <w:color w:val="005DA1"/>
            <w:position w:val="5"/>
            <w:sz w:val="14"/>
            <w:u w:val="single" w:color="005DA1"/>
          </w:rPr>
          <w:t>148</w:t>
        </w:r>
      </w:hyperlink>
      <w:r>
        <w:rPr>
          <w:position w:val="5"/>
          <w:sz w:val="14"/>
        </w:rPr>
        <w:t>.</w:t>
      </w:r>
      <w:r>
        <w:rPr>
          <w:spacing w:val="40"/>
          <w:position w:val="5"/>
          <w:sz w:val="14"/>
        </w:rPr>
        <w:t>  </w:t>
      </w:r>
      <w:r>
        <w:rPr>
          <w:rFonts w:ascii="Arial" w:hAnsi="Arial"/>
          <w:i/>
          <w:sz w:val="20"/>
        </w:rPr>
        <w:t>G. Percy Trentham Ltd v Archital Luxfer Ltd [1993] 1 Lloyd’s Rep. 25</w:t>
      </w:r>
      <w:r>
        <w:rPr>
          <w:sz w:val="20"/>
        </w:rPr>
        <w:t>. </w:t>
      </w:r>
      <w:r>
        <w:rPr>
          <w:rFonts w:ascii="Arial" w:hAnsi="Arial"/>
          <w:i/>
          <w:sz w:val="20"/>
        </w:rPr>
        <w:t>Peter Lind’s </w:t>
      </w:r>
      <w:r>
        <w:rPr>
          <w:sz w:val="20"/>
        </w:rPr>
        <w:t>case (above, para.2-026) shows that the factor of performance of work is not decisive, though it may (as in that case) give the performing party a restitutionary claim.</w:t>
      </w:r>
    </w:p>
    <w:p>
      <w:pPr>
        <w:pStyle w:val="BodyText"/>
        <w:spacing w:before="5"/>
      </w:pPr>
    </w:p>
    <w:p>
      <w:pPr>
        <w:tabs>
          <w:tab w:pos="705" w:val="left" w:leader="none"/>
        </w:tabs>
        <w:spacing w:before="0"/>
        <w:ind w:left="165" w:right="0" w:firstLine="0"/>
        <w:jc w:val="left"/>
        <w:rPr>
          <w:sz w:val="20"/>
        </w:rPr>
      </w:pPr>
      <w:bookmarkStart w:name="_bookmark364" w:id="366"/>
      <w:bookmarkEnd w:id="366"/>
      <w:r>
        <w:rPr/>
      </w:r>
      <w:hyperlink w:history="true" w:anchor="_bookmark273">
        <w:r>
          <w:rPr>
            <w:color w:val="005DA1"/>
            <w:spacing w:val="-4"/>
            <w:position w:val="5"/>
            <w:sz w:val="14"/>
            <w:u w:val="single" w:color="005DA1"/>
          </w:rPr>
          <w:t>149</w:t>
        </w:r>
      </w:hyperlink>
      <w:r>
        <w:rPr>
          <w:spacing w:val="-4"/>
          <w:position w:val="5"/>
          <w:sz w:val="14"/>
        </w:rPr>
        <w:t>.</w:t>
      </w:r>
      <w:r>
        <w:rPr>
          <w:position w:val="5"/>
          <w:sz w:val="14"/>
        </w:rPr>
        <w:tab/>
      </w:r>
      <w:r>
        <w:rPr>
          <w:rFonts w:ascii="Arial"/>
          <w:i/>
          <w:sz w:val="20"/>
        </w:rPr>
        <w:t>G.</w:t>
      </w:r>
      <w:r>
        <w:rPr>
          <w:rFonts w:ascii="Arial"/>
          <w:i/>
          <w:spacing w:val="-1"/>
          <w:sz w:val="20"/>
        </w:rPr>
        <w:t> </w:t>
      </w:r>
      <w:r>
        <w:rPr>
          <w:rFonts w:ascii="Arial"/>
          <w:i/>
          <w:sz w:val="20"/>
        </w:rPr>
        <w:t>Percy Trentham Ltd v Archital Luxfer Ltd</w:t>
      </w:r>
      <w:r>
        <w:rPr>
          <w:sz w:val="20"/>
        </w:rPr>
        <w:t>, above at n.147; and see below, para.2-</w:t>
      </w:r>
      <w:r>
        <w:rPr>
          <w:spacing w:val="-4"/>
          <w:sz w:val="20"/>
        </w:rPr>
        <w:t>131.</w:t>
      </w:r>
    </w:p>
    <w:p>
      <w:pPr>
        <w:pStyle w:val="BodyText"/>
        <w:spacing w:before="8"/>
      </w:pPr>
    </w:p>
    <w:p>
      <w:pPr>
        <w:spacing w:line="235" w:lineRule="auto" w:before="0"/>
        <w:ind w:left="705" w:right="167" w:hanging="541"/>
        <w:jc w:val="both"/>
        <w:rPr>
          <w:sz w:val="20"/>
        </w:rPr>
      </w:pPr>
      <w:bookmarkStart w:name="_bookmark365" w:id="367"/>
      <w:bookmarkEnd w:id="367"/>
      <w:r>
        <w:rPr/>
      </w:r>
      <w:hyperlink w:history="true" w:anchor="_bookmark274">
        <w:r>
          <w:rPr>
            <w:color w:val="005DA1"/>
            <w:position w:val="5"/>
            <w:sz w:val="14"/>
            <w:u w:val="single" w:color="005DA1"/>
          </w:rPr>
          <w:t>150</w:t>
        </w:r>
      </w:hyperlink>
      <w:r>
        <w:rPr>
          <w:position w:val="5"/>
          <w:sz w:val="14"/>
        </w:rPr>
        <w:t>.</w:t>
      </w:r>
      <w:r>
        <w:rPr>
          <w:spacing w:val="40"/>
          <w:position w:val="5"/>
          <w:sz w:val="14"/>
        </w:rPr>
        <w:t>  </w:t>
      </w:r>
      <w:r>
        <w:rPr>
          <w:rFonts w:ascii="Arial" w:hAnsi="Arial"/>
          <w:i/>
          <w:sz w:val="20"/>
        </w:rPr>
        <w:t>Hussey v Horne-Payne (1878) 4 App. Cas. 311</w:t>
      </w:r>
      <w:r>
        <w:rPr>
          <w:sz w:val="20"/>
        </w:rPr>
        <w:t>; </w:t>
      </w:r>
      <w:r>
        <w:rPr>
          <w:rFonts w:ascii="Arial" w:hAnsi="Arial"/>
          <w:i/>
          <w:sz w:val="20"/>
        </w:rPr>
        <w:t>Bristol, Cardiff &amp; Swansea Aerated Bread Co </w:t>
      </w:r>
      <w:r>
        <w:rPr>
          <w:rFonts w:ascii="Arial" w:hAnsi="Arial"/>
          <w:i/>
          <w:sz w:val="20"/>
        </w:rPr>
        <w:t>v Maggs (1890) 44 Ch. D. 616</w:t>
      </w:r>
      <w:r>
        <w:rPr>
          <w:sz w:val="20"/>
        </w:rPr>
        <w:t>; </w:t>
      </w:r>
      <w:r>
        <w:rPr>
          <w:rFonts w:ascii="Arial" w:hAnsi="Arial"/>
          <w:i/>
          <w:sz w:val="20"/>
        </w:rPr>
        <w:t>British Guiana Credit Corp v Da Silva [1965] 1 W.L.R. 248</w:t>
      </w:r>
      <w:r>
        <w:rPr>
          <w:sz w:val="20"/>
        </w:rPr>
        <w:t>; </w:t>
      </w:r>
      <w:r>
        <w:rPr>
          <w:rFonts w:ascii="Arial" w:hAnsi="Arial"/>
          <w:i/>
          <w:sz w:val="20"/>
        </w:rPr>
        <w:t>Container Transport International Inc v Oceanus Mutual, etc., Association [1984] 1 Lloyd’s Rep. 476</w:t>
      </w:r>
      <w:r>
        <w:rPr>
          <w:sz w:val="20"/>
        </w:rPr>
        <w:t>; </w:t>
      </w:r>
      <w:r>
        <w:rPr>
          <w:rFonts w:ascii="Arial" w:hAnsi="Arial"/>
          <w:i/>
          <w:sz w:val="20"/>
        </w:rPr>
        <w:t>Asty Maritime Co Ltd v Rocco Guiseppe &amp; Figli (The Astyanax) [1985] 2 Lloyd’s Rep. 109, 112</w:t>
      </w:r>
      <w:r>
        <w:rPr>
          <w:sz w:val="20"/>
        </w:rPr>
        <w:t>; </w:t>
      </w:r>
      <w:r>
        <w:rPr>
          <w:rFonts w:ascii="Arial" w:hAnsi="Arial"/>
          <w:i/>
          <w:sz w:val="20"/>
        </w:rPr>
        <w:t>Hofflinghouse &amp; Co Ltd v C. Trade SA (The Intra Transporter) [1986] 2 Lloyd’s Rep. 132</w:t>
      </w:r>
      <w:r>
        <w:rPr>
          <w:sz w:val="20"/>
        </w:rPr>
        <w:t>; </w:t>
      </w:r>
      <w:r>
        <w:rPr>
          <w:rFonts w:ascii="Arial" w:hAnsi="Arial"/>
          <w:i/>
          <w:sz w:val="20"/>
        </w:rPr>
        <w:t>Pagnan</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Granaria</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[1986]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547</w:t>
      </w:r>
      <w:r>
        <w:rPr>
          <w:sz w:val="20"/>
        </w:rPr>
        <w:t>;</w:t>
      </w:r>
      <w:r>
        <w:rPr>
          <w:spacing w:val="-1"/>
          <w:sz w:val="20"/>
        </w:rPr>
        <w:t> </w:t>
      </w:r>
      <w:r>
        <w:rPr>
          <w:rFonts w:ascii="Arial" w:hAnsi="Arial"/>
          <w:i/>
          <w:sz w:val="20"/>
        </w:rPr>
        <w:t>Pagnan</w:t>
      </w:r>
      <w:r>
        <w:rPr>
          <w:rFonts w:ascii="Arial" w:hAnsi="Arial"/>
          <w:i/>
          <w:spacing w:val="-1"/>
          <w:sz w:val="20"/>
        </w:rPr>
        <w:t> </w:t>
      </w:r>
      <w:r>
        <w:rPr>
          <w:rFonts w:ascii="Arial" w:hAnsi="Arial"/>
          <w:i/>
          <w:sz w:val="20"/>
        </w:rPr>
        <w:t>SpA</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Feed</w:t>
      </w:r>
      <w:r>
        <w:rPr>
          <w:rFonts w:ascii="Arial" w:hAnsi="Arial"/>
          <w:i/>
          <w:spacing w:val="-1"/>
          <w:sz w:val="20"/>
        </w:rPr>
        <w:t> </w:t>
      </w:r>
      <w:r>
        <w:rPr>
          <w:rFonts w:ascii="Arial" w:hAnsi="Arial"/>
          <w:i/>
          <w:sz w:val="20"/>
        </w:rPr>
        <w:t>Products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[1987] 2 Lloyd’s Rep. 601, 619</w:t>
      </w:r>
      <w:r>
        <w:rPr>
          <w:sz w:val="20"/>
        </w:rPr>
        <w:t>; </w:t>
      </w:r>
      <w:r>
        <w:rPr>
          <w:rFonts w:ascii="Arial" w:hAnsi="Arial"/>
          <w:i/>
          <w:sz w:val="20"/>
        </w:rPr>
        <w:t>Ignazio Messina &amp; Co v Polskie Linie Oceaniczne [1995] 2 Lloyd’s Rep. 566 </w:t>
      </w:r>
      <w:r>
        <w:rPr>
          <w:sz w:val="20"/>
        </w:rPr>
        <w:t>(no contract); </w:t>
      </w:r>
      <w:r>
        <w:rPr>
          <w:rFonts w:ascii="Arial" w:hAnsi="Arial"/>
          <w:i/>
          <w:sz w:val="20"/>
        </w:rPr>
        <w:t>Frota Oceanica Brasilieira SA v Steamship Mutual Underwriting Association (The Frotanorte) [1996] 2 Lloyd’s Rep. 461 </w:t>
      </w:r>
      <w:r>
        <w:rPr>
          <w:sz w:val="20"/>
        </w:rPr>
        <w:t>(no contract as matters of substance remained unresolved). The same principle has been applied in the context of the question whether a contract had been rescinded: </w:t>
      </w:r>
      <w:r>
        <w:rPr>
          <w:rFonts w:ascii="Arial" w:hAnsi="Arial"/>
          <w:i/>
          <w:sz w:val="20"/>
        </w:rPr>
        <w:t>Drake Insurance Plc v Provident Insurance Plc [2003] EWCA Civ 1834, [2004] Q.B. 601 </w:t>
      </w:r>
      <w:r>
        <w:rPr>
          <w:sz w:val="20"/>
        </w:rPr>
        <w:t>at [100]. See also </w:t>
      </w:r>
      <w:r>
        <w:rPr>
          <w:rFonts w:ascii="Arial" w:hAnsi="Arial"/>
          <w:i/>
          <w:sz w:val="20"/>
        </w:rPr>
        <w:t>Tryggingarfelagio Foroyar P/F v CPT Empresas Maritimas SA (The Athena) [2011] EWHC 589 (Admlty) </w:t>
      </w:r>
      <w:r>
        <w:rPr>
          <w:sz w:val="20"/>
        </w:rPr>
        <w:t>at [44], citing the above text with apparent approval.</w:t>
      </w:r>
    </w:p>
    <w:p>
      <w:pPr>
        <w:pStyle w:val="BodyText"/>
        <w:spacing w:before="5"/>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41440">
            <wp:simplePos x="0" y="0"/>
            <wp:positionH relativeFrom="page">
              <wp:posOffset>1257846</wp:posOffset>
            </wp:positionH>
            <wp:positionV relativeFrom="paragraph">
              <wp:posOffset>160478</wp:posOffset>
            </wp:positionV>
            <wp:extent cx="107988" cy="107988"/>
            <wp:effectExtent l="0" t="0" r="0" b="0"/>
            <wp:wrapNone/>
            <wp:docPr id="39" name="Image 39"/>
            <wp:cNvGraphicFramePr>
              <a:graphicFrameLocks/>
            </wp:cNvGraphicFramePr>
            <a:graphic>
              <a:graphicData uri="http://schemas.openxmlformats.org/drawingml/2006/picture">
                <pic:pic>
                  <pic:nvPicPr>
                    <pic:cNvPr id="39" name="Image 3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66" w:id="368"/>
      <w:bookmarkEnd w:id="368"/>
      <w:r>
        <w:rPr/>
      </w:r>
      <w:hyperlink w:history="true" w:anchor="_bookmark275">
        <w:r>
          <w:rPr>
            <w:color w:val="005DA1"/>
            <w:spacing w:val="-4"/>
            <w:sz w:val="14"/>
            <w:u w:val="single" w:color="005DA1"/>
          </w:rPr>
          <w:t>151</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Perry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Suffields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[1916]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187</w:t>
      </w:r>
      <w:r>
        <w:rPr>
          <w:sz w:val="20"/>
        </w:rPr>
        <w:t>;</w:t>
      </w:r>
      <w:r>
        <w:rPr>
          <w:spacing w:val="-1"/>
          <w:sz w:val="20"/>
        </w:rPr>
        <w:t> </w:t>
      </w:r>
      <w:r>
        <w:rPr>
          <w:rFonts w:ascii="Arial" w:hAnsi="Arial"/>
          <w:i/>
          <w:sz w:val="20"/>
        </w:rPr>
        <w:t>Davies</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Sweet</w:t>
      </w:r>
      <w:r>
        <w:rPr>
          <w:rFonts w:ascii="Arial" w:hAnsi="Arial"/>
          <w:i/>
          <w:spacing w:val="-1"/>
          <w:sz w:val="20"/>
        </w:rPr>
        <w:t> </w:t>
      </w:r>
      <w:r>
        <w:rPr>
          <w:rFonts w:ascii="Arial" w:hAnsi="Arial"/>
          <w:i/>
          <w:sz w:val="20"/>
        </w:rPr>
        <w:t>[1962]</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300</w:t>
      </w:r>
      <w:r>
        <w:rPr>
          <w:sz w:val="20"/>
        </w:rPr>
        <w:t>;</w:t>
      </w:r>
      <w:r>
        <w:rPr>
          <w:spacing w:val="-1"/>
          <w:sz w:val="20"/>
        </w:rPr>
        <w:t> </w:t>
      </w:r>
      <w:r>
        <w:rPr>
          <w:rFonts w:ascii="Arial" w:hAnsi="Arial"/>
          <w:i/>
          <w:sz w:val="20"/>
        </w:rPr>
        <w:t>Cranleigh</w:t>
      </w:r>
      <w:r>
        <w:rPr>
          <w:rFonts w:ascii="Arial" w:hAnsi="Arial"/>
          <w:i/>
          <w:spacing w:val="-1"/>
          <w:sz w:val="20"/>
        </w:rPr>
        <w:t> </w:t>
      </w:r>
      <w:r>
        <w:rPr>
          <w:rFonts w:ascii="Arial" w:hAnsi="Arial"/>
          <w:i/>
          <w:sz w:val="20"/>
        </w:rPr>
        <w:t>Precision Engineering Ltd v Bryant [1965] 1 W.L.R. 1293</w:t>
      </w:r>
      <w:r>
        <w:rPr>
          <w:sz w:val="20"/>
        </w:rPr>
        <w:t>; </w:t>
      </w:r>
      <w:r>
        <w:rPr>
          <w:rFonts w:ascii="Arial" w:hAnsi="Arial"/>
          <w:i/>
          <w:sz w:val="20"/>
        </w:rPr>
        <w:t>Harmony Shipping Co SA v Saudi-Europe Line Ltd (The Good Helmsman) [1981] 1 Lloyd’s Rep. 377, 409, 416</w:t>
      </w:r>
      <w:r>
        <w:rPr>
          <w:sz w:val="20"/>
        </w:rPr>
        <w:t>. Contrast </w:t>
      </w:r>
      <w:r>
        <w:rPr>
          <w:rFonts w:ascii="Arial" w:hAnsi="Arial"/>
          <w:i/>
          <w:sz w:val="20"/>
        </w:rPr>
        <w:t>Global Asset </w:t>
      </w:r>
      <w:r>
        <w:rPr>
          <w:rFonts w:ascii="Arial" w:hAnsi="Arial"/>
          <w:i/>
          <w:sz w:val="20"/>
        </w:rPr>
        <w:t>Capital Inc v Aabar Block Sarl [2017] EWCA Civ 37</w:t>
      </w:r>
      <w:r>
        <w:rPr>
          <w:sz w:val="20"/>
        </w:rPr>
        <w:t>, where no contract was found because acceptance of an offer letter that was “subject to contract” would not remove the subject to contract condition,</w:t>
      </w:r>
      <w:r>
        <w:rPr>
          <w:spacing w:val="-3"/>
          <w:sz w:val="20"/>
        </w:rPr>
        <w:t> </w:t>
      </w:r>
      <w:r>
        <w:rPr>
          <w:sz w:val="20"/>
        </w:rPr>
        <w:t>and</w:t>
      </w:r>
      <w:r>
        <w:rPr>
          <w:spacing w:val="-3"/>
          <w:sz w:val="20"/>
        </w:rPr>
        <w:t> </w:t>
      </w:r>
      <w:r>
        <w:rPr>
          <w:sz w:val="20"/>
        </w:rPr>
        <w:t>subsequent</w:t>
      </w:r>
      <w:r>
        <w:rPr>
          <w:spacing w:val="-3"/>
          <w:sz w:val="20"/>
        </w:rPr>
        <w:t> </w:t>
      </w:r>
      <w:r>
        <w:rPr>
          <w:sz w:val="20"/>
        </w:rPr>
        <w:t>communications</w:t>
      </w:r>
      <w:r>
        <w:rPr>
          <w:spacing w:val="-3"/>
          <w:sz w:val="20"/>
        </w:rPr>
        <w:t> </w:t>
      </w:r>
      <w:r>
        <w:rPr>
          <w:sz w:val="20"/>
        </w:rPr>
        <w:t>by</w:t>
      </w:r>
      <w:r>
        <w:rPr>
          <w:spacing w:val="-3"/>
          <w:sz w:val="20"/>
        </w:rPr>
        <w:t> </w:t>
      </w:r>
      <w:r>
        <w:rPr>
          <w:sz w:val="20"/>
        </w:rPr>
        <w:t>both</w:t>
      </w:r>
      <w:r>
        <w:rPr>
          <w:spacing w:val="-3"/>
          <w:sz w:val="20"/>
        </w:rPr>
        <w:t> </w:t>
      </w:r>
      <w:r>
        <w:rPr>
          <w:sz w:val="20"/>
        </w:rPr>
        <w:t>parties</w:t>
      </w:r>
      <w:r>
        <w:rPr>
          <w:spacing w:val="-3"/>
          <w:sz w:val="20"/>
        </w:rPr>
        <w:t> </w:t>
      </w:r>
      <w:r>
        <w:rPr>
          <w:sz w:val="20"/>
        </w:rPr>
        <w:t>were</w:t>
      </w:r>
      <w:r>
        <w:rPr>
          <w:spacing w:val="-3"/>
          <w:sz w:val="20"/>
        </w:rPr>
        <w:t> </w:t>
      </w:r>
      <w:r>
        <w:rPr>
          <w:sz w:val="20"/>
        </w:rPr>
        <w:t>materially</w:t>
      </w:r>
      <w:r>
        <w:rPr>
          <w:spacing w:val="-3"/>
          <w:sz w:val="20"/>
        </w:rPr>
        <w:t> </w:t>
      </w:r>
      <w:r>
        <w:rPr>
          <w:sz w:val="20"/>
        </w:rPr>
        <w:t>inconsistent</w:t>
      </w:r>
      <w:r>
        <w:rPr>
          <w:spacing w:val="-3"/>
          <w:sz w:val="20"/>
        </w:rPr>
        <w:t> </w:t>
      </w:r>
      <w:r>
        <w:rPr>
          <w:sz w:val="20"/>
        </w:rPr>
        <w:t>with</w:t>
      </w:r>
      <w:r>
        <w:rPr>
          <w:spacing w:val="-3"/>
          <w:sz w:val="20"/>
        </w:rPr>
        <w:t> </w:t>
      </w:r>
      <w:r>
        <w:rPr>
          <w:sz w:val="20"/>
        </w:rPr>
        <w:t>the existence of a contract.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4"/>
      </w:pPr>
    </w:p>
    <w:p>
      <w:pPr>
        <w:pStyle w:val="BodyText"/>
        <w:tabs>
          <w:tab w:pos="705" w:val="left" w:leader="none"/>
        </w:tabs>
        <w:ind w:left="165"/>
      </w:pPr>
      <w:bookmarkStart w:name="_bookmark367" w:id="369"/>
      <w:bookmarkEnd w:id="369"/>
      <w:r>
        <w:rPr/>
      </w:r>
      <w:hyperlink w:history="true" w:anchor="_bookmark276">
        <w:r>
          <w:rPr>
            <w:color w:val="005DA1"/>
            <w:spacing w:val="-4"/>
            <w:position w:val="5"/>
            <w:sz w:val="14"/>
            <w:u w:val="single" w:color="005DA1"/>
          </w:rPr>
          <w:t>152</w:t>
        </w:r>
      </w:hyperlink>
      <w:r>
        <w:rPr>
          <w:spacing w:val="-4"/>
          <w:position w:val="5"/>
          <w:sz w:val="14"/>
        </w:rPr>
        <w:t>.</w:t>
      </w:r>
      <w:r>
        <w:rPr>
          <w:position w:val="5"/>
          <w:sz w:val="14"/>
        </w:rPr>
        <w:tab/>
      </w:r>
      <w:r>
        <w:rPr/>
        <w:t>cf. para.2-122 </w:t>
      </w:r>
      <w:r>
        <w:rPr>
          <w:spacing w:val="-2"/>
        </w:rPr>
        <w:t>below.</w:t>
      </w:r>
    </w:p>
    <w:p>
      <w:pPr>
        <w:pStyle w:val="BodyText"/>
        <w:spacing w:before="5"/>
      </w:pPr>
    </w:p>
    <w:p>
      <w:pPr>
        <w:tabs>
          <w:tab w:pos="540" w:val="left" w:leader="none"/>
        </w:tabs>
        <w:spacing w:line="227" w:lineRule="exact" w:before="0"/>
        <w:ind w:left="0" w:right="167" w:firstLine="0"/>
        <w:jc w:val="right"/>
        <w:rPr>
          <w:rFonts w:ascii="Arial"/>
          <w:i/>
          <w:sz w:val="20"/>
        </w:rPr>
      </w:pPr>
      <w:bookmarkStart w:name="_bookmark368" w:id="370"/>
      <w:bookmarkEnd w:id="370"/>
      <w:r>
        <w:rPr/>
      </w:r>
      <w:hyperlink w:history="true" w:anchor="_bookmark277">
        <w:r>
          <w:rPr>
            <w:color w:val="005DA1"/>
            <w:spacing w:val="-4"/>
            <w:position w:val="5"/>
            <w:sz w:val="14"/>
            <w:u w:val="single" w:color="005DA1"/>
          </w:rPr>
          <w:t>153</w:t>
        </w:r>
      </w:hyperlink>
      <w:r>
        <w:rPr>
          <w:spacing w:val="-4"/>
          <w:position w:val="5"/>
          <w:sz w:val="14"/>
        </w:rPr>
        <w:t>.</w:t>
      </w:r>
      <w:r>
        <w:rPr>
          <w:position w:val="5"/>
          <w:sz w:val="14"/>
        </w:rPr>
        <w:tab/>
      </w:r>
      <w:r>
        <w:rPr>
          <w:rFonts w:ascii="Arial"/>
          <w:i/>
          <w:sz w:val="20"/>
        </w:rPr>
        <w:t>Maple</w:t>
      </w:r>
      <w:r>
        <w:rPr>
          <w:rFonts w:ascii="Arial"/>
          <w:i/>
          <w:spacing w:val="50"/>
          <w:sz w:val="20"/>
        </w:rPr>
        <w:t> </w:t>
      </w:r>
      <w:r>
        <w:rPr>
          <w:rFonts w:ascii="Arial"/>
          <w:i/>
          <w:sz w:val="20"/>
        </w:rPr>
        <w:t>Leaf</w:t>
      </w:r>
      <w:r>
        <w:rPr>
          <w:rFonts w:ascii="Arial"/>
          <w:i/>
          <w:spacing w:val="50"/>
          <w:sz w:val="20"/>
        </w:rPr>
        <w:t> </w:t>
      </w:r>
      <w:r>
        <w:rPr>
          <w:rFonts w:ascii="Arial"/>
          <w:i/>
          <w:sz w:val="20"/>
        </w:rPr>
        <w:t>Macro</w:t>
      </w:r>
      <w:r>
        <w:rPr>
          <w:rFonts w:ascii="Arial"/>
          <w:i/>
          <w:spacing w:val="50"/>
          <w:sz w:val="20"/>
        </w:rPr>
        <w:t> </w:t>
      </w:r>
      <w:r>
        <w:rPr>
          <w:rFonts w:ascii="Arial"/>
          <w:i/>
          <w:sz w:val="20"/>
        </w:rPr>
        <w:t>Volatility</w:t>
      </w:r>
      <w:r>
        <w:rPr>
          <w:rFonts w:ascii="Arial"/>
          <w:i/>
          <w:spacing w:val="50"/>
          <w:sz w:val="20"/>
        </w:rPr>
        <w:t> </w:t>
      </w:r>
      <w:r>
        <w:rPr>
          <w:rFonts w:ascii="Arial"/>
          <w:i/>
          <w:sz w:val="20"/>
        </w:rPr>
        <w:t>Master</w:t>
      </w:r>
      <w:r>
        <w:rPr>
          <w:rFonts w:ascii="Arial"/>
          <w:i/>
          <w:spacing w:val="50"/>
          <w:sz w:val="20"/>
        </w:rPr>
        <w:t> </w:t>
      </w:r>
      <w:r>
        <w:rPr>
          <w:rFonts w:ascii="Arial"/>
          <w:i/>
          <w:sz w:val="20"/>
        </w:rPr>
        <w:t>Fund</w:t>
      </w:r>
      <w:r>
        <w:rPr>
          <w:rFonts w:ascii="Arial"/>
          <w:i/>
          <w:spacing w:val="50"/>
          <w:sz w:val="20"/>
        </w:rPr>
        <w:t> </w:t>
      </w:r>
      <w:r>
        <w:rPr>
          <w:rFonts w:ascii="Arial"/>
          <w:i/>
          <w:sz w:val="20"/>
        </w:rPr>
        <w:t>v</w:t>
      </w:r>
      <w:r>
        <w:rPr>
          <w:rFonts w:ascii="Arial"/>
          <w:i/>
          <w:spacing w:val="50"/>
          <w:sz w:val="20"/>
        </w:rPr>
        <w:t> </w:t>
      </w:r>
      <w:r>
        <w:rPr>
          <w:rFonts w:ascii="Arial"/>
          <w:i/>
          <w:sz w:val="20"/>
        </w:rPr>
        <w:t>Rouvroy</w:t>
      </w:r>
      <w:r>
        <w:rPr>
          <w:rFonts w:ascii="Arial"/>
          <w:i/>
          <w:spacing w:val="50"/>
          <w:sz w:val="20"/>
        </w:rPr>
        <w:t> </w:t>
      </w:r>
      <w:r>
        <w:rPr>
          <w:rFonts w:ascii="Arial"/>
          <w:i/>
          <w:sz w:val="20"/>
        </w:rPr>
        <w:t>[2009]</w:t>
      </w:r>
      <w:r>
        <w:rPr>
          <w:rFonts w:ascii="Arial"/>
          <w:i/>
          <w:spacing w:val="50"/>
          <w:sz w:val="20"/>
        </w:rPr>
        <w:t> </w:t>
      </w:r>
      <w:r>
        <w:rPr>
          <w:rFonts w:ascii="Arial"/>
          <w:i/>
          <w:sz w:val="20"/>
        </w:rPr>
        <w:t>EWHC</w:t>
      </w:r>
      <w:r>
        <w:rPr>
          <w:rFonts w:ascii="Arial"/>
          <w:i/>
          <w:spacing w:val="50"/>
          <w:sz w:val="20"/>
        </w:rPr>
        <w:t> </w:t>
      </w:r>
      <w:r>
        <w:rPr>
          <w:rFonts w:ascii="Arial"/>
          <w:i/>
          <w:sz w:val="20"/>
        </w:rPr>
        <w:t>257</w:t>
      </w:r>
      <w:r>
        <w:rPr>
          <w:rFonts w:ascii="Arial"/>
          <w:i/>
          <w:spacing w:val="50"/>
          <w:sz w:val="20"/>
        </w:rPr>
        <w:t> </w:t>
      </w:r>
      <w:r>
        <w:rPr>
          <w:rFonts w:ascii="Arial"/>
          <w:i/>
          <w:sz w:val="20"/>
        </w:rPr>
        <w:t>(Comm),</w:t>
      </w:r>
      <w:r>
        <w:rPr>
          <w:rFonts w:ascii="Arial"/>
          <w:i/>
          <w:spacing w:val="50"/>
          <w:sz w:val="20"/>
        </w:rPr>
        <w:t> </w:t>
      </w:r>
      <w:r>
        <w:rPr>
          <w:rFonts w:ascii="Arial"/>
          <w:i/>
          <w:sz w:val="20"/>
        </w:rPr>
        <w:t>[2009]</w:t>
      </w:r>
      <w:r>
        <w:rPr>
          <w:rFonts w:ascii="Arial"/>
          <w:i/>
          <w:spacing w:val="50"/>
          <w:sz w:val="20"/>
        </w:rPr>
        <w:t> </w:t>
      </w:r>
      <w:r>
        <w:rPr>
          <w:rFonts w:ascii="Arial"/>
          <w:i/>
          <w:spacing w:val="-10"/>
          <w:sz w:val="20"/>
        </w:rPr>
        <w:t>1</w:t>
      </w:r>
    </w:p>
    <w:p>
      <w:pPr>
        <w:spacing w:line="225" w:lineRule="exact" w:before="0"/>
        <w:ind w:left="0" w:right="167" w:firstLine="0"/>
        <w:jc w:val="right"/>
        <w:rPr>
          <w:rFonts w:ascii="Arial" w:hAnsi="Arial"/>
          <w:i/>
          <w:sz w:val="20"/>
        </w:rPr>
      </w:pPr>
      <w:r>
        <w:rPr>
          <w:rFonts w:ascii="Arial" w:hAnsi="Arial"/>
          <w:i/>
          <w:sz w:val="20"/>
        </w:rPr>
        <w:t>Lloyd’s</w:t>
      </w:r>
      <w:r>
        <w:rPr>
          <w:rFonts w:ascii="Arial" w:hAnsi="Arial"/>
          <w:i/>
          <w:spacing w:val="38"/>
          <w:sz w:val="20"/>
        </w:rPr>
        <w:t> </w:t>
      </w:r>
      <w:r>
        <w:rPr>
          <w:rFonts w:ascii="Arial" w:hAnsi="Arial"/>
          <w:i/>
          <w:sz w:val="20"/>
        </w:rPr>
        <w:t>Rep.</w:t>
      </w:r>
      <w:r>
        <w:rPr>
          <w:rFonts w:ascii="Arial" w:hAnsi="Arial"/>
          <w:i/>
          <w:spacing w:val="38"/>
          <w:sz w:val="20"/>
        </w:rPr>
        <w:t> </w:t>
      </w:r>
      <w:r>
        <w:rPr>
          <w:rFonts w:ascii="Arial" w:hAnsi="Arial"/>
          <w:i/>
          <w:sz w:val="20"/>
        </w:rPr>
        <w:t>475</w:t>
      </w:r>
      <w:r>
        <w:rPr>
          <w:rFonts w:ascii="Arial" w:hAnsi="Arial"/>
          <w:i/>
          <w:spacing w:val="38"/>
          <w:sz w:val="20"/>
        </w:rPr>
        <w:t> </w:t>
      </w:r>
      <w:r>
        <w:rPr>
          <w:rFonts w:ascii="Arial" w:hAnsi="Arial"/>
          <w:i/>
          <w:sz w:val="20"/>
        </w:rPr>
        <w:t>at</w:t>
      </w:r>
      <w:r>
        <w:rPr>
          <w:rFonts w:ascii="Arial" w:hAnsi="Arial"/>
          <w:i/>
          <w:spacing w:val="38"/>
          <w:sz w:val="20"/>
        </w:rPr>
        <w:t> </w:t>
      </w:r>
      <w:r>
        <w:rPr>
          <w:rFonts w:ascii="Arial" w:hAnsi="Arial"/>
          <w:i/>
          <w:sz w:val="20"/>
        </w:rPr>
        <w:t>[230],</w:t>
      </w:r>
      <w:r>
        <w:rPr>
          <w:rFonts w:ascii="Arial" w:hAnsi="Arial"/>
          <w:i/>
          <w:spacing w:val="38"/>
          <w:sz w:val="20"/>
        </w:rPr>
        <w:t> </w:t>
      </w:r>
      <w:r>
        <w:rPr>
          <w:rFonts w:ascii="Arial" w:hAnsi="Arial"/>
          <w:i/>
          <w:sz w:val="20"/>
        </w:rPr>
        <w:t>affirmed</w:t>
      </w:r>
      <w:r>
        <w:rPr>
          <w:rFonts w:ascii="Arial" w:hAnsi="Arial"/>
          <w:i/>
          <w:spacing w:val="38"/>
          <w:sz w:val="20"/>
        </w:rPr>
        <w:t> </w:t>
      </w:r>
      <w:r>
        <w:rPr>
          <w:rFonts w:ascii="Arial" w:hAnsi="Arial"/>
          <w:i/>
          <w:sz w:val="20"/>
        </w:rPr>
        <w:t>[2009]</w:t>
      </w:r>
      <w:r>
        <w:rPr>
          <w:rFonts w:ascii="Arial" w:hAnsi="Arial"/>
          <w:i/>
          <w:spacing w:val="38"/>
          <w:sz w:val="20"/>
        </w:rPr>
        <w:t> </w:t>
      </w:r>
      <w:r>
        <w:rPr>
          <w:rFonts w:ascii="Arial" w:hAnsi="Arial"/>
          <w:i/>
          <w:sz w:val="20"/>
        </w:rPr>
        <w:t>EWCA</w:t>
      </w:r>
      <w:r>
        <w:rPr>
          <w:rFonts w:ascii="Arial" w:hAnsi="Arial"/>
          <w:i/>
          <w:spacing w:val="38"/>
          <w:sz w:val="20"/>
        </w:rPr>
        <w:t> </w:t>
      </w:r>
      <w:r>
        <w:rPr>
          <w:rFonts w:ascii="Arial" w:hAnsi="Arial"/>
          <w:i/>
          <w:sz w:val="20"/>
        </w:rPr>
        <w:t>Civ</w:t>
      </w:r>
      <w:r>
        <w:rPr>
          <w:rFonts w:ascii="Arial" w:hAnsi="Arial"/>
          <w:i/>
          <w:spacing w:val="38"/>
          <w:sz w:val="20"/>
        </w:rPr>
        <w:t> </w:t>
      </w:r>
      <w:r>
        <w:rPr>
          <w:rFonts w:ascii="Arial" w:hAnsi="Arial"/>
          <w:i/>
          <w:sz w:val="20"/>
        </w:rPr>
        <w:t>1334,</w:t>
      </w:r>
      <w:r>
        <w:rPr>
          <w:rFonts w:ascii="Arial" w:hAnsi="Arial"/>
          <w:i/>
          <w:spacing w:val="38"/>
          <w:sz w:val="20"/>
        </w:rPr>
        <w:t> </w:t>
      </w:r>
      <w:r>
        <w:rPr>
          <w:rFonts w:ascii="Arial" w:hAnsi="Arial"/>
          <w:i/>
          <w:sz w:val="20"/>
        </w:rPr>
        <w:t>[2010]</w:t>
      </w:r>
      <w:r>
        <w:rPr>
          <w:rFonts w:ascii="Arial" w:hAnsi="Arial"/>
          <w:i/>
          <w:spacing w:val="38"/>
          <w:sz w:val="20"/>
        </w:rPr>
        <w:t> </w:t>
      </w:r>
      <w:r>
        <w:rPr>
          <w:rFonts w:ascii="Arial" w:hAnsi="Arial"/>
          <w:i/>
          <w:sz w:val="20"/>
        </w:rPr>
        <w:t>2</w:t>
      </w:r>
      <w:r>
        <w:rPr>
          <w:rFonts w:ascii="Arial" w:hAnsi="Arial"/>
          <w:i/>
          <w:spacing w:val="38"/>
          <w:sz w:val="20"/>
        </w:rPr>
        <w:t> </w:t>
      </w:r>
      <w:r>
        <w:rPr>
          <w:rFonts w:ascii="Arial" w:hAnsi="Arial"/>
          <w:i/>
          <w:sz w:val="20"/>
        </w:rPr>
        <w:t>All</w:t>
      </w:r>
      <w:r>
        <w:rPr>
          <w:rFonts w:ascii="Arial" w:hAnsi="Arial"/>
          <w:i/>
          <w:spacing w:val="38"/>
          <w:sz w:val="20"/>
        </w:rPr>
        <w:t> </w:t>
      </w:r>
      <w:r>
        <w:rPr>
          <w:rFonts w:ascii="Arial" w:hAnsi="Arial"/>
          <w:i/>
          <w:sz w:val="20"/>
        </w:rPr>
        <w:t>E.R.</w:t>
      </w:r>
      <w:r>
        <w:rPr>
          <w:rFonts w:ascii="Arial" w:hAnsi="Arial"/>
          <w:i/>
          <w:spacing w:val="38"/>
          <w:sz w:val="20"/>
        </w:rPr>
        <w:t> </w:t>
      </w:r>
      <w:r>
        <w:rPr>
          <w:rFonts w:ascii="Arial" w:hAnsi="Arial"/>
          <w:i/>
          <w:sz w:val="20"/>
        </w:rPr>
        <w:t>(Comm)</w:t>
      </w:r>
      <w:r>
        <w:rPr>
          <w:rFonts w:ascii="Arial" w:hAnsi="Arial"/>
          <w:i/>
          <w:spacing w:val="38"/>
          <w:sz w:val="20"/>
        </w:rPr>
        <w:t> </w:t>
      </w:r>
      <w:r>
        <w:rPr>
          <w:rFonts w:ascii="Arial" w:hAnsi="Arial"/>
          <w:i/>
          <w:spacing w:val="-5"/>
          <w:sz w:val="20"/>
        </w:rPr>
        <w:t>786</w:t>
      </w:r>
    </w:p>
    <w:p>
      <w:pPr>
        <w:pStyle w:val="BodyText"/>
        <w:spacing w:line="227" w:lineRule="exact"/>
        <w:ind w:left="705"/>
      </w:pPr>
      <w:r>
        <w:rPr/>
        <w:t>without reference to this point, but see above, para.2-004 </w:t>
      </w:r>
      <w:r>
        <w:rPr>
          <w:spacing w:val="-2"/>
        </w:rPr>
        <w:t>n.22.</w:t>
      </w:r>
    </w:p>
    <w:p>
      <w:pPr>
        <w:pStyle w:val="BodyText"/>
        <w:spacing w:before="5"/>
      </w:pPr>
    </w:p>
    <w:p>
      <w:pPr>
        <w:tabs>
          <w:tab w:pos="705" w:val="left" w:leader="none"/>
        </w:tabs>
        <w:spacing w:before="0"/>
        <w:ind w:left="165" w:right="0" w:firstLine="0"/>
        <w:jc w:val="left"/>
        <w:rPr>
          <w:sz w:val="20"/>
        </w:rPr>
      </w:pPr>
      <w:bookmarkStart w:name="_bookmark369" w:id="371"/>
      <w:bookmarkEnd w:id="371"/>
      <w:r>
        <w:rPr/>
      </w:r>
      <w:hyperlink w:history="true" w:anchor="_bookmark278">
        <w:r>
          <w:rPr>
            <w:color w:val="005DA1"/>
            <w:spacing w:val="-4"/>
            <w:position w:val="5"/>
            <w:sz w:val="14"/>
            <w:u w:val="single" w:color="005DA1"/>
          </w:rPr>
          <w:t>154</w:t>
        </w:r>
      </w:hyperlink>
      <w:r>
        <w:rPr>
          <w:spacing w:val="-4"/>
          <w:position w:val="5"/>
          <w:sz w:val="14"/>
        </w:rPr>
        <w:t>.</w:t>
      </w:r>
      <w:r>
        <w:rPr>
          <w:position w:val="5"/>
          <w:sz w:val="14"/>
        </w:rPr>
        <w:tab/>
      </w:r>
      <w:r>
        <w:rPr>
          <w:rFonts w:ascii="Arial" w:hAnsi="Arial"/>
          <w:i/>
          <w:sz w:val="20"/>
        </w:rPr>
        <w:t>Jayaar Impex Ltd v Toaken Group Ltd [1996] 2 Lloyd’s Rep. </w:t>
      </w:r>
      <w:r>
        <w:rPr>
          <w:rFonts w:ascii="Arial" w:hAnsi="Arial"/>
          <w:i/>
          <w:spacing w:val="-4"/>
          <w:sz w:val="20"/>
        </w:rPr>
        <w:t>437</w:t>
      </w:r>
      <w:r>
        <w:rPr>
          <w:spacing w:val="-4"/>
          <w:sz w:val="20"/>
        </w:rPr>
        <w:t>.</w:t>
      </w:r>
    </w:p>
    <w:p>
      <w:pPr>
        <w:pStyle w:val="BodyText"/>
        <w:spacing w:before="8"/>
      </w:pPr>
    </w:p>
    <w:p>
      <w:pPr>
        <w:spacing w:line="235" w:lineRule="auto" w:before="1"/>
        <w:ind w:left="705" w:right="168" w:hanging="541"/>
        <w:jc w:val="both"/>
        <w:rPr>
          <w:sz w:val="20"/>
        </w:rPr>
      </w:pPr>
      <w:bookmarkStart w:name="_bookmark370" w:id="372"/>
      <w:bookmarkEnd w:id="372"/>
      <w:r>
        <w:rPr/>
      </w:r>
      <w:hyperlink w:history="true" w:anchor="_bookmark279">
        <w:r>
          <w:rPr>
            <w:color w:val="005DA1"/>
            <w:position w:val="5"/>
            <w:sz w:val="14"/>
            <w:u w:val="single" w:color="005DA1"/>
          </w:rPr>
          <w:t>155</w:t>
        </w:r>
      </w:hyperlink>
      <w:r>
        <w:rPr>
          <w:position w:val="5"/>
          <w:sz w:val="14"/>
        </w:rPr>
        <w:t>.</w:t>
      </w:r>
      <w:r>
        <w:rPr>
          <w:spacing w:val="80"/>
          <w:w w:val="150"/>
          <w:position w:val="5"/>
          <w:sz w:val="14"/>
        </w:rPr>
        <w:t> </w:t>
      </w:r>
      <w:r>
        <w:rPr>
          <w:sz w:val="20"/>
        </w:rPr>
        <w:t>This paragraph and para.2-031 of the 31st edition were cited with approval in </w:t>
      </w:r>
      <w:r>
        <w:rPr>
          <w:rFonts w:ascii="Arial"/>
          <w:i/>
          <w:sz w:val="20"/>
        </w:rPr>
        <w:t>Iliffe v Feltham Construction Ltd [2014] EWHC 2125 </w:t>
      </w:r>
      <w:r>
        <w:rPr>
          <w:sz w:val="20"/>
        </w:rPr>
        <w:t>at [80] (decision to grant summary judgment </w:t>
      </w:r>
      <w:r>
        <w:rPr>
          <w:sz w:val="20"/>
        </w:rPr>
        <w:t>overturned</w:t>
      </w:r>
      <w:r>
        <w:rPr>
          <w:spacing w:val="40"/>
          <w:sz w:val="20"/>
        </w:rPr>
        <w:t> </w:t>
      </w:r>
      <w:r>
        <w:rPr>
          <w:sz w:val="20"/>
        </w:rPr>
        <w:t>on appeal on other grounds, </w:t>
      </w:r>
      <w:r>
        <w:rPr>
          <w:rFonts w:ascii="Arial"/>
          <w:i/>
          <w:sz w:val="20"/>
        </w:rPr>
        <w:t>[2015] EWCA Civ 715</w:t>
      </w:r>
      <w:r>
        <w:rPr>
          <w:sz w:val="20"/>
        </w:rPr>
        <w:t>).</w:t>
      </w:r>
    </w:p>
    <w:p>
      <w:pPr>
        <w:pStyle w:val="BodyText"/>
        <w:spacing w:before="8"/>
      </w:pPr>
    </w:p>
    <w:p>
      <w:pPr>
        <w:spacing w:line="235" w:lineRule="auto" w:before="1"/>
        <w:ind w:left="705" w:right="167" w:hanging="541"/>
        <w:jc w:val="both"/>
        <w:rPr>
          <w:sz w:val="20"/>
        </w:rPr>
      </w:pPr>
      <w:bookmarkStart w:name="_bookmark371" w:id="373"/>
      <w:bookmarkEnd w:id="373"/>
      <w:r>
        <w:rPr/>
      </w:r>
      <w:hyperlink w:history="true" w:anchor="_bookmark280">
        <w:r>
          <w:rPr>
            <w:color w:val="005DA1"/>
            <w:position w:val="5"/>
            <w:sz w:val="14"/>
            <w:u w:val="single" w:color="005DA1"/>
          </w:rPr>
          <w:t>156</w:t>
        </w:r>
      </w:hyperlink>
      <w:r>
        <w:rPr>
          <w:position w:val="5"/>
          <w:sz w:val="14"/>
        </w:rPr>
        <w:t>.</w:t>
      </w:r>
      <w:r>
        <w:rPr>
          <w:spacing w:val="80"/>
          <w:position w:val="5"/>
          <w:sz w:val="14"/>
        </w:rPr>
        <w:t> </w:t>
      </w:r>
      <w:r>
        <w:rPr>
          <w:rFonts w:ascii="Arial" w:hAnsi="Arial"/>
          <w:i/>
          <w:sz w:val="20"/>
        </w:rPr>
        <w:t>Harvey v Johnson (1848) 6 C.B. 305</w:t>
      </w:r>
      <w:r>
        <w:rPr>
          <w:sz w:val="20"/>
        </w:rPr>
        <w:t>; cf. </w:t>
      </w:r>
      <w:r>
        <w:rPr>
          <w:rFonts w:ascii="Arial" w:hAnsi="Arial"/>
          <w:i/>
          <w:sz w:val="20"/>
        </w:rPr>
        <w:t>Steven v Bromley &amp; Son [1919] 2 K.B. 722, 728</w:t>
      </w:r>
      <w:r>
        <w:rPr>
          <w:sz w:val="20"/>
        </w:rPr>
        <w:t>; </w:t>
      </w:r>
      <w:r>
        <w:rPr>
          <w:rFonts w:ascii="Arial" w:hAnsi="Arial"/>
          <w:i/>
          <w:sz w:val="20"/>
        </w:rPr>
        <w:t>Greenmast Shipping Co SA v Jean Lion et Cie (The Saronikos) [1986] 2 Lloyd’s Rep. 277</w:t>
      </w:r>
      <w:r>
        <w:rPr>
          <w:sz w:val="20"/>
        </w:rPr>
        <w:t>; cf. </w:t>
      </w:r>
      <w:r>
        <w:rPr>
          <w:rFonts w:ascii="Arial" w:hAnsi="Arial"/>
          <w:i/>
          <w:sz w:val="20"/>
        </w:rPr>
        <w:t>Interfoto Picture Library Ltd v Stiletto Visual Programmes Ltd [1989] Q.B. 433, 436</w:t>
      </w:r>
      <w:r>
        <w:rPr>
          <w:sz w:val="20"/>
        </w:rPr>
        <w:t>; </w:t>
      </w:r>
      <w:r>
        <w:rPr>
          <w:rFonts w:ascii="Arial" w:hAnsi="Arial"/>
          <w:i/>
          <w:sz w:val="20"/>
        </w:rPr>
        <w:t>Re Charge Card Services [1989] Ch. 417 </w:t>
      </w:r>
      <w:r>
        <w:rPr>
          <w:sz w:val="20"/>
        </w:rPr>
        <w:t>(above, para.2-011); </w:t>
      </w:r>
      <w:r>
        <w:rPr>
          <w:rFonts w:ascii="Arial" w:hAnsi="Arial"/>
          <w:i/>
          <w:sz w:val="20"/>
        </w:rPr>
        <w:t>Carlyle Finance Ltd v Pallas Industrial Finance Ltd [1999] 1 All E.R. (Comm) 659 </w:t>
      </w:r>
      <w:r>
        <w:rPr>
          <w:sz w:val="20"/>
        </w:rPr>
        <w:t>at 670; and see below, para.2-074; </w:t>
      </w:r>
      <w:r>
        <w:rPr>
          <w:rFonts w:ascii="Arial" w:hAnsi="Arial"/>
          <w:i/>
          <w:sz w:val="20"/>
        </w:rPr>
        <w:t>Photolibrary Group Ltd v Burda Senator Verlag GmbH [2008] EWHC 1343 (QB), [2008] 2 All E.R. </w:t>
      </w:r>
      <w:r>
        <w:rPr>
          <w:rFonts w:ascii="Arial" w:hAnsi="Arial"/>
          <w:i/>
          <w:sz w:val="20"/>
        </w:rPr>
        <w:t>(Comm) 811</w:t>
      </w:r>
      <w:r>
        <w:rPr>
          <w:sz w:val="20"/>
        </w:rPr>
        <w:t>; </w:t>
      </w:r>
      <w:r>
        <w:rPr>
          <w:rFonts w:ascii="Arial" w:hAnsi="Arial"/>
          <w:i/>
          <w:sz w:val="20"/>
        </w:rPr>
        <w:t>Finmoon Ltd v Baltic Reefers Management Ltd [2012] EWHC 920 (Comm), [2012] 2 Lloyd’s Rep. 388</w:t>
      </w:r>
      <w:r>
        <w:rPr>
          <w:sz w:val="20"/>
        </w:rPr>
        <w:t>, where para.2-030 of the 30th edition of the Main Work is cited at [22] with apparent</w:t>
      </w:r>
      <w:r>
        <w:rPr>
          <w:spacing w:val="40"/>
          <w:sz w:val="20"/>
        </w:rPr>
        <w:t> </w:t>
      </w:r>
      <w:r>
        <w:rPr>
          <w:sz w:val="20"/>
        </w:rPr>
        <w:t>approval;</w:t>
      </w:r>
      <w:r>
        <w:rPr>
          <w:spacing w:val="40"/>
          <w:sz w:val="20"/>
        </w:rPr>
        <w:t> </w:t>
      </w:r>
      <w:r>
        <w:rPr>
          <w:sz w:val="20"/>
        </w:rPr>
        <w:t>contrast</w:t>
      </w:r>
      <w:r>
        <w:rPr>
          <w:spacing w:val="40"/>
          <w:sz w:val="20"/>
        </w:rPr>
        <w:t> </w:t>
      </w:r>
      <w:r>
        <w:rPr>
          <w:rFonts w:ascii="Arial" w:hAnsi="Arial"/>
          <w:i/>
          <w:sz w:val="20"/>
        </w:rPr>
        <w:t>Capital</w:t>
      </w:r>
      <w:r>
        <w:rPr>
          <w:rFonts w:ascii="Arial" w:hAnsi="Arial"/>
          <w:i/>
          <w:spacing w:val="40"/>
          <w:sz w:val="20"/>
        </w:rPr>
        <w:t> </w:t>
      </w:r>
      <w:r>
        <w:rPr>
          <w:rFonts w:ascii="Arial" w:hAnsi="Arial"/>
          <w:i/>
          <w:sz w:val="20"/>
        </w:rPr>
        <w:t>Finance</w:t>
      </w:r>
      <w:r>
        <w:rPr>
          <w:rFonts w:ascii="Arial" w:hAnsi="Arial"/>
          <w:i/>
          <w:spacing w:val="40"/>
          <w:sz w:val="20"/>
        </w:rPr>
        <w:t> </w:t>
      </w:r>
      <w:r>
        <w:rPr>
          <w:rFonts w:ascii="Arial" w:hAnsi="Arial"/>
          <w:i/>
          <w:sz w:val="20"/>
        </w:rPr>
        <w:t>Co</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Bray</w:t>
      </w:r>
      <w:r>
        <w:rPr>
          <w:rFonts w:ascii="Arial" w:hAnsi="Arial"/>
          <w:i/>
          <w:spacing w:val="40"/>
          <w:sz w:val="20"/>
        </w:rPr>
        <w:t> </w:t>
      </w:r>
      <w:r>
        <w:rPr>
          <w:rFonts w:ascii="Arial" w:hAnsi="Arial"/>
          <w:i/>
          <w:sz w:val="20"/>
        </w:rPr>
        <w:t>[1964]</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323</w:t>
      </w:r>
      <w:r>
        <w:rPr>
          <w:sz w:val="20"/>
        </w:rPr>
        <w:t>.</w:t>
      </w:r>
      <w:r>
        <w:rPr>
          <w:spacing w:val="40"/>
          <w:sz w:val="20"/>
        </w:rPr>
        <w:t> </w:t>
      </w:r>
      <w:r>
        <w:rPr>
          <w:sz w:val="20"/>
        </w:rPr>
        <w:t>As</w:t>
      </w:r>
      <w:r>
        <w:rPr>
          <w:spacing w:val="40"/>
          <w:sz w:val="20"/>
        </w:rPr>
        <w:t> </w:t>
      </w:r>
      <w:r>
        <w:rPr>
          <w:sz w:val="20"/>
        </w:rPr>
        <w:t>to counter-offers, see below, paras 2-097, 2-099.</w:t>
      </w:r>
    </w:p>
    <w:p>
      <w:pPr>
        <w:spacing w:after="0" w:line="235" w:lineRule="auto"/>
        <w:jc w:val="both"/>
        <w:rPr>
          <w:sz w:val="20"/>
        </w:rPr>
        <w:sectPr>
          <w:type w:val="continuous"/>
          <w:pgSz w:w="11900" w:h="16840"/>
          <w:pgMar w:header="971" w:footer="0" w:top="1300" w:bottom="280" w:left="1275" w:right="1275"/>
        </w:sectPr>
      </w:pPr>
    </w:p>
    <w:p>
      <w:pPr>
        <w:spacing w:line="235" w:lineRule="auto" w:before="170"/>
        <w:ind w:left="705" w:right="168" w:hanging="541"/>
        <w:jc w:val="both"/>
        <w:rPr>
          <w:sz w:val="20"/>
        </w:rPr>
      </w:pPr>
      <w:hyperlink w:history="true" w:anchor="_bookmark281">
        <w:r>
          <w:rPr>
            <w:color w:val="005DA1"/>
            <w:position w:val="5"/>
            <w:sz w:val="14"/>
            <w:u w:val="single" w:color="005DA1"/>
          </w:rPr>
          <w:t>157</w:t>
        </w:r>
      </w:hyperlink>
      <w:r>
        <w:rPr>
          <w:position w:val="5"/>
          <w:sz w:val="14"/>
        </w:rPr>
        <w:t>.</w:t>
      </w:r>
      <w:r>
        <w:rPr>
          <w:spacing w:val="80"/>
          <w:position w:val="5"/>
          <w:sz w:val="14"/>
        </w:rPr>
        <w:t>  </w:t>
      </w:r>
      <w:r>
        <w:rPr>
          <w:rFonts w:ascii="Arial" w:hAnsi="Arial"/>
          <w:i/>
          <w:sz w:val="20"/>
        </w:rPr>
        <w:t>Weatherby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Banham</w:t>
      </w:r>
      <w:r>
        <w:rPr>
          <w:rFonts w:ascii="Arial" w:hAnsi="Arial"/>
          <w:i/>
          <w:spacing w:val="-2"/>
          <w:sz w:val="20"/>
        </w:rPr>
        <w:t> </w:t>
      </w:r>
      <w:r>
        <w:rPr>
          <w:rFonts w:ascii="Arial" w:hAnsi="Arial"/>
          <w:i/>
          <w:sz w:val="20"/>
        </w:rPr>
        <w:t>(1832)</w:t>
      </w:r>
      <w:r>
        <w:rPr>
          <w:rFonts w:ascii="Arial" w:hAnsi="Arial"/>
          <w:i/>
          <w:spacing w:val="-2"/>
          <w:sz w:val="20"/>
        </w:rPr>
        <w:t> </w:t>
      </w:r>
      <w:r>
        <w:rPr>
          <w:rFonts w:ascii="Arial" w:hAnsi="Arial"/>
          <w:i/>
          <w:sz w:val="20"/>
        </w:rPr>
        <w:t>5</w:t>
      </w:r>
      <w:r>
        <w:rPr>
          <w:rFonts w:ascii="Arial" w:hAnsi="Arial"/>
          <w:i/>
          <w:spacing w:val="-2"/>
          <w:sz w:val="20"/>
        </w:rPr>
        <w:t> </w:t>
      </w:r>
      <w:r>
        <w:rPr>
          <w:rFonts w:ascii="Arial" w:hAnsi="Arial"/>
          <w:i/>
          <w:sz w:val="20"/>
        </w:rPr>
        <w:t>C.</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P.</w:t>
      </w:r>
      <w:r>
        <w:rPr>
          <w:rFonts w:ascii="Arial" w:hAnsi="Arial"/>
          <w:i/>
          <w:spacing w:val="-2"/>
          <w:sz w:val="20"/>
        </w:rPr>
        <w:t> </w:t>
      </w:r>
      <w:r>
        <w:rPr>
          <w:rFonts w:ascii="Arial" w:hAnsi="Arial"/>
          <w:i/>
          <w:sz w:val="20"/>
        </w:rPr>
        <w:t>228</w:t>
      </w:r>
      <w:r>
        <w:rPr>
          <w:sz w:val="20"/>
        </w:rPr>
        <w:t>;</w:t>
      </w:r>
      <w:r>
        <w:rPr>
          <w:spacing w:val="-2"/>
          <w:sz w:val="20"/>
        </w:rPr>
        <w:t> </w:t>
      </w:r>
      <w:r>
        <w:rPr>
          <w:rFonts w:ascii="Arial" w:hAnsi="Arial"/>
          <w:i/>
          <w:sz w:val="20"/>
        </w:rPr>
        <w:t>Brogden</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Metropolitan</w:t>
      </w:r>
      <w:r>
        <w:rPr>
          <w:rFonts w:ascii="Arial" w:hAnsi="Arial"/>
          <w:i/>
          <w:spacing w:val="-2"/>
          <w:sz w:val="20"/>
        </w:rPr>
        <w:t> </w:t>
      </w:r>
      <w:r>
        <w:rPr>
          <w:rFonts w:ascii="Arial" w:hAnsi="Arial"/>
          <w:i/>
          <w:sz w:val="20"/>
        </w:rPr>
        <w:t>Ry</w:t>
      </w:r>
      <w:r>
        <w:rPr>
          <w:rFonts w:ascii="Arial" w:hAnsi="Arial"/>
          <w:i/>
          <w:spacing w:val="-2"/>
          <w:sz w:val="20"/>
        </w:rPr>
        <w:t> </w:t>
      </w:r>
      <w:r>
        <w:rPr>
          <w:rFonts w:ascii="Arial" w:hAnsi="Arial"/>
          <w:i/>
          <w:sz w:val="20"/>
        </w:rPr>
        <w:t>(1877)</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App.</w:t>
      </w:r>
      <w:r>
        <w:rPr>
          <w:rFonts w:ascii="Arial" w:hAnsi="Arial"/>
          <w:i/>
          <w:spacing w:val="-2"/>
          <w:sz w:val="20"/>
        </w:rPr>
        <w:t> </w:t>
      </w:r>
      <w:r>
        <w:rPr>
          <w:rFonts w:ascii="Arial" w:hAnsi="Arial"/>
          <w:i/>
          <w:sz w:val="20"/>
        </w:rPr>
        <w:t>Cas.</w:t>
      </w:r>
      <w:r>
        <w:rPr>
          <w:rFonts w:ascii="Arial" w:hAnsi="Arial"/>
          <w:i/>
          <w:spacing w:val="-2"/>
          <w:sz w:val="20"/>
        </w:rPr>
        <w:t> </w:t>
      </w:r>
      <w:r>
        <w:rPr>
          <w:rFonts w:ascii="Arial" w:hAnsi="Arial"/>
          <w:i/>
          <w:sz w:val="20"/>
        </w:rPr>
        <w:t>666</w:t>
      </w:r>
      <w:r>
        <w:rPr>
          <w:sz w:val="20"/>
        </w:rPr>
        <w:t>, below, para.2-030 at n.166; cf. </w:t>
      </w:r>
      <w:r>
        <w:rPr>
          <w:rFonts w:ascii="Arial" w:hAnsi="Arial"/>
          <w:i/>
          <w:sz w:val="20"/>
        </w:rPr>
        <w:t>Hart v Mills (1846) 15 L.J. Ex. 200</w:t>
      </w:r>
      <w:r>
        <w:rPr>
          <w:sz w:val="20"/>
        </w:rPr>
        <w:t>; </w:t>
      </w:r>
      <w:r>
        <w:rPr>
          <w:rFonts w:ascii="Arial" w:hAnsi="Arial"/>
          <w:i/>
          <w:sz w:val="20"/>
        </w:rPr>
        <w:t>Confetti Records v Warner Music UK Ltd [2003] EWHC 1274, The Times, June 12, 2003</w:t>
      </w:r>
      <w:r>
        <w:rPr>
          <w:sz w:val="20"/>
        </w:rPr>
        <w:t>. It is assumed that the goods are not “unsolicited” within the legislation against “inertia selling” (above, para.2-005).</w:t>
      </w:r>
    </w:p>
    <w:p>
      <w:pPr>
        <w:pStyle w:val="BodyText"/>
        <w:spacing w:before="9"/>
      </w:pPr>
    </w:p>
    <w:p>
      <w:pPr>
        <w:spacing w:line="235" w:lineRule="auto" w:before="0"/>
        <w:ind w:left="705" w:right="167" w:hanging="541"/>
        <w:jc w:val="both"/>
        <w:rPr>
          <w:sz w:val="20"/>
        </w:rPr>
      </w:pPr>
      <w:bookmarkStart w:name="_bookmark372" w:id="374"/>
      <w:bookmarkEnd w:id="374"/>
      <w:r>
        <w:rPr/>
      </w:r>
      <w:hyperlink w:history="true" w:anchor="_bookmark282">
        <w:r>
          <w:rPr>
            <w:color w:val="005DA1"/>
            <w:position w:val="5"/>
            <w:sz w:val="14"/>
            <w:u w:val="single" w:color="005DA1"/>
          </w:rPr>
          <w:t>158</w:t>
        </w:r>
      </w:hyperlink>
      <w:r>
        <w:rPr>
          <w:position w:val="5"/>
          <w:sz w:val="14"/>
        </w:rPr>
        <w:t>.</w:t>
      </w:r>
      <w:r>
        <w:rPr>
          <w:spacing w:val="80"/>
          <w:w w:val="150"/>
          <w:position w:val="5"/>
          <w:sz w:val="14"/>
        </w:rPr>
        <w:t> </w:t>
      </w:r>
      <w:r>
        <w:rPr>
          <w:rFonts w:ascii="Arial" w:hAnsi="Arial"/>
          <w:i/>
          <w:sz w:val="20"/>
        </w:rPr>
        <w:t>Smit International Singapore Pte Ltd v Kurnia Dewi Shipping SA (The Kurnia Dewi) [1997] 1 Lloyd’s Rep. 553</w:t>
      </w:r>
      <w:r>
        <w:rPr>
          <w:sz w:val="20"/>
        </w:rPr>
        <w:t>; cf. </w:t>
      </w:r>
      <w:r>
        <w:rPr>
          <w:rFonts w:ascii="Arial" w:hAnsi="Arial"/>
          <w:i/>
          <w:sz w:val="20"/>
        </w:rPr>
        <w:t>Datec Electronics Holdings Ltd v United Parcels Ltd [2007] UKHL 23, [2007] 1 W.L.R. 1325 </w:t>
      </w:r>
      <w:r>
        <w:rPr>
          <w:sz w:val="20"/>
        </w:rPr>
        <w:t>at [23], discussed in para.2-009 above.</w:t>
      </w:r>
    </w:p>
    <w:p>
      <w:pPr>
        <w:pStyle w:val="BodyText"/>
        <w:spacing w:before="5"/>
      </w:pPr>
    </w:p>
    <w:p>
      <w:pPr>
        <w:tabs>
          <w:tab w:pos="705" w:val="left" w:leader="none"/>
        </w:tabs>
        <w:spacing w:before="0"/>
        <w:ind w:left="165" w:right="0" w:firstLine="0"/>
        <w:jc w:val="left"/>
        <w:rPr>
          <w:sz w:val="20"/>
        </w:rPr>
      </w:pPr>
      <w:bookmarkStart w:name="_bookmark373" w:id="375"/>
      <w:bookmarkEnd w:id="375"/>
      <w:r>
        <w:rPr/>
      </w:r>
      <w:hyperlink w:history="true" w:anchor="_bookmark283">
        <w:r>
          <w:rPr>
            <w:color w:val="005DA1"/>
            <w:spacing w:val="-4"/>
            <w:position w:val="5"/>
            <w:sz w:val="14"/>
            <w:u w:val="single" w:color="005DA1"/>
          </w:rPr>
          <w:t>159</w:t>
        </w:r>
      </w:hyperlink>
      <w:r>
        <w:rPr>
          <w:spacing w:val="-4"/>
          <w:position w:val="5"/>
          <w:sz w:val="14"/>
        </w:rPr>
        <w:t>.</w:t>
      </w:r>
      <w:r>
        <w:rPr>
          <w:position w:val="5"/>
          <w:sz w:val="14"/>
        </w:rPr>
        <w:tab/>
      </w:r>
      <w:r>
        <w:rPr>
          <w:rFonts w:ascii="Arial"/>
          <w:i/>
          <w:sz w:val="20"/>
        </w:rPr>
        <w:t>Lloyds Bank v Voller [2000] 2 All E.R. (Comm) </w:t>
      </w:r>
      <w:r>
        <w:rPr>
          <w:rFonts w:ascii="Arial"/>
          <w:i/>
          <w:spacing w:val="-4"/>
          <w:sz w:val="20"/>
        </w:rPr>
        <w:t>978</w:t>
      </w:r>
      <w:r>
        <w:rPr>
          <w:spacing w:val="-4"/>
          <w:sz w:val="20"/>
        </w:rPr>
        <w:t>.</w:t>
      </w:r>
    </w:p>
    <w:p>
      <w:pPr>
        <w:pStyle w:val="BodyText"/>
        <w:spacing w:before="8"/>
      </w:pPr>
    </w:p>
    <w:p>
      <w:pPr>
        <w:spacing w:line="235" w:lineRule="auto" w:before="1"/>
        <w:ind w:left="705" w:right="167" w:hanging="541"/>
        <w:jc w:val="both"/>
        <w:rPr>
          <w:sz w:val="20"/>
        </w:rPr>
      </w:pPr>
      <w:bookmarkStart w:name="_bookmark374" w:id="376"/>
      <w:bookmarkEnd w:id="376"/>
      <w:r>
        <w:rPr/>
      </w:r>
      <w:hyperlink w:history="true" w:anchor="_bookmark284">
        <w:r>
          <w:rPr>
            <w:color w:val="005DA1"/>
            <w:position w:val="5"/>
            <w:sz w:val="14"/>
            <w:u w:val="single" w:color="005DA1"/>
          </w:rPr>
          <w:t>160</w:t>
        </w:r>
      </w:hyperlink>
      <w:r>
        <w:rPr>
          <w:position w:val="5"/>
          <w:sz w:val="14"/>
        </w:rPr>
        <w:t>.</w:t>
      </w:r>
      <w:r>
        <w:rPr>
          <w:spacing w:val="80"/>
          <w:w w:val="150"/>
          <w:position w:val="5"/>
          <w:sz w:val="14"/>
        </w:rPr>
        <w:t> </w:t>
      </w:r>
      <w:r>
        <w:rPr>
          <w:sz w:val="20"/>
        </w:rPr>
        <w:t>Above, paras 2-002, 2-003. For the application of the objective principle to an acceptance by conduct, see </w:t>
      </w:r>
      <w:r>
        <w:rPr>
          <w:rFonts w:ascii="Arial"/>
          <w:i/>
          <w:sz w:val="20"/>
        </w:rPr>
        <w:t>University of Edinburgh v Onifade 2005 S.L.T. (Sh Ct) 63</w:t>
      </w:r>
      <w:r>
        <w:rPr>
          <w:sz w:val="20"/>
        </w:rPr>
        <w:t>, above para.2-</w:t>
      </w:r>
      <w:r>
        <w:rPr>
          <w:sz w:val="20"/>
        </w:rPr>
        <w:t>026</w:t>
      </w:r>
      <w:r>
        <w:rPr>
          <w:spacing w:val="40"/>
          <w:sz w:val="20"/>
        </w:rPr>
        <w:t> </w:t>
      </w:r>
      <w:r>
        <w:rPr>
          <w:spacing w:val="-2"/>
          <w:sz w:val="20"/>
        </w:rPr>
        <w:t>n.140.</w:t>
      </w:r>
    </w:p>
    <w:p>
      <w:pPr>
        <w:pStyle w:val="BodyText"/>
        <w:spacing w:before="5"/>
      </w:pPr>
    </w:p>
    <w:p>
      <w:pPr>
        <w:tabs>
          <w:tab w:pos="705" w:val="left" w:leader="none"/>
        </w:tabs>
        <w:spacing w:before="0"/>
        <w:ind w:left="165" w:right="0" w:firstLine="0"/>
        <w:jc w:val="left"/>
        <w:rPr>
          <w:sz w:val="20"/>
        </w:rPr>
      </w:pPr>
      <w:bookmarkStart w:name="_bookmark375" w:id="377"/>
      <w:bookmarkEnd w:id="377"/>
      <w:r>
        <w:rPr/>
      </w:r>
      <w:hyperlink w:history="true" w:anchor="_bookmark285">
        <w:r>
          <w:rPr>
            <w:color w:val="005DA1"/>
            <w:spacing w:val="-4"/>
            <w:position w:val="5"/>
            <w:sz w:val="14"/>
            <w:u w:val="single" w:color="005DA1"/>
          </w:rPr>
          <w:t>161</w:t>
        </w:r>
      </w:hyperlink>
      <w:r>
        <w:rPr>
          <w:spacing w:val="-4"/>
          <w:position w:val="5"/>
          <w:sz w:val="14"/>
        </w:rPr>
        <w:t>.</w:t>
      </w:r>
      <w:r>
        <w:rPr>
          <w:position w:val="5"/>
          <w:sz w:val="14"/>
        </w:rPr>
        <w:tab/>
      </w:r>
      <w:r>
        <w:rPr>
          <w:rFonts w:ascii="Arial" w:hAnsi="Arial"/>
          <w:i/>
          <w:sz w:val="20"/>
        </w:rPr>
        <w:t>Jayaar Impex Ltd v Toaken Group Ltd [1996] 2 Lloyd’s Rep. </w:t>
      </w:r>
      <w:r>
        <w:rPr>
          <w:rFonts w:ascii="Arial" w:hAnsi="Arial"/>
          <w:i/>
          <w:spacing w:val="-4"/>
          <w:sz w:val="20"/>
        </w:rPr>
        <w:t>437</w:t>
      </w:r>
      <w:r>
        <w:rPr>
          <w:spacing w:val="-4"/>
          <w:sz w:val="20"/>
        </w:rPr>
        <w:t>.</w:t>
      </w:r>
    </w:p>
    <w:p>
      <w:pPr>
        <w:pStyle w:val="BodyText"/>
        <w:spacing w:before="8"/>
      </w:pPr>
    </w:p>
    <w:p>
      <w:pPr>
        <w:spacing w:line="235" w:lineRule="auto" w:before="1"/>
        <w:ind w:left="705" w:right="167" w:hanging="541"/>
        <w:jc w:val="both"/>
        <w:rPr>
          <w:sz w:val="20"/>
        </w:rPr>
      </w:pPr>
      <w:bookmarkStart w:name="_bookmark376" w:id="378"/>
      <w:bookmarkEnd w:id="378"/>
      <w:r>
        <w:rPr/>
      </w:r>
      <w:hyperlink w:history="true" w:anchor="_bookmark286">
        <w:r>
          <w:rPr>
            <w:color w:val="005DA1"/>
            <w:position w:val="5"/>
            <w:sz w:val="14"/>
            <w:u w:val="single" w:color="005DA1"/>
          </w:rPr>
          <w:t>162</w:t>
        </w:r>
      </w:hyperlink>
      <w:r>
        <w:rPr>
          <w:position w:val="5"/>
          <w:sz w:val="14"/>
        </w:rPr>
        <w:t>.</w:t>
      </w:r>
      <w:r>
        <w:rPr>
          <w:spacing w:val="40"/>
          <w:position w:val="5"/>
          <w:sz w:val="14"/>
        </w:rPr>
        <w:t>  </w:t>
      </w:r>
      <w:r>
        <w:rPr>
          <w:rFonts w:ascii="Arial"/>
          <w:i/>
          <w:sz w:val="20"/>
        </w:rPr>
        <w:t>Taylor v Allon [1966] 1 Q.B. 304</w:t>
      </w:r>
      <w:r>
        <w:rPr>
          <w:sz w:val="20"/>
        </w:rPr>
        <w:t>. The objective principle (above, paras 2-002, 2-003) could </w:t>
      </w:r>
      <w:r>
        <w:rPr>
          <w:sz w:val="20"/>
        </w:rPr>
        <w:t>not apply in this case, as the conduct alleged to constitute the acceptance had never come to the notice of the offeror. cf. </w:t>
      </w:r>
      <w:r>
        <w:rPr>
          <w:rFonts w:ascii="Arial"/>
          <w:i/>
          <w:sz w:val="20"/>
        </w:rPr>
        <w:t>Picardi v Cuniberti [2002] EWHC 2933, (2003) 19 Const. L.J. 350</w:t>
      </w:r>
      <w:r>
        <w:rPr>
          <w:sz w:val="20"/>
        </w:rPr>
        <w:t>: payments made under another contract held not to amount to acceptance of an offer to enter into the alleged new contract; and see, in another context, </w:t>
      </w:r>
      <w:r>
        <w:rPr>
          <w:rFonts w:ascii="Arial"/>
          <w:i/>
          <w:sz w:val="20"/>
        </w:rPr>
        <w:t>Re Leyland Daf Ltd [1994] 4 All E.R. 300</w:t>
      </w:r>
      <w:r>
        <w:rPr>
          <w:sz w:val="20"/>
        </w:rPr>
        <w:t>, affirmed sub nom. </w:t>
      </w:r>
      <w:r>
        <w:rPr>
          <w:rFonts w:ascii="Arial"/>
          <w:i/>
          <w:sz w:val="20"/>
        </w:rPr>
        <w:t>Powdrill v Watson [1995] 2 A.C. 394</w:t>
      </w:r>
      <w:r>
        <w:rPr>
          <w:sz w:val="20"/>
        </w:rPr>
        <w:t>.</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377" w:id="379"/>
      <w:bookmarkEnd w:id="379"/>
      <w:r>
        <w:rPr/>
      </w:r>
      <w:hyperlink w:history="true" w:anchor="_bookmark287">
        <w:r>
          <w:rPr>
            <w:color w:val="005DA1"/>
            <w:spacing w:val="-4"/>
            <w:sz w:val="14"/>
            <w:u w:val="single" w:color="005DA1"/>
          </w:rPr>
          <w:t>163</w:t>
        </w:r>
      </w:hyperlink>
      <w:r>
        <w:rPr>
          <w:spacing w:val="-4"/>
          <w:sz w:val="14"/>
        </w:rPr>
        <w:t>.</w:t>
      </w:r>
    </w:p>
    <w:p>
      <w:pPr>
        <w:spacing w:before="209"/>
        <w:ind w:left="335" w:right="0" w:firstLine="0"/>
        <w:jc w:val="left"/>
        <w:rPr>
          <w:sz w:val="20"/>
        </w:rPr>
      </w:pPr>
      <w:r>
        <w:rPr/>
        <w:br w:type="column"/>
      </w:r>
      <w:r>
        <w:rPr>
          <w:rFonts w:ascii="Arial"/>
          <w:i/>
          <w:sz w:val="20"/>
        </w:rPr>
        <w:t>Arley Homes North West Ltd v Cosgrave Unreported April 14, 2016 </w:t>
      </w:r>
      <w:r>
        <w:rPr>
          <w:rFonts w:ascii="Arial"/>
          <w:i/>
          <w:spacing w:val="-4"/>
          <w:sz w:val="20"/>
        </w:rPr>
        <w:t>EAT</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0"/>
        <w:ind w:left="705" w:right="167" w:hanging="541"/>
        <w:jc w:val="both"/>
        <w:rPr>
          <w:sz w:val="20"/>
        </w:rPr>
      </w:pPr>
      <w:r>
        <w:rPr>
          <w:sz w:val="20"/>
        </w:rPr>
        <w:drawing>
          <wp:anchor distT="0" distB="0" distL="0" distR="0" allowOverlap="1" layoutInCell="1" locked="0" behindDoc="0" simplePos="0" relativeHeight="15741952">
            <wp:simplePos x="0" y="0"/>
            <wp:positionH relativeFrom="page">
              <wp:posOffset>1257846</wp:posOffset>
            </wp:positionH>
            <wp:positionV relativeFrom="paragraph">
              <wp:posOffset>-269324</wp:posOffset>
            </wp:positionV>
            <wp:extent cx="107988" cy="107988"/>
            <wp:effectExtent l="0" t="0" r="0" b="0"/>
            <wp:wrapNone/>
            <wp:docPr id="40" name="Image 40"/>
            <wp:cNvGraphicFramePr>
              <a:graphicFrameLocks/>
            </wp:cNvGraphicFramePr>
            <a:graphic>
              <a:graphicData uri="http://schemas.openxmlformats.org/drawingml/2006/picture">
                <pic:pic>
                  <pic:nvPicPr>
                    <pic:cNvPr id="40" name="Image 4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378" w:id="380"/>
      <w:bookmarkEnd w:id="380"/>
      <w:r>
        <w:rPr/>
      </w:r>
      <w:hyperlink w:history="true" w:anchor="_bookmark288">
        <w:r>
          <w:rPr>
            <w:color w:val="005DA1"/>
            <w:position w:val="5"/>
            <w:sz w:val="14"/>
            <w:u w:val="single" w:color="005DA1"/>
          </w:rPr>
          <w:t>164</w:t>
        </w:r>
      </w:hyperlink>
      <w:r>
        <w:rPr>
          <w:position w:val="5"/>
          <w:sz w:val="14"/>
        </w:rPr>
        <w:t>.</w:t>
      </w:r>
      <w:r>
        <w:rPr>
          <w:spacing w:val="80"/>
          <w:w w:val="150"/>
          <w:position w:val="5"/>
          <w:sz w:val="14"/>
        </w:rPr>
        <w:t> </w:t>
      </w:r>
      <w:r>
        <w:rPr>
          <w:rFonts w:ascii="Arial" w:hAnsi="Arial"/>
          <w:i/>
          <w:sz w:val="20"/>
        </w:rPr>
        <w:t>Beta Computers (Europe) v Adobe Systems (Europe) 1996 S.L.T. 604</w:t>
      </w:r>
      <w:r>
        <w:rPr>
          <w:sz w:val="20"/>
        </w:rPr>
        <w:t>; even opening the package would not necessarily be an acceptance so as to incorporate the printed terms: </w:t>
      </w:r>
      <w:r>
        <w:rPr>
          <w:sz w:val="20"/>
        </w:rPr>
        <w:t>see Tapper in (ed. Rose) Consensus ad Idem, Essays in the Law of Contract in Honour of Guenter Treitel, 287–288.</w:t>
      </w:r>
    </w:p>
    <w:p>
      <w:pPr>
        <w:pStyle w:val="BodyText"/>
        <w:spacing w:before="5"/>
      </w:pPr>
    </w:p>
    <w:p>
      <w:pPr>
        <w:tabs>
          <w:tab w:pos="705" w:val="left" w:leader="none"/>
        </w:tabs>
        <w:spacing w:before="0"/>
        <w:ind w:left="165" w:right="0" w:firstLine="0"/>
        <w:jc w:val="left"/>
        <w:rPr>
          <w:sz w:val="20"/>
        </w:rPr>
      </w:pPr>
      <w:bookmarkStart w:name="_bookmark379" w:id="381"/>
      <w:bookmarkEnd w:id="381"/>
      <w:r>
        <w:rPr/>
      </w:r>
      <w:hyperlink w:history="true" w:anchor="_bookmark289">
        <w:r>
          <w:rPr>
            <w:color w:val="005DA1"/>
            <w:spacing w:val="-4"/>
            <w:position w:val="5"/>
            <w:sz w:val="14"/>
            <w:u w:val="single" w:color="005DA1"/>
          </w:rPr>
          <w:t>165</w:t>
        </w:r>
      </w:hyperlink>
      <w:r>
        <w:rPr>
          <w:spacing w:val="-4"/>
          <w:position w:val="5"/>
          <w:sz w:val="14"/>
        </w:rPr>
        <w:t>.</w:t>
      </w:r>
      <w:r>
        <w:rPr>
          <w:position w:val="5"/>
          <w:sz w:val="14"/>
        </w:rPr>
        <w:tab/>
      </w:r>
      <w:r>
        <w:rPr>
          <w:rFonts w:ascii="Arial"/>
          <w:i/>
          <w:sz w:val="20"/>
        </w:rPr>
        <w:t>Capital Finance Co Ltd v Bray [1964] 1 W.L.R. </w:t>
      </w:r>
      <w:r>
        <w:rPr>
          <w:rFonts w:ascii="Arial"/>
          <w:i/>
          <w:spacing w:val="-4"/>
          <w:sz w:val="20"/>
        </w:rPr>
        <w:t>323</w:t>
      </w:r>
      <w:r>
        <w:rPr>
          <w:spacing w:val="-4"/>
          <w:sz w:val="20"/>
        </w:rPr>
        <w:t>.</w:t>
      </w:r>
    </w:p>
    <w:p>
      <w:pPr>
        <w:pStyle w:val="BodyText"/>
        <w:spacing w:before="9"/>
      </w:pPr>
    </w:p>
    <w:p>
      <w:pPr>
        <w:tabs>
          <w:tab w:pos="705" w:val="left" w:leader="none"/>
        </w:tabs>
        <w:spacing w:line="235" w:lineRule="auto" w:before="0"/>
        <w:ind w:left="705" w:right="167" w:hanging="541"/>
        <w:jc w:val="left"/>
        <w:rPr>
          <w:sz w:val="20"/>
        </w:rPr>
      </w:pPr>
      <w:bookmarkStart w:name="_bookmark380" w:id="382"/>
      <w:bookmarkEnd w:id="382"/>
      <w:r>
        <w:rPr/>
      </w:r>
      <w:hyperlink w:history="true" w:anchor="_bookmark290">
        <w:r>
          <w:rPr>
            <w:color w:val="005DA1"/>
            <w:spacing w:val="-4"/>
            <w:position w:val="5"/>
            <w:sz w:val="14"/>
            <w:u w:val="single" w:color="005DA1"/>
          </w:rPr>
          <w:t>166</w:t>
        </w:r>
      </w:hyperlink>
      <w:r>
        <w:rPr>
          <w:spacing w:val="-4"/>
          <w:position w:val="5"/>
          <w:sz w:val="14"/>
        </w:rPr>
        <w:t>.</w:t>
      </w:r>
      <w:r>
        <w:rPr>
          <w:position w:val="5"/>
          <w:sz w:val="14"/>
        </w:rPr>
        <w:tab/>
      </w:r>
      <w:r>
        <w:rPr>
          <w:sz w:val="20"/>
        </w:rPr>
        <w:t>Sale</w:t>
      </w:r>
      <w:r>
        <w:rPr>
          <w:spacing w:val="40"/>
          <w:sz w:val="20"/>
        </w:rPr>
        <w:t> </w:t>
      </w:r>
      <w:r>
        <w:rPr>
          <w:sz w:val="20"/>
        </w:rPr>
        <w:t>of</w:t>
      </w:r>
      <w:r>
        <w:rPr>
          <w:spacing w:val="40"/>
          <w:sz w:val="20"/>
        </w:rPr>
        <w:t> </w:t>
      </w:r>
      <w:r>
        <w:rPr>
          <w:sz w:val="20"/>
        </w:rPr>
        <w:t>Goods</w:t>
      </w:r>
      <w:r>
        <w:rPr>
          <w:spacing w:val="40"/>
          <w:sz w:val="20"/>
        </w:rPr>
        <w:t> </w:t>
      </w:r>
      <w:r>
        <w:rPr>
          <w:sz w:val="20"/>
        </w:rPr>
        <w:t>Act</w:t>
      </w:r>
      <w:r>
        <w:rPr>
          <w:spacing w:val="40"/>
          <w:sz w:val="20"/>
        </w:rPr>
        <w:t> </w:t>
      </w:r>
      <w:r>
        <w:rPr>
          <w:sz w:val="20"/>
        </w:rPr>
        <w:t>1979</w:t>
      </w:r>
      <w:r>
        <w:rPr>
          <w:spacing w:val="40"/>
          <w:sz w:val="20"/>
        </w:rPr>
        <w:t> </w:t>
      </w:r>
      <w:r>
        <w:rPr>
          <w:sz w:val="20"/>
        </w:rPr>
        <w:t>s.8(2);</w:t>
      </w:r>
      <w:r>
        <w:rPr>
          <w:spacing w:val="40"/>
          <w:sz w:val="20"/>
        </w:rPr>
        <w:t> </w:t>
      </w:r>
      <w:r>
        <w:rPr>
          <w:sz w:val="20"/>
        </w:rPr>
        <w:t>Supply</w:t>
      </w:r>
      <w:r>
        <w:rPr>
          <w:spacing w:val="40"/>
          <w:sz w:val="20"/>
        </w:rPr>
        <w:t> </w:t>
      </w:r>
      <w:r>
        <w:rPr>
          <w:sz w:val="20"/>
        </w:rPr>
        <w:t>of</w:t>
      </w:r>
      <w:r>
        <w:rPr>
          <w:spacing w:val="40"/>
          <w:sz w:val="20"/>
        </w:rPr>
        <w:t> </w:t>
      </w:r>
      <w:r>
        <w:rPr>
          <w:sz w:val="20"/>
        </w:rPr>
        <w:t>Goods</w:t>
      </w:r>
      <w:r>
        <w:rPr>
          <w:spacing w:val="40"/>
          <w:sz w:val="20"/>
        </w:rPr>
        <w:t> </w:t>
      </w:r>
      <w:r>
        <w:rPr>
          <w:sz w:val="20"/>
        </w:rPr>
        <w:t>and</w:t>
      </w:r>
      <w:r>
        <w:rPr>
          <w:spacing w:val="40"/>
          <w:sz w:val="20"/>
        </w:rPr>
        <w:t> </w:t>
      </w:r>
      <w:r>
        <w:rPr>
          <w:sz w:val="20"/>
        </w:rPr>
        <w:t>Services</w:t>
      </w:r>
      <w:r>
        <w:rPr>
          <w:spacing w:val="40"/>
          <w:sz w:val="20"/>
        </w:rPr>
        <w:t> </w:t>
      </w:r>
      <w:r>
        <w:rPr>
          <w:sz w:val="20"/>
        </w:rPr>
        <w:t>Act</w:t>
      </w:r>
      <w:r>
        <w:rPr>
          <w:spacing w:val="40"/>
          <w:sz w:val="20"/>
        </w:rPr>
        <w:t> </w:t>
      </w:r>
      <w:r>
        <w:rPr>
          <w:sz w:val="20"/>
        </w:rPr>
        <w:t>1982</w:t>
      </w:r>
      <w:r>
        <w:rPr>
          <w:spacing w:val="40"/>
          <w:sz w:val="20"/>
        </w:rPr>
        <w:t> </w:t>
      </w:r>
      <w:r>
        <w:rPr>
          <w:sz w:val="20"/>
        </w:rPr>
        <w:t>s.15(1);</w:t>
      </w:r>
      <w:r>
        <w:rPr>
          <w:spacing w:val="40"/>
          <w:sz w:val="20"/>
        </w:rPr>
        <w:t> </w:t>
      </w:r>
      <w:r>
        <w:rPr>
          <w:sz w:val="20"/>
        </w:rPr>
        <w:t>below, para.2-120; cf. </w:t>
      </w:r>
      <w:r>
        <w:rPr>
          <w:rFonts w:ascii="Arial"/>
          <w:i/>
          <w:sz w:val="20"/>
        </w:rPr>
        <w:t>Steven v Bromley &amp; Son [1919] 2 K.B. 722</w:t>
      </w:r>
      <w:r>
        <w:rPr>
          <w:sz w:val="20"/>
        </w:rPr>
        <w:t>.</w:t>
      </w:r>
    </w:p>
    <w:p>
      <w:pPr>
        <w:pStyle w:val="BodyText"/>
        <w:spacing w:before="5"/>
      </w:pPr>
    </w:p>
    <w:p>
      <w:pPr>
        <w:tabs>
          <w:tab w:pos="705" w:val="left" w:leader="none"/>
        </w:tabs>
        <w:spacing w:before="0"/>
        <w:ind w:left="165" w:right="0" w:firstLine="0"/>
        <w:jc w:val="left"/>
        <w:rPr>
          <w:sz w:val="20"/>
        </w:rPr>
      </w:pPr>
      <w:bookmarkStart w:name="_bookmark381" w:id="383"/>
      <w:bookmarkEnd w:id="383"/>
      <w:r>
        <w:rPr/>
      </w:r>
      <w:hyperlink w:history="true" w:anchor="_bookmark291">
        <w:r>
          <w:rPr>
            <w:color w:val="005DA1"/>
            <w:spacing w:val="-4"/>
            <w:position w:val="5"/>
            <w:sz w:val="14"/>
            <w:u w:val="single" w:color="005DA1"/>
          </w:rPr>
          <w:t>167</w:t>
        </w:r>
      </w:hyperlink>
      <w:r>
        <w:rPr>
          <w:spacing w:val="-4"/>
          <w:position w:val="5"/>
          <w:sz w:val="14"/>
        </w:rPr>
        <w:t>.</w:t>
      </w:r>
      <w:r>
        <w:rPr>
          <w:position w:val="5"/>
          <w:sz w:val="14"/>
        </w:rPr>
        <w:tab/>
      </w:r>
      <w:r>
        <w:rPr>
          <w:sz w:val="20"/>
        </w:rPr>
        <w:t>e.g. </w:t>
      </w:r>
      <w:r>
        <w:rPr>
          <w:rFonts w:ascii="Arial"/>
          <w:i/>
          <w:sz w:val="20"/>
        </w:rPr>
        <w:t>Pyrene Co Ltd v Scindia Navigation Co Ltd [1954] 2 Q.B. </w:t>
      </w:r>
      <w:r>
        <w:rPr>
          <w:rFonts w:ascii="Arial"/>
          <w:i/>
          <w:spacing w:val="-4"/>
          <w:sz w:val="20"/>
        </w:rPr>
        <w:t>402</w:t>
      </w:r>
      <w:r>
        <w:rPr>
          <w:spacing w:val="-4"/>
          <w:sz w:val="20"/>
        </w:rPr>
        <w:t>.</w:t>
      </w:r>
    </w:p>
    <w:p>
      <w:pPr>
        <w:pStyle w:val="BodyText"/>
        <w:spacing w:before="9"/>
      </w:pPr>
    </w:p>
    <w:p>
      <w:pPr>
        <w:spacing w:line="235" w:lineRule="auto" w:before="0"/>
        <w:ind w:left="705" w:right="168" w:hanging="541"/>
        <w:jc w:val="both"/>
        <w:rPr>
          <w:sz w:val="20"/>
        </w:rPr>
      </w:pPr>
      <w:bookmarkStart w:name="_bookmark382" w:id="384"/>
      <w:bookmarkEnd w:id="384"/>
      <w:r>
        <w:rPr/>
      </w:r>
      <w:hyperlink w:history="true" w:anchor="_bookmark292">
        <w:r>
          <w:rPr>
            <w:color w:val="005DA1"/>
            <w:position w:val="5"/>
            <w:sz w:val="14"/>
            <w:u w:val="single" w:color="005DA1"/>
          </w:rPr>
          <w:t>168</w:t>
        </w:r>
      </w:hyperlink>
      <w:r>
        <w:rPr>
          <w:position w:val="5"/>
          <w:sz w:val="14"/>
        </w:rPr>
        <w:t>.</w:t>
      </w:r>
      <w:r>
        <w:rPr>
          <w:spacing w:val="80"/>
          <w:w w:val="150"/>
          <w:position w:val="5"/>
          <w:sz w:val="14"/>
        </w:rPr>
        <w:t> </w:t>
      </w:r>
      <w:r>
        <w:rPr>
          <w:rFonts w:ascii="Arial" w:hAnsi="Arial"/>
          <w:i/>
          <w:sz w:val="20"/>
        </w:rPr>
        <w:t>(1877) 2 App. Cas. 666</w:t>
      </w:r>
      <w:r>
        <w:rPr>
          <w:sz w:val="20"/>
        </w:rPr>
        <w:t>; see also </w:t>
      </w:r>
      <w:r>
        <w:rPr>
          <w:rFonts w:ascii="Arial" w:hAnsi="Arial"/>
          <w:i/>
          <w:sz w:val="20"/>
        </w:rPr>
        <w:t>Jones v Daniel [1894] 2 Ch. 332</w:t>
      </w:r>
      <w:r>
        <w:rPr>
          <w:sz w:val="20"/>
        </w:rPr>
        <w:t>; </w:t>
      </w:r>
      <w:r>
        <w:rPr>
          <w:rFonts w:ascii="Arial" w:hAnsi="Arial"/>
          <w:i/>
          <w:sz w:val="20"/>
        </w:rPr>
        <w:t>Port Sudan Cotton Co v Govindaswamy Chettiar &amp; Sons [1977] 2 Lloyd’s Rep. 5</w:t>
      </w:r>
      <w:r>
        <w:rPr>
          <w:sz w:val="20"/>
        </w:rPr>
        <w:t>; cf. </w:t>
      </w:r>
      <w:r>
        <w:rPr>
          <w:rFonts w:ascii="Arial" w:hAnsi="Arial"/>
          <w:i/>
          <w:sz w:val="20"/>
        </w:rPr>
        <w:t>D. &amp; M. Trailers (Halifax) Ltd </w:t>
      </w:r>
      <w:r>
        <w:rPr>
          <w:rFonts w:ascii="Arial" w:hAnsi="Arial"/>
          <w:i/>
          <w:sz w:val="20"/>
        </w:rPr>
        <w:t>v Stirling [1978] R.T.R. 468</w:t>
      </w:r>
      <w:r>
        <w:rPr>
          <w:sz w:val="20"/>
        </w:rPr>
        <w:t>; </w:t>
      </w:r>
      <w:r>
        <w:rPr>
          <w:rFonts w:ascii="Arial" w:hAnsi="Arial"/>
          <w:i/>
          <w:sz w:val="20"/>
        </w:rPr>
        <w:t>UK Safety Group Ltd v Heane [1998] 2 B.C.L.C. 208</w:t>
      </w:r>
      <w:r>
        <w:rPr>
          <w:sz w:val="20"/>
        </w:rPr>
        <w:t>.</w:t>
      </w:r>
    </w:p>
    <w:p>
      <w:pPr>
        <w:pStyle w:val="BodyText"/>
        <w:spacing w:before="9"/>
      </w:pPr>
    </w:p>
    <w:p>
      <w:pPr>
        <w:spacing w:line="235" w:lineRule="auto" w:before="0"/>
        <w:ind w:left="705" w:right="167" w:hanging="541"/>
        <w:jc w:val="both"/>
        <w:rPr>
          <w:sz w:val="20"/>
        </w:rPr>
      </w:pPr>
      <w:bookmarkStart w:name="_bookmark383" w:id="385"/>
      <w:bookmarkEnd w:id="385"/>
      <w:r>
        <w:rPr/>
      </w:r>
      <w:hyperlink w:history="true" w:anchor="_bookmark293">
        <w:r>
          <w:rPr>
            <w:color w:val="005DA1"/>
            <w:position w:val="5"/>
            <w:sz w:val="14"/>
            <w:u w:val="single" w:color="005DA1"/>
          </w:rPr>
          <w:t>169</w:t>
        </w:r>
      </w:hyperlink>
      <w:r>
        <w:rPr>
          <w:position w:val="5"/>
          <w:sz w:val="14"/>
        </w:rPr>
        <w:t>.</w:t>
      </w:r>
      <w:r>
        <w:rPr>
          <w:spacing w:val="80"/>
          <w:position w:val="5"/>
          <w:sz w:val="14"/>
        </w:rPr>
        <w:t>  </w:t>
      </w:r>
      <w:r>
        <w:rPr>
          <w:sz w:val="20"/>
        </w:rPr>
        <w:t>Contrast</w:t>
      </w:r>
      <w:r>
        <w:rPr>
          <w:spacing w:val="-2"/>
          <w:sz w:val="20"/>
        </w:rPr>
        <w:t> </w:t>
      </w:r>
      <w:r>
        <w:rPr>
          <w:rFonts w:ascii="Arial" w:hAnsi="Arial"/>
          <w:i/>
          <w:sz w:val="20"/>
        </w:rPr>
        <w:t>Jayaar</w:t>
      </w:r>
      <w:r>
        <w:rPr>
          <w:rFonts w:ascii="Arial" w:hAnsi="Arial"/>
          <w:i/>
          <w:spacing w:val="-2"/>
          <w:sz w:val="20"/>
        </w:rPr>
        <w:t> </w:t>
      </w:r>
      <w:r>
        <w:rPr>
          <w:rFonts w:ascii="Arial" w:hAnsi="Arial"/>
          <w:i/>
          <w:sz w:val="20"/>
        </w:rPr>
        <w:t>Impex</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Toaken</w:t>
      </w:r>
      <w:r>
        <w:rPr>
          <w:rFonts w:ascii="Arial" w:hAnsi="Arial"/>
          <w:i/>
          <w:spacing w:val="-2"/>
          <w:sz w:val="20"/>
        </w:rPr>
        <w:t> </w:t>
      </w:r>
      <w:r>
        <w:rPr>
          <w:rFonts w:ascii="Arial" w:hAnsi="Arial"/>
          <w:i/>
          <w:sz w:val="20"/>
        </w:rPr>
        <w:t>Group</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[1996]</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437</w:t>
      </w:r>
      <w:r>
        <w:rPr>
          <w:sz w:val="20"/>
        </w:rPr>
        <w:t>,</w:t>
      </w:r>
      <w:r>
        <w:rPr>
          <w:spacing w:val="-2"/>
          <w:sz w:val="20"/>
        </w:rPr>
        <w:t> </w:t>
      </w:r>
      <w:r>
        <w:rPr>
          <w:sz w:val="20"/>
        </w:rPr>
        <w:t>where</w:t>
      </w:r>
      <w:r>
        <w:rPr>
          <w:spacing w:val="-2"/>
          <w:sz w:val="20"/>
        </w:rPr>
        <w:t> </w:t>
      </w:r>
      <w:r>
        <w:rPr>
          <w:sz w:val="20"/>
        </w:rPr>
        <w:t>the</w:t>
      </w:r>
      <w:r>
        <w:rPr>
          <w:spacing w:val="-2"/>
          <w:sz w:val="20"/>
        </w:rPr>
        <w:t> </w:t>
      </w:r>
      <w:r>
        <w:rPr>
          <w:sz w:val="20"/>
        </w:rPr>
        <w:t>conduct</w:t>
      </w:r>
      <w:r>
        <w:rPr>
          <w:spacing w:val="-2"/>
          <w:sz w:val="20"/>
        </w:rPr>
        <w:t> </w:t>
      </w:r>
      <w:r>
        <w:rPr>
          <w:sz w:val="20"/>
        </w:rPr>
        <w:t>of the buyer was referable, not to the draft sent by the seller, but to the earlier oral </w:t>
      </w:r>
      <w:r>
        <w:rPr>
          <w:sz w:val="20"/>
        </w:rPr>
        <w:t>agreement (above at n.160) between the parties; and </w:t>
      </w:r>
      <w:r>
        <w:rPr>
          <w:rFonts w:ascii="Arial" w:hAnsi="Arial"/>
          <w:i/>
          <w:sz w:val="20"/>
        </w:rPr>
        <w:t>UK Safety Group Ltd v Heane [1998] 2 B.C.L.C. 208 </w:t>
      </w:r>
      <w:r>
        <w:rPr>
          <w:sz w:val="20"/>
        </w:rPr>
        <w:t>(company director not bound by terms of a draft agreement which was under the company’s Articles required to be, but had not been, authorised by the board).</w:t>
      </w:r>
    </w:p>
    <w:p>
      <w:pPr>
        <w:pStyle w:val="BodyText"/>
        <w:spacing w:before="4"/>
      </w:pPr>
    </w:p>
    <w:p>
      <w:pPr>
        <w:tabs>
          <w:tab w:pos="705" w:val="left" w:leader="none"/>
        </w:tabs>
        <w:spacing w:line="227" w:lineRule="exact" w:before="0"/>
        <w:ind w:left="165" w:right="0" w:firstLine="0"/>
        <w:jc w:val="left"/>
        <w:rPr>
          <w:rFonts w:ascii="Arial"/>
          <w:i/>
          <w:sz w:val="20"/>
        </w:rPr>
      </w:pPr>
      <w:bookmarkStart w:name="_bookmark384" w:id="386"/>
      <w:bookmarkEnd w:id="386"/>
      <w:r>
        <w:rPr/>
      </w:r>
      <w:hyperlink w:history="true" w:anchor="_bookmark294">
        <w:r>
          <w:rPr>
            <w:color w:val="005DA1"/>
            <w:spacing w:val="-4"/>
            <w:position w:val="5"/>
            <w:sz w:val="14"/>
            <w:u w:val="single" w:color="005DA1"/>
          </w:rPr>
          <w:t>170</w:t>
        </w:r>
      </w:hyperlink>
      <w:r>
        <w:rPr>
          <w:spacing w:val="-4"/>
          <w:position w:val="5"/>
          <w:sz w:val="14"/>
        </w:rPr>
        <w:t>.</w:t>
      </w:r>
      <w:r>
        <w:rPr>
          <w:position w:val="5"/>
          <w:sz w:val="14"/>
        </w:rPr>
        <w:tab/>
      </w:r>
      <w:r>
        <w:rPr>
          <w:rFonts w:ascii="Arial"/>
          <w:i/>
          <w:sz w:val="20"/>
        </w:rPr>
        <w:t>Tinn</w:t>
      </w:r>
      <w:r>
        <w:rPr>
          <w:rFonts w:ascii="Arial"/>
          <w:i/>
          <w:spacing w:val="10"/>
          <w:sz w:val="20"/>
        </w:rPr>
        <w:t> </w:t>
      </w:r>
      <w:r>
        <w:rPr>
          <w:rFonts w:ascii="Arial"/>
          <w:i/>
          <w:sz w:val="20"/>
        </w:rPr>
        <w:t>v</w:t>
      </w:r>
      <w:r>
        <w:rPr>
          <w:rFonts w:ascii="Arial"/>
          <w:i/>
          <w:spacing w:val="11"/>
          <w:sz w:val="20"/>
        </w:rPr>
        <w:t> </w:t>
      </w:r>
      <w:r>
        <w:rPr>
          <w:rFonts w:ascii="Arial"/>
          <w:i/>
          <w:sz w:val="20"/>
        </w:rPr>
        <w:t>Hoffman</w:t>
      </w:r>
      <w:r>
        <w:rPr>
          <w:rFonts w:ascii="Arial"/>
          <w:i/>
          <w:spacing w:val="11"/>
          <w:sz w:val="20"/>
        </w:rPr>
        <w:t> </w:t>
      </w:r>
      <w:r>
        <w:rPr>
          <w:rFonts w:ascii="Arial"/>
          <w:i/>
          <w:sz w:val="20"/>
        </w:rPr>
        <w:t>&amp;</w:t>
      </w:r>
      <w:r>
        <w:rPr>
          <w:rFonts w:ascii="Arial"/>
          <w:i/>
          <w:spacing w:val="11"/>
          <w:sz w:val="20"/>
        </w:rPr>
        <w:t> </w:t>
      </w:r>
      <w:r>
        <w:rPr>
          <w:rFonts w:ascii="Arial"/>
          <w:i/>
          <w:sz w:val="20"/>
        </w:rPr>
        <w:t>Co</w:t>
      </w:r>
      <w:r>
        <w:rPr>
          <w:rFonts w:ascii="Arial"/>
          <w:i/>
          <w:spacing w:val="11"/>
          <w:sz w:val="20"/>
        </w:rPr>
        <w:t> </w:t>
      </w:r>
      <w:r>
        <w:rPr>
          <w:rFonts w:ascii="Arial"/>
          <w:i/>
          <w:sz w:val="20"/>
        </w:rPr>
        <w:t>(1873)</w:t>
      </w:r>
      <w:r>
        <w:rPr>
          <w:rFonts w:ascii="Arial"/>
          <w:i/>
          <w:spacing w:val="11"/>
          <w:sz w:val="20"/>
        </w:rPr>
        <w:t> </w:t>
      </w:r>
      <w:r>
        <w:rPr>
          <w:rFonts w:ascii="Arial"/>
          <w:i/>
          <w:sz w:val="20"/>
        </w:rPr>
        <w:t>29</w:t>
      </w:r>
      <w:r>
        <w:rPr>
          <w:rFonts w:ascii="Arial"/>
          <w:i/>
          <w:spacing w:val="11"/>
          <w:sz w:val="20"/>
        </w:rPr>
        <w:t> </w:t>
      </w:r>
      <w:r>
        <w:rPr>
          <w:rFonts w:ascii="Arial"/>
          <w:i/>
          <w:sz w:val="20"/>
        </w:rPr>
        <w:t>L.T.</w:t>
      </w:r>
      <w:r>
        <w:rPr>
          <w:rFonts w:ascii="Arial"/>
          <w:i/>
          <w:spacing w:val="11"/>
          <w:sz w:val="20"/>
        </w:rPr>
        <w:t> </w:t>
      </w:r>
      <w:r>
        <w:rPr>
          <w:rFonts w:ascii="Arial"/>
          <w:i/>
          <w:sz w:val="20"/>
        </w:rPr>
        <w:t>271</w:t>
      </w:r>
      <w:r>
        <w:rPr>
          <w:sz w:val="20"/>
        </w:rPr>
        <w:t>;</w:t>
      </w:r>
      <w:r>
        <w:rPr>
          <w:spacing w:val="11"/>
          <w:sz w:val="20"/>
        </w:rPr>
        <w:t> </w:t>
      </w:r>
      <w:r>
        <w:rPr>
          <w:sz w:val="20"/>
        </w:rPr>
        <w:t>cf.</w:t>
      </w:r>
      <w:r>
        <w:rPr>
          <w:spacing w:val="11"/>
          <w:sz w:val="20"/>
        </w:rPr>
        <w:t> </w:t>
      </w:r>
      <w:r>
        <w:rPr>
          <w:rFonts w:ascii="Arial"/>
          <w:i/>
          <w:sz w:val="20"/>
        </w:rPr>
        <w:t>Holland</w:t>
      </w:r>
      <w:r>
        <w:rPr>
          <w:rFonts w:ascii="Arial"/>
          <w:i/>
          <w:spacing w:val="10"/>
          <w:sz w:val="20"/>
        </w:rPr>
        <w:t> </w:t>
      </w:r>
      <w:r>
        <w:rPr>
          <w:rFonts w:ascii="Arial"/>
          <w:i/>
          <w:sz w:val="20"/>
        </w:rPr>
        <w:t>v</w:t>
      </w:r>
      <w:r>
        <w:rPr>
          <w:rFonts w:ascii="Arial"/>
          <w:i/>
          <w:spacing w:val="11"/>
          <w:sz w:val="20"/>
        </w:rPr>
        <w:t> </w:t>
      </w:r>
      <w:r>
        <w:rPr>
          <w:rFonts w:ascii="Arial"/>
          <w:i/>
          <w:sz w:val="20"/>
        </w:rPr>
        <w:t>Eyre</w:t>
      </w:r>
      <w:r>
        <w:rPr>
          <w:rFonts w:ascii="Arial"/>
          <w:i/>
          <w:spacing w:val="11"/>
          <w:sz w:val="20"/>
        </w:rPr>
        <w:t> </w:t>
      </w:r>
      <w:r>
        <w:rPr>
          <w:rFonts w:ascii="Arial"/>
          <w:i/>
          <w:sz w:val="20"/>
        </w:rPr>
        <w:t>(1825)</w:t>
      </w:r>
      <w:r>
        <w:rPr>
          <w:rFonts w:ascii="Arial"/>
          <w:i/>
          <w:spacing w:val="11"/>
          <w:sz w:val="20"/>
        </w:rPr>
        <w:t> </w:t>
      </w:r>
      <w:r>
        <w:rPr>
          <w:rFonts w:ascii="Arial"/>
          <w:i/>
          <w:sz w:val="20"/>
        </w:rPr>
        <w:t>2</w:t>
      </w:r>
      <w:r>
        <w:rPr>
          <w:rFonts w:ascii="Arial"/>
          <w:i/>
          <w:spacing w:val="11"/>
          <w:sz w:val="20"/>
        </w:rPr>
        <w:t> </w:t>
      </w:r>
      <w:r>
        <w:rPr>
          <w:rFonts w:ascii="Arial"/>
          <w:i/>
          <w:sz w:val="20"/>
        </w:rPr>
        <w:t>Sim.</w:t>
      </w:r>
      <w:r>
        <w:rPr>
          <w:rFonts w:ascii="Arial"/>
          <w:i/>
          <w:spacing w:val="11"/>
          <w:sz w:val="20"/>
        </w:rPr>
        <w:t> </w:t>
      </w:r>
      <w:r>
        <w:rPr>
          <w:rFonts w:ascii="Arial"/>
          <w:i/>
          <w:sz w:val="20"/>
        </w:rPr>
        <w:t>&amp;</w:t>
      </w:r>
      <w:r>
        <w:rPr>
          <w:rFonts w:ascii="Arial"/>
          <w:i/>
          <w:spacing w:val="11"/>
          <w:sz w:val="20"/>
        </w:rPr>
        <w:t> </w:t>
      </w:r>
      <w:r>
        <w:rPr>
          <w:rFonts w:ascii="Arial"/>
          <w:i/>
          <w:sz w:val="20"/>
        </w:rPr>
        <w:t>St.</w:t>
      </w:r>
      <w:r>
        <w:rPr>
          <w:rFonts w:ascii="Arial"/>
          <w:i/>
          <w:spacing w:val="11"/>
          <w:sz w:val="20"/>
        </w:rPr>
        <w:t> </w:t>
      </w:r>
      <w:r>
        <w:rPr>
          <w:rFonts w:ascii="Arial"/>
          <w:i/>
          <w:sz w:val="20"/>
        </w:rPr>
        <w:t>194</w:t>
      </w:r>
      <w:r>
        <w:rPr>
          <w:sz w:val="20"/>
        </w:rPr>
        <w:t>;</w:t>
      </w:r>
      <w:r>
        <w:rPr>
          <w:spacing w:val="11"/>
          <w:sz w:val="20"/>
        </w:rPr>
        <w:t> </w:t>
      </w:r>
      <w:r>
        <w:rPr>
          <w:rFonts w:ascii="Arial"/>
          <w:i/>
          <w:sz w:val="20"/>
        </w:rPr>
        <w:t>Jordan</w:t>
      </w:r>
      <w:r>
        <w:rPr>
          <w:rFonts w:ascii="Arial"/>
          <w:i/>
          <w:spacing w:val="11"/>
          <w:sz w:val="20"/>
        </w:rPr>
        <w:t> </w:t>
      </w:r>
      <w:r>
        <w:rPr>
          <w:rFonts w:ascii="Arial"/>
          <w:i/>
          <w:spacing w:val="-10"/>
          <w:sz w:val="20"/>
        </w:rPr>
        <w:t>v</w:t>
      </w:r>
    </w:p>
    <w:p>
      <w:pPr>
        <w:spacing w:line="227" w:lineRule="exact" w:before="0"/>
        <w:ind w:left="705" w:right="0" w:firstLine="0"/>
        <w:jc w:val="left"/>
        <w:rPr>
          <w:sz w:val="20"/>
        </w:rPr>
      </w:pPr>
      <w:r>
        <w:rPr>
          <w:rFonts w:ascii="Arial"/>
          <w:i/>
          <w:sz w:val="20"/>
        </w:rPr>
        <w:t>Norton</w:t>
      </w:r>
      <w:r>
        <w:rPr>
          <w:rFonts w:ascii="Arial"/>
          <w:i/>
          <w:spacing w:val="-1"/>
          <w:sz w:val="20"/>
        </w:rPr>
        <w:t> </w:t>
      </w:r>
      <w:r>
        <w:rPr>
          <w:rFonts w:ascii="Arial"/>
          <w:i/>
          <w:sz w:val="20"/>
        </w:rPr>
        <w:t>(1838) 4 M. &amp; W. 155</w:t>
      </w:r>
      <w:r>
        <w:rPr>
          <w:sz w:val="20"/>
        </w:rPr>
        <w:t>; </w:t>
      </w:r>
      <w:r>
        <w:rPr>
          <w:rFonts w:ascii="Arial"/>
          <w:i/>
          <w:sz w:val="20"/>
        </w:rPr>
        <w:t>Harrison v Battye [1975] 1 W.L.R. </w:t>
      </w:r>
      <w:r>
        <w:rPr>
          <w:rFonts w:ascii="Arial"/>
          <w:i/>
          <w:spacing w:val="-5"/>
          <w:sz w:val="20"/>
        </w:rPr>
        <w:t>58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385" w:id="387"/>
      <w:bookmarkEnd w:id="387"/>
      <w:r>
        <w:rPr/>
      </w:r>
      <w:hyperlink w:history="true" w:anchor="_bookmark295">
        <w:r>
          <w:rPr>
            <w:color w:val="005DA1"/>
            <w:spacing w:val="-4"/>
            <w:position w:val="5"/>
            <w:sz w:val="14"/>
            <w:u w:val="single" w:color="005DA1"/>
          </w:rPr>
          <w:t>171</w:t>
        </w:r>
      </w:hyperlink>
      <w:r>
        <w:rPr>
          <w:spacing w:val="-4"/>
          <w:position w:val="5"/>
          <w:sz w:val="14"/>
        </w:rPr>
        <w:t>.</w:t>
      </w:r>
      <w:r>
        <w:rPr>
          <w:position w:val="5"/>
          <w:sz w:val="14"/>
        </w:rPr>
        <w:tab/>
      </w:r>
      <w:r>
        <w:rPr>
          <w:rFonts w:ascii="Arial"/>
          <w:i/>
          <w:sz w:val="20"/>
        </w:rPr>
        <w:t>North</w:t>
      </w:r>
      <w:r>
        <w:rPr>
          <w:rFonts w:ascii="Arial"/>
          <w:i/>
          <w:spacing w:val="-2"/>
          <w:sz w:val="20"/>
        </w:rPr>
        <w:t> </w:t>
      </w:r>
      <w:r>
        <w:rPr>
          <w:rFonts w:ascii="Arial"/>
          <w:i/>
          <w:sz w:val="20"/>
        </w:rPr>
        <w:t>West Leicestershire DC v East Midlands Housing Association [1981] 1 W.L.R. </w:t>
      </w:r>
      <w:r>
        <w:rPr>
          <w:rFonts w:ascii="Arial"/>
          <w:i/>
          <w:spacing w:val="-2"/>
          <w:sz w:val="20"/>
        </w:rPr>
        <w:t>1396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386" w:id="388"/>
      <w:bookmarkEnd w:id="388"/>
      <w:r>
        <w:rPr/>
      </w:r>
      <w:hyperlink w:history="true" w:anchor="_bookmark296">
        <w:r>
          <w:rPr>
            <w:color w:val="005DA1"/>
            <w:spacing w:val="-4"/>
            <w:position w:val="5"/>
            <w:sz w:val="14"/>
            <w:u w:val="single" w:color="005DA1"/>
          </w:rPr>
          <w:t>172</w:t>
        </w:r>
      </w:hyperlink>
      <w:r>
        <w:rPr>
          <w:spacing w:val="-4"/>
          <w:position w:val="5"/>
          <w:sz w:val="14"/>
        </w:rPr>
        <w:t>.</w:t>
      </w:r>
      <w:r>
        <w:rPr>
          <w:position w:val="5"/>
          <w:sz w:val="14"/>
        </w:rPr>
        <w:tab/>
      </w:r>
      <w:r>
        <w:rPr>
          <w:rFonts w:ascii="Arial"/>
          <w:i/>
          <w:sz w:val="20"/>
        </w:rPr>
        <w:t>Butler Machine Tool Co Ltd v Ex-Cell-O Corp (England) Ltd [1979] 1 W.L.R. </w:t>
      </w:r>
      <w:r>
        <w:rPr>
          <w:rFonts w:ascii="Arial"/>
          <w:i/>
          <w:spacing w:val="-4"/>
          <w:sz w:val="20"/>
        </w:rPr>
        <w:t>401</w:t>
      </w:r>
      <w:r>
        <w:rPr>
          <w:spacing w:val="-4"/>
          <w:sz w:val="20"/>
        </w:rPr>
        <w:t>.</w:t>
      </w:r>
    </w:p>
    <w:p>
      <w:pPr>
        <w:pStyle w:val="BodyText"/>
        <w:spacing w:before="9"/>
      </w:pPr>
    </w:p>
    <w:p>
      <w:pPr>
        <w:spacing w:line="235" w:lineRule="auto" w:before="0"/>
        <w:ind w:left="705" w:right="168" w:hanging="541"/>
        <w:jc w:val="both"/>
        <w:rPr>
          <w:sz w:val="20"/>
        </w:rPr>
      </w:pPr>
      <w:bookmarkStart w:name="_bookmark387" w:id="389"/>
      <w:bookmarkEnd w:id="389"/>
      <w:r>
        <w:rPr/>
      </w:r>
      <w:hyperlink w:history="true" w:anchor="_bookmark297">
        <w:r>
          <w:rPr>
            <w:color w:val="005DA1"/>
            <w:position w:val="5"/>
            <w:sz w:val="14"/>
            <w:u w:val="single" w:color="005DA1"/>
          </w:rPr>
          <w:t>173</w:t>
        </w:r>
      </w:hyperlink>
      <w:r>
        <w:rPr>
          <w:position w:val="5"/>
          <w:sz w:val="14"/>
        </w:rPr>
        <w:t>.</w:t>
      </w:r>
      <w:r>
        <w:rPr>
          <w:spacing w:val="80"/>
          <w:w w:val="150"/>
          <w:position w:val="5"/>
          <w:sz w:val="14"/>
        </w:rPr>
        <w:t> </w:t>
      </w:r>
      <w:r>
        <w:rPr>
          <w:rFonts w:ascii="Arial"/>
          <w:i/>
          <w:sz w:val="20"/>
        </w:rPr>
        <w:t>Butler Machine Tool Co Ltd v Ex-Cell-O Corp (England) Ltd [1979] 1 W.L.R. 401</w:t>
      </w:r>
      <w:r>
        <w:rPr>
          <w:sz w:val="20"/>
        </w:rPr>
        <w:t>; </w:t>
      </w:r>
      <w:r>
        <w:rPr>
          <w:rFonts w:ascii="Arial"/>
          <w:i/>
          <w:sz w:val="20"/>
        </w:rPr>
        <w:t>North West Leicestershire DC v East Midlands Housing Association [1981] 1 W.L.R. 1396</w:t>
      </w:r>
      <w:r>
        <w:rPr>
          <w:sz w:val="20"/>
        </w:rPr>
        <w:t>; cf. </w:t>
      </w:r>
      <w:r>
        <w:rPr>
          <w:rFonts w:ascii="Arial"/>
          <w:i/>
          <w:sz w:val="20"/>
        </w:rPr>
        <w:t>Brinkibon Ltd v Stahag Stahl und Stahlwarenhandelsgesellschaft mbH [1983] 2 A.C. 34</w:t>
      </w:r>
      <w:r>
        <w:rPr>
          <w:sz w:val="20"/>
        </w:rPr>
        <w:t>.</w:t>
      </w:r>
    </w:p>
    <w:p>
      <w:pPr>
        <w:pStyle w:val="BodyText"/>
        <w:spacing w:before="5"/>
      </w:pPr>
    </w:p>
    <w:p>
      <w:pPr>
        <w:tabs>
          <w:tab w:pos="705" w:val="left" w:leader="none"/>
        </w:tabs>
        <w:spacing w:before="0"/>
        <w:ind w:left="165" w:right="0" w:firstLine="0"/>
        <w:jc w:val="left"/>
        <w:rPr>
          <w:rFonts w:ascii="Arial"/>
          <w:i/>
          <w:sz w:val="20"/>
        </w:rPr>
      </w:pPr>
      <w:bookmarkStart w:name="_bookmark388" w:id="390"/>
      <w:bookmarkEnd w:id="390"/>
      <w:r>
        <w:rPr/>
      </w:r>
      <w:hyperlink w:history="true" w:anchor="_bookmark297">
        <w:r>
          <w:rPr>
            <w:color w:val="005DA1"/>
            <w:spacing w:val="-4"/>
            <w:position w:val="5"/>
            <w:sz w:val="14"/>
            <w:u w:val="single" w:color="005DA1"/>
          </w:rPr>
          <w:t>174</w:t>
        </w:r>
      </w:hyperlink>
      <w:r>
        <w:rPr>
          <w:spacing w:val="-4"/>
          <w:position w:val="5"/>
          <w:sz w:val="14"/>
        </w:rPr>
        <w:t>.</w:t>
      </w:r>
      <w:r>
        <w:rPr>
          <w:position w:val="5"/>
          <w:sz w:val="14"/>
        </w:rPr>
        <w:tab/>
      </w:r>
      <w:r>
        <w:rPr>
          <w:rFonts w:ascii="Arial"/>
          <w:i/>
          <w:sz w:val="20"/>
        </w:rPr>
        <w:t>Jackson</w:t>
      </w:r>
      <w:r>
        <w:rPr>
          <w:rFonts w:ascii="Arial"/>
          <w:i/>
          <w:spacing w:val="79"/>
          <w:sz w:val="20"/>
        </w:rPr>
        <w:t> </w:t>
      </w:r>
      <w:r>
        <w:rPr>
          <w:rFonts w:ascii="Arial"/>
          <w:i/>
          <w:sz w:val="20"/>
        </w:rPr>
        <w:t>v</w:t>
      </w:r>
      <w:r>
        <w:rPr>
          <w:rFonts w:ascii="Arial"/>
          <w:i/>
          <w:spacing w:val="52"/>
          <w:w w:val="150"/>
          <w:sz w:val="20"/>
        </w:rPr>
        <w:t> </w:t>
      </w:r>
      <w:r>
        <w:rPr>
          <w:rFonts w:ascii="Arial"/>
          <w:i/>
          <w:sz w:val="20"/>
        </w:rPr>
        <w:t>Turquand</w:t>
      </w:r>
      <w:r>
        <w:rPr>
          <w:rFonts w:ascii="Arial"/>
          <w:i/>
          <w:spacing w:val="53"/>
          <w:w w:val="150"/>
          <w:sz w:val="20"/>
        </w:rPr>
        <w:t> </w:t>
      </w:r>
      <w:r>
        <w:rPr>
          <w:rFonts w:ascii="Arial"/>
          <w:i/>
          <w:sz w:val="20"/>
        </w:rPr>
        <w:t>(1869)</w:t>
      </w:r>
      <w:r>
        <w:rPr>
          <w:rFonts w:ascii="Arial"/>
          <w:i/>
          <w:spacing w:val="79"/>
          <w:sz w:val="20"/>
        </w:rPr>
        <w:t> </w:t>
      </w:r>
      <w:r>
        <w:rPr>
          <w:rFonts w:ascii="Arial"/>
          <w:i/>
          <w:sz w:val="20"/>
        </w:rPr>
        <w:t>L.R.</w:t>
      </w:r>
      <w:r>
        <w:rPr>
          <w:rFonts w:ascii="Arial"/>
          <w:i/>
          <w:spacing w:val="52"/>
          <w:w w:val="150"/>
          <w:sz w:val="20"/>
        </w:rPr>
        <w:t> </w:t>
      </w:r>
      <w:r>
        <w:rPr>
          <w:rFonts w:ascii="Arial"/>
          <w:i/>
          <w:sz w:val="20"/>
        </w:rPr>
        <w:t>4</w:t>
      </w:r>
      <w:r>
        <w:rPr>
          <w:rFonts w:ascii="Arial"/>
          <w:i/>
          <w:spacing w:val="53"/>
          <w:w w:val="150"/>
          <w:sz w:val="20"/>
        </w:rPr>
        <w:t> </w:t>
      </w:r>
      <w:r>
        <w:rPr>
          <w:rFonts w:ascii="Arial"/>
          <w:i/>
          <w:sz w:val="20"/>
        </w:rPr>
        <w:t>H.L.</w:t>
      </w:r>
      <w:r>
        <w:rPr>
          <w:rFonts w:ascii="Arial"/>
          <w:i/>
          <w:spacing w:val="79"/>
          <w:sz w:val="20"/>
        </w:rPr>
        <w:t> </w:t>
      </w:r>
      <w:r>
        <w:rPr>
          <w:rFonts w:ascii="Arial"/>
          <w:i/>
          <w:sz w:val="20"/>
        </w:rPr>
        <w:t>305</w:t>
      </w:r>
      <w:r>
        <w:rPr>
          <w:sz w:val="20"/>
        </w:rPr>
        <w:t>;</w:t>
      </w:r>
      <w:r>
        <w:rPr>
          <w:spacing w:val="53"/>
          <w:w w:val="150"/>
          <w:sz w:val="20"/>
        </w:rPr>
        <w:t> </w:t>
      </w:r>
      <w:r>
        <w:rPr>
          <w:rFonts w:ascii="Arial"/>
          <w:i/>
          <w:sz w:val="20"/>
        </w:rPr>
        <w:t>Jones</w:t>
      </w:r>
      <w:r>
        <w:rPr>
          <w:rFonts w:ascii="Arial"/>
          <w:i/>
          <w:spacing w:val="79"/>
          <w:sz w:val="20"/>
        </w:rPr>
        <w:t> </w:t>
      </w:r>
      <w:r>
        <w:rPr>
          <w:rFonts w:ascii="Arial"/>
          <w:i/>
          <w:sz w:val="20"/>
        </w:rPr>
        <w:t>v</w:t>
      </w:r>
      <w:r>
        <w:rPr>
          <w:rFonts w:ascii="Arial"/>
          <w:i/>
          <w:spacing w:val="52"/>
          <w:w w:val="150"/>
          <w:sz w:val="20"/>
        </w:rPr>
        <w:t> </w:t>
      </w:r>
      <w:r>
        <w:rPr>
          <w:rFonts w:ascii="Arial"/>
          <w:i/>
          <w:sz w:val="20"/>
        </w:rPr>
        <w:t>Daniel</w:t>
      </w:r>
      <w:r>
        <w:rPr>
          <w:rFonts w:ascii="Arial"/>
          <w:i/>
          <w:spacing w:val="53"/>
          <w:w w:val="150"/>
          <w:sz w:val="20"/>
        </w:rPr>
        <w:t> </w:t>
      </w:r>
      <w:r>
        <w:rPr>
          <w:rFonts w:ascii="Arial"/>
          <w:i/>
          <w:sz w:val="20"/>
        </w:rPr>
        <w:t>[1894]</w:t>
      </w:r>
      <w:r>
        <w:rPr>
          <w:rFonts w:ascii="Arial"/>
          <w:i/>
          <w:spacing w:val="79"/>
          <w:sz w:val="20"/>
        </w:rPr>
        <w:t> </w:t>
      </w:r>
      <w:r>
        <w:rPr>
          <w:rFonts w:ascii="Arial"/>
          <w:i/>
          <w:sz w:val="20"/>
        </w:rPr>
        <w:t>2</w:t>
      </w:r>
      <w:r>
        <w:rPr>
          <w:rFonts w:ascii="Arial"/>
          <w:i/>
          <w:spacing w:val="53"/>
          <w:w w:val="150"/>
          <w:sz w:val="20"/>
        </w:rPr>
        <w:t> </w:t>
      </w:r>
      <w:r>
        <w:rPr>
          <w:rFonts w:ascii="Arial"/>
          <w:i/>
          <w:sz w:val="20"/>
        </w:rPr>
        <w:t>Ch.</w:t>
      </w:r>
      <w:r>
        <w:rPr>
          <w:rFonts w:ascii="Arial"/>
          <w:i/>
          <w:spacing w:val="79"/>
          <w:sz w:val="20"/>
        </w:rPr>
        <w:t> </w:t>
      </w:r>
      <w:r>
        <w:rPr>
          <w:rFonts w:ascii="Arial"/>
          <w:i/>
          <w:sz w:val="20"/>
        </w:rPr>
        <w:t>332</w:t>
      </w:r>
      <w:r>
        <w:rPr>
          <w:sz w:val="20"/>
        </w:rPr>
        <w:t>;</w:t>
      </w:r>
      <w:r>
        <w:rPr>
          <w:spacing w:val="52"/>
          <w:w w:val="150"/>
          <w:sz w:val="20"/>
        </w:rPr>
        <w:t> </w:t>
      </w:r>
      <w:r>
        <w:rPr>
          <w:rFonts w:ascii="Arial"/>
          <w:i/>
          <w:spacing w:val="-5"/>
          <w:sz w:val="20"/>
        </w:rPr>
        <w:t>Von</w:t>
      </w:r>
    </w:p>
    <w:p>
      <w:pPr>
        <w:spacing w:after="0"/>
        <w:jc w:val="left"/>
        <w:rPr>
          <w:rFonts w:ascii="Arial"/>
          <w:i/>
          <w:sz w:val="20"/>
        </w:rPr>
        <w:sectPr>
          <w:type w:val="continuous"/>
          <w:pgSz w:w="11900" w:h="16840"/>
          <w:pgMar w:header="971" w:footer="0" w:top="1300" w:bottom="280" w:left="1275" w:right="1275"/>
        </w:sectPr>
      </w:pPr>
    </w:p>
    <w:p>
      <w:pPr>
        <w:spacing w:line="235" w:lineRule="auto" w:before="110"/>
        <w:ind w:left="705" w:right="168" w:firstLine="0"/>
        <w:jc w:val="both"/>
        <w:rPr>
          <w:rFonts w:ascii="Arial" w:hAnsi="Arial"/>
          <w:i/>
          <w:sz w:val="20"/>
        </w:rPr>
      </w:pPr>
      <w:r>
        <w:rPr>
          <w:rFonts w:ascii="Arial" w:hAnsi="Arial"/>
          <w:i/>
          <w:sz w:val="20"/>
        </w:rPr>
        <w:t>Hatzfeldt-Wildenburg v Alexander [1912] 1 Ch. 284</w:t>
      </w:r>
      <w:r>
        <w:rPr>
          <w:sz w:val="20"/>
        </w:rPr>
        <w:t>; </w:t>
      </w:r>
      <w:r>
        <w:rPr>
          <w:rFonts w:ascii="Arial" w:hAnsi="Arial"/>
          <w:i/>
          <w:sz w:val="20"/>
        </w:rPr>
        <w:t>Love &amp; Stewart Ltd v S. Instone &amp; Co </w:t>
      </w:r>
      <w:r>
        <w:rPr>
          <w:rFonts w:ascii="Arial" w:hAnsi="Arial"/>
          <w:i/>
          <w:sz w:val="20"/>
        </w:rPr>
        <w:t>Ltd (1917) 33 T.L.R. 475</w:t>
      </w:r>
      <w:r>
        <w:rPr>
          <w:sz w:val="20"/>
        </w:rPr>
        <w:t>; </w:t>
      </w:r>
      <w:r>
        <w:rPr>
          <w:rFonts w:ascii="Arial" w:hAnsi="Arial"/>
          <w:i/>
          <w:sz w:val="20"/>
        </w:rPr>
        <w:t>Northland Airliners v Dennis Ferranti Meters Ltd (1970) 114 S.J. 845</w:t>
      </w:r>
      <w:r>
        <w:rPr>
          <w:sz w:val="20"/>
        </w:rPr>
        <w:t>;</w:t>
      </w:r>
      <w:r>
        <w:rPr>
          <w:spacing w:val="40"/>
          <w:sz w:val="20"/>
        </w:rPr>
        <w:t> </w:t>
      </w:r>
      <w:r>
        <w:rPr>
          <w:rFonts w:ascii="Arial" w:hAnsi="Arial"/>
          <w:i/>
          <w:sz w:val="20"/>
        </w:rPr>
        <w:t>Lark v Outhwaite [1991] 2 Lloyd’s Rep. 132, 139</w:t>
      </w:r>
      <w:r>
        <w:rPr>
          <w:sz w:val="20"/>
        </w:rPr>
        <w:t>; </w:t>
      </w:r>
      <w:r>
        <w:rPr>
          <w:rFonts w:ascii="Arial" w:hAnsi="Arial"/>
          <w:i/>
          <w:sz w:val="20"/>
        </w:rPr>
        <w:t>Bircham &amp; Co Nominees (No.2) v Worrell Holdings Ltd [2001] EWCA Civ 775, (2001) 82 P. &amp; C.R. 427 </w:t>
      </w:r>
      <w:r>
        <w:rPr>
          <w:sz w:val="20"/>
        </w:rPr>
        <w:t>at [11], </w:t>
      </w:r>
      <w:r>
        <w:rPr>
          <w:rFonts w:ascii="Arial" w:hAnsi="Arial"/>
          <w:i/>
          <w:sz w:val="20"/>
        </w:rPr>
        <w:t>Beazley Underwriting Ltd </w:t>
      </w:r>
      <w:r>
        <w:rPr>
          <w:rFonts w:ascii="Arial" w:hAnsi="Arial"/>
          <w:i/>
          <w:spacing w:val="-10"/>
          <w:sz w:val="20"/>
        </w:rPr>
        <w:t>v</w:t>
      </w:r>
    </w:p>
    <w:p>
      <w:pPr>
        <w:spacing w:line="225" w:lineRule="exact" w:before="0"/>
        <w:ind w:left="705" w:right="0" w:firstLine="0"/>
        <w:jc w:val="both"/>
        <w:rPr>
          <w:sz w:val="20"/>
        </w:rPr>
      </w:pPr>
      <w:r>
        <w:rPr>
          <w:rFonts w:ascii="Arial"/>
          <w:i/>
          <w:sz w:val="20"/>
        </w:rPr>
        <w:t>Travellers Companies Inc [2011] EWHC 1520 (Comm), [2012] 1 All E.R. (Comm) 1241</w:t>
      </w:r>
      <w:r>
        <w:rPr>
          <w:rFonts w:ascii="Arial"/>
          <w:i/>
          <w:spacing w:val="-1"/>
          <w:sz w:val="20"/>
        </w:rPr>
        <w:t> </w:t>
      </w:r>
      <w:r>
        <w:rPr>
          <w:sz w:val="20"/>
        </w:rPr>
        <w:t>at </w:t>
      </w:r>
      <w:r>
        <w:rPr>
          <w:spacing w:val="-2"/>
          <w:sz w:val="20"/>
        </w:rPr>
        <w:t>[73].</w:t>
      </w:r>
    </w:p>
    <w:p>
      <w:pPr>
        <w:pStyle w:val="BodyText"/>
        <w:spacing w:before="9"/>
      </w:pPr>
    </w:p>
    <w:p>
      <w:pPr>
        <w:spacing w:line="235" w:lineRule="auto" w:before="0"/>
        <w:ind w:left="705" w:right="167" w:hanging="541"/>
        <w:jc w:val="both"/>
        <w:rPr>
          <w:sz w:val="20"/>
        </w:rPr>
      </w:pPr>
      <w:bookmarkStart w:name="_bookmark389" w:id="391"/>
      <w:bookmarkEnd w:id="391"/>
      <w:r>
        <w:rPr/>
      </w:r>
      <w:hyperlink w:history="true" w:anchor="_bookmark298">
        <w:r>
          <w:rPr>
            <w:color w:val="005DA1"/>
            <w:position w:val="5"/>
            <w:sz w:val="14"/>
            <w:u w:val="single" w:color="005DA1"/>
          </w:rPr>
          <w:t>175</w:t>
        </w:r>
      </w:hyperlink>
      <w:r>
        <w:rPr>
          <w:position w:val="5"/>
          <w:sz w:val="14"/>
        </w:rPr>
        <w:t>.</w:t>
      </w:r>
      <w:r>
        <w:rPr>
          <w:spacing w:val="80"/>
          <w:w w:val="150"/>
          <w:position w:val="5"/>
          <w:sz w:val="14"/>
        </w:rPr>
        <w:t> </w:t>
      </w:r>
      <w:r>
        <w:rPr>
          <w:sz w:val="20"/>
        </w:rPr>
        <w:t>Below, para.2-097; </w:t>
      </w:r>
      <w:r>
        <w:rPr>
          <w:rFonts w:ascii="Arial"/>
          <w:i/>
          <w:sz w:val="20"/>
        </w:rPr>
        <w:t>Guernsey v Jacobs UK Ltd [2011] EWHC 918 (TCC), [2011] 2 All E.R. (Comm) 175 </w:t>
      </w:r>
      <w:r>
        <w:rPr>
          <w:sz w:val="20"/>
        </w:rPr>
        <w:t>at [45] and see </w:t>
      </w:r>
      <w:r>
        <w:rPr>
          <w:rFonts w:ascii="Arial"/>
          <w:i/>
          <w:sz w:val="20"/>
        </w:rPr>
        <w:t>Bonner Properties Ltd v McGurran Construction Ltd [2009] </w:t>
      </w:r>
      <w:r>
        <w:rPr>
          <w:rFonts w:ascii="Arial"/>
          <w:i/>
          <w:sz w:val="20"/>
        </w:rPr>
        <w:t>NICA 49,</w:t>
      </w:r>
      <w:r>
        <w:rPr>
          <w:rFonts w:ascii="Arial"/>
          <w:i/>
          <w:spacing w:val="40"/>
          <w:sz w:val="20"/>
        </w:rPr>
        <w:t> </w:t>
      </w:r>
      <w:r>
        <w:rPr>
          <w:rFonts w:ascii="Arial"/>
          <w:i/>
          <w:sz w:val="20"/>
        </w:rPr>
        <w:t>[2010]</w:t>
      </w:r>
      <w:r>
        <w:rPr>
          <w:rFonts w:ascii="Arial"/>
          <w:i/>
          <w:spacing w:val="40"/>
          <w:sz w:val="20"/>
        </w:rPr>
        <w:t> </w:t>
      </w:r>
      <w:r>
        <w:rPr>
          <w:rFonts w:ascii="Arial"/>
          <w:i/>
          <w:sz w:val="20"/>
        </w:rPr>
        <w:t>N.I.</w:t>
      </w:r>
      <w:r>
        <w:rPr>
          <w:rFonts w:ascii="Arial"/>
          <w:i/>
          <w:spacing w:val="40"/>
          <w:sz w:val="20"/>
        </w:rPr>
        <w:t> </w:t>
      </w:r>
      <w:r>
        <w:rPr>
          <w:rFonts w:ascii="Arial"/>
          <w:i/>
          <w:sz w:val="20"/>
        </w:rPr>
        <w:t>97</w:t>
      </w:r>
      <w:r>
        <w:rPr>
          <w:sz w:val="20"/>
        </w:rPr>
        <w:t>,</w:t>
      </w:r>
      <w:r>
        <w:rPr>
          <w:spacing w:val="40"/>
          <w:sz w:val="20"/>
        </w:rPr>
        <w:t> </w:t>
      </w:r>
      <w:r>
        <w:rPr>
          <w:sz w:val="20"/>
        </w:rPr>
        <w:t>where,</w:t>
      </w:r>
      <w:r>
        <w:rPr>
          <w:spacing w:val="40"/>
          <w:sz w:val="20"/>
        </w:rPr>
        <w:t> </w:t>
      </w:r>
      <w:r>
        <w:rPr>
          <w:sz w:val="20"/>
        </w:rPr>
        <w:t>to</w:t>
      </w:r>
      <w:r>
        <w:rPr>
          <w:spacing w:val="40"/>
          <w:sz w:val="20"/>
        </w:rPr>
        <w:t> </w:t>
      </w:r>
      <w:r>
        <w:rPr>
          <w:sz w:val="20"/>
        </w:rPr>
        <w:t>the</w:t>
      </w:r>
      <w:r>
        <w:rPr>
          <w:spacing w:val="40"/>
          <w:sz w:val="20"/>
        </w:rPr>
        <w:t> </w:t>
      </w:r>
      <w:r>
        <w:rPr>
          <w:sz w:val="20"/>
        </w:rPr>
        <w:t>extent</w:t>
      </w:r>
      <w:r>
        <w:rPr>
          <w:spacing w:val="40"/>
          <w:sz w:val="20"/>
        </w:rPr>
        <w:t> </w:t>
      </w:r>
      <w:r>
        <w:rPr>
          <w:sz w:val="20"/>
        </w:rPr>
        <w:t>that</w:t>
      </w:r>
      <w:r>
        <w:rPr>
          <w:spacing w:val="40"/>
          <w:sz w:val="20"/>
        </w:rPr>
        <w:t> </w:t>
      </w:r>
      <w:r>
        <w:rPr>
          <w:sz w:val="20"/>
        </w:rPr>
        <w:t>the</w:t>
      </w:r>
      <w:r>
        <w:rPr>
          <w:spacing w:val="40"/>
          <w:sz w:val="20"/>
        </w:rPr>
        <w:t> </w:t>
      </w:r>
      <w:r>
        <w:rPr>
          <w:sz w:val="20"/>
        </w:rPr>
        <w:t>relevant</w:t>
      </w:r>
      <w:r>
        <w:rPr>
          <w:spacing w:val="40"/>
          <w:sz w:val="20"/>
        </w:rPr>
        <w:t> </w:t>
      </w:r>
      <w:r>
        <w:rPr>
          <w:sz w:val="20"/>
        </w:rPr>
        <w:t>communication</w:t>
      </w:r>
      <w:r>
        <w:rPr>
          <w:spacing w:val="40"/>
          <w:sz w:val="20"/>
        </w:rPr>
        <w:t> </w:t>
      </w:r>
      <w:r>
        <w:rPr>
          <w:sz w:val="20"/>
        </w:rPr>
        <w:t>amounted</w:t>
      </w:r>
      <w:r>
        <w:rPr>
          <w:spacing w:val="40"/>
          <w:sz w:val="20"/>
        </w:rPr>
        <w:t> </w:t>
      </w:r>
      <w:r>
        <w:rPr>
          <w:sz w:val="20"/>
        </w:rPr>
        <w:t>to</w:t>
      </w:r>
      <w:r>
        <w:rPr>
          <w:spacing w:val="40"/>
          <w:sz w:val="20"/>
        </w:rPr>
        <w:t> </w:t>
      </w:r>
      <w:r>
        <w:rPr>
          <w:sz w:val="20"/>
        </w:rPr>
        <w:t>a counter-offer, that counter-offer had, in turn, been rejected: see below, para.2-097. </w:t>
      </w:r>
      <w:r>
        <w:rPr>
          <w:rFonts w:ascii="Arial"/>
          <w:i/>
          <w:sz w:val="20"/>
        </w:rPr>
        <w:t>Beazley Underwriting Ltd v Travellers Companies Inc [2011] EWHC 1520 (Comm), [2012] 1 All E.R. (Comm) 1241 </w:t>
      </w:r>
      <w:r>
        <w:rPr>
          <w:sz w:val="20"/>
        </w:rPr>
        <w:t>at [184].</w:t>
      </w:r>
    </w:p>
    <w:p>
      <w:pPr>
        <w:pStyle w:val="BodyText"/>
        <w:spacing w:before="8"/>
      </w:pPr>
    </w:p>
    <w:p>
      <w:pPr>
        <w:spacing w:line="235" w:lineRule="auto" w:before="0"/>
        <w:ind w:left="705" w:right="167" w:hanging="541"/>
        <w:jc w:val="both"/>
        <w:rPr>
          <w:sz w:val="20"/>
        </w:rPr>
      </w:pPr>
      <w:bookmarkStart w:name="_bookmark390" w:id="392"/>
      <w:bookmarkEnd w:id="392"/>
      <w:r>
        <w:rPr/>
      </w:r>
      <w:hyperlink w:history="true" w:anchor="_bookmark299">
        <w:r>
          <w:rPr>
            <w:color w:val="005DA1"/>
            <w:position w:val="5"/>
            <w:sz w:val="14"/>
            <w:u w:val="single" w:color="005DA1"/>
          </w:rPr>
          <w:t>176</w:t>
        </w:r>
      </w:hyperlink>
      <w:r>
        <w:rPr>
          <w:position w:val="5"/>
          <w:sz w:val="14"/>
        </w:rPr>
        <w:t>.</w:t>
      </w:r>
      <w:r>
        <w:rPr>
          <w:spacing w:val="40"/>
          <w:position w:val="5"/>
          <w:sz w:val="14"/>
        </w:rPr>
        <w:t>  </w:t>
      </w:r>
      <w:r>
        <w:rPr>
          <w:rFonts w:ascii="Arial" w:hAnsi="Arial"/>
          <w:i/>
          <w:sz w:val="20"/>
        </w:rPr>
        <w:t>Clive v Beaumont (1847) 1 De G. &amp; Sm. 397</w:t>
      </w:r>
      <w:r>
        <w:rPr>
          <w:sz w:val="20"/>
        </w:rPr>
        <w:t>; </w:t>
      </w:r>
      <w:r>
        <w:rPr>
          <w:rFonts w:ascii="Arial" w:hAnsi="Arial"/>
          <w:i/>
          <w:sz w:val="20"/>
        </w:rPr>
        <w:t>Simpson v Hughes (1897) 66 L.J.Ch. 334</w:t>
      </w:r>
      <w:r>
        <w:rPr>
          <w:sz w:val="20"/>
        </w:rPr>
        <w:t>; </w:t>
      </w:r>
      <w:r>
        <w:rPr>
          <w:rFonts w:ascii="Arial" w:hAnsi="Arial"/>
          <w:i/>
          <w:sz w:val="20"/>
        </w:rPr>
        <w:t>Butler Machine Tool Co Ltd v Ex-Cell-O Corp (England) Ltd [1979] 1 W.L.R. 401</w:t>
      </w:r>
      <w:r>
        <w:rPr>
          <w:sz w:val="20"/>
        </w:rPr>
        <w:t>; </w:t>
      </w:r>
      <w:r>
        <w:rPr>
          <w:rFonts w:ascii="Arial" w:hAnsi="Arial"/>
          <w:i/>
          <w:sz w:val="20"/>
        </w:rPr>
        <w:t>Midgulf </w:t>
      </w:r>
      <w:r>
        <w:rPr>
          <w:rFonts w:ascii="Arial" w:hAnsi="Arial"/>
          <w:i/>
          <w:sz w:val="20"/>
        </w:rPr>
        <w:t>International Ltd v Groupe Chimiche Tunisien [2010] EWCA Civ 66, [2010] 2 Lloyd’s Rep. 543</w:t>
      </w:r>
      <w:r>
        <w:rPr>
          <w:sz w:val="20"/>
        </w:rPr>
        <w:t>, where the above</w:t>
      </w:r>
      <w:r>
        <w:rPr>
          <w:spacing w:val="-1"/>
          <w:sz w:val="20"/>
        </w:rPr>
        <w:t> </w:t>
      </w:r>
      <w:r>
        <w:rPr>
          <w:sz w:val="20"/>
        </w:rPr>
        <w:t>text</w:t>
      </w:r>
      <w:r>
        <w:rPr>
          <w:spacing w:val="-1"/>
          <w:sz w:val="20"/>
        </w:rPr>
        <w:t> </w:t>
      </w:r>
      <w:r>
        <w:rPr>
          <w:sz w:val="20"/>
        </w:rPr>
        <w:t>(para.2-032</w:t>
      </w:r>
      <w:r>
        <w:rPr>
          <w:spacing w:val="-1"/>
          <w:sz w:val="20"/>
        </w:rPr>
        <w:t> </w:t>
      </w:r>
      <w:r>
        <w:rPr>
          <w:sz w:val="20"/>
        </w:rPr>
        <w:t>at</w:t>
      </w:r>
      <w:r>
        <w:rPr>
          <w:spacing w:val="-1"/>
          <w:sz w:val="20"/>
        </w:rPr>
        <w:t> </w:t>
      </w:r>
      <w:r>
        <w:rPr>
          <w:sz w:val="20"/>
        </w:rPr>
        <w:t>n.153</w:t>
      </w:r>
      <w:r>
        <w:rPr>
          <w:spacing w:val="-1"/>
          <w:sz w:val="20"/>
        </w:rPr>
        <w:t> </w:t>
      </w:r>
      <w:r>
        <w:rPr>
          <w:sz w:val="20"/>
        </w:rPr>
        <w:t>in</w:t>
      </w:r>
      <w:r>
        <w:rPr>
          <w:spacing w:val="-1"/>
          <w:sz w:val="20"/>
        </w:rPr>
        <w:t> </w:t>
      </w:r>
      <w:r>
        <w:rPr>
          <w:sz w:val="20"/>
        </w:rPr>
        <w:t>the</w:t>
      </w:r>
      <w:r>
        <w:rPr>
          <w:spacing w:val="-1"/>
          <w:sz w:val="20"/>
        </w:rPr>
        <w:t> </w:t>
      </w:r>
      <w:r>
        <w:rPr>
          <w:sz w:val="20"/>
        </w:rPr>
        <w:t>30th</w:t>
      </w:r>
      <w:r>
        <w:rPr>
          <w:spacing w:val="-1"/>
          <w:sz w:val="20"/>
        </w:rPr>
        <w:t> </w:t>
      </w:r>
      <w:r>
        <w:rPr>
          <w:sz w:val="20"/>
        </w:rPr>
        <w:t>edition</w:t>
      </w:r>
      <w:r>
        <w:rPr>
          <w:spacing w:val="-1"/>
          <w:sz w:val="20"/>
        </w:rPr>
        <w:t> </w:t>
      </w:r>
      <w:r>
        <w:rPr>
          <w:sz w:val="20"/>
        </w:rPr>
        <w:t>of</w:t>
      </w:r>
      <w:r>
        <w:rPr>
          <w:spacing w:val="-1"/>
          <w:sz w:val="20"/>
        </w:rPr>
        <w:t> </w:t>
      </w:r>
      <w:r>
        <w:rPr>
          <w:sz w:val="20"/>
        </w:rPr>
        <w:t>this</w:t>
      </w:r>
      <w:r>
        <w:rPr>
          <w:spacing w:val="-1"/>
          <w:sz w:val="20"/>
        </w:rPr>
        <w:t> </w:t>
      </w:r>
      <w:r>
        <w:rPr>
          <w:sz w:val="20"/>
        </w:rPr>
        <w:t>book)</w:t>
      </w:r>
      <w:r>
        <w:rPr>
          <w:spacing w:val="-1"/>
          <w:sz w:val="20"/>
        </w:rPr>
        <w:t> </w:t>
      </w:r>
      <w:r>
        <w:rPr>
          <w:sz w:val="20"/>
        </w:rPr>
        <w:t>was</w:t>
      </w:r>
      <w:r>
        <w:rPr>
          <w:spacing w:val="-1"/>
          <w:sz w:val="20"/>
        </w:rPr>
        <w:t> </w:t>
      </w:r>
      <w:r>
        <w:rPr>
          <w:sz w:val="20"/>
        </w:rPr>
        <w:t>cited</w:t>
      </w:r>
      <w:r>
        <w:rPr>
          <w:spacing w:val="-1"/>
          <w:sz w:val="20"/>
        </w:rPr>
        <w:t> </w:t>
      </w:r>
      <w:r>
        <w:rPr>
          <w:sz w:val="20"/>
        </w:rPr>
        <w:t>with</w:t>
      </w:r>
      <w:r>
        <w:rPr>
          <w:spacing w:val="-1"/>
          <w:sz w:val="20"/>
        </w:rPr>
        <w:t> </w:t>
      </w:r>
      <w:r>
        <w:rPr>
          <w:sz w:val="20"/>
        </w:rPr>
        <w:t>approval</w:t>
      </w:r>
      <w:r>
        <w:rPr>
          <w:spacing w:val="-1"/>
          <w:sz w:val="20"/>
        </w:rPr>
        <w:t> </w:t>
      </w:r>
      <w:r>
        <w:rPr>
          <w:sz w:val="20"/>
        </w:rPr>
        <w:t>(at</w:t>
      </w:r>
      <w:r>
        <w:rPr>
          <w:spacing w:val="-1"/>
          <w:sz w:val="20"/>
        </w:rPr>
        <w:t> </w:t>
      </w:r>
      <w:r>
        <w:rPr>
          <w:sz w:val="20"/>
        </w:rPr>
        <w:t>[43]) and a communication was accordingly held to be an acceptance even though there was no precise verbal correspondence between it and the offer.</w:t>
      </w:r>
    </w:p>
    <w:p>
      <w:pPr>
        <w:pStyle w:val="BodyText"/>
        <w:spacing w:before="7"/>
      </w:pPr>
    </w:p>
    <w:p>
      <w:pPr>
        <w:spacing w:line="235" w:lineRule="auto" w:before="0"/>
        <w:ind w:left="705" w:right="167" w:hanging="541"/>
        <w:jc w:val="both"/>
        <w:rPr>
          <w:sz w:val="20"/>
        </w:rPr>
      </w:pPr>
      <w:bookmarkStart w:name="_bookmark391" w:id="393"/>
      <w:bookmarkEnd w:id="393"/>
      <w:r>
        <w:rPr/>
      </w:r>
      <w:hyperlink w:history="true" w:anchor="_bookmark300">
        <w:r>
          <w:rPr>
            <w:color w:val="005DA1"/>
            <w:position w:val="5"/>
            <w:sz w:val="14"/>
            <w:u w:val="single" w:color="005DA1"/>
          </w:rPr>
          <w:t>177</w:t>
        </w:r>
      </w:hyperlink>
      <w:r>
        <w:rPr>
          <w:position w:val="5"/>
          <w:sz w:val="14"/>
        </w:rPr>
        <w:t>.</w:t>
      </w:r>
      <w:r>
        <w:rPr>
          <w:spacing w:val="40"/>
          <w:position w:val="5"/>
          <w:sz w:val="14"/>
        </w:rPr>
        <w:t>  </w:t>
      </w:r>
      <w:r>
        <w:rPr>
          <w:rFonts w:ascii="Arial" w:hAnsi="Arial"/>
          <w:i/>
          <w:sz w:val="20"/>
        </w:rPr>
        <w:t>Lark v Outhwaite [1991] 2 Lloyd’s Rep. 132, 139</w:t>
      </w:r>
      <w:r>
        <w:rPr>
          <w:sz w:val="20"/>
        </w:rPr>
        <w:t>. For another qualification of the requirement </w:t>
      </w:r>
      <w:r>
        <w:rPr>
          <w:sz w:val="20"/>
        </w:rPr>
        <w:t>of exact correspondence between offer and acceptance, see Vienna Convention on Contracts for the International Sale of Goods (below, para.2-061) art.19(2).</w:t>
      </w:r>
    </w:p>
    <w:p>
      <w:pPr>
        <w:pStyle w:val="BodyText"/>
        <w:spacing w:before="5"/>
      </w:pPr>
    </w:p>
    <w:p>
      <w:pPr>
        <w:tabs>
          <w:tab w:pos="705" w:val="left" w:leader="none"/>
        </w:tabs>
        <w:spacing w:before="1"/>
        <w:ind w:left="165" w:right="0" w:firstLine="0"/>
        <w:jc w:val="left"/>
        <w:rPr>
          <w:sz w:val="20"/>
        </w:rPr>
      </w:pPr>
      <w:bookmarkStart w:name="_bookmark392" w:id="394"/>
      <w:bookmarkEnd w:id="394"/>
      <w:r>
        <w:rPr/>
      </w:r>
      <w:hyperlink w:history="true" w:anchor="_bookmark301">
        <w:r>
          <w:rPr>
            <w:color w:val="005DA1"/>
            <w:spacing w:val="-4"/>
            <w:position w:val="5"/>
            <w:sz w:val="14"/>
            <w:u w:val="single" w:color="005DA1"/>
          </w:rPr>
          <w:t>178</w:t>
        </w:r>
      </w:hyperlink>
      <w:r>
        <w:rPr>
          <w:spacing w:val="-4"/>
          <w:position w:val="5"/>
          <w:sz w:val="14"/>
        </w:rPr>
        <w:t>.</w:t>
      </w:r>
      <w:r>
        <w:rPr>
          <w:position w:val="5"/>
          <w:sz w:val="14"/>
        </w:rPr>
        <w:tab/>
      </w:r>
      <w:r>
        <w:rPr>
          <w:rFonts w:ascii="Arial" w:hAnsi="Arial"/>
          <w:i/>
          <w:sz w:val="20"/>
        </w:rPr>
        <w:t>Harris’s Case (1872) L.R. 7 Ch. App. </w:t>
      </w:r>
      <w:r>
        <w:rPr>
          <w:rFonts w:ascii="Arial" w:hAnsi="Arial"/>
          <w:i/>
          <w:spacing w:val="-4"/>
          <w:sz w:val="20"/>
        </w:rPr>
        <w:t>587</w:t>
      </w:r>
      <w:r>
        <w:rPr>
          <w:spacing w:val="-4"/>
          <w:sz w:val="20"/>
        </w:rPr>
        <w:t>.</w:t>
      </w:r>
    </w:p>
    <w:p>
      <w:pPr>
        <w:pStyle w:val="BodyText"/>
        <w:spacing w:before="8"/>
      </w:pPr>
    </w:p>
    <w:p>
      <w:pPr>
        <w:spacing w:line="235" w:lineRule="auto" w:before="0"/>
        <w:ind w:left="705" w:right="167" w:hanging="541"/>
        <w:jc w:val="both"/>
        <w:rPr>
          <w:sz w:val="20"/>
        </w:rPr>
      </w:pPr>
      <w:bookmarkStart w:name="_bookmark393" w:id="395"/>
      <w:bookmarkEnd w:id="395"/>
      <w:r>
        <w:rPr/>
      </w:r>
      <w:hyperlink w:history="true" w:anchor="_bookmark302">
        <w:r>
          <w:rPr>
            <w:color w:val="005DA1"/>
            <w:position w:val="5"/>
            <w:sz w:val="14"/>
            <w:u w:val="single" w:color="005DA1"/>
          </w:rPr>
          <w:t>179</w:t>
        </w:r>
      </w:hyperlink>
      <w:r>
        <w:rPr>
          <w:position w:val="5"/>
          <w:sz w:val="14"/>
        </w:rPr>
        <w:t>.</w:t>
      </w:r>
      <w:r>
        <w:rPr>
          <w:spacing w:val="80"/>
          <w:w w:val="150"/>
          <w:position w:val="5"/>
          <w:sz w:val="14"/>
        </w:rPr>
        <w:t> </w:t>
      </w:r>
      <w:r>
        <w:rPr>
          <w:rFonts w:ascii="Arial" w:hAnsi="Arial"/>
          <w:i/>
          <w:sz w:val="20"/>
        </w:rPr>
        <w:t>Global Tankers Inc v Amercoat Europa NV [1975] 1 Lloyd’s Rep. 666, 671</w:t>
      </w:r>
      <w:r>
        <w:rPr>
          <w:sz w:val="20"/>
        </w:rPr>
        <w:t>; cf. </w:t>
      </w:r>
      <w:r>
        <w:rPr>
          <w:rFonts w:ascii="Arial" w:hAnsi="Arial"/>
          <w:i/>
          <w:sz w:val="20"/>
        </w:rPr>
        <w:t>G. Percy</w:t>
      </w:r>
      <w:r>
        <w:rPr>
          <w:rFonts w:ascii="Arial" w:hAnsi="Arial"/>
          <w:i/>
          <w:spacing w:val="40"/>
          <w:sz w:val="20"/>
        </w:rPr>
        <w:t> </w:t>
      </w:r>
      <w:r>
        <w:rPr>
          <w:rFonts w:ascii="Arial" w:hAnsi="Arial"/>
          <w:i/>
          <w:sz w:val="20"/>
        </w:rPr>
        <w:t>Trentham Ltd v Archital Luxfer Ltd [1993] 1 Lloyd’s Rep. 25, 28</w:t>
      </w:r>
      <w:r>
        <w:rPr>
          <w:sz w:val="20"/>
        </w:rPr>
        <w:t>; </w:t>
      </w:r>
      <w:r>
        <w:rPr>
          <w:rFonts w:ascii="Arial" w:hAnsi="Arial"/>
          <w:i/>
          <w:sz w:val="20"/>
        </w:rPr>
        <w:t>Maple Leaf Macro Volatility Master Fund v Rouvroy [2009] EWHC 257 (Comm), [2009] 1 Lloyd’s Rep. 475 </w:t>
      </w:r>
      <w:r>
        <w:rPr>
          <w:sz w:val="20"/>
        </w:rPr>
        <w:t>at [247] </w:t>
      </w:r>
      <w:r>
        <w:rPr>
          <w:sz w:val="20"/>
        </w:rPr>
        <w:t>and [245], referring to the above text with apparent approval; affirmed without reference to this point </w:t>
      </w:r>
      <w:r>
        <w:rPr>
          <w:rFonts w:ascii="Arial" w:hAnsi="Arial"/>
          <w:i/>
          <w:sz w:val="20"/>
        </w:rPr>
        <w:t>[2009] EWCA Civ 1334, [2010] 2 All E.R. (Comm) 788 </w:t>
      </w:r>
      <w:r>
        <w:rPr>
          <w:sz w:val="20"/>
        </w:rPr>
        <w:t>and see above, para.2-004 n.22.</w:t>
      </w:r>
    </w:p>
    <w:p>
      <w:pPr>
        <w:pStyle w:val="BodyText"/>
        <w:spacing w:before="8"/>
      </w:pPr>
    </w:p>
    <w:p>
      <w:pPr>
        <w:pStyle w:val="BodyText"/>
        <w:spacing w:line="235" w:lineRule="auto" w:before="1"/>
        <w:ind w:left="705" w:right="167" w:hanging="541"/>
        <w:jc w:val="both"/>
      </w:pPr>
      <w:bookmarkStart w:name="_bookmark394" w:id="396"/>
      <w:bookmarkEnd w:id="396"/>
      <w:r>
        <w:rPr/>
      </w:r>
      <w:hyperlink w:history="true" w:anchor="_bookmark303">
        <w:r>
          <w:rPr>
            <w:color w:val="005DA1"/>
            <w:position w:val="5"/>
            <w:sz w:val="14"/>
            <w:u w:val="single" w:color="005DA1"/>
          </w:rPr>
          <w:t>180</w:t>
        </w:r>
      </w:hyperlink>
      <w:r>
        <w:rPr>
          <w:position w:val="5"/>
          <w:sz w:val="14"/>
        </w:rPr>
        <w:t>.</w:t>
      </w:r>
      <w:r>
        <w:rPr>
          <w:spacing w:val="80"/>
          <w:position w:val="5"/>
          <w:sz w:val="14"/>
        </w:rPr>
        <w:t>  </w:t>
      </w:r>
      <w:r>
        <w:rPr/>
        <w:t>For example in </w:t>
      </w:r>
      <w:r>
        <w:rPr>
          <w:rFonts w:ascii="Arial" w:hAnsi="Arial"/>
          <w:i/>
        </w:rPr>
        <w:t>Air Studios (Lyndhurst) Ltd v Lombard North Central Plc [2012] EWHC 3162 (QB),</w:t>
      </w:r>
      <w:r>
        <w:rPr>
          <w:rFonts w:ascii="Arial" w:hAnsi="Arial"/>
          <w:i/>
          <w:spacing w:val="-1"/>
        </w:rPr>
        <w:t> </w:t>
      </w:r>
      <w:r>
        <w:rPr>
          <w:rFonts w:ascii="Arial" w:hAnsi="Arial"/>
          <w:i/>
        </w:rPr>
        <w:t>[2013]</w:t>
      </w:r>
      <w:r>
        <w:rPr>
          <w:rFonts w:ascii="Arial" w:hAnsi="Arial"/>
          <w:i/>
          <w:spacing w:val="-1"/>
        </w:rPr>
        <w:t> </w:t>
      </w:r>
      <w:r>
        <w:rPr>
          <w:rFonts w:ascii="Arial" w:hAnsi="Arial"/>
          <w:i/>
        </w:rPr>
        <w:t>1</w:t>
      </w:r>
      <w:r>
        <w:rPr>
          <w:rFonts w:ascii="Arial" w:hAnsi="Arial"/>
          <w:i/>
          <w:spacing w:val="-1"/>
        </w:rPr>
        <w:t> </w:t>
      </w:r>
      <w:r>
        <w:rPr>
          <w:rFonts w:ascii="Arial" w:hAnsi="Arial"/>
          <w:i/>
        </w:rPr>
        <w:t>Lloyd’s</w:t>
      </w:r>
      <w:r>
        <w:rPr>
          <w:rFonts w:ascii="Arial" w:hAnsi="Arial"/>
          <w:i/>
          <w:spacing w:val="-1"/>
        </w:rPr>
        <w:t> </w:t>
      </w:r>
      <w:r>
        <w:rPr>
          <w:rFonts w:ascii="Arial" w:hAnsi="Arial"/>
          <w:i/>
        </w:rPr>
        <w:t>Rep.</w:t>
      </w:r>
      <w:r>
        <w:rPr>
          <w:rFonts w:ascii="Arial" w:hAnsi="Arial"/>
          <w:i/>
          <w:spacing w:val="-1"/>
        </w:rPr>
        <w:t> </w:t>
      </w:r>
      <w:r>
        <w:rPr>
          <w:rFonts w:ascii="Arial" w:hAnsi="Arial"/>
          <w:i/>
        </w:rPr>
        <w:t>63</w:t>
      </w:r>
      <w:r>
        <w:rPr/>
        <w:t>,</w:t>
      </w:r>
      <w:r>
        <w:rPr>
          <w:spacing w:val="-1"/>
        </w:rPr>
        <w:t> </w:t>
      </w:r>
      <w:r>
        <w:rPr/>
        <w:t>a</w:t>
      </w:r>
      <w:r>
        <w:rPr>
          <w:spacing w:val="-1"/>
        </w:rPr>
        <w:t> </w:t>
      </w:r>
      <w:r>
        <w:rPr/>
        <w:t>prospective</w:t>
      </w:r>
      <w:r>
        <w:rPr>
          <w:spacing w:val="-1"/>
        </w:rPr>
        <w:t> </w:t>
      </w:r>
      <w:r>
        <w:rPr/>
        <w:t>seller</w:t>
      </w:r>
      <w:r>
        <w:rPr>
          <w:spacing w:val="-1"/>
        </w:rPr>
        <w:t> </w:t>
      </w:r>
      <w:r>
        <w:rPr/>
        <w:t>of</w:t>
      </w:r>
      <w:r>
        <w:rPr>
          <w:spacing w:val="-1"/>
        </w:rPr>
        <w:t> </w:t>
      </w:r>
      <w:r>
        <w:rPr/>
        <w:t>goods,</w:t>
      </w:r>
      <w:r>
        <w:rPr>
          <w:spacing w:val="-1"/>
        </w:rPr>
        <w:t> </w:t>
      </w:r>
      <w:r>
        <w:rPr/>
        <w:t>to</w:t>
      </w:r>
      <w:r>
        <w:rPr>
          <w:spacing w:val="-1"/>
        </w:rPr>
        <w:t> </w:t>
      </w:r>
      <w:r>
        <w:rPr/>
        <w:t>whom</w:t>
      </w:r>
      <w:r>
        <w:rPr>
          <w:spacing w:val="-1"/>
        </w:rPr>
        <w:t> </w:t>
      </w:r>
      <w:r>
        <w:rPr/>
        <w:t>an</w:t>
      </w:r>
      <w:r>
        <w:rPr>
          <w:spacing w:val="-1"/>
        </w:rPr>
        <w:t> </w:t>
      </w:r>
      <w:r>
        <w:rPr/>
        <w:t>offer</w:t>
      </w:r>
      <w:r>
        <w:rPr>
          <w:spacing w:val="-1"/>
        </w:rPr>
        <w:t> </w:t>
      </w:r>
      <w:r>
        <w:rPr/>
        <w:t>to</w:t>
      </w:r>
      <w:r>
        <w:rPr>
          <w:spacing w:val="-1"/>
        </w:rPr>
        <w:t> </w:t>
      </w:r>
      <w:r>
        <w:rPr/>
        <w:t>buy</w:t>
      </w:r>
      <w:r>
        <w:rPr>
          <w:spacing w:val="-1"/>
        </w:rPr>
        <w:t> </w:t>
      </w:r>
      <w:r>
        <w:rPr/>
        <w:t>them</w:t>
      </w:r>
      <w:r>
        <w:rPr>
          <w:spacing w:val="-1"/>
        </w:rPr>
        <w:t> </w:t>
      </w:r>
      <w:r>
        <w:rPr/>
        <w:t>had been sent, sent two communications to the offeror: the first stating that “[i]f you are successful</w:t>
      </w:r>
      <w:r>
        <w:rPr>
          <w:spacing w:val="40"/>
        </w:rPr>
        <w:t> </w:t>
      </w:r>
      <w:r>
        <w:rPr/>
        <w:t>in your bid”, the selling process would be “conducted by the issuing of an invoice on our standard terms” and the second expressed to be a “confirmation that your bid has been successful” (at [40]). It was held that the first communication was “not a counter offer and did</w:t>
      </w:r>
      <w:r>
        <w:rPr>
          <w:spacing w:val="40"/>
        </w:rPr>
        <w:t> </w:t>
      </w:r>
      <w:r>
        <w:rPr/>
        <w:t>not change the basis on which the parties were negotiating” (at [70]).</w:t>
      </w:r>
    </w:p>
    <w:p>
      <w:pPr>
        <w:pStyle w:val="BodyText"/>
        <w:spacing w:before="7"/>
      </w:pPr>
    </w:p>
    <w:p>
      <w:pPr>
        <w:spacing w:line="235" w:lineRule="auto" w:before="0"/>
        <w:ind w:left="705" w:right="168" w:hanging="541"/>
        <w:jc w:val="both"/>
        <w:rPr>
          <w:sz w:val="20"/>
        </w:rPr>
      </w:pPr>
      <w:bookmarkStart w:name="_bookmark395" w:id="397"/>
      <w:bookmarkEnd w:id="397"/>
      <w:r>
        <w:rPr/>
      </w:r>
      <w:hyperlink w:history="true" w:anchor="_bookmark304">
        <w:r>
          <w:rPr>
            <w:color w:val="005DA1"/>
            <w:position w:val="5"/>
            <w:sz w:val="14"/>
            <w:u w:val="single" w:color="005DA1"/>
          </w:rPr>
          <w:t>181</w:t>
        </w:r>
      </w:hyperlink>
      <w:r>
        <w:rPr>
          <w:position w:val="5"/>
          <w:sz w:val="14"/>
        </w:rPr>
        <w:t>.</w:t>
      </w:r>
      <w:r>
        <w:rPr>
          <w:spacing w:val="40"/>
          <w:position w:val="5"/>
          <w:sz w:val="14"/>
        </w:rPr>
        <w:t>  </w:t>
      </w:r>
      <w:r>
        <w:rPr>
          <w:sz w:val="20"/>
        </w:rPr>
        <w:t>This sentence was cited with approval and applied by Edwards-Stuart J. in </w:t>
      </w:r>
      <w:r>
        <w:rPr>
          <w:rFonts w:ascii="Arial"/>
          <w:i/>
          <w:sz w:val="20"/>
        </w:rPr>
        <w:t>AB v CD Ltd [2013] EWHC 1376 (TCC), [2013] B.L.R. 435 </w:t>
      </w:r>
      <w:r>
        <w:rPr>
          <w:sz w:val="20"/>
        </w:rPr>
        <w:t>at [28], so that the communication in question was </w:t>
      </w:r>
      <w:r>
        <w:rPr>
          <w:sz w:val="20"/>
        </w:rPr>
        <w:t>held not to amount to a counter-offer.</w:t>
      </w:r>
    </w:p>
    <w:p>
      <w:pPr>
        <w:pStyle w:val="BodyText"/>
        <w:spacing w:before="9"/>
      </w:pPr>
    </w:p>
    <w:p>
      <w:pPr>
        <w:spacing w:line="235" w:lineRule="auto" w:before="0"/>
        <w:ind w:left="705" w:right="167" w:hanging="541"/>
        <w:jc w:val="both"/>
        <w:rPr>
          <w:sz w:val="20"/>
        </w:rPr>
      </w:pPr>
      <w:bookmarkStart w:name="_bookmark396" w:id="398"/>
      <w:bookmarkEnd w:id="398"/>
      <w:r>
        <w:rPr/>
      </w:r>
      <w:hyperlink w:history="true" w:anchor="_bookmark305">
        <w:r>
          <w:rPr>
            <w:color w:val="005DA1"/>
            <w:position w:val="5"/>
            <w:sz w:val="14"/>
            <w:u w:val="single" w:color="005DA1"/>
          </w:rPr>
          <w:t>182</w:t>
        </w:r>
      </w:hyperlink>
      <w:r>
        <w:rPr>
          <w:position w:val="5"/>
          <w:sz w:val="14"/>
        </w:rPr>
        <w:t>.</w:t>
      </w:r>
      <w:r>
        <w:rPr>
          <w:spacing w:val="40"/>
          <w:position w:val="5"/>
          <w:sz w:val="14"/>
        </w:rPr>
        <w:t>  </w:t>
      </w:r>
      <w:r>
        <w:rPr>
          <w:rFonts w:ascii="Arial" w:hAnsi="Arial"/>
          <w:i/>
          <w:sz w:val="20"/>
        </w:rPr>
        <w:t>Monrovia Motorship Corp v Keppel Shipyard (Private) Ltd (The Master Stelios) [1983] 1 </w:t>
      </w:r>
      <w:r>
        <w:rPr>
          <w:rFonts w:ascii="Arial" w:hAnsi="Arial"/>
          <w:i/>
          <w:sz w:val="20"/>
        </w:rPr>
        <w:t>Lloyd’s Rep. 356</w:t>
      </w:r>
      <w:r>
        <w:rPr>
          <w:sz w:val="20"/>
        </w:rPr>
        <w:t>; </w:t>
      </w:r>
      <w:r>
        <w:rPr>
          <w:rFonts w:ascii="Arial" w:hAnsi="Arial"/>
          <w:i/>
          <w:sz w:val="20"/>
        </w:rPr>
        <w:t>Society of Lloyd’s v Twinn, The Times, April 4, 2000</w:t>
      </w:r>
      <w:r>
        <w:rPr>
          <w:sz w:val="20"/>
        </w:rPr>
        <w:t>; </w:t>
      </w:r>
      <w:r>
        <w:rPr>
          <w:rFonts w:ascii="Arial" w:hAnsi="Arial"/>
          <w:i/>
          <w:sz w:val="20"/>
        </w:rPr>
        <w:t>Crest Nicholson (Londinium)</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Akaria</w:t>
      </w:r>
      <w:r>
        <w:rPr>
          <w:rFonts w:ascii="Arial" w:hAnsi="Arial"/>
          <w:i/>
          <w:spacing w:val="40"/>
          <w:sz w:val="20"/>
        </w:rPr>
        <w:t> </w:t>
      </w:r>
      <w:r>
        <w:rPr>
          <w:rFonts w:ascii="Arial" w:hAnsi="Arial"/>
          <w:i/>
          <w:sz w:val="20"/>
        </w:rPr>
        <w:t>Investments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[2010]</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1331</w:t>
      </w:r>
      <w:r>
        <w:rPr>
          <w:rFonts w:ascii="Arial" w:hAnsi="Arial"/>
          <w:i/>
          <w:spacing w:val="40"/>
          <w:sz w:val="20"/>
        </w:rPr>
        <w:t> </w:t>
      </w:r>
      <w:r>
        <w:rPr>
          <w:sz w:val="20"/>
        </w:rPr>
        <w:t>at</w:t>
      </w:r>
      <w:r>
        <w:rPr>
          <w:spacing w:val="40"/>
          <w:sz w:val="20"/>
        </w:rPr>
        <w:t> </w:t>
      </w:r>
      <w:r>
        <w:rPr>
          <w:sz w:val="20"/>
        </w:rPr>
        <w:t>[27]</w:t>
      </w:r>
      <w:r>
        <w:rPr>
          <w:spacing w:val="40"/>
          <w:sz w:val="20"/>
        </w:rPr>
        <w:t> </w:t>
      </w:r>
      <w:r>
        <w:rPr>
          <w:sz w:val="20"/>
        </w:rPr>
        <w:t>(in</w:t>
      </w:r>
      <w:r>
        <w:rPr>
          <w:spacing w:val="40"/>
          <w:sz w:val="20"/>
        </w:rPr>
        <w:t> </w:t>
      </w:r>
      <w:r>
        <w:rPr>
          <w:sz w:val="20"/>
        </w:rPr>
        <w:t>the</w:t>
      </w:r>
      <w:r>
        <w:rPr>
          <w:spacing w:val="40"/>
          <w:sz w:val="20"/>
        </w:rPr>
        <w:t> </w:t>
      </w:r>
      <w:r>
        <w:rPr>
          <w:sz w:val="20"/>
        </w:rPr>
        <w:t>reference</w:t>
      </w:r>
      <w:r>
        <w:rPr>
          <w:spacing w:val="40"/>
          <w:sz w:val="20"/>
        </w:rPr>
        <w:t> </w:t>
      </w:r>
      <w:r>
        <w:rPr>
          <w:sz w:val="20"/>
        </w:rPr>
        <w:t>at</w:t>
      </w:r>
      <w:r>
        <w:rPr>
          <w:spacing w:val="40"/>
          <w:sz w:val="20"/>
        </w:rPr>
        <w:t> </w:t>
      </w:r>
      <w:r>
        <w:rPr>
          <w:sz w:val="20"/>
        </w:rPr>
        <w:t>[24]</w:t>
      </w:r>
      <w:r>
        <w:rPr>
          <w:spacing w:val="40"/>
          <w:sz w:val="20"/>
        </w:rPr>
        <w:t> </w:t>
      </w:r>
      <w:r>
        <w:rPr>
          <w:sz w:val="20"/>
        </w:rPr>
        <w:t>to para.2-003 of the “Thirteenth Edition” of this book—“Thirteenth” is an evident misprint for </w:t>
      </w:r>
      <w:r>
        <w:rPr>
          <w:spacing w:val="-2"/>
          <w:sz w:val="20"/>
        </w:rPr>
        <w:t>“Thirtieth”).</w:t>
      </w:r>
    </w:p>
    <w:p>
      <w:pPr>
        <w:pStyle w:val="BodyText"/>
        <w:spacing w:before="4"/>
      </w:pPr>
    </w:p>
    <w:p>
      <w:pPr>
        <w:tabs>
          <w:tab w:pos="705" w:val="left" w:leader="none"/>
        </w:tabs>
        <w:spacing w:before="0"/>
        <w:ind w:left="165" w:right="0" w:firstLine="0"/>
        <w:jc w:val="left"/>
        <w:rPr>
          <w:sz w:val="20"/>
        </w:rPr>
      </w:pPr>
      <w:bookmarkStart w:name="_bookmark397" w:id="399"/>
      <w:bookmarkEnd w:id="399"/>
      <w:r>
        <w:rPr/>
      </w:r>
      <w:hyperlink w:history="true" w:anchor="_bookmark306">
        <w:r>
          <w:rPr>
            <w:color w:val="005DA1"/>
            <w:spacing w:val="-4"/>
            <w:position w:val="5"/>
            <w:sz w:val="14"/>
            <w:u w:val="single" w:color="005DA1"/>
          </w:rPr>
          <w:t>183</w:t>
        </w:r>
      </w:hyperlink>
      <w:r>
        <w:rPr>
          <w:spacing w:val="-4"/>
          <w:position w:val="5"/>
          <w:sz w:val="14"/>
        </w:rPr>
        <w:t>.</w:t>
      </w:r>
      <w:r>
        <w:rPr>
          <w:position w:val="5"/>
          <w:sz w:val="14"/>
        </w:rPr>
        <w:tab/>
      </w:r>
      <w:r>
        <w:rPr>
          <w:sz w:val="20"/>
        </w:rPr>
        <w:t>e.g.</w:t>
      </w:r>
      <w:r>
        <w:rPr>
          <w:spacing w:val="-1"/>
          <w:sz w:val="20"/>
        </w:rPr>
        <w:t> </w:t>
      </w:r>
      <w:r>
        <w:rPr>
          <w:rFonts w:ascii="Arial" w:hAnsi="Arial"/>
          <w:i/>
          <w:sz w:val="20"/>
        </w:rPr>
        <w:t>O.T.M. Ltd v Hydranautics [1981] 2 Lloyd’s Rep. 211, 215</w:t>
      </w:r>
      <w:r>
        <w:rPr>
          <w:sz w:val="20"/>
        </w:rPr>
        <w:t>; cf. below, para.2-</w:t>
      </w:r>
      <w:r>
        <w:rPr>
          <w:spacing w:val="-4"/>
          <w:sz w:val="20"/>
        </w:rPr>
        <w:t>123.</w:t>
      </w:r>
    </w:p>
    <w:p>
      <w:pPr>
        <w:pStyle w:val="BodyText"/>
        <w:spacing w:before="5"/>
      </w:pPr>
    </w:p>
    <w:p>
      <w:pPr>
        <w:tabs>
          <w:tab w:pos="705" w:val="left" w:leader="none"/>
        </w:tabs>
        <w:spacing w:before="0"/>
        <w:ind w:left="165" w:right="0" w:firstLine="0"/>
        <w:jc w:val="left"/>
        <w:rPr>
          <w:rFonts w:ascii="Arial"/>
          <w:i/>
          <w:sz w:val="20"/>
        </w:rPr>
      </w:pPr>
      <w:bookmarkStart w:name="_bookmark398" w:id="400"/>
      <w:bookmarkEnd w:id="400"/>
      <w:r>
        <w:rPr/>
      </w:r>
      <w:hyperlink w:history="true" w:anchor="_bookmark307">
        <w:r>
          <w:rPr>
            <w:color w:val="005DA1"/>
            <w:spacing w:val="-4"/>
            <w:position w:val="5"/>
            <w:sz w:val="14"/>
            <w:u w:val="single" w:color="005DA1"/>
          </w:rPr>
          <w:t>184</w:t>
        </w:r>
      </w:hyperlink>
      <w:r>
        <w:rPr>
          <w:spacing w:val="-4"/>
          <w:position w:val="5"/>
          <w:sz w:val="14"/>
        </w:rPr>
        <w:t>.</w:t>
      </w:r>
      <w:r>
        <w:rPr>
          <w:position w:val="5"/>
          <w:sz w:val="14"/>
        </w:rPr>
        <w:tab/>
      </w:r>
      <w:r>
        <w:rPr>
          <w:rFonts w:ascii="Arial"/>
          <w:i/>
          <w:sz w:val="20"/>
        </w:rPr>
        <w:t>Domb v Isoz [1980] Ch. 548, </w:t>
      </w:r>
      <w:r>
        <w:rPr>
          <w:rFonts w:ascii="Arial"/>
          <w:i/>
          <w:spacing w:val="-5"/>
          <w:sz w:val="20"/>
        </w:rPr>
        <w:t>559</w:t>
      </w:r>
    </w:p>
    <w:p>
      <w:pPr>
        <w:pStyle w:val="BodyText"/>
        <w:spacing w:before="9"/>
        <w:rPr>
          <w:rFonts w:ascii="Arial"/>
          <w:i/>
        </w:rPr>
      </w:pPr>
    </w:p>
    <w:p>
      <w:pPr>
        <w:pStyle w:val="BodyText"/>
        <w:tabs>
          <w:tab w:pos="705" w:val="left" w:leader="none"/>
        </w:tabs>
        <w:spacing w:line="235" w:lineRule="auto"/>
        <w:ind w:left="705" w:right="168" w:hanging="541"/>
      </w:pPr>
      <w:bookmarkStart w:name="_bookmark399" w:id="401"/>
      <w:bookmarkEnd w:id="401"/>
      <w:r>
        <w:rPr/>
      </w:r>
      <w:hyperlink w:history="true" w:anchor="_bookmark308">
        <w:r>
          <w:rPr>
            <w:color w:val="005DA1"/>
            <w:spacing w:val="-4"/>
            <w:position w:val="5"/>
            <w:sz w:val="14"/>
            <w:u w:val="single" w:color="005DA1"/>
          </w:rPr>
          <w:t>185</w:t>
        </w:r>
      </w:hyperlink>
      <w:r>
        <w:rPr>
          <w:spacing w:val="-4"/>
          <w:position w:val="5"/>
          <w:sz w:val="14"/>
        </w:rPr>
        <w:t>.</w:t>
      </w:r>
      <w:r>
        <w:rPr>
          <w:position w:val="5"/>
          <w:sz w:val="14"/>
        </w:rPr>
        <w:tab/>
      </w:r>
      <w:r>
        <w:rPr/>
        <w:t>Below,</w:t>
      </w:r>
      <w:r>
        <w:rPr>
          <w:spacing w:val="38"/>
        </w:rPr>
        <w:t> </w:t>
      </w:r>
      <w:r>
        <w:rPr/>
        <w:t>paras</w:t>
      </w:r>
      <w:r>
        <w:rPr>
          <w:spacing w:val="38"/>
        </w:rPr>
        <w:t> </w:t>
      </w:r>
      <w:r>
        <w:rPr/>
        <w:t>13-008—13-018.</w:t>
      </w:r>
      <w:r>
        <w:rPr>
          <w:spacing w:val="38"/>
        </w:rPr>
        <w:t> </w:t>
      </w:r>
      <w:r>
        <w:rPr/>
        <w:t>If</w:t>
      </w:r>
      <w:r>
        <w:rPr>
          <w:spacing w:val="38"/>
        </w:rPr>
        <w:t> </w:t>
      </w:r>
      <w:r>
        <w:rPr/>
        <w:t>the</w:t>
      </w:r>
      <w:r>
        <w:rPr>
          <w:spacing w:val="38"/>
        </w:rPr>
        <w:t> </w:t>
      </w:r>
      <w:r>
        <w:rPr/>
        <w:t>test</w:t>
      </w:r>
      <w:r>
        <w:rPr>
          <w:spacing w:val="38"/>
        </w:rPr>
        <w:t> </w:t>
      </w:r>
      <w:r>
        <w:rPr/>
        <w:t>of</w:t>
      </w:r>
      <w:r>
        <w:rPr>
          <w:spacing w:val="38"/>
        </w:rPr>
        <w:t> </w:t>
      </w:r>
      <w:r>
        <w:rPr/>
        <w:t>reasonable</w:t>
      </w:r>
      <w:r>
        <w:rPr>
          <w:spacing w:val="38"/>
        </w:rPr>
        <w:t> </w:t>
      </w:r>
      <w:r>
        <w:rPr/>
        <w:t>notice</w:t>
      </w:r>
      <w:r>
        <w:rPr>
          <w:spacing w:val="38"/>
        </w:rPr>
        <w:t> </w:t>
      </w:r>
      <w:r>
        <w:rPr/>
        <w:t>or</w:t>
      </w:r>
      <w:r>
        <w:rPr>
          <w:spacing w:val="38"/>
        </w:rPr>
        <w:t> </w:t>
      </w:r>
      <w:r>
        <w:rPr/>
        <w:t>signature</w:t>
      </w:r>
      <w:r>
        <w:rPr>
          <w:spacing w:val="38"/>
        </w:rPr>
        <w:t> </w:t>
      </w:r>
      <w:r>
        <w:rPr/>
        <w:t>is</w:t>
      </w:r>
      <w:r>
        <w:rPr>
          <w:spacing w:val="38"/>
        </w:rPr>
        <w:t> </w:t>
      </w:r>
      <w:r>
        <w:rPr/>
        <w:t>satisfied,</w:t>
      </w:r>
      <w:r>
        <w:rPr>
          <w:spacing w:val="38"/>
        </w:rPr>
        <w:t> </w:t>
      </w:r>
      <w:r>
        <w:rPr/>
        <w:t>the contract will be on B’s conditions.</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400" w:id="402"/>
      <w:bookmarkEnd w:id="402"/>
      <w:r>
        <w:rPr/>
      </w:r>
      <w:hyperlink w:history="true" w:anchor="_bookmark309">
        <w:r>
          <w:rPr>
            <w:color w:val="005DA1"/>
            <w:spacing w:val="-4"/>
            <w:position w:val="5"/>
            <w:sz w:val="14"/>
            <w:u w:val="single" w:color="005DA1"/>
          </w:rPr>
          <w:t>186</w:t>
        </w:r>
      </w:hyperlink>
      <w:r>
        <w:rPr>
          <w:spacing w:val="-4"/>
          <w:position w:val="5"/>
          <w:sz w:val="14"/>
        </w:rPr>
        <w:t>.</w:t>
      </w:r>
      <w:r>
        <w:rPr>
          <w:position w:val="5"/>
          <w:sz w:val="14"/>
        </w:rPr>
        <w:tab/>
      </w:r>
      <w:r>
        <w:rPr>
          <w:rFonts w:ascii="Arial" w:hAnsi="Arial"/>
          <w:i/>
          <w:sz w:val="20"/>
        </w:rPr>
        <w:t>[1968]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All</w:t>
      </w:r>
      <w:r>
        <w:rPr>
          <w:rFonts w:ascii="Arial" w:hAnsi="Arial"/>
          <w:i/>
          <w:spacing w:val="-2"/>
          <w:sz w:val="20"/>
        </w:rPr>
        <w:t> </w:t>
      </w:r>
      <w:r>
        <w:rPr>
          <w:rFonts w:ascii="Arial" w:hAnsi="Arial"/>
          <w:i/>
          <w:sz w:val="20"/>
        </w:rPr>
        <w:t>E.R.</w:t>
      </w:r>
      <w:r>
        <w:rPr>
          <w:rFonts w:ascii="Arial" w:hAnsi="Arial"/>
          <w:i/>
          <w:spacing w:val="-2"/>
          <w:sz w:val="20"/>
        </w:rPr>
        <w:t> </w:t>
      </w:r>
      <w:r>
        <w:rPr>
          <w:rFonts w:ascii="Arial" w:hAnsi="Arial"/>
          <w:i/>
          <w:sz w:val="20"/>
        </w:rPr>
        <w:t>811</w:t>
      </w:r>
      <w:r>
        <w:rPr>
          <w:sz w:val="20"/>
        </w:rPr>
        <w:t>;</w:t>
      </w:r>
      <w:r>
        <w:rPr>
          <w:spacing w:val="-2"/>
          <w:sz w:val="20"/>
        </w:rPr>
        <w:t> </w:t>
      </w:r>
      <w:r>
        <w:rPr>
          <w:sz w:val="20"/>
        </w:rPr>
        <w:t>cf.</w:t>
      </w:r>
      <w:r>
        <w:rPr>
          <w:spacing w:val="-2"/>
          <w:sz w:val="20"/>
        </w:rPr>
        <w:t> </w:t>
      </w:r>
      <w:r>
        <w:rPr>
          <w:rFonts w:ascii="Arial" w:hAnsi="Arial"/>
          <w:i/>
          <w:sz w:val="20"/>
        </w:rPr>
        <w:t>A.</w:t>
      </w:r>
      <w:r>
        <w:rPr>
          <w:rFonts w:ascii="Arial" w:hAnsi="Arial"/>
          <w:i/>
          <w:spacing w:val="-2"/>
          <w:sz w:val="20"/>
        </w:rPr>
        <w:t> </w:t>
      </w:r>
      <w:r>
        <w:rPr>
          <w:rFonts w:ascii="Arial" w:hAnsi="Arial"/>
          <w:i/>
          <w:sz w:val="20"/>
        </w:rPr>
        <w:t>Davies</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(Shopfitters)</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William</w:t>
      </w:r>
      <w:r>
        <w:rPr>
          <w:rFonts w:ascii="Arial" w:hAnsi="Arial"/>
          <w:i/>
          <w:spacing w:val="-2"/>
          <w:sz w:val="20"/>
        </w:rPr>
        <w:t> </w:t>
      </w:r>
      <w:r>
        <w:rPr>
          <w:rFonts w:ascii="Arial" w:hAnsi="Arial"/>
          <w:i/>
          <w:sz w:val="20"/>
        </w:rPr>
        <w:t>Old</w:t>
      </w:r>
      <w:r>
        <w:rPr>
          <w:rFonts w:ascii="Arial" w:hAnsi="Arial"/>
          <w:i/>
          <w:spacing w:val="-2"/>
          <w:sz w:val="20"/>
        </w:rPr>
        <w:t> </w:t>
      </w:r>
      <w:r>
        <w:rPr>
          <w:rFonts w:ascii="Arial" w:hAnsi="Arial"/>
          <w:i/>
          <w:sz w:val="20"/>
        </w:rPr>
        <w:t>(1969)</w:t>
      </w:r>
      <w:r>
        <w:rPr>
          <w:rFonts w:ascii="Arial" w:hAnsi="Arial"/>
          <w:i/>
          <w:spacing w:val="-2"/>
          <w:sz w:val="20"/>
        </w:rPr>
        <w:t> </w:t>
      </w:r>
      <w:r>
        <w:rPr>
          <w:rFonts w:ascii="Arial" w:hAnsi="Arial"/>
          <w:i/>
          <w:sz w:val="20"/>
        </w:rPr>
        <w:t>113</w:t>
      </w:r>
      <w:r>
        <w:rPr>
          <w:rFonts w:ascii="Arial" w:hAnsi="Arial"/>
          <w:i/>
          <w:spacing w:val="-2"/>
          <w:sz w:val="20"/>
        </w:rPr>
        <w:t> </w:t>
      </w:r>
      <w:r>
        <w:rPr>
          <w:rFonts w:ascii="Arial" w:hAnsi="Arial"/>
          <w:i/>
          <w:sz w:val="20"/>
        </w:rPr>
        <w:t>S.J.</w:t>
      </w:r>
      <w:r>
        <w:rPr>
          <w:rFonts w:ascii="Arial" w:hAnsi="Arial"/>
          <w:i/>
          <w:spacing w:val="-2"/>
          <w:sz w:val="20"/>
        </w:rPr>
        <w:t> </w:t>
      </w:r>
      <w:r>
        <w:rPr>
          <w:rFonts w:ascii="Arial" w:hAnsi="Arial"/>
          <w:i/>
          <w:sz w:val="20"/>
        </w:rPr>
        <w:t>262</w:t>
      </w:r>
      <w:r>
        <w:rPr>
          <w:sz w:val="20"/>
        </w:rPr>
        <w:t>;</w:t>
      </w:r>
      <w:r>
        <w:rPr>
          <w:spacing w:val="-2"/>
          <w:sz w:val="20"/>
        </w:rPr>
        <w:t> </w:t>
      </w:r>
      <w:r>
        <w:rPr>
          <w:rFonts w:ascii="Arial" w:hAnsi="Arial"/>
          <w:i/>
          <w:sz w:val="20"/>
        </w:rPr>
        <w:t>O.T.M. Ltd v</w:t>
      </w:r>
      <w:r>
        <w:rPr>
          <w:rFonts w:ascii="Arial" w:hAnsi="Arial"/>
          <w:i/>
          <w:spacing w:val="1"/>
          <w:sz w:val="20"/>
        </w:rPr>
        <w:t> </w:t>
      </w:r>
      <w:r>
        <w:rPr>
          <w:rFonts w:ascii="Arial" w:hAnsi="Arial"/>
          <w:i/>
          <w:sz w:val="20"/>
        </w:rPr>
        <w:t>Hydranautics</w:t>
      </w:r>
      <w:r>
        <w:rPr>
          <w:rFonts w:ascii="Arial" w:hAnsi="Arial"/>
          <w:i/>
          <w:spacing w:val="1"/>
          <w:sz w:val="20"/>
        </w:rPr>
        <w:t> </w:t>
      </w:r>
      <w:r>
        <w:rPr>
          <w:rFonts w:ascii="Arial" w:hAnsi="Arial"/>
          <w:i/>
          <w:sz w:val="20"/>
        </w:rPr>
        <w:t>[1981]</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211</w:t>
      </w:r>
      <w:r>
        <w:rPr>
          <w:sz w:val="20"/>
        </w:rPr>
        <w:t>;</w:t>
      </w:r>
      <w:r>
        <w:rPr>
          <w:spacing w:val="1"/>
          <w:sz w:val="20"/>
        </w:rPr>
        <w:t> </w:t>
      </w:r>
      <w:r>
        <w:rPr>
          <w:rFonts w:ascii="Arial" w:hAnsi="Arial"/>
          <w:i/>
          <w:sz w:val="20"/>
        </w:rPr>
        <w:t>Muirhead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Industrial</w:t>
      </w:r>
      <w:r>
        <w:rPr>
          <w:rFonts w:ascii="Arial" w:hAnsi="Arial"/>
          <w:i/>
          <w:spacing w:val="1"/>
          <w:sz w:val="20"/>
        </w:rPr>
        <w:t> </w:t>
      </w:r>
      <w:r>
        <w:rPr>
          <w:rFonts w:ascii="Arial" w:hAnsi="Arial"/>
          <w:i/>
          <w:sz w:val="20"/>
        </w:rPr>
        <w:t>Tank</w:t>
      </w:r>
      <w:r>
        <w:rPr>
          <w:rFonts w:ascii="Arial" w:hAnsi="Arial"/>
          <w:i/>
          <w:spacing w:val="1"/>
          <w:sz w:val="20"/>
        </w:rPr>
        <w:t> </w:t>
      </w:r>
      <w:r>
        <w:rPr>
          <w:rFonts w:ascii="Arial" w:hAnsi="Arial"/>
          <w:i/>
          <w:sz w:val="20"/>
        </w:rPr>
        <w:t>Specialities</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pacing w:val="-2"/>
          <w:sz w:val="20"/>
        </w:rPr>
        <w:t>[1986]</w:t>
      </w:r>
    </w:p>
    <w:p>
      <w:pPr>
        <w:spacing w:line="225" w:lineRule="exact" w:before="0"/>
        <w:ind w:left="705" w:right="0" w:firstLine="0"/>
        <w:jc w:val="left"/>
        <w:rPr>
          <w:sz w:val="20"/>
        </w:rPr>
      </w:pPr>
      <w:r>
        <w:rPr>
          <w:rFonts w:ascii="Arial"/>
          <w:i/>
          <w:sz w:val="20"/>
        </w:rPr>
        <w:t>Q.B.</w:t>
      </w:r>
      <w:r>
        <w:rPr>
          <w:rFonts w:ascii="Arial"/>
          <w:i/>
          <w:spacing w:val="-1"/>
          <w:sz w:val="20"/>
        </w:rPr>
        <w:t> </w:t>
      </w:r>
      <w:r>
        <w:rPr>
          <w:rFonts w:ascii="Arial"/>
          <w:i/>
          <w:sz w:val="20"/>
        </w:rPr>
        <w:t>507, 530</w:t>
      </w:r>
      <w:r>
        <w:rPr>
          <w:sz w:val="20"/>
        </w:rPr>
        <w:t>; </w:t>
      </w:r>
      <w:r>
        <w:rPr>
          <w:rFonts w:ascii="Arial"/>
          <w:i/>
          <w:sz w:val="20"/>
        </w:rPr>
        <w:t>Souter Automation v Goodman Mechanical Services (1984) 34 Build.L.R. </w:t>
      </w:r>
      <w:r>
        <w:rPr>
          <w:rFonts w:ascii="Arial"/>
          <w:i/>
          <w:spacing w:val="-5"/>
          <w:sz w:val="20"/>
        </w:rPr>
        <w:t>81</w:t>
      </w:r>
      <w:r>
        <w:rPr>
          <w:spacing w:val="-5"/>
          <w:sz w:val="20"/>
        </w:rPr>
        <w:t>.</w:t>
      </w:r>
    </w:p>
    <w:p>
      <w:pPr>
        <w:spacing w:after="0" w:line="225" w:lineRule="exact"/>
        <w:jc w:val="left"/>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310">
        <w:r>
          <w:rPr>
            <w:color w:val="005DA1"/>
            <w:position w:val="5"/>
            <w:sz w:val="14"/>
            <w:u w:val="single" w:color="005DA1"/>
          </w:rPr>
          <w:t>187</w:t>
        </w:r>
      </w:hyperlink>
      <w:r>
        <w:rPr>
          <w:position w:val="5"/>
          <w:sz w:val="14"/>
        </w:rPr>
        <w:t>.</w:t>
      </w:r>
      <w:r>
        <w:rPr>
          <w:spacing w:val="80"/>
          <w:position w:val="5"/>
          <w:sz w:val="14"/>
        </w:rPr>
        <w:t>  </w:t>
      </w:r>
      <w:r>
        <w:rPr>
          <w:rFonts w:ascii="Arial" w:hAnsi="Arial"/>
          <w:i/>
          <w:sz w:val="20"/>
        </w:rPr>
        <w:t>A E Yates Trenchless Solutions v Black &amp; Veatch Ltd [2008] EWHC 3183 (TCC), 124 Con. </w:t>
      </w:r>
      <w:r>
        <w:rPr>
          <w:rFonts w:ascii="Arial" w:hAnsi="Arial"/>
          <w:i/>
          <w:sz w:val="20"/>
        </w:rPr>
        <w:t>L.R. 188 </w:t>
      </w:r>
      <w:r>
        <w:rPr>
          <w:sz w:val="20"/>
        </w:rPr>
        <w:t>at [60]; cf. </w:t>
      </w:r>
      <w:r>
        <w:rPr>
          <w:rFonts w:ascii="Arial" w:hAnsi="Arial"/>
          <w:i/>
          <w:sz w:val="20"/>
        </w:rPr>
        <w:t>Claxton Engineering Services Ltd v TXM Olaj-és Gázkutató Kft [2010] EWHC 2567</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[2011]</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All</w:t>
      </w:r>
      <w:r>
        <w:rPr>
          <w:rFonts w:ascii="Arial" w:hAnsi="Arial"/>
          <w:i/>
          <w:spacing w:val="-1"/>
          <w:sz w:val="20"/>
        </w:rPr>
        <w:t> </w:t>
      </w:r>
      <w:r>
        <w:rPr>
          <w:rFonts w:ascii="Arial" w:hAnsi="Arial"/>
          <w:i/>
          <w:sz w:val="20"/>
        </w:rPr>
        <w:t>E.R.</w:t>
      </w:r>
      <w:r>
        <w:rPr>
          <w:rFonts w:ascii="Arial" w:hAnsi="Arial"/>
          <w:i/>
          <w:spacing w:val="-1"/>
          <w:sz w:val="20"/>
        </w:rPr>
        <w:t> </w:t>
      </w:r>
      <w:r>
        <w:rPr>
          <w:rFonts w:ascii="Arial" w:hAnsi="Arial"/>
          <w:i/>
          <w:sz w:val="20"/>
        </w:rPr>
        <w:t>38</w:t>
      </w:r>
      <w:r>
        <w:rPr>
          <w:sz w:val="20"/>
        </w:rPr>
        <w:t>,</w:t>
      </w:r>
      <w:r>
        <w:rPr>
          <w:spacing w:val="-1"/>
          <w:sz w:val="20"/>
        </w:rPr>
        <w:t> </w:t>
      </w:r>
      <w:r>
        <w:rPr>
          <w:sz w:val="20"/>
        </w:rPr>
        <w:t>where</w:t>
      </w:r>
      <w:r>
        <w:rPr>
          <w:spacing w:val="-1"/>
          <w:sz w:val="20"/>
        </w:rPr>
        <w:t> </w:t>
      </w:r>
      <w:r>
        <w:rPr>
          <w:sz w:val="20"/>
        </w:rPr>
        <w:t>general</w:t>
      </w:r>
      <w:r>
        <w:rPr>
          <w:spacing w:val="-1"/>
          <w:sz w:val="20"/>
        </w:rPr>
        <w:t> </w:t>
      </w:r>
      <w:r>
        <w:rPr>
          <w:sz w:val="20"/>
        </w:rPr>
        <w:t>conditions</w:t>
      </w:r>
      <w:r>
        <w:rPr>
          <w:spacing w:val="-1"/>
          <w:sz w:val="20"/>
        </w:rPr>
        <w:t> </w:t>
      </w:r>
      <w:r>
        <w:rPr>
          <w:sz w:val="20"/>
        </w:rPr>
        <w:t>in</w:t>
      </w:r>
      <w:r>
        <w:rPr>
          <w:spacing w:val="-1"/>
          <w:sz w:val="20"/>
        </w:rPr>
        <w:t> </w:t>
      </w:r>
      <w:r>
        <w:rPr>
          <w:sz w:val="20"/>
        </w:rPr>
        <w:t>an</w:t>
      </w:r>
      <w:r>
        <w:rPr>
          <w:spacing w:val="-1"/>
          <w:sz w:val="20"/>
        </w:rPr>
        <w:t> </w:t>
      </w:r>
      <w:r>
        <w:rPr>
          <w:sz w:val="20"/>
        </w:rPr>
        <w:t>order</w:t>
      </w:r>
      <w:r>
        <w:rPr>
          <w:spacing w:val="-1"/>
          <w:sz w:val="20"/>
        </w:rPr>
        <w:t> </w:t>
      </w:r>
      <w:r>
        <w:rPr>
          <w:sz w:val="20"/>
        </w:rPr>
        <w:t>form</w:t>
      </w:r>
      <w:r>
        <w:rPr>
          <w:spacing w:val="-1"/>
          <w:sz w:val="20"/>
        </w:rPr>
        <w:t> </w:t>
      </w:r>
      <w:r>
        <w:rPr>
          <w:sz w:val="20"/>
        </w:rPr>
        <w:t>sent</w:t>
      </w:r>
      <w:r>
        <w:rPr>
          <w:spacing w:val="-1"/>
          <w:sz w:val="20"/>
        </w:rPr>
        <w:t> </w:t>
      </w:r>
      <w:r>
        <w:rPr>
          <w:sz w:val="20"/>
        </w:rPr>
        <w:t>by</w:t>
      </w:r>
      <w:r>
        <w:rPr>
          <w:spacing w:val="-1"/>
          <w:sz w:val="20"/>
        </w:rPr>
        <w:t> </w:t>
      </w:r>
      <w:r>
        <w:rPr>
          <w:sz w:val="20"/>
        </w:rPr>
        <w:t>the</w:t>
      </w:r>
      <w:r>
        <w:rPr>
          <w:spacing w:val="-1"/>
          <w:sz w:val="20"/>
        </w:rPr>
        <w:t> </w:t>
      </w:r>
      <w:r>
        <w:rPr>
          <w:sz w:val="20"/>
        </w:rPr>
        <w:t>buyer to the seller contained a Hungarian arbitration and choice of law clause, while the seller in an email message to the buyer proposed a variation containing an English choice of law and exclusion jurisdiction clause. This message was held to be a counter-offer (at 49(v)), which the buyer had accepted by “performance”, i.e. presumably by taking delivery of the goods. For further proceedings in this case, see </w:t>
      </w:r>
      <w:r>
        <w:rPr>
          <w:rFonts w:ascii="Arial" w:hAnsi="Arial"/>
          <w:i/>
          <w:sz w:val="20"/>
        </w:rPr>
        <w:t>[2011] EWHC 345, [2011] 2 All E.R. (Comm) 128</w:t>
      </w:r>
      <w:r>
        <w:rPr>
          <w:sz w:val="20"/>
        </w:rPr>
        <w:t>.</w:t>
      </w:r>
    </w:p>
    <w:p>
      <w:pPr>
        <w:pStyle w:val="BodyText"/>
        <w:spacing w:before="3"/>
      </w:pPr>
    </w:p>
    <w:p>
      <w:pPr>
        <w:tabs>
          <w:tab w:pos="705" w:val="left" w:leader="none"/>
        </w:tabs>
        <w:spacing w:before="0"/>
        <w:ind w:left="165" w:right="0" w:firstLine="0"/>
        <w:jc w:val="left"/>
        <w:rPr>
          <w:sz w:val="20"/>
        </w:rPr>
      </w:pPr>
      <w:bookmarkStart w:name="_bookmark401" w:id="403"/>
      <w:bookmarkEnd w:id="403"/>
      <w:r>
        <w:rPr/>
      </w:r>
      <w:hyperlink w:history="true" w:anchor="_bookmark311">
        <w:r>
          <w:rPr>
            <w:color w:val="005DA1"/>
            <w:spacing w:val="-4"/>
            <w:position w:val="5"/>
            <w:sz w:val="14"/>
            <w:u w:val="single" w:color="005DA1"/>
          </w:rPr>
          <w:t>188</w:t>
        </w:r>
      </w:hyperlink>
      <w:r>
        <w:rPr>
          <w:spacing w:val="-4"/>
          <w:position w:val="5"/>
          <w:sz w:val="14"/>
        </w:rPr>
        <w:t>.</w:t>
      </w:r>
      <w:r>
        <w:rPr>
          <w:position w:val="5"/>
          <w:sz w:val="14"/>
        </w:rPr>
        <w:tab/>
      </w:r>
      <w:r>
        <w:rPr>
          <w:sz w:val="20"/>
        </w:rPr>
        <w:t>As in</w:t>
      </w:r>
      <w:r>
        <w:rPr>
          <w:spacing w:val="-1"/>
          <w:sz w:val="20"/>
        </w:rPr>
        <w:t> </w:t>
      </w:r>
      <w:r>
        <w:rPr>
          <w:rFonts w:ascii="Arial" w:hAnsi="Arial"/>
          <w:i/>
          <w:sz w:val="20"/>
        </w:rPr>
        <w:t>Zambia Steel &amp; Building Supplies v James Clark &amp; Eaton Ltd [1986] 2 Lloyd’s Rep. </w:t>
      </w:r>
      <w:r>
        <w:rPr>
          <w:rFonts w:ascii="Arial" w:hAnsi="Arial"/>
          <w:i/>
          <w:spacing w:val="-4"/>
          <w:sz w:val="20"/>
        </w:rPr>
        <w:t>225</w:t>
      </w:r>
      <w:r>
        <w:rPr>
          <w:spacing w:val="-4"/>
          <w:sz w:val="20"/>
        </w:rPr>
        <w:t>.</w:t>
      </w:r>
    </w:p>
    <w:p>
      <w:pPr>
        <w:pStyle w:val="BodyText"/>
        <w:spacing w:before="9"/>
      </w:pPr>
    </w:p>
    <w:p>
      <w:pPr>
        <w:spacing w:line="235" w:lineRule="auto" w:before="0"/>
        <w:ind w:left="705" w:right="167" w:hanging="541"/>
        <w:jc w:val="both"/>
        <w:rPr>
          <w:sz w:val="20"/>
        </w:rPr>
      </w:pPr>
      <w:bookmarkStart w:name="_bookmark402" w:id="404"/>
      <w:bookmarkEnd w:id="404"/>
      <w:r>
        <w:rPr/>
      </w:r>
      <w:hyperlink w:history="true" w:anchor="_bookmark312">
        <w:r>
          <w:rPr>
            <w:color w:val="005DA1"/>
            <w:position w:val="5"/>
            <w:sz w:val="14"/>
            <w:u w:val="single" w:color="005DA1"/>
          </w:rPr>
          <w:t>189</w:t>
        </w:r>
      </w:hyperlink>
      <w:r>
        <w:rPr>
          <w:position w:val="5"/>
          <w:sz w:val="14"/>
        </w:rPr>
        <w:t>.</w:t>
      </w:r>
      <w:r>
        <w:rPr>
          <w:spacing w:val="80"/>
          <w:w w:val="150"/>
          <w:position w:val="5"/>
          <w:sz w:val="14"/>
        </w:rPr>
        <w:t> </w:t>
      </w:r>
      <w:r>
        <w:rPr>
          <w:rFonts w:ascii="Arial" w:hAnsi="Arial"/>
          <w:i/>
          <w:sz w:val="20"/>
        </w:rPr>
        <w:t>[2009] EWCA Civ 1209, [2010] 1 Lloyd’s Rep. 357</w:t>
      </w:r>
      <w:r>
        <w:rPr>
          <w:sz w:val="20"/>
        </w:rPr>
        <w:t>, where Dyson L.J. at [23] referred with apparent approval to the “last shot” doctrine as stated in the text above; the case was </w:t>
      </w:r>
      <w:r>
        <w:rPr>
          <w:sz w:val="20"/>
        </w:rPr>
        <w:t>followed on this point in </w:t>
      </w:r>
      <w:r>
        <w:rPr>
          <w:rFonts w:ascii="Arial" w:hAnsi="Arial"/>
          <w:i/>
          <w:sz w:val="20"/>
        </w:rPr>
        <w:t>Trebor Bassett Holdings Ltd v ADT Security Plc [2011] EWHC 1936 (TCC), [2011] B.L.R. 661 </w:t>
      </w:r>
      <w:r>
        <w:rPr>
          <w:sz w:val="20"/>
        </w:rPr>
        <w:t>at [173].</w:t>
      </w:r>
    </w:p>
    <w:p>
      <w:pPr>
        <w:pStyle w:val="BodyText"/>
        <w:spacing w:before="5"/>
      </w:pPr>
    </w:p>
    <w:p>
      <w:pPr>
        <w:tabs>
          <w:tab w:pos="705" w:val="left" w:leader="none"/>
        </w:tabs>
        <w:spacing w:before="0"/>
        <w:ind w:left="165" w:right="0" w:firstLine="0"/>
        <w:jc w:val="left"/>
        <w:rPr>
          <w:sz w:val="20"/>
        </w:rPr>
      </w:pPr>
      <w:bookmarkStart w:name="_bookmark403" w:id="405"/>
      <w:bookmarkEnd w:id="405"/>
      <w:r>
        <w:rPr/>
      </w:r>
      <w:hyperlink w:history="true" w:anchor="_bookmark313">
        <w:r>
          <w:rPr>
            <w:color w:val="005DA1"/>
            <w:spacing w:val="-4"/>
            <w:position w:val="5"/>
            <w:sz w:val="14"/>
            <w:u w:val="single" w:color="005DA1"/>
          </w:rPr>
          <w:t>190</w:t>
        </w:r>
      </w:hyperlink>
      <w:r>
        <w:rPr>
          <w:spacing w:val="-4"/>
          <w:position w:val="5"/>
          <w:sz w:val="14"/>
        </w:rPr>
        <w:t>.</w:t>
      </w:r>
      <w:r>
        <w:rPr>
          <w:position w:val="5"/>
          <w:sz w:val="14"/>
        </w:rPr>
        <w:tab/>
      </w:r>
      <w:r>
        <w:rPr>
          <w:rFonts w:ascii="Arial"/>
          <w:i/>
          <w:sz w:val="20"/>
        </w:rPr>
        <w:t>[2009] EWCA Civ 1209</w:t>
      </w:r>
      <w:r>
        <w:rPr>
          <w:rFonts w:ascii="Arial"/>
          <w:i/>
          <w:spacing w:val="-1"/>
          <w:sz w:val="20"/>
        </w:rPr>
        <w:t> </w:t>
      </w:r>
      <w:r>
        <w:rPr>
          <w:sz w:val="20"/>
        </w:rPr>
        <w:t>at [7]; cf. at </w:t>
      </w:r>
      <w:r>
        <w:rPr>
          <w:spacing w:val="-2"/>
          <w:sz w:val="20"/>
        </w:rPr>
        <w:t>[25].</w:t>
      </w:r>
    </w:p>
    <w:p>
      <w:pPr>
        <w:pStyle w:val="BodyText"/>
        <w:spacing w:before="5"/>
      </w:pPr>
    </w:p>
    <w:p>
      <w:pPr>
        <w:tabs>
          <w:tab w:pos="705" w:val="left" w:leader="none"/>
        </w:tabs>
        <w:spacing w:before="0"/>
        <w:ind w:left="165" w:right="0" w:firstLine="0"/>
        <w:jc w:val="left"/>
        <w:rPr>
          <w:sz w:val="20"/>
        </w:rPr>
      </w:pPr>
      <w:bookmarkStart w:name="_bookmark404" w:id="406"/>
      <w:bookmarkEnd w:id="406"/>
      <w:r>
        <w:rPr/>
      </w:r>
      <w:hyperlink w:history="true" w:anchor="_bookmark314">
        <w:r>
          <w:rPr>
            <w:color w:val="005DA1"/>
            <w:spacing w:val="-4"/>
            <w:position w:val="5"/>
            <w:sz w:val="14"/>
            <w:u w:val="single" w:color="005DA1"/>
          </w:rPr>
          <w:t>191</w:t>
        </w:r>
      </w:hyperlink>
      <w:r>
        <w:rPr>
          <w:spacing w:val="-4"/>
          <w:position w:val="5"/>
          <w:sz w:val="14"/>
        </w:rPr>
        <w:t>.</w:t>
      </w:r>
      <w:r>
        <w:rPr>
          <w:position w:val="5"/>
          <w:sz w:val="14"/>
        </w:rPr>
        <w:tab/>
      </w:r>
      <w:r>
        <w:rPr>
          <w:rFonts w:ascii="Arial"/>
          <w:i/>
          <w:sz w:val="20"/>
        </w:rPr>
        <w:t>[2009] EWCA Civ 1209</w:t>
      </w:r>
      <w:r>
        <w:rPr>
          <w:rFonts w:ascii="Arial"/>
          <w:i/>
          <w:spacing w:val="-1"/>
          <w:sz w:val="20"/>
        </w:rPr>
        <w:t> </w:t>
      </w:r>
      <w:r>
        <w:rPr>
          <w:sz w:val="20"/>
        </w:rPr>
        <w:t>at [9], </w:t>
      </w:r>
      <w:r>
        <w:rPr>
          <w:spacing w:val="-2"/>
          <w:sz w:val="20"/>
        </w:rPr>
        <w:t>[25].</w:t>
      </w:r>
    </w:p>
    <w:p>
      <w:pPr>
        <w:pStyle w:val="BodyText"/>
        <w:spacing w:before="5"/>
      </w:pPr>
    </w:p>
    <w:p>
      <w:pPr>
        <w:tabs>
          <w:tab w:pos="705" w:val="left" w:leader="none"/>
        </w:tabs>
        <w:spacing w:before="0"/>
        <w:ind w:left="165" w:right="0" w:firstLine="0"/>
        <w:jc w:val="left"/>
        <w:rPr>
          <w:sz w:val="20"/>
        </w:rPr>
      </w:pPr>
      <w:bookmarkStart w:name="_bookmark405" w:id="407"/>
      <w:bookmarkEnd w:id="407"/>
      <w:r>
        <w:rPr/>
      </w:r>
      <w:hyperlink w:history="true" w:anchor="_bookmark315">
        <w:r>
          <w:rPr>
            <w:color w:val="005DA1"/>
            <w:spacing w:val="-4"/>
            <w:position w:val="5"/>
            <w:sz w:val="14"/>
            <w:u w:val="single" w:color="005DA1"/>
          </w:rPr>
          <w:t>192</w:t>
        </w:r>
      </w:hyperlink>
      <w:r>
        <w:rPr>
          <w:spacing w:val="-4"/>
          <w:position w:val="5"/>
          <w:sz w:val="14"/>
        </w:rPr>
        <w:t>.</w:t>
      </w:r>
      <w:r>
        <w:rPr>
          <w:position w:val="5"/>
          <w:sz w:val="14"/>
        </w:rPr>
        <w:tab/>
      </w:r>
      <w:r>
        <w:rPr>
          <w:rFonts w:ascii="Arial"/>
          <w:i/>
          <w:sz w:val="20"/>
        </w:rPr>
        <w:t>[2009] EWCA Civ 1209</w:t>
      </w:r>
      <w:r>
        <w:rPr>
          <w:rFonts w:ascii="Arial"/>
          <w:i/>
          <w:spacing w:val="-1"/>
          <w:sz w:val="20"/>
        </w:rPr>
        <w:t> </w:t>
      </w:r>
      <w:r>
        <w:rPr>
          <w:sz w:val="20"/>
        </w:rPr>
        <w:t>at [9], [25], </w:t>
      </w:r>
      <w:r>
        <w:rPr>
          <w:spacing w:val="-2"/>
          <w:sz w:val="20"/>
        </w:rPr>
        <w:t>[39].</w:t>
      </w:r>
    </w:p>
    <w:p>
      <w:pPr>
        <w:pStyle w:val="BodyText"/>
        <w:spacing w:before="5"/>
      </w:pPr>
    </w:p>
    <w:p>
      <w:pPr>
        <w:tabs>
          <w:tab w:pos="705" w:val="left" w:leader="none"/>
        </w:tabs>
        <w:spacing w:before="0"/>
        <w:ind w:left="165" w:right="0" w:firstLine="0"/>
        <w:jc w:val="left"/>
        <w:rPr>
          <w:sz w:val="20"/>
        </w:rPr>
      </w:pPr>
      <w:bookmarkStart w:name="_bookmark406" w:id="408"/>
      <w:bookmarkEnd w:id="408"/>
      <w:r>
        <w:rPr/>
      </w:r>
      <w:hyperlink w:history="true" w:anchor="_bookmark315">
        <w:r>
          <w:rPr>
            <w:color w:val="005DA1"/>
            <w:spacing w:val="-4"/>
            <w:position w:val="5"/>
            <w:sz w:val="14"/>
            <w:u w:val="single" w:color="005DA1"/>
          </w:rPr>
          <w:t>193</w:t>
        </w:r>
      </w:hyperlink>
      <w:r>
        <w:rPr>
          <w:spacing w:val="-4"/>
          <w:position w:val="5"/>
          <w:sz w:val="14"/>
        </w:rPr>
        <w:t>.</w:t>
      </w:r>
      <w:r>
        <w:rPr>
          <w:position w:val="5"/>
          <w:sz w:val="14"/>
        </w:rPr>
        <w:tab/>
      </w:r>
      <w:r>
        <w:rPr>
          <w:rFonts w:ascii="Arial" w:hAnsi="Arial"/>
          <w:i/>
          <w:sz w:val="20"/>
        </w:rPr>
        <w:t>[2009] EWCA Civ 1209</w:t>
      </w:r>
      <w:r>
        <w:rPr>
          <w:rFonts w:ascii="Arial" w:hAnsi="Arial"/>
          <w:i/>
          <w:spacing w:val="-1"/>
          <w:sz w:val="20"/>
        </w:rPr>
        <w:t> </w:t>
      </w:r>
      <w:r>
        <w:rPr>
          <w:sz w:val="20"/>
        </w:rPr>
        <w:t>at [15], applying the test of the parties’ “objective </w:t>
      </w:r>
      <w:r>
        <w:rPr>
          <w:spacing w:val="-2"/>
          <w:sz w:val="20"/>
        </w:rPr>
        <w:t>intention”.</w:t>
      </w:r>
    </w:p>
    <w:p>
      <w:pPr>
        <w:pStyle w:val="BodyText"/>
        <w:spacing w:before="5"/>
      </w:pPr>
    </w:p>
    <w:p>
      <w:pPr>
        <w:tabs>
          <w:tab w:pos="705" w:val="left" w:leader="none"/>
        </w:tabs>
        <w:spacing w:before="0"/>
        <w:ind w:left="165" w:right="0" w:firstLine="0"/>
        <w:jc w:val="left"/>
        <w:rPr>
          <w:sz w:val="20"/>
        </w:rPr>
      </w:pPr>
      <w:bookmarkStart w:name="_bookmark407" w:id="409"/>
      <w:bookmarkEnd w:id="409"/>
      <w:r>
        <w:rPr/>
      </w:r>
      <w:hyperlink w:history="true" w:anchor="_bookmark316">
        <w:r>
          <w:rPr>
            <w:color w:val="005DA1"/>
            <w:spacing w:val="-4"/>
            <w:position w:val="5"/>
            <w:sz w:val="14"/>
            <w:u w:val="single" w:color="005DA1"/>
          </w:rPr>
          <w:t>194</w:t>
        </w:r>
      </w:hyperlink>
      <w:r>
        <w:rPr>
          <w:spacing w:val="-4"/>
          <w:position w:val="5"/>
          <w:sz w:val="14"/>
        </w:rPr>
        <w:t>.</w:t>
      </w:r>
      <w:r>
        <w:rPr>
          <w:position w:val="5"/>
          <w:sz w:val="14"/>
        </w:rPr>
        <w:tab/>
      </w:r>
      <w:r>
        <w:rPr>
          <w:rFonts w:ascii="Arial" w:hAnsi="Arial"/>
          <w:i/>
          <w:sz w:val="20"/>
        </w:rPr>
        <w:t>Sterling Hydraulics Ltd v Dictomatic Ltd [2006] EWHC 2004 (QB), [2007] 1 Lloyd’s Rep. </w:t>
      </w:r>
      <w:r>
        <w:rPr>
          <w:rFonts w:ascii="Arial" w:hAnsi="Arial"/>
          <w:i/>
          <w:spacing w:val="-5"/>
          <w:sz w:val="20"/>
        </w:rPr>
        <w:t>8</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08" w:id="410"/>
      <w:bookmarkEnd w:id="410"/>
      <w:r>
        <w:rPr/>
      </w:r>
      <w:hyperlink w:history="true" w:anchor="_bookmark317">
        <w:r>
          <w:rPr>
            <w:color w:val="005DA1"/>
            <w:spacing w:val="-4"/>
            <w:position w:val="5"/>
            <w:sz w:val="14"/>
            <w:u w:val="single" w:color="005DA1"/>
          </w:rPr>
          <w:t>195</w:t>
        </w:r>
      </w:hyperlink>
      <w:r>
        <w:rPr>
          <w:spacing w:val="-4"/>
          <w:position w:val="5"/>
          <w:sz w:val="14"/>
        </w:rPr>
        <w:t>.</w:t>
      </w:r>
      <w:r>
        <w:rPr>
          <w:position w:val="5"/>
          <w:sz w:val="14"/>
        </w:rPr>
        <w:tab/>
      </w:r>
      <w:r>
        <w:rPr>
          <w:rFonts w:ascii="Arial" w:hAnsi="Arial"/>
          <w:i/>
          <w:sz w:val="20"/>
        </w:rPr>
        <w:t>Transformers and Rectifiers Ltd v Needs Ltd [2015] EWHC 269 (TCC)</w:t>
      </w:r>
      <w:r>
        <w:rPr>
          <w:rFonts w:ascii="Arial" w:hAnsi="Arial"/>
          <w:i/>
          <w:spacing w:val="-1"/>
          <w:sz w:val="20"/>
        </w:rPr>
        <w:t> </w:t>
      </w:r>
      <w:r>
        <w:rPr>
          <w:sz w:val="20"/>
        </w:rPr>
        <w:t>at </w:t>
      </w:r>
      <w:r>
        <w:rPr>
          <w:spacing w:val="-2"/>
          <w:sz w:val="20"/>
        </w:rPr>
        <w:t>[42]–[55].</w:t>
      </w:r>
    </w:p>
    <w:p>
      <w:pPr>
        <w:pStyle w:val="BodyText"/>
        <w:spacing w:before="5"/>
      </w:pPr>
    </w:p>
    <w:p>
      <w:pPr>
        <w:tabs>
          <w:tab w:pos="705" w:val="left" w:leader="none"/>
        </w:tabs>
        <w:spacing w:before="0"/>
        <w:ind w:left="165" w:right="0" w:firstLine="0"/>
        <w:jc w:val="left"/>
        <w:rPr>
          <w:sz w:val="20"/>
        </w:rPr>
      </w:pPr>
      <w:bookmarkStart w:name="_bookmark409" w:id="411"/>
      <w:bookmarkEnd w:id="411"/>
      <w:r>
        <w:rPr/>
      </w:r>
      <w:hyperlink w:history="true" w:anchor="_bookmark318">
        <w:r>
          <w:rPr>
            <w:color w:val="005DA1"/>
            <w:spacing w:val="-4"/>
            <w:position w:val="5"/>
            <w:sz w:val="14"/>
            <w:u w:val="single" w:color="005DA1"/>
          </w:rPr>
          <w:t>196</w:t>
        </w:r>
      </w:hyperlink>
      <w:r>
        <w:rPr>
          <w:spacing w:val="-4"/>
          <w:position w:val="5"/>
          <w:sz w:val="14"/>
        </w:rPr>
        <w:t>.</w:t>
      </w:r>
      <w:r>
        <w:rPr>
          <w:position w:val="5"/>
          <w:sz w:val="14"/>
        </w:rPr>
        <w:tab/>
      </w:r>
      <w:r>
        <w:rPr>
          <w:rFonts w:ascii="Arial"/>
          <w:i/>
          <w:sz w:val="20"/>
        </w:rPr>
        <w:t>John Graham Construction Ltd v FK Lowry Piling Ltd [2015] NIQB </w:t>
      </w:r>
      <w:r>
        <w:rPr>
          <w:rFonts w:ascii="Arial"/>
          <w:i/>
          <w:spacing w:val="-5"/>
          <w:sz w:val="20"/>
        </w:rPr>
        <w:t>40</w:t>
      </w:r>
      <w:r>
        <w:rPr>
          <w:spacing w:val="-5"/>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410" w:id="412"/>
      <w:bookmarkEnd w:id="412"/>
      <w:r>
        <w:rPr/>
      </w:r>
      <w:hyperlink w:history="true" w:anchor="_bookmark319">
        <w:r>
          <w:rPr>
            <w:color w:val="005DA1"/>
            <w:spacing w:val="-4"/>
            <w:position w:val="5"/>
            <w:sz w:val="14"/>
            <w:u w:val="single" w:color="005DA1"/>
          </w:rPr>
          <w:t>197</w:t>
        </w:r>
      </w:hyperlink>
      <w:r>
        <w:rPr>
          <w:spacing w:val="-4"/>
          <w:position w:val="5"/>
          <w:sz w:val="14"/>
        </w:rPr>
        <w:t>.</w:t>
      </w:r>
      <w:r>
        <w:rPr>
          <w:position w:val="5"/>
          <w:sz w:val="14"/>
        </w:rPr>
        <w:tab/>
      </w:r>
      <w:r>
        <w:rPr>
          <w:rFonts w:ascii="Arial"/>
          <w:i/>
          <w:sz w:val="20"/>
        </w:rPr>
        <w:t>[1979]</w:t>
      </w:r>
      <w:r>
        <w:rPr>
          <w:rFonts w:ascii="Arial"/>
          <w:i/>
          <w:spacing w:val="40"/>
          <w:sz w:val="20"/>
        </w:rPr>
        <w:t> </w:t>
      </w:r>
      <w:r>
        <w:rPr>
          <w:rFonts w:ascii="Arial"/>
          <w:i/>
          <w:sz w:val="20"/>
        </w:rPr>
        <w:t>1</w:t>
      </w:r>
      <w:r>
        <w:rPr>
          <w:rFonts w:ascii="Arial"/>
          <w:i/>
          <w:spacing w:val="41"/>
          <w:sz w:val="20"/>
        </w:rPr>
        <w:t> </w:t>
      </w:r>
      <w:r>
        <w:rPr>
          <w:rFonts w:ascii="Arial"/>
          <w:i/>
          <w:sz w:val="20"/>
        </w:rPr>
        <w:t>W.L.R.</w:t>
      </w:r>
      <w:r>
        <w:rPr>
          <w:rFonts w:ascii="Arial"/>
          <w:i/>
          <w:spacing w:val="41"/>
          <w:sz w:val="20"/>
        </w:rPr>
        <w:t> </w:t>
      </w:r>
      <w:r>
        <w:rPr>
          <w:rFonts w:ascii="Arial"/>
          <w:i/>
          <w:sz w:val="20"/>
        </w:rPr>
        <w:t>401</w:t>
      </w:r>
      <w:r>
        <w:rPr>
          <w:sz w:val="20"/>
        </w:rPr>
        <w:t>,</w:t>
      </w:r>
      <w:r>
        <w:rPr>
          <w:spacing w:val="41"/>
          <w:sz w:val="20"/>
        </w:rPr>
        <w:t> </w:t>
      </w:r>
      <w:r>
        <w:rPr>
          <w:sz w:val="20"/>
        </w:rPr>
        <w:t>especially</w:t>
      </w:r>
      <w:r>
        <w:rPr>
          <w:spacing w:val="41"/>
          <w:sz w:val="20"/>
        </w:rPr>
        <w:t> </w:t>
      </w:r>
      <w:r>
        <w:rPr>
          <w:sz w:val="20"/>
        </w:rPr>
        <w:t>at</w:t>
      </w:r>
      <w:r>
        <w:rPr>
          <w:spacing w:val="41"/>
          <w:sz w:val="20"/>
        </w:rPr>
        <w:t> </w:t>
      </w:r>
      <w:r>
        <w:rPr>
          <w:sz w:val="20"/>
        </w:rPr>
        <w:t>405;</w:t>
      </w:r>
      <w:r>
        <w:rPr>
          <w:spacing w:val="41"/>
          <w:sz w:val="20"/>
        </w:rPr>
        <w:t> </w:t>
      </w:r>
      <w:r>
        <w:rPr>
          <w:sz w:val="20"/>
        </w:rPr>
        <w:t>Adams</w:t>
      </w:r>
      <w:r>
        <w:rPr>
          <w:spacing w:val="41"/>
          <w:sz w:val="20"/>
        </w:rPr>
        <w:t> </w:t>
      </w:r>
      <w:r>
        <w:rPr>
          <w:sz w:val="20"/>
        </w:rPr>
        <w:t>(1979)</w:t>
      </w:r>
      <w:r>
        <w:rPr>
          <w:spacing w:val="41"/>
          <w:sz w:val="20"/>
        </w:rPr>
        <w:t> </w:t>
      </w:r>
      <w:r>
        <w:rPr>
          <w:sz w:val="20"/>
        </w:rPr>
        <w:t>94</w:t>
      </w:r>
      <w:r>
        <w:rPr>
          <w:spacing w:val="41"/>
          <w:sz w:val="20"/>
        </w:rPr>
        <w:t> </w:t>
      </w:r>
      <w:r>
        <w:rPr>
          <w:sz w:val="20"/>
        </w:rPr>
        <w:t>L.Q.R.</w:t>
      </w:r>
      <w:r>
        <w:rPr>
          <w:spacing w:val="41"/>
          <w:sz w:val="20"/>
        </w:rPr>
        <w:t> </w:t>
      </w:r>
      <w:r>
        <w:rPr>
          <w:sz w:val="20"/>
        </w:rPr>
        <w:t>481;</w:t>
      </w:r>
      <w:r>
        <w:rPr>
          <w:spacing w:val="41"/>
          <w:sz w:val="20"/>
        </w:rPr>
        <w:t> </w:t>
      </w:r>
      <w:r>
        <w:rPr>
          <w:sz w:val="20"/>
        </w:rPr>
        <w:t>Rawlings</w:t>
      </w:r>
      <w:r>
        <w:rPr>
          <w:spacing w:val="41"/>
          <w:sz w:val="20"/>
        </w:rPr>
        <w:t> </w:t>
      </w:r>
      <w:r>
        <w:rPr>
          <w:sz w:val="20"/>
        </w:rPr>
        <w:t>(1979)</w:t>
      </w:r>
      <w:r>
        <w:rPr>
          <w:spacing w:val="41"/>
          <w:sz w:val="20"/>
        </w:rPr>
        <w:t> </w:t>
      </w:r>
      <w:r>
        <w:rPr>
          <w:spacing w:val="-5"/>
          <w:sz w:val="20"/>
        </w:rPr>
        <w:t>42</w:t>
      </w:r>
    </w:p>
    <w:p>
      <w:pPr>
        <w:pStyle w:val="BodyText"/>
        <w:spacing w:line="227" w:lineRule="exact"/>
        <w:ind w:left="705"/>
      </w:pPr>
      <w:r>
        <w:rPr/>
        <w:t>M.L.R. </w:t>
      </w:r>
      <w:r>
        <w:rPr>
          <w:spacing w:val="-4"/>
        </w:rPr>
        <w:t>715.</w:t>
      </w:r>
    </w:p>
    <w:p>
      <w:pPr>
        <w:pStyle w:val="BodyText"/>
        <w:spacing w:before="5"/>
      </w:pPr>
    </w:p>
    <w:p>
      <w:pPr>
        <w:pStyle w:val="BodyText"/>
        <w:tabs>
          <w:tab w:pos="705" w:val="left" w:leader="none"/>
        </w:tabs>
        <w:ind w:left="165"/>
      </w:pPr>
      <w:bookmarkStart w:name="_bookmark411" w:id="413"/>
      <w:bookmarkEnd w:id="413"/>
      <w:r>
        <w:rPr/>
      </w:r>
      <w:hyperlink w:history="true" w:anchor="_bookmark320">
        <w:r>
          <w:rPr>
            <w:color w:val="005DA1"/>
            <w:spacing w:val="-4"/>
            <w:position w:val="5"/>
            <w:sz w:val="14"/>
            <w:u w:val="single" w:color="005DA1"/>
          </w:rPr>
          <w:t>198</w:t>
        </w:r>
      </w:hyperlink>
      <w:r>
        <w:rPr>
          <w:spacing w:val="-4"/>
          <w:position w:val="5"/>
          <w:sz w:val="14"/>
        </w:rPr>
        <w:t>.</w:t>
      </w:r>
      <w:r>
        <w:rPr>
          <w:position w:val="5"/>
          <w:sz w:val="14"/>
        </w:rPr>
        <w:tab/>
      </w:r>
      <w:r>
        <w:rPr/>
        <w:t>Above, para.2-031 at nn.170 and </w:t>
      </w:r>
      <w:r>
        <w:rPr>
          <w:spacing w:val="-4"/>
        </w:rPr>
        <w:t>171.</w:t>
      </w:r>
    </w:p>
    <w:p>
      <w:pPr>
        <w:pStyle w:val="BodyText"/>
        <w:spacing w:before="9"/>
      </w:pPr>
    </w:p>
    <w:p>
      <w:pPr>
        <w:pStyle w:val="BodyText"/>
        <w:spacing w:line="235" w:lineRule="auto"/>
        <w:ind w:left="705" w:right="167" w:hanging="541"/>
        <w:jc w:val="both"/>
      </w:pPr>
      <w:bookmarkStart w:name="_bookmark412" w:id="414"/>
      <w:bookmarkEnd w:id="414"/>
      <w:r>
        <w:rPr/>
      </w:r>
      <w:hyperlink w:history="true" w:anchor="_bookmark321">
        <w:r>
          <w:rPr>
            <w:color w:val="005DA1"/>
            <w:position w:val="5"/>
            <w:sz w:val="14"/>
            <w:u w:val="single" w:color="005DA1"/>
          </w:rPr>
          <w:t>199</w:t>
        </w:r>
      </w:hyperlink>
      <w:r>
        <w:rPr>
          <w:position w:val="5"/>
          <w:sz w:val="14"/>
        </w:rPr>
        <w:t>.</w:t>
      </w:r>
      <w:r>
        <w:rPr>
          <w:spacing w:val="80"/>
          <w:position w:val="5"/>
          <w:sz w:val="14"/>
        </w:rPr>
        <w:t> </w:t>
      </w:r>
      <w:r>
        <w:rPr/>
        <w:t>Per Lawton and Buckley L.JJ.; Lord Denning, M.R. also uses this analysis, but prefers the alternative approach of considering “the documents … as a whole”: see 405 and cf. </w:t>
      </w:r>
      <w:r>
        <w:rPr/>
        <w:t>above, para.2-027. In the </w:t>
      </w:r>
      <w:r>
        <w:rPr>
          <w:rFonts w:ascii="Arial" w:hAnsi="Arial"/>
          <w:i/>
        </w:rPr>
        <w:t>Tekdata </w:t>
      </w:r>
      <w:r>
        <w:rPr/>
        <w:t>case </w:t>
      </w:r>
      <w:r>
        <w:rPr>
          <w:rFonts w:ascii="Arial" w:hAnsi="Arial"/>
          <w:i/>
        </w:rPr>
        <w:t>[2009] EWCA Civ 1209 </w:t>
      </w:r>
      <w:r>
        <w:rPr/>
        <w:t>(above, n.187) it was “not contended on behalf of [the seller] that there was no contract between it and [the buyer]”; the issue was as to the terms of an admitted contract.</w:t>
      </w:r>
    </w:p>
    <w:p>
      <w:pPr>
        <w:pStyle w:val="BodyText"/>
        <w:spacing w:before="4"/>
      </w:pPr>
    </w:p>
    <w:p>
      <w:pPr>
        <w:pStyle w:val="BodyText"/>
        <w:tabs>
          <w:tab w:pos="705" w:val="left" w:leader="none"/>
        </w:tabs>
        <w:ind w:left="165"/>
      </w:pPr>
      <w:bookmarkStart w:name="_bookmark413" w:id="415"/>
      <w:bookmarkEnd w:id="415"/>
      <w:r>
        <w:rPr/>
      </w:r>
      <w:hyperlink w:history="true" w:anchor="_bookmark322">
        <w:r>
          <w:rPr>
            <w:color w:val="005DA1"/>
            <w:spacing w:val="-4"/>
            <w:position w:val="5"/>
            <w:sz w:val="14"/>
            <w:u w:val="single" w:color="005DA1"/>
          </w:rPr>
          <w:t>200</w:t>
        </w:r>
      </w:hyperlink>
      <w:r>
        <w:rPr>
          <w:spacing w:val="-4"/>
          <w:position w:val="5"/>
          <w:sz w:val="14"/>
        </w:rPr>
        <w:t>.</w:t>
      </w:r>
      <w:r>
        <w:rPr>
          <w:position w:val="5"/>
          <w:sz w:val="14"/>
        </w:rPr>
        <w:tab/>
      </w:r>
      <w:r>
        <w:rPr/>
        <w:t>At</w:t>
      </w:r>
      <w:r>
        <w:rPr>
          <w:spacing w:val="-2"/>
        </w:rPr>
        <w:t> </w:t>
      </w:r>
      <w:r>
        <w:rPr/>
        <w:t>406, per Lawton </w:t>
      </w:r>
      <w:r>
        <w:rPr>
          <w:spacing w:val="-4"/>
        </w:rPr>
        <w:t>L.J.</w:t>
      </w:r>
    </w:p>
    <w:p>
      <w:pPr>
        <w:pStyle w:val="BodyText"/>
        <w:spacing w:before="9"/>
      </w:pPr>
    </w:p>
    <w:p>
      <w:pPr>
        <w:tabs>
          <w:tab w:pos="705" w:val="left" w:leader="none"/>
        </w:tabs>
        <w:spacing w:line="235" w:lineRule="auto" w:before="0"/>
        <w:ind w:left="705" w:right="168" w:hanging="541"/>
        <w:jc w:val="left"/>
        <w:rPr>
          <w:sz w:val="20"/>
        </w:rPr>
      </w:pPr>
      <w:bookmarkStart w:name="_bookmark414" w:id="416"/>
      <w:bookmarkEnd w:id="416"/>
      <w:r>
        <w:rPr/>
      </w:r>
      <w:hyperlink w:history="true" w:anchor="_bookmark323">
        <w:r>
          <w:rPr>
            <w:color w:val="005DA1"/>
            <w:spacing w:val="-4"/>
            <w:position w:val="5"/>
            <w:sz w:val="14"/>
            <w:u w:val="single" w:color="005DA1"/>
          </w:rPr>
          <w:t>201</w:t>
        </w:r>
      </w:hyperlink>
      <w:r>
        <w:rPr>
          <w:spacing w:val="-4"/>
          <w:position w:val="5"/>
          <w:sz w:val="14"/>
        </w:rPr>
        <w:t>.</w:t>
      </w:r>
      <w:r>
        <w:rPr>
          <w:position w:val="5"/>
          <w:sz w:val="14"/>
        </w:rPr>
        <w:tab/>
      </w:r>
      <w:r>
        <w:rPr>
          <w:sz w:val="20"/>
        </w:rPr>
        <w:t>cf.</w:t>
      </w:r>
      <w:r>
        <w:rPr>
          <w:spacing w:val="22"/>
          <w:sz w:val="20"/>
        </w:rPr>
        <w:t> </w:t>
      </w:r>
      <w:r>
        <w:rPr>
          <w:rFonts w:ascii="Arial" w:hAnsi="Arial"/>
          <w:i/>
          <w:sz w:val="20"/>
        </w:rPr>
        <w:t>Matter</w:t>
      </w:r>
      <w:r>
        <w:rPr>
          <w:rFonts w:ascii="Arial" w:hAnsi="Arial"/>
          <w:i/>
          <w:spacing w:val="22"/>
          <w:sz w:val="20"/>
        </w:rPr>
        <w:t> </w:t>
      </w:r>
      <w:r>
        <w:rPr>
          <w:rFonts w:ascii="Arial" w:hAnsi="Arial"/>
          <w:i/>
          <w:sz w:val="20"/>
        </w:rPr>
        <w:t>of</w:t>
      </w:r>
      <w:r>
        <w:rPr>
          <w:rFonts w:ascii="Arial" w:hAnsi="Arial"/>
          <w:i/>
          <w:spacing w:val="22"/>
          <w:sz w:val="20"/>
        </w:rPr>
        <w:t> </w:t>
      </w:r>
      <w:r>
        <w:rPr>
          <w:rFonts w:ascii="Arial" w:hAnsi="Arial"/>
          <w:i/>
          <w:sz w:val="20"/>
        </w:rPr>
        <w:t>Doughboy</w:t>
      </w:r>
      <w:r>
        <w:rPr>
          <w:rFonts w:ascii="Arial" w:hAnsi="Arial"/>
          <w:i/>
          <w:spacing w:val="22"/>
          <w:sz w:val="20"/>
        </w:rPr>
        <w:t> </w:t>
      </w:r>
      <w:r>
        <w:rPr>
          <w:rFonts w:ascii="Arial" w:hAnsi="Arial"/>
          <w:i/>
          <w:sz w:val="20"/>
        </w:rPr>
        <w:t>Industries</w:t>
      </w:r>
      <w:r>
        <w:rPr>
          <w:rFonts w:ascii="Arial" w:hAnsi="Arial"/>
          <w:i/>
          <w:spacing w:val="22"/>
          <w:sz w:val="20"/>
        </w:rPr>
        <w:t> </w:t>
      </w:r>
      <w:r>
        <w:rPr>
          <w:rFonts w:ascii="Arial" w:hAnsi="Arial"/>
          <w:i/>
          <w:sz w:val="20"/>
        </w:rPr>
        <w:t>Inc,</w:t>
      </w:r>
      <w:r>
        <w:rPr>
          <w:rFonts w:ascii="Arial" w:hAnsi="Arial"/>
          <w:i/>
          <w:spacing w:val="22"/>
          <w:sz w:val="20"/>
        </w:rPr>
        <w:t> </w:t>
      </w:r>
      <w:r>
        <w:rPr>
          <w:rFonts w:ascii="Arial" w:hAnsi="Arial"/>
          <w:i/>
          <w:sz w:val="20"/>
        </w:rPr>
        <w:t>233</w:t>
      </w:r>
      <w:r>
        <w:rPr>
          <w:rFonts w:ascii="Arial" w:hAnsi="Arial"/>
          <w:i/>
          <w:spacing w:val="22"/>
          <w:sz w:val="20"/>
        </w:rPr>
        <w:t> </w:t>
      </w:r>
      <w:r>
        <w:rPr>
          <w:rFonts w:ascii="Arial" w:hAnsi="Arial"/>
          <w:i/>
          <w:sz w:val="20"/>
        </w:rPr>
        <w:t>N.Y.S.</w:t>
      </w:r>
      <w:r>
        <w:rPr>
          <w:rFonts w:ascii="Arial" w:hAnsi="Arial"/>
          <w:i/>
          <w:spacing w:val="22"/>
          <w:sz w:val="20"/>
        </w:rPr>
        <w:t> </w:t>
      </w:r>
      <w:r>
        <w:rPr>
          <w:rFonts w:ascii="Arial" w:hAnsi="Arial"/>
          <w:i/>
          <w:sz w:val="20"/>
        </w:rPr>
        <w:t>2d</w:t>
      </w:r>
      <w:r>
        <w:rPr>
          <w:rFonts w:ascii="Arial" w:hAnsi="Arial"/>
          <w:i/>
          <w:spacing w:val="22"/>
          <w:sz w:val="20"/>
        </w:rPr>
        <w:t> </w:t>
      </w:r>
      <w:r>
        <w:rPr>
          <w:rFonts w:ascii="Arial" w:hAnsi="Arial"/>
          <w:i/>
          <w:sz w:val="20"/>
        </w:rPr>
        <w:t>488,</w:t>
      </w:r>
      <w:r>
        <w:rPr>
          <w:rFonts w:ascii="Arial" w:hAnsi="Arial"/>
          <w:i/>
          <w:spacing w:val="22"/>
          <w:sz w:val="20"/>
        </w:rPr>
        <w:t> </w:t>
      </w:r>
      <w:r>
        <w:rPr>
          <w:rFonts w:ascii="Arial" w:hAnsi="Arial"/>
          <w:i/>
          <w:sz w:val="20"/>
        </w:rPr>
        <w:t>490</w:t>
      </w:r>
      <w:r>
        <w:rPr>
          <w:rFonts w:ascii="Arial" w:hAnsi="Arial"/>
          <w:i/>
          <w:spacing w:val="22"/>
          <w:sz w:val="20"/>
        </w:rPr>
        <w:t> </w:t>
      </w:r>
      <w:r>
        <w:rPr>
          <w:rFonts w:ascii="Arial" w:hAnsi="Arial"/>
          <w:i/>
          <w:sz w:val="20"/>
        </w:rPr>
        <w:t>(1962)</w:t>
      </w:r>
      <w:r>
        <w:rPr>
          <w:sz w:val="20"/>
        </w:rPr>
        <w:t>:</w:t>
      </w:r>
      <w:r>
        <w:rPr>
          <w:spacing w:val="22"/>
          <w:sz w:val="20"/>
        </w:rPr>
        <w:t> </w:t>
      </w:r>
      <w:r>
        <w:rPr>
          <w:sz w:val="20"/>
        </w:rPr>
        <w:t>“The</w:t>
      </w:r>
      <w:r>
        <w:rPr>
          <w:spacing w:val="22"/>
          <w:sz w:val="20"/>
        </w:rPr>
        <w:t> </w:t>
      </w:r>
      <w:r>
        <w:rPr>
          <w:sz w:val="20"/>
        </w:rPr>
        <w:t>buyer</w:t>
      </w:r>
      <w:r>
        <w:rPr>
          <w:spacing w:val="22"/>
          <w:sz w:val="20"/>
        </w:rPr>
        <w:t> </w:t>
      </w:r>
      <w:r>
        <w:rPr>
          <w:sz w:val="20"/>
        </w:rPr>
        <w:t>and</w:t>
      </w:r>
      <w:r>
        <w:rPr>
          <w:spacing w:val="22"/>
          <w:sz w:val="20"/>
        </w:rPr>
        <w:t> </w:t>
      </w:r>
      <w:r>
        <w:rPr>
          <w:sz w:val="20"/>
        </w:rPr>
        <w:t>seller accomplished a legal equivalent to the irresistible force colliding with the immoveable object.”</w:t>
      </w:r>
    </w:p>
    <w:p>
      <w:pPr>
        <w:pStyle w:val="BodyText"/>
        <w:spacing w:before="9"/>
      </w:pPr>
    </w:p>
    <w:p>
      <w:pPr>
        <w:tabs>
          <w:tab w:pos="705" w:val="left" w:leader="none"/>
        </w:tabs>
        <w:spacing w:line="235" w:lineRule="auto" w:before="0"/>
        <w:ind w:left="705" w:right="168" w:hanging="541"/>
        <w:jc w:val="left"/>
        <w:rPr>
          <w:sz w:val="20"/>
        </w:rPr>
      </w:pPr>
      <w:bookmarkStart w:name="_bookmark415" w:id="417"/>
      <w:bookmarkEnd w:id="417"/>
      <w:r>
        <w:rPr/>
      </w:r>
      <w:hyperlink w:history="true" w:anchor="_bookmark324">
        <w:r>
          <w:rPr>
            <w:color w:val="005DA1"/>
            <w:spacing w:val="-4"/>
            <w:position w:val="5"/>
            <w:sz w:val="14"/>
            <w:u w:val="single" w:color="005DA1"/>
          </w:rPr>
          <w:t>202</w:t>
        </w:r>
      </w:hyperlink>
      <w:r>
        <w:rPr>
          <w:spacing w:val="-4"/>
          <w:position w:val="5"/>
          <w:sz w:val="14"/>
        </w:rPr>
        <w:t>.</w:t>
      </w:r>
      <w:r>
        <w:rPr>
          <w:position w:val="5"/>
          <w:sz w:val="14"/>
        </w:rPr>
        <w:tab/>
      </w:r>
      <w:r>
        <w:rPr>
          <w:sz w:val="20"/>
        </w:rPr>
        <w:t>It seems to have been rejected for this reason in </w:t>
      </w:r>
      <w:r>
        <w:rPr>
          <w:rFonts w:ascii="Arial" w:hAnsi="Arial"/>
          <w:i/>
          <w:sz w:val="20"/>
        </w:rPr>
        <w:t>Johnson Matthey Bankers Ltd v State Trading Corp of India [1984] 1 Lloyd’s Rep. 427</w:t>
      </w:r>
      <w:r>
        <w:rPr>
          <w:sz w:val="20"/>
        </w:rPr>
        <w:t>.</w:t>
      </w:r>
    </w:p>
    <w:p>
      <w:pPr>
        <w:pStyle w:val="BodyText"/>
        <w:spacing w:before="10"/>
      </w:pPr>
    </w:p>
    <w:p>
      <w:pPr>
        <w:tabs>
          <w:tab w:pos="705" w:val="left" w:leader="none"/>
        </w:tabs>
        <w:spacing w:line="235" w:lineRule="auto" w:before="0"/>
        <w:ind w:left="705" w:right="168" w:hanging="541"/>
        <w:jc w:val="left"/>
        <w:rPr>
          <w:sz w:val="20"/>
        </w:rPr>
      </w:pPr>
      <w:bookmarkStart w:name="_bookmark416" w:id="418"/>
      <w:bookmarkEnd w:id="418"/>
      <w:r>
        <w:rPr/>
      </w:r>
      <w:hyperlink w:history="true" w:anchor="_bookmark325">
        <w:r>
          <w:rPr>
            <w:color w:val="005DA1"/>
            <w:spacing w:val="-4"/>
            <w:position w:val="5"/>
            <w:sz w:val="14"/>
            <w:u w:val="single" w:color="005DA1"/>
          </w:rPr>
          <w:t>203</w:t>
        </w:r>
      </w:hyperlink>
      <w:r>
        <w:rPr>
          <w:spacing w:val="-4"/>
          <w:position w:val="5"/>
          <w:sz w:val="14"/>
        </w:rPr>
        <w:t>.</w:t>
      </w:r>
      <w:r>
        <w:rPr>
          <w:position w:val="5"/>
          <w:sz w:val="14"/>
        </w:rPr>
        <w:tab/>
      </w:r>
      <w:r>
        <w:rPr>
          <w:sz w:val="20"/>
        </w:rPr>
        <w:t>cf.</w:t>
      </w:r>
      <w:r>
        <w:rPr>
          <w:spacing w:val="20"/>
          <w:sz w:val="20"/>
        </w:rPr>
        <w:t> </w:t>
      </w:r>
      <w:r>
        <w:rPr>
          <w:rFonts w:ascii="Arial" w:hAnsi="Arial"/>
          <w:i/>
          <w:sz w:val="20"/>
        </w:rPr>
        <w:t>Peter</w:t>
      </w:r>
      <w:r>
        <w:rPr>
          <w:rFonts w:ascii="Arial" w:hAnsi="Arial"/>
          <w:i/>
          <w:spacing w:val="20"/>
          <w:sz w:val="20"/>
        </w:rPr>
        <w:t> </w:t>
      </w:r>
      <w:r>
        <w:rPr>
          <w:rFonts w:ascii="Arial" w:hAnsi="Arial"/>
          <w:i/>
          <w:sz w:val="20"/>
        </w:rPr>
        <w:t>Lind</w:t>
      </w:r>
      <w:r>
        <w:rPr>
          <w:rFonts w:ascii="Arial" w:hAnsi="Arial"/>
          <w:i/>
          <w:spacing w:val="20"/>
          <w:sz w:val="20"/>
        </w:rPr>
        <w:t> </w:t>
      </w:r>
      <w:r>
        <w:rPr>
          <w:rFonts w:ascii="Arial" w:hAnsi="Arial"/>
          <w:i/>
          <w:sz w:val="20"/>
        </w:rPr>
        <w:t>&amp;</w:t>
      </w:r>
      <w:r>
        <w:rPr>
          <w:rFonts w:ascii="Arial" w:hAnsi="Arial"/>
          <w:i/>
          <w:spacing w:val="20"/>
          <w:sz w:val="20"/>
        </w:rPr>
        <w:t> </w:t>
      </w:r>
      <w:r>
        <w:rPr>
          <w:rFonts w:ascii="Arial" w:hAnsi="Arial"/>
          <w:i/>
          <w:sz w:val="20"/>
        </w:rPr>
        <w:t>Co</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Mersey</w:t>
      </w:r>
      <w:r>
        <w:rPr>
          <w:rFonts w:ascii="Arial" w:hAnsi="Arial"/>
          <w:i/>
          <w:spacing w:val="20"/>
          <w:sz w:val="20"/>
        </w:rPr>
        <w:t> </w:t>
      </w:r>
      <w:r>
        <w:rPr>
          <w:rFonts w:ascii="Arial" w:hAnsi="Arial"/>
          <w:i/>
          <w:sz w:val="20"/>
        </w:rPr>
        <w:t>Docks</w:t>
      </w:r>
      <w:r>
        <w:rPr>
          <w:rFonts w:ascii="Arial" w:hAnsi="Arial"/>
          <w:i/>
          <w:spacing w:val="20"/>
          <w:sz w:val="20"/>
        </w:rPr>
        <w:t> </w:t>
      </w:r>
      <w:r>
        <w:rPr>
          <w:rFonts w:ascii="Arial" w:hAnsi="Arial"/>
          <w:i/>
          <w:sz w:val="20"/>
        </w:rPr>
        <w:t>&amp;</w:t>
      </w:r>
      <w:r>
        <w:rPr>
          <w:rFonts w:ascii="Arial" w:hAnsi="Arial"/>
          <w:i/>
          <w:spacing w:val="20"/>
          <w:sz w:val="20"/>
        </w:rPr>
        <w:t> </w:t>
      </w:r>
      <w:r>
        <w:rPr>
          <w:rFonts w:ascii="Arial" w:hAnsi="Arial"/>
          <w:i/>
          <w:sz w:val="20"/>
        </w:rPr>
        <w:t>Harbour</w:t>
      </w:r>
      <w:r>
        <w:rPr>
          <w:rFonts w:ascii="Arial" w:hAnsi="Arial"/>
          <w:i/>
          <w:spacing w:val="20"/>
          <w:sz w:val="20"/>
        </w:rPr>
        <w:t> </w:t>
      </w:r>
      <w:r>
        <w:rPr>
          <w:rFonts w:ascii="Arial" w:hAnsi="Arial"/>
          <w:i/>
          <w:sz w:val="20"/>
        </w:rPr>
        <w:t>Board</w:t>
      </w:r>
      <w:r>
        <w:rPr>
          <w:rFonts w:ascii="Arial" w:hAnsi="Arial"/>
          <w:i/>
          <w:spacing w:val="20"/>
          <w:sz w:val="20"/>
        </w:rPr>
        <w:t> </w:t>
      </w:r>
      <w:r>
        <w:rPr>
          <w:rFonts w:ascii="Arial" w:hAnsi="Arial"/>
          <w:i/>
          <w:sz w:val="20"/>
        </w:rPr>
        <w:t>[1972]</w:t>
      </w:r>
      <w:r>
        <w:rPr>
          <w:rFonts w:ascii="Arial" w:hAnsi="Arial"/>
          <w:i/>
          <w:spacing w:val="20"/>
          <w:sz w:val="20"/>
        </w:rPr>
        <w:t> </w:t>
      </w:r>
      <w:r>
        <w:rPr>
          <w:rFonts w:ascii="Arial" w:hAnsi="Arial"/>
          <w:i/>
          <w:sz w:val="20"/>
        </w:rPr>
        <w:t>2</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234</w:t>
      </w:r>
      <w:r>
        <w:rPr>
          <w:sz w:val="20"/>
        </w:rPr>
        <w:t>,</w:t>
      </w:r>
      <w:r>
        <w:rPr>
          <w:spacing w:val="20"/>
          <w:sz w:val="20"/>
        </w:rPr>
        <w:t> </w:t>
      </w:r>
      <w:r>
        <w:rPr>
          <w:sz w:val="20"/>
        </w:rPr>
        <w:t>above, para.2-026; McKendrick (1988) 8 O.J.L.S. 197. See below para.2-196.</w:t>
      </w:r>
    </w:p>
    <w:p>
      <w:pPr>
        <w:pStyle w:val="BodyText"/>
        <w:spacing w:before="5"/>
      </w:pPr>
    </w:p>
    <w:p>
      <w:pPr>
        <w:tabs>
          <w:tab w:pos="705" w:val="left" w:leader="none"/>
        </w:tabs>
        <w:spacing w:before="0"/>
        <w:ind w:left="165" w:right="0" w:firstLine="0"/>
        <w:jc w:val="left"/>
        <w:rPr>
          <w:sz w:val="20"/>
        </w:rPr>
      </w:pPr>
      <w:bookmarkStart w:name="_bookmark417" w:id="419"/>
      <w:bookmarkEnd w:id="419"/>
      <w:r>
        <w:rPr/>
      </w:r>
      <w:hyperlink w:history="true" w:anchor="_bookmark326">
        <w:r>
          <w:rPr>
            <w:color w:val="005DA1"/>
            <w:spacing w:val="-4"/>
            <w:position w:val="5"/>
            <w:sz w:val="14"/>
            <w:u w:val="single" w:color="005DA1"/>
          </w:rPr>
          <w:t>204</w:t>
        </w:r>
      </w:hyperlink>
      <w:r>
        <w:rPr>
          <w:spacing w:val="-4"/>
          <w:position w:val="5"/>
          <w:sz w:val="14"/>
        </w:rPr>
        <w:t>.</w:t>
      </w:r>
      <w:r>
        <w:rPr>
          <w:position w:val="5"/>
          <w:sz w:val="14"/>
        </w:rPr>
        <w:tab/>
      </w:r>
      <w:r>
        <w:rPr>
          <w:rFonts w:ascii="Arial" w:hAnsi="Arial"/>
          <w:i/>
          <w:sz w:val="20"/>
        </w:rPr>
        <w:t>Jayaar</w:t>
      </w:r>
      <w:r>
        <w:rPr>
          <w:rFonts w:ascii="Arial" w:hAnsi="Arial"/>
          <w:i/>
          <w:spacing w:val="-1"/>
          <w:sz w:val="20"/>
        </w:rPr>
        <w:t> </w:t>
      </w:r>
      <w:r>
        <w:rPr>
          <w:rFonts w:ascii="Arial" w:hAnsi="Arial"/>
          <w:i/>
          <w:sz w:val="20"/>
        </w:rPr>
        <w:t>Impex Ltd v Toaken Group Ltd [1996] 2 Lloyd’s Rep. 437</w:t>
      </w:r>
      <w:r>
        <w:rPr>
          <w:sz w:val="20"/>
        </w:rPr>
        <w:t>; cf. below, para.2-</w:t>
      </w:r>
      <w:r>
        <w:rPr>
          <w:spacing w:val="-4"/>
          <w:sz w:val="20"/>
        </w:rPr>
        <w:t>123.</w:t>
      </w:r>
    </w:p>
    <w:p>
      <w:pPr>
        <w:pStyle w:val="BodyText"/>
        <w:spacing w:before="5"/>
      </w:pPr>
    </w:p>
    <w:p>
      <w:pPr>
        <w:tabs>
          <w:tab w:pos="705" w:val="left" w:leader="none"/>
        </w:tabs>
        <w:spacing w:before="0"/>
        <w:ind w:left="165" w:right="0" w:firstLine="0"/>
        <w:jc w:val="left"/>
        <w:rPr>
          <w:sz w:val="20"/>
        </w:rPr>
      </w:pPr>
      <w:bookmarkStart w:name="_bookmark418" w:id="420"/>
      <w:bookmarkEnd w:id="420"/>
      <w:r>
        <w:rPr/>
      </w:r>
      <w:hyperlink w:history="true" w:anchor="_bookmark327">
        <w:r>
          <w:rPr>
            <w:color w:val="005DA1"/>
            <w:spacing w:val="-4"/>
            <w:position w:val="5"/>
            <w:sz w:val="14"/>
            <w:u w:val="single" w:color="005DA1"/>
          </w:rPr>
          <w:t>205</w:t>
        </w:r>
      </w:hyperlink>
      <w:r>
        <w:rPr>
          <w:spacing w:val="-4"/>
          <w:position w:val="5"/>
          <w:sz w:val="14"/>
        </w:rPr>
        <w:t>.</w:t>
      </w:r>
      <w:r>
        <w:rPr>
          <w:position w:val="5"/>
          <w:sz w:val="14"/>
        </w:rPr>
        <w:tab/>
      </w:r>
      <w:r>
        <w:rPr>
          <w:sz w:val="20"/>
        </w:rPr>
        <w:t>Above, para.2-</w:t>
      </w:r>
      <w:r>
        <w:rPr>
          <w:spacing w:val="-4"/>
          <w:sz w:val="20"/>
        </w:rPr>
        <w:t>022.</w:t>
      </w:r>
    </w:p>
    <w:p>
      <w:pPr>
        <w:pStyle w:val="BodyText"/>
        <w:spacing w:before="5"/>
      </w:pPr>
    </w:p>
    <w:p>
      <w:pPr>
        <w:tabs>
          <w:tab w:pos="705" w:val="left" w:leader="none"/>
        </w:tabs>
        <w:spacing w:before="0"/>
        <w:ind w:left="165" w:right="0" w:firstLine="0"/>
        <w:jc w:val="left"/>
        <w:rPr>
          <w:sz w:val="20"/>
        </w:rPr>
      </w:pPr>
      <w:bookmarkStart w:name="_bookmark419" w:id="421"/>
      <w:bookmarkEnd w:id="421"/>
      <w:r>
        <w:rPr/>
      </w:r>
      <w:hyperlink w:history="true" w:anchor="_bookmark328">
        <w:r>
          <w:rPr>
            <w:color w:val="005DA1"/>
            <w:spacing w:val="-4"/>
            <w:position w:val="5"/>
            <w:sz w:val="14"/>
            <w:u w:val="single" w:color="005DA1"/>
          </w:rPr>
          <w:t>206</w:t>
        </w:r>
      </w:hyperlink>
      <w:r>
        <w:rPr>
          <w:spacing w:val="-4"/>
          <w:position w:val="5"/>
          <w:sz w:val="14"/>
        </w:rPr>
        <w:t>.</w:t>
      </w:r>
      <w:r>
        <w:rPr>
          <w:position w:val="5"/>
          <w:sz w:val="14"/>
        </w:rPr>
        <w:tab/>
      </w:r>
      <w:r>
        <w:rPr>
          <w:sz w:val="20"/>
        </w:rPr>
        <w:t>Below, para.2-</w:t>
      </w:r>
      <w:r>
        <w:rPr>
          <w:spacing w:val="-4"/>
          <w:sz w:val="20"/>
        </w:rPr>
        <w:t>123.</w:t>
      </w:r>
    </w:p>
    <w:p>
      <w:pPr>
        <w:pStyle w:val="BodyText"/>
        <w:spacing w:before="5"/>
      </w:pPr>
    </w:p>
    <w:p>
      <w:pPr>
        <w:tabs>
          <w:tab w:pos="705" w:val="left" w:leader="none"/>
        </w:tabs>
        <w:spacing w:before="0"/>
        <w:ind w:left="165" w:right="0" w:firstLine="0"/>
        <w:jc w:val="left"/>
        <w:rPr>
          <w:sz w:val="20"/>
        </w:rPr>
      </w:pPr>
      <w:bookmarkStart w:name="_bookmark420" w:id="422"/>
      <w:bookmarkEnd w:id="422"/>
      <w:r>
        <w:rPr/>
      </w:r>
      <w:hyperlink w:history="true" w:anchor="_bookmark329">
        <w:r>
          <w:rPr>
            <w:color w:val="005DA1"/>
            <w:spacing w:val="-4"/>
            <w:position w:val="5"/>
            <w:sz w:val="14"/>
            <w:u w:val="single" w:color="005DA1"/>
          </w:rPr>
          <w:t>207</w:t>
        </w:r>
      </w:hyperlink>
      <w:r>
        <w:rPr>
          <w:spacing w:val="-4"/>
          <w:position w:val="5"/>
          <w:sz w:val="14"/>
        </w:rPr>
        <w:t>.</w:t>
      </w:r>
      <w:r>
        <w:rPr>
          <w:position w:val="5"/>
          <w:sz w:val="14"/>
        </w:rPr>
        <w:tab/>
      </w:r>
      <w:r>
        <w:rPr>
          <w:rFonts w:ascii="Arial"/>
          <w:i/>
          <w:sz w:val="20"/>
        </w:rPr>
        <w:t>Percival Ltd v L.C.C. Asylums, etc., Committee (1918) 87 L.J.K.B. </w:t>
      </w:r>
      <w:r>
        <w:rPr>
          <w:rFonts w:ascii="Arial"/>
          <w:i/>
          <w:spacing w:val="-4"/>
          <w:sz w:val="20"/>
        </w:rPr>
        <w:t>677</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330">
        <w:r>
          <w:rPr>
            <w:color w:val="005DA1"/>
            <w:spacing w:val="-4"/>
            <w:position w:val="5"/>
            <w:sz w:val="14"/>
            <w:u w:val="single" w:color="005DA1"/>
          </w:rPr>
          <w:t>208</w:t>
        </w:r>
      </w:hyperlink>
      <w:r>
        <w:rPr>
          <w:spacing w:val="-4"/>
          <w:position w:val="5"/>
          <w:sz w:val="14"/>
        </w:rPr>
        <w:t>.</w:t>
      </w:r>
      <w:r>
        <w:rPr>
          <w:position w:val="5"/>
          <w:sz w:val="14"/>
        </w:rPr>
        <w:tab/>
      </w:r>
      <w:r>
        <w:rPr>
          <w:sz w:val="20"/>
        </w:rPr>
        <w:t>cf.</w:t>
      </w:r>
      <w:r>
        <w:rPr>
          <w:spacing w:val="-1"/>
          <w:sz w:val="20"/>
        </w:rPr>
        <w:t> </w:t>
      </w:r>
      <w:r>
        <w:rPr>
          <w:rFonts w:ascii="Arial"/>
          <w:i/>
          <w:sz w:val="20"/>
        </w:rPr>
        <w:t>Churchward v R. (1865) L.R. 1 Q.B. 173</w:t>
      </w:r>
      <w:r>
        <w:rPr>
          <w:sz w:val="20"/>
        </w:rPr>
        <w:t>; </w:t>
      </w:r>
      <w:r>
        <w:rPr>
          <w:rFonts w:ascii="Arial"/>
          <w:i/>
          <w:sz w:val="20"/>
        </w:rPr>
        <w:t>R. v Demers [1900] A.C. </w:t>
      </w:r>
      <w:r>
        <w:rPr>
          <w:rFonts w:ascii="Arial"/>
          <w:i/>
          <w:spacing w:val="-4"/>
          <w:sz w:val="20"/>
        </w:rPr>
        <w:t>103</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421" w:id="423"/>
      <w:bookmarkEnd w:id="423"/>
      <w:r>
        <w:rPr/>
      </w:r>
      <w:hyperlink w:history="true" w:anchor="_bookmark331">
        <w:r>
          <w:rPr>
            <w:color w:val="005DA1"/>
            <w:spacing w:val="-4"/>
            <w:position w:val="5"/>
            <w:sz w:val="14"/>
            <w:u w:val="single" w:color="005DA1"/>
          </w:rPr>
          <w:t>209</w:t>
        </w:r>
      </w:hyperlink>
      <w:r>
        <w:rPr>
          <w:spacing w:val="-4"/>
          <w:position w:val="5"/>
          <w:sz w:val="14"/>
        </w:rPr>
        <w:t>.</w:t>
      </w:r>
      <w:r>
        <w:rPr>
          <w:position w:val="5"/>
          <w:sz w:val="14"/>
        </w:rPr>
        <w:tab/>
      </w:r>
      <w:r>
        <w:rPr>
          <w:sz w:val="20"/>
        </w:rPr>
        <w:t>e.g.</w:t>
      </w:r>
      <w:r>
        <w:rPr>
          <w:spacing w:val="-2"/>
          <w:sz w:val="20"/>
        </w:rPr>
        <w:t> </w:t>
      </w:r>
      <w:r>
        <w:rPr>
          <w:rFonts w:ascii="Arial"/>
          <w:i/>
          <w:sz w:val="20"/>
        </w:rPr>
        <w:t>Sylvan Crest Sand &amp; Gravel Co v US, 150 F.2d 642 </w:t>
      </w:r>
      <w:r>
        <w:rPr>
          <w:rFonts w:ascii="Arial"/>
          <w:i/>
          <w:spacing w:val="-2"/>
          <w:sz w:val="20"/>
        </w:rPr>
        <w:t>(1945)</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422" w:id="424"/>
      <w:bookmarkEnd w:id="424"/>
      <w:r>
        <w:rPr/>
      </w:r>
      <w:hyperlink w:history="true" w:anchor="_bookmark331">
        <w:r>
          <w:rPr>
            <w:color w:val="005DA1"/>
            <w:spacing w:val="-4"/>
            <w:position w:val="5"/>
            <w:sz w:val="14"/>
            <w:u w:val="single" w:color="005DA1"/>
          </w:rPr>
          <w:t>210</w:t>
        </w:r>
      </w:hyperlink>
      <w:r>
        <w:rPr>
          <w:spacing w:val="-4"/>
          <w:position w:val="5"/>
          <w:sz w:val="14"/>
        </w:rPr>
        <w:t>.</w:t>
      </w:r>
      <w:r>
        <w:rPr>
          <w:position w:val="5"/>
          <w:sz w:val="14"/>
        </w:rPr>
        <w:tab/>
      </w:r>
      <w:r>
        <w:rPr>
          <w:sz w:val="20"/>
        </w:rPr>
        <w:t>cf. </w:t>
      </w:r>
      <w:r>
        <w:rPr>
          <w:rFonts w:ascii="Arial"/>
          <w:i/>
          <w:sz w:val="20"/>
        </w:rPr>
        <w:t>Harvela Investments Ltd v Royal Trust Co of Canada (C.I.) Ltd [1986] A.C. </w:t>
      </w:r>
      <w:r>
        <w:rPr>
          <w:rFonts w:ascii="Arial"/>
          <w:i/>
          <w:spacing w:val="-4"/>
          <w:sz w:val="20"/>
        </w:rPr>
        <w:t>207</w:t>
      </w:r>
      <w:r>
        <w:rPr>
          <w:spacing w:val="-4"/>
          <w:sz w:val="20"/>
        </w:rPr>
        <w:t>.</w:t>
      </w:r>
    </w:p>
    <w:p>
      <w:pPr>
        <w:pStyle w:val="BodyText"/>
        <w:spacing w:before="8"/>
      </w:pPr>
    </w:p>
    <w:p>
      <w:pPr>
        <w:spacing w:line="235" w:lineRule="auto" w:before="0"/>
        <w:ind w:left="705" w:right="168" w:hanging="541"/>
        <w:jc w:val="both"/>
        <w:rPr>
          <w:sz w:val="20"/>
        </w:rPr>
      </w:pPr>
      <w:bookmarkStart w:name="_bookmark423" w:id="425"/>
      <w:bookmarkEnd w:id="425"/>
      <w:r>
        <w:rPr/>
      </w:r>
      <w:hyperlink w:history="true" w:anchor="_bookmark332">
        <w:r>
          <w:rPr>
            <w:color w:val="005DA1"/>
            <w:position w:val="5"/>
            <w:sz w:val="14"/>
            <w:u w:val="single" w:color="005DA1"/>
          </w:rPr>
          <w:t>211</w:t>
        </w:r>
      </w:hyperlink>
      <w:r>
        <w:rPr>
          <w:position w:val="5"/>
          <w:sz w:val="14"/>
        </w:rPr>
        <w:t>.</w:t>
      </w:r>
      <w:r>
        <w:rPr>
          <w:spacing w:val="40"/>
          <w:position w:val="5"/>
          <w:sz w:val="14"/>
        </w:rPr>
        <w:t>  </w:t>
      </w:r>
      <w:r>
        <w:rPr>
          <w:rFonts w:ascii="Arial" w:hAnsi="Arial"/>
          <w:i/>
          <w:sz w:val="20"/>
        </w:rPr>
        <w:t>Great Northern Ry v Witham (1873) L.R. 9 C.P. 16</w:t>
      </w:r>
      <w:r>
        <w:rPr>
          <w:sz w:val="20"/>
        </w:rPr>
        <w:t>; cf. the similar rule applied to “declarations” under an “open cover” insurance in </w:t>
      </w:r>
      <w:r>
        <w:rPr>
          <w:rFonts w:ascii="Arial" w:hAnsi="Arial"/>
          <w:i/>
          <w:sz w:val="20"/>
        </w:rPr>
        <w:t>Citadel Insurance Co v Atlantic Union Insurance Co [1982]</w:t>
      </w:r>
      <w:r>
        <w:rPr>
          <w:rFonts w:ascii="Arial" w:hAnsi="Arial"/>
          <w:i/>
          <w:spacing w:val="40"/>
          <w:sz w:val="20"/>
        </w:rPr>
        <w:t> </w:t>
      </w:r>
      <w:r>
        <w:rPr>
          <w:rFonts w:ascii="Arial" w:hAnsi="Arial"/>
          <w:i/>
          <w:sz w:val="20"/>
        </w:rPr>
        <w:t>2 Lloyd’s Rep. 543</w:t>
      </w:r>
      <w:r>
        <w:rPr>
          <w:sz w:val="20"/>
        </w:rPr>
        <w:t>.</w:t>
      </w:r>
    </w:p>
    <w:p>
      <w:pPr>
        <w:pStyle w:val="BodyText"/>
        <w:spacing w:before="5"/>
      </w:pPr>
    </w:p>
    <w:p>
      <w:pPr>
        <w:tabs>
          <w:tab w:pos="705" w:val="left" w:leader="none"/>
        </w:tabs>
        <w:spacing w:before="0"/>
        <w:ind w:left="165" w:right="0" w:firstLine="0"/>
        <w:jc w:val="left"/>
        <w:rPr>
          <w:sz w:val="20"/>
        </w:rPr>
      </w:pPr>
      <w:bookmarkStart w:name="_bookmark424" w:id="426"/>
      <w:bookmarkEnd w:id="426"/>
      <w:r>
        <w:rPr/>
      </w:r>
      <w:hyperlink w:history="true" w:anchor="_bookmark333">
        <w:r>
          <w:rPr>
            <w:color w:val="005DA1"/>
            <w:spacing w:val="-4"/>
            <w:position w:val="5"/>
            <w:sz w:val="14"/>
            <w:u w:val="single" w:color="005DA1"/>
          </w:rPr>
          <w:t>212</w:t>
        </w:r>
      </w:hyperlink>
      <w:r>
        <w:rPr>
          <w:spacing w:val="-4"/>
          <w:position w:val="5"/>
          <w:sz w:val="14"/>
        </w:rPr>
        <w:t>.</w:t>
      </w:r>
      <w:r>
        <w:rPr>
          <w:position w:val="5"/>
          <w:sz w:val="14"/>
        </w:rPr>
        <w:tab/>
      </w:r>
      <w:r>
        <w:rPr>
          <w:rFonts w:ascii="Arial"/>
          <w:i/>
          <w:sz w:val="20"/>
        </w:rPr>
        <w:t>G.N. Ry v Witham (1873) L.R. C.P. 16, </w:t>
      </w:r>
      <w:r>
        <w:rPr>
          <w:rFonts w:ascii="Arial"/>
          <w:i/>
          <w:spacing w:val="-5"/>
          <w:sz w:val="20"/>
        </w:rPr>
        <w:t>19</w:t>
      </w:r>
      <w:r>
        <w:rPr>
          <w:spacing w:val="-5"/>
          <w:sz w:val="20"/>
        </w:rPr>
        <w:t>.</w:t>
      </w:r>
    </w:p>
    <w:p>
      <w:pPr>
        <w:pStyle w:val="BodyText"/>
        <w:spacing w:before="9"/>
      </w:pPr>
    </w:p>
    <w:p>
      <w:pPr>
        <w:spacing w:line="235" w:lineRule="auto" w:before="0"/>
        <w:ind w:left="705" w:right="168" w:hanging="541"/>
        <w:jc w:val="both"/>
        <w:rPr>
          <w:sz w:val="20"/>
        </w:rPr>
      </w:pPr>
      <w:bookmarkStart w:name="_bookmark425" w:id="427"/>
      <w:bookmarkEnd w:id="427"/>
      <w:r>
        <w:rPr/>
      </w:r>
      <w:hyperlink w:history="true" w:anchor="_bookmark334">
        <w:r>
          <w:rPr>
            <w:color w:val="005DA1"/>
            <w:position w:val="5"/>
            <w:sz w:val="14"/>
            <w:u w:val="single" w:color="005DA1"/>
          </w:rPr>
          <w:t>213</w:t>
        </w:r>
      </w:hyperlink>
      <w:r>
        <w:rPr>
          <w:position w:val="5"/>
          <w:sz w:val="14"/>
        </w:rPr>
        <w:t>.</w:t>
      </w:r>
      <w:r>
        <w:rPr>
          <w:spacing w:val="80"/>
          <w:position w:val="5"/>
          <w:sz w:val="14"/>
        </w:rPr>
        <w:t>  </w:t>
      </w:r>
      <w:r>
        <w:rPr>
          <w:rFonts w:ascii="Arial"/>
          <w:i/>
          <w:sz w:val="20"/>
        </w:rPr>
        <w:t>Percival Ltd v L.C.C. Asylums, etc., Committee (1918) 87 L.J.K.B. 677, 678</w:t>
      </w:r>
      <w:r>
        <w:rPr>
          <w:sz w:val="20"/>
        </w:rPr>
        <w:t>; </w:t>
      </w:r>
      <w:r>
        <w:rPr>
          <w:rFonts w:ascii="Arial"/>
          <w:i/>
          <w:sz w:val="20"/>
        </w:rPr>
        <w:t>Miller v F. A. </w:t>
      </w:r>
      <w:r>
        <w:rPr>
          <w:rFonts w:ascii="Arial"/>
          <w:i/>
          <w:sz w:val="20"/>
        </w:rPr>
        <w:t>Sadd &amp; Son Ltd [1981] 3 All E.R. 265</w:t>
      </w:r>
      <w:r>
        <w:rPr>
          <w:sz w:val="20"/>
        </w:rPr>
        <w:t>. For an exception to the requirement of consideration in the law of insurance, see the </w:t>
      </w:r>
      <w:r>
        <w:rPr>
          <w:rFonts w:ascii="Arial"/>
          <w:i/>
          <w:sz w:val="20"/>
        </w:rPr>
        <w:t>Citadel </w:t>
      </w:r>
      <w:r>
        <w:rPr>
          <w:sz w:val="20"/>
        </w:rPr>
        <w:t>case, above, n.207 at 546; below, para.4-194.</w:t>
      </w:r>
    </w:p>
    <w:p>
      <w:pPr>
        <w:pStyle w:val="BodyText"/>
        <w:spacing w:before="5"/>
      </w:pPr>
    </w:p>
    <w:p>
      <w:pPr>
        <w:tabs>
          <w:tab w:pos="705" w:val="left" w:leader="none"/>
        </w:tabs>
        <w:spacing w:before="0"/>
        <w:ind w:left="165" w:right="0" w:firstLine="0"/>
        <w:jc w:val="left"/>
        <w:rPr>
          <w:sz w:val="20"/>
        </w:rPr>
      </w:pPr>
      <w:bookmarkStart w:name="_bookmark426" w:id="428"/>
      <w:bookmarkEnd w:id="428"/>
      <w:r>
        <w:rPr/>
      </w:r>
      <w:hyperlink w:history="true" w:anchor="_bookmark335">
        <w:r>
          <w:rPr>
            <w:color w:val="005DA1"/>
            <w:spacing w:val="-4"/>
            <w:position w:val="5"/>
            <w:sz w:val="14"/>
            <w:u w:val="single" w:color="005DA1"/>
          </w:rPr>
          <w:t>214</w:t>
        </w:r>
      </w:hyperlink>
      <w:r>
        <w:rPr>
          <w:spacing w:val="-4"/>
          <w:position w:val="5"/>
          <w:sz w:val="14"/>
        </w:rPr>
        <w:t>.</w:t>
      </w:r>
      <w:r>
        <w:rPr>
          <w:position w:val="5"/>
          <w:sz w:val="14"/>
        </w:rPr>
        <w:tab/>
      </w:r>
      <w:r>
        <w:rPr>
          <w:sz w:val="20"/>
        </w:rPr>
        <w:t>Above, para.2-</w:t>
      </w:r>
      <w:r>
        <w:rPr>
          <w:spacing w:val="-4"/>
          <w:sz w:val="20"/>
        </w:rPr>
        <w:t>022.</w:t>
      </w:r>
    </w:p>
    <w:p>
      <w:pPr>
        <w:pStyle w:val="BodyText"/>
        <w:spacing w:before="5"/>
      </w:pPr>
    </w:p>
    <w:p>
      <w:pPr>
        <w:tabs>
          <w:tab w:pos="705" w:val="left" w:leader="none"/>
        </w:tabs>
        <w:spacing w:before="0"/>
        <w:ind w:left="165" w:right="0" w:firstLine="0"/>
        <w:jc w:val="left"/>
        <w:rPr>
          <w:sz w:val="20"/>
        </w:rPr>
      </w:pPr>
      <w:bookmarkStart w:name="_bookmark427" w:id="429"/>
      <w:bookmarkEnd w:id="429"/>
      <w:r>
        <w:rPr/>
      </w:r>
      <w:hyperlink w:history="true" w:anchor="_bookmark336">
        <w:r>
          <w:rPr>
            <w:color w:val="005DA1"/>
            <w:spacing w:val="-4"/>
            <w:position w:val="5"/>
            <w:sz w:val="14"/>
            <w:u w:val="single" w:color="005DA1"/>
          </w:rPr>
          <w:t>215</w:t>
        </w:r>
      </w:hyperlink>
      <w:r>
        <w:rPr>
          <w:spacing w:val="-4"/>
          <w:position w:val="5"/>
          <w:sz w:val="14"/>
        </w:rPr>
        <w:t>.</w:t>
      </w:r>
      <w:r>
        <w:rPr>
          <w:position w:val="5"/>
          <w:sz w:val="14"/>
        </w:rPr>
        <w:tab/>
      </w:r>
      <w:r>
        <w:rPr>
          <w:rFonts w:ascii="Arial"/>
          <w:i/>
          <w:sz w:val="20"/>
        </w:rPr>
        <w:t>[1986]</w:t>
      </w:r>
      <w:r>
        <w:rPr>
          <w:rFonts w:ascii="Arial"/>
          <w:i/>
          <w:spacing w:val="-2"/>
          <w:sz w:val="20"/>
        </w:rPr>
        <w:t> </w:t>
      </w:r>
      <w:r>
        <w:rPr>
          <w:rFonts w:ascii="Arial"/>
          <w:i/>
          <w:sz w:val="20"/>
        </w:rPr>
        <w:t>A.C. </w:t>
      </w:r>
      <w:r>
        <w:rPr>
          <w:rFonts w:ascii="Arial"/>
          <w:i/>
          <w:spacing w:val="-4"/>
          <w:sz w:val="20"/>
        </w:rPr>
        <w:t>207</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28" w:id="430"/>
      <w:bookmarkEnd w:id="430"/>
      <w:r>
        <w:rPr/>
      </w:r>
      <w:hyperlink w:history="true" w:anchor="_bookmark337">
        <w:r>
          <w:rPr>
            <w:color w:val="005DA1"/>
            <w:spacing w:val="-4"/>
            <w:position w:val="5"/>
            <w:sz w:val="14"/>
            <w:u w:val="single" w:color="005DA1"/>
          </w:rPr>
          <w:t>216</w:t>
        </w:r>
      </w:hyperlink>
      <w:r>
        <w:rPr>
          <w:spacing w:val="-4"/>
          <w:position w:val="5"/>
          <w:sz w:val="14"/>
        </w:rPr>
        <w:t>.</w:t>
      </w:r>
      <w:r>
        <w:rPr>
          <w:position w:val="5"/>
          <w:sz w:val="14"/>
        </w:rPr>
        <w:tab/>
      </w:r>
      <w:r>
        <w:rPr>
          <w:rFonts w:ascii="Arial"/>
          <w:i/>
          <w:sz w:val="20"/>
        </w:rPr>
        <w:t>Bloom</w:t>
      </w:r>
      <w:r>
        <w:rPr>
          <w:rFonts w:ascii="Arial"/>
          <w:i/>
          <w:spacing w:val="34"/>
          <w:sz w:val="20"/>
        </w:rPr>
        <w:t> </w:t>
      </w:r>
      <w:r>
        <w:rPr>
          <w:rFonts w:ascii="Arial"/>
          <w:i/>
          <w:sz w:val="20"/>
        </w:rPr>
        <w:t>v</w:t>
      </w:r>
      <w:r>
        <w:rPr>
          <w:rFonts w:ascii="Arial"/>
          <w:i/>
          <w:spacing w:val="34"/>
          <w:sz w:val="20"/>
        </w:rPr>
        <w:t> </w:t>
      </w:r>
      <w:r>
        <w:rPr>
          <w:rFonts w:ascii="Arial"/>
          <w:i/>
          <w:sz w:val="20"/>
        </w:rPr>
        <w:t>American</w:t>
      </w:r>
      <w:r>
        <w:rPr>
          <w:rFonts w:ascii="Arial"/>
          <w:i/>
          <w:spacing w:val="34"/>
          <w:sz w:val="20"/>
        </w:rPr>
        <w:t> </w:t>
      </w:r>
      <w:r>
        <w:rPr>
          <w:rFonts w:ascii="Arial"/>
          <w:i/>
          <w:sz w:val="20"/>
        </w:rPr>
        <w:t>Swiss</w:t>
      </w:r>
      <w:r>
        <w:rPr>
          <w:rFonts w:ascii="Arial"/>
          <w:i/>
          <w:spacing w:val="34"/>
          <w:sz w:val="20"/>
        </w:rPr>
        <w:t> </w:t>
      </w:r>
      <w:r>
        <w:rPr>
          <w:rFonts w:ascii="Arial"/>
          <w:i/>
          <w:sz w:val="20"/>
        </w:rPr>
        <w:t>Watch</w:t>
      </w:r>
      <w:r>
        <w:rPr>
          <w:rFonts w:ascii="Arial"/>
          <w:i/>
          <w:spacing w:val="34"/>
          <w:sz w:val="20"/>
        </w:rPr>
        <w:t> </w:t>
      </w:r>
      <w:r>
        <w:rPr>
          <w:rFonts w:ascii="Arial"/>
          <w:i/>
          <w:sz w:val="20"/>
        </w:rPr>
        <w:t>Co</w:t>
      </w:r>
      <w:r>
        <w:rPr>
          <w:rFonts w:ascii="Arial"/>
          <w:i/>
          <w:spacing w:val="34"/>
          <w:sz w:val="20"/>
        </w:rPr>
        <w:t> </w:t>
      </w:r>
      <w:r>
        <w:rPr>
          <w:rFonts w:ascii="Arial"/>
          <w:i/>
          <w:sz w:val="20"/>
        </w:rPr>
        <w:t>(1915)</w:t>
      </w:r>
      <w:r>
        <w:rPr>
          <w:rFonts w:ascii="Arial"/>
          <w:i/>
          <w:spacing w:val="34"/>
          <w:sz w:val="20"/>
        </w:rPr>
        <w:t> </w:t>
      </w:r>
      <w:r>
        <w:rPr>
          <w:rFonts w:ascii="Arial"/>
          <w:i/>
          <w:sz w:val="20"/>
        </w:rPr>
        <w:t>App.Div.</w:t>
      </w:r>
      <w:r>
        <w:rPr>
          <w:rFonts w:ascii="Arial"/>
          <w:i/>
          <w:spacing w:val="34"/>
          <w:sz w:val="20"/>
        </w:rPr>
        <w:t> </w:t>
      </w:r>
      <w:r>
        <w:rPr>
          <w:rFonts w:ascii="Arial"/>
          <w:i/>
          <w:sz w:val="20"/>
        </w:rPr>
        <w:t>100</w:t>
      </w:r>
      <w:r>
        <w:rPr>
          <w:rFonts w:ascii="Arial"/>
          <w:i/>
          <w:spacing w:val="34"/>
          <w:sz w:val="20"/>
        </w:rPr>
        <w:t> </w:t>
      </w:r>
      <w:r>
        <w:rPr>
          <w:rFonts w:ascii="Arial"/>
          <w:i/>
          <w:sz w:val="20"/>
        </w:rPr>
        <w:t>(S.</w:t>
      </w:r>
      <w:r>
        <w:rPr>
          <w:rFonts w:ascii="Arial"/>
          <w:i/>
          <w:spacing w:val="34"/>
          <w:sz w:val="20"/>
        </w:rPr>
        <w:t> </w:t>
      </w:r>
      <w:r>
        <w:rPr>
          <w:rFonts w:ascii="Arial"/>
          <w:i/>
          <w:sz w:val="20"/>
        </w:rPr>
        <w:t>Afr.)</w:t>
      </w:r>
      <w:r>
        <w:rPr>
          <w:sz w:val="20"/>
        </w:rPr>
        <w:t>;</w:t>
      </w:r>
      <w:r>
        <w:rPr>
          <w:spacing w:val="34"/>
          <w:sz w:val="20"/>
        </w:rPr>
        <w:t> </w:t>
      </w:r>
      <w:r>
        <w:rPr>
          <w:sz w:val="20"/>
        </w:rPr>
        <w:t>American</w:t>
      </w:r>
      <w:r>
        <w:rPr>
          <w:spacing w:val="34"/>
          <w:sz w:val="20"/>
        </w:rPr>
        <w:t> </w:t>
      </w:r>
      <w:r>
        <w:rPr>
          <w:sz w:val="20"/>
        </w:rPr>
        <w:t>authorities</w:t>
      </w:r>
      <w:r>
        <w:rPr>
          <w:spacing w:val="34"/>
          <w:sz w:val="20"/>
        </w:rPr>
        <w:t> </w:t>
      </w:r>
      <w:r>
        <w:rPr>
          <w:sz w:val="20"/>
        </w:rPr>
        <w:t>are divided: see Corbin, </w:t>
      </w:r>
      <w:r>
        <w:rPr>
          <w:rFonts w:ascii="Arial"/>
          <w:i/>
          <w:sz w:val="20"/>
        </w:rPr>
        <w:t>Contracts</w:t>
      </w:r>
      <w:r>
        <w:rPr>
          <w:sz w:val="20"/>
        </w:rPr>
        <w:t>, para.59.</w:t>
      </w:r>
    </w:p>
    <w:p>
      <w:pPr>
        <w:pStyle w:val="BodyText"/>
        <w:spacing w:before="6"/>
      </w:pPr>
    </w:p>
    <w:p>
      <w:pPr>
        <w:tabs>
          <w:tab w:pos="705" w:val="left" w:leader="none"/>
        </w:tabs>
        <w:spacing w:before="0"/>
        <w:ind w:left="165" w:right="0" w:firstLine="0"/>
        <w:jc w:val="left"/>
        <w:rPr>
          <w:sz w:val="20"/>
        </w:rPr>
      </w:pPr>
      <w:bookmarkStart w:name="_bookmark429" w:id="431"/>
      <w:bookmarkEnd w:id="431"/>
      <w:r>
        <w:rPr/>
      </w:r>
      <w:hyperlink w:history="true" w:anchor="_bookmark338">
        <w:r>
          <w:rPr>
            <w:color w:val="005DA1"/>
            <w:spacing w:val="-4"/>
            <w:position w:val="5"/>
            <w:sz w:val="14"/>
            <w:u w:val="single" w:color="005DA1"/>
          </w:rPr>
          <w:t>217</w:t>
        </w:r>
      </w:hyperlink>
      <w:r>
        <w:rPr>
          <w:spacing w:val="-4"/>
          <w:position w:val="5"/>
          <w:sz w:val="14"/>
        </w:rPr>
        <w:t>.</w:t>
      </w:r>
      <w:r>
        <w:rPr>
          <w:position w:val="5"/>
          <w:sz w:val="14"/>
        </w:rPr>
        <w:tab/>
      </w:r>
      <w:r>
        <w:rPr>
          <w:rFonts w:ascii="Arial"/>
          <w:i/>
          <w:sz w:val="20"/>
        </w:rPr>
        <w:t>R. v Clarke (1927) 40 C.L.R. 277, </w:t>
      </w:r>
      <w:r>
        <w:rPr>
          <w:rFonts w:ascii="Arial"/>
          <w:i/>
          <w:spacing w:val="-4"/>
          <w:sz w:val="20"/>
        </w:rPr>
        <w:t>241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30" w:id="432"/>
      <w:bookmarkEnd w:id="432"/>
      <w:r>
        <w:rPr/>
      </w:r>
      <w:hyperlink w:history="true" w:anchor="_bookmark339">
        <w:r>
          <w:rPr>
            <w:color w:val="005DA1"/>
            <w:spacing w:val="-4"/>
            <w:position w:val="5"/>
            <w:sz w:val="14"/>
            <w:u w:val="single" w:color="005DA1"/>
          </w:rPr>
          <w:t>218</w:t>
        </w:r>
      </w:hyperlink>
      <w:r>
        <w:rPr>
          <w:spacing w:val="-4"/>
          <w:position w:val="5"/>
          <w:sz w:val="14"/>
        </w:rPr>
        <w:t>.</w:t>
      </w:r>
      <w:r>
        <w:rPr>
          <w:position w:val="5"/>
          <w:sz w:val="14"/>
        </w:rPr>
        <w:tab/>
      </w:r>
      <w:r>
        <w:rPr>
          <w:rFonts w:ascii="Arial"/>
          <w:i/>
          <w:sz w:val="20"/>
        </w:rPr>
        <w:t>(1891)</w:t>
      </w:r>
      <w:r>
        <w:rPr>
          <w:rFonts w:ascii="Arial"/>
          <w:i/>
          <w:spacing w:val="-1"/>
          <w:sz w:val="20"/>
        </w:rPr>
        <w:t> </w:t>
      </w:r>
      <w:r>
        <w:rPr>
          <w:rFonts w:ascii="Arial"/>
          <w:i/>
          <w:sz w:val="20"/>
        </w:rPr>
        <w:t>64 L.T. 594; 55 J.P. 616</w:t>
      </w:r>
      <w:r>
        <w:rPr>
          <w:sz w:val="20"/>
        </w:rPr>
        <w:t>; cf. </w:t>
      </w:r>
      <w:r>
        <w:rPr>
          <w:rFonts w:ascii="Arial"/>
          <w:i/>
          <w:sz w:val="20"/>
        </w:rPr>
        <w:t>Neville v Kelly (1862) 12 C.B.(N.S.) </w:t>
      </w:r>
      <w:r>
        <w:rPr>
          <w:rFonts w:ascii="Arial"/>
          <w:i/>
          <w:spacing w:val="-4"/>
          <w:sz w:val="20"/>
        </w:rPr>
        <w:t>740</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431" w:id="433"/>
      <w:bookmarkEnd w:id="433"/>
      <w:r>
        <w:rPr/>
      </w:r>
      <w:hyperlink w:history="true" w:anchor="_bookmark340">
        <w:r>
          <w:rPr>
            <w:color w:val="005DA1"/>
            <w:spacing w:val="-4"/>
            <w:position w:val="5"/>
            <w:sz w:val="14"/>
            <w:u w:val="single" w:color="005DA1"/>
          </w:rPr>
          <w:t>219</w:t>
        </w:r>
      </w:hyperlink>
      <w:r>
        <w:rPr>
          <w:spacing w:val="-4"/>
          <w:position w:val="5"/>
          <w:sz w:val="14"/>
        </w:rPr>
        <w:t>.</w:t>
      </w:r>
      <w:r>
        <w:rPr>
          <w:position w:val="5"/>
          <w:sz w:val="14"/>
        </w:rPr>
        <w:tab/>
      </w:r>
      <w:r>
        <w:rPr/>
        <w:t>“The information ultimately reached Penn at a time when the plaintiff knew that the reward </w:t>
      </w:r>
      <w:r>
        <w:rPr/>
        <w:t>had been offered”: </w:t>
      </w:r>
      <w:r>
        <w:rPr>
          <w:rFonts w:ascii="Arial" w:hAnsi="Arial"/>
          <w:i/>
        </w:rPr>
        <w:t>55 J.P. 616</w:t>
      </w:r>
      <w:r>
        <w:rPr/>
        <w:t>.</w:t>
      </w:r>
    </w:p>
    <w:p>
      <w:pPr>
        <w:pStyle w:val="BodyText"/>
        <w:spacing w:before="9"/>
      </w:pPr>
    </w:p>
    <w:p>
      <w:pPr>
        <w:spacing w:line="235" w:lineRule="auto" w:before="0"/>
        <w:ind w:left="705" w:right="167" w:hanging="541"/>
        <w:jc w:val="both"/>
        <w:rPr>
          <w:sz w:val="20"/>
        </w:rPr>
      </w:pPr>
      <w:bookmarkStart w:name="_bookmark432" w:id="434"/>
      <w:bookmarkEnd w:id="434"/>
      <w:r>
        <w:rPr/>
      </w:r>
      <w:hyperlink w:history="true" w:anchor="_bookmark341">
        <w:r>
          <w:rPr>
            <w:color w:val="005DA1"/>
            <w:position w:val="5"/>
            <w:sz w:val="14"/>
            <w:u w:val="single" w:color="005DA1"/>
          </w:rPr>
          <w:t>220</w:t>
        </w:r>
      </w:hyperlink>
      <w:r>
        <w:rPr>
          <w:position w:val="5"/>
          <w:sz w:val="14"/>
        </w:rPr>
        <w:t>.</w:t>
      </w:r>
      <w:r>
        <w:rPr>
          <w:spacing w:val="80"/>
          <w:position w:val="5"/>
          <w:sz w:val="14"/>
        </w:rPr>
        <w:t> </w:t>
      </w:r>
      <w:r>
        <w:rPr>
          <w:sz w:val="20"/>
        </w:rPr>
        <w:t>The view that, in the case of a unilateral contract, may be “constituted” by the relevant advertisement “whether or not it is read by anyone” derives some (at least hesitant) </w:t>
      </w:r>
      <w:r>
        <w:rPr>
          <w:sz w:val="20"/>
        </w:rPr>
        <w:t>support from </w:t>
      </w:r>
      <w:r>
        <w:rPr>
          <w:rFonts w:ascii="Arial" w:hAnsi="Arial"/>
          <w:i/>
          <w:sz w:val="20"/>
        </w:rPr>
        <w:t>Air Transworld Ltd v Bombardier Inc [2012] EWHC 243, [2012] 1 Lloyd’s Rep. 349 </w:t>
      </w:r>
      <w:r>
        <w:rPr>
          <w:sz w:val="20"/>
        </w:rPr>
        <w:t>at [75].</w:t>
      </w:r>
    </w:p>
    <w:p>
      <w:pPr>
        <w:pStyle w:val="BodyText"/>
        <w:spacing w:before="5"/>
      </w:pPr>
    </w:p>
    <w:p>
      <w:pPr>
        <w:tabs>
          <w:tab w:pos="705" w:val="left" w:leader="none"/>
        </w:tabs>
        <w:spacing w:before="0"/>
        <w:ind w:left="165" w:right="0" w:firstLine="0"/>
        <w:jc w:val="left"/>
        <w:rPr>
          <w:sz w:val="20"/>
        </w:rPr>
      </w:pPr>
      <w:bookmarkStart w:name="_bookmark433" w:id="435"/>
      <w:bookmarkEnd w:id="435"/>
      <w:r>
        <w:rPr/>
      </w:r>
      <w:hyperlink w:history="true" w:anchor="_bookmark342">
        <w:r>
          <w:rPr>
            <w:color w:val="005DA1"/>
            <w:spacing w:val="-4"/>
            <w:position w:val="5"/>
            <w:sz w:val="14"/>
            <w:u w:val="single" w:color="005DA1"/>
          </w:rPr>
          <w:t>221</w:t>
        </w:r>
      </w:hyperlink>
      <w:r>
        <w:rPr>
          <w:spacing w:val="-4"/>
          <w:position w:val="5"/>
          <w:sz w:val="14"/>
        </w:rPr>
        <w:t>.</w:t>
      </w:r>
      <w:r>
        <w:rPr>
          <w:position w:val="5"/>
          <w:sz w:val="14"/>
        </w:rPr>
        <w:tab/>
      </w:r>
      <w:r>
        <w:rPr>
          <w:rFonts w:ascii="Arial" w:hAnsi="Arial"/>
          <w:i/>
          <w:sz w:val="20"/>
        </w:rPr>
        <w:t>[2011] EWHC 1372 (Comm), [2011] 2 Lloyd’s Rep. </w:t>
      </w:r>
      <w:r>
        <w:rPr>
          <w:rFonts w:ascii="Arial" w:hAnsi="Arial"/>
          <w:i/>
          <w:spacing w:val="-4"/>
          <w:sz w:val="20"/>
        </w:rPr>
        <w:t>309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434" w:id="436"/>
      <w:bookmarkEnd w:id="436"/>
      <w:r>
        <w:rPr/>
      </w:r>
      <w:hyperlink w:history="true" w:anchor="_bookmark343">
        <w:r>
          <w:rPr>
            <w:color w:val="005DA1"/>
            <w:spacing w:val="-4"/>
            <w:position w:val="5"/>
            <w:sz w:val="14"/>
            <w:u w:val="single" w:color="005DA1"/>
          </w:rPr>
          <w:t>222</w:t>
        </w:r>
      </w:hyperlink>
      <w:r>
        <w:rPr>
          <w:spacing w:val="-4"/>
          <w:position w:val="5"/>
          <w:sz w:val="14"/>
        </w:rPr>
        <w:t>.</w:t>
      </w:r>
      <w:r>
        <w:rPr>
          <w:position w:val="5"/>
          <w:sz w:val="14"/>
        </w:rPr>
        <w:tab/>
      </w:r>
      <w:r>
        <w:rPr>
          <w:rFonts w:ascii="Arial"/>
          <w:i/>
          <w:sz w:val="20"/>
        </w:rPr>
        <w:t>[2011]</w:t>
      </w:r>
      <w:r>
        <w:rPr>
          <w:rFonts w:ascii="Arial"/>
          <w:i/>
          <w:spacing w:val="20"/>
          <w:sz w:val="20"/>
        </w:rPr>
        <w:t> </w:t>
      </w:r>
      <w:r>
        <w:rPr>
          <w:rFonts w:ascii="Arial"/>
          <w:i/>
          <w:sz w:val="20"/>
        </w:rPr>
        <w:t>EWHC</w:t>
      </w:r>
      <w:r>
        <w:rPr>
          <w:rFonts w:ascii="Arial"/>
          <w:i/>
          <w:spacing w:val="20"/>
          <w:sz w:val="20"/>
        </w:rPr>
        <w:t> </w:t>
      </w:r>
      <w:r>
        <w:rPr>
          <w:rFonts w:ascii="Arial"/>
          <w:i/>
          <w:sz w:val="20"/>
        </w:rPr>
        <w:t>1372</w:t>
      </w:r>
      <w:r>
        <w:rPr>
          <w:rFonts w:ascii="Arial"/>
          <w:i/>
          <w:spacing w:val="20"/>
          <w:sz w:val="20"/>
        </w:rPr>
        <w:t> </w:t>
      </w:r>
      <w:r>
        <w:rPr>
          <w:rFonts w:ascii="Arial"/>
          <w:i/>
          <w:sz w:val="20"/>
        </w:rPr>
        <w:t>(Comm)</w:t>
      </w:r>
      <w:r>
        <w:rPr>
          <w:rFonts w:ascii="Arial"/>
          <w:i/>
          <w:spacing w:val="20"/>
          <w:sz w:val="20"/>
        </w:rPr>
        <w:t> </w:t>
      </w:r>
      <w:r>
        <w:rPr>
          <w:sz w:val="20"/>
        </w:rPr>
        <w:t>at</w:t>
      </w:r>
      <w:r>
        <w:rPr>
          <w:spacing w:val="20"/>
          <w:sz w:val="20"/>
        </w:rPr>
        <w:t> </w:t>
      </w:r>
      <w:r>
        <w:rPr>
          <w:sz w:val="20"/>
        </w:rPr>
        <w:t>[47].</w:t>
      </w:r>
      <w:r>
        <w:rPr>
          <w:spacing w:val="20"/>
          <w:sz w:val="20"/>
        </w:rPr>
        <w:t> </w:t>
      </w:r>
      <w:r>
        <w:rPr>
          <w:sz w:val="20"/>
        </w:rPr>
        <w:t>The</w:t>
      </w:r>
      <w:r>
        <w:rPr>
          <w:spacing w:val="20"/>
          <w:sz w:val="20"/>
        </w:rPr>
        <w:t> </w:t>
      </w:r>
      <w:r>
        <w:rPr>
          <w:sz w:val="20"/>
        </w:rPr>
        <w:t>decision</w:t>
      </w:r>
      <w:r>
        <w:rPr>
          <w:spacing w:val="20"/>
          <w:sz w:val="20"/>
        </w:rPr>
        <w:t> </w:t>
      </w:r>
      <w:r>
        <w:rPr>
          <w:sz w:val="20"/>
        </w:rPr>
        <w:t>was</w:t>
      </w:r>
      <w:r>
        <w:rPr>
          <w:spacing w:val="20"/>
          <w:sz w:val="20"/>
        </w:rPr>
        <w:t> </w:t>
      </w:r>
      <w:r>
        <w:rPr>
          <w:sz w:val="20"/>
        </w:rPr>
        <w:t>affirmed</w:t>
      </w:r>
      <w:r>
        <w:rPr>
          <w:spacing w:val="20"/>
          <w:sz w:val="20"/>
        </w:rPr>
        <w:t> </w:t>
      </w:r>
      <w:r>
        <w:rPr>
          <w:sz w:val="20"/>
        </w:rPr>
        <w:t>on</w:t>
      </w:r>
      <w:r>
        <w:rPr>
          <w:spacing w:val="20"/>
          <w:sz w:val="20"/>
        </w:rPr>
        <w:t> </w:t>
      </w:r>
      <w:r>
        <w:rPr>
          <w:sz w:val="20"/>
        </w:rPr>
        <w:t>appeal, </w:t>
      </w:r>
      <w:r>
        <w:rPr>
          <w:rFonts w:ascii="Arial"/>
          <w:i/>
          <w:sz w:val="20"/>
        </w:rPr>
        <w:t>[2012]</w:t>
      </w:r>
      <w:r>
        <w:rPr>
          <w:rFonts w:ascii="Arial"/>
          <w:i/>
          <w:spacing w:val="20"/>
          <w:sz w:val="20"/>
        </w:rPr>
        <w:t> </w:t>
      </w:r>
      <w:r>
        <w:rPr>
          <w:rFonts w:ascii="Arial"/>
          <w:i/>
          <w:sz w:val="20"/>
        </w:rPr>
        <w:t>EWCA</w:t>
      </w:r>
      <w:r>
        <w:rPr>
          <w:rFonts w:ascii="Arial"/>
          <w:i/>
          <w:spacing w:val="20"/>
          <w:sz w:val="20"/>
        </w:rPr>
        <w:t> </w:t>
      </w:r>
      <w:r>
        <w:rPr>
          <w:rFonts w:ascii="Arial"/>
          <w:i/>
          <w:sz w:val="20"/>
        </w:rPr>
        <w:t>Civ 180</w:t>
      </w:r>
      <w:r>
        <w:rPr>
          <w:sz w:val="20"/>
        </w:rPr>
        <w:t>, without further discussion of this issue.</w:t>
      </w:r>
    </w:p>
    <w:p>
      <w:pPr>
        <w:pStyle w:val="BodyText"/>
        <w:spacing w:before="9"/>
      </w:pPr>
    </w:p>
    <w:p>
      <w:pPr>
        <w:spacing w:line="235" w:lineRule="auto" w:before="0"/>
        <w:ind w:left="705" w:right="167" w:hanging="541"/>
        <w:jc w:val="both"/>
        <w:rPr>
          <w:sz w:val="20"/>
        </w:rPr>
      </w:pPr>
      <w:bookmarkStart w:name="_bookmark435" w:id="437"/>
      <w:bookmarkEnd w:id="437"/>
      <w:r>
        <w:rPr/>
      </w:r>
      <w:hyperlink w:history="true" w:anchor="_bookmark344">
        <w:r>
          <w:rPr>
            <w:color w:val="005DA1"/>
            <w:position w:val="5"/>
            <w:sz w:val="14"/>
            <w:u w:val="single" w:color="005DA1"/>
          </w:rPr>
          <w:t>223</w:t>
        </w:r>
      </w:hyperlink>
      <w:r>
        <w:rPr>
          <w:position w:val="5"/>
          <w:sz w:val="14"/>
        </w:rPr>
        <w:t>.</w:t>
      </w:r>
      <w:r>
        <w:rPr>
          <w:spacing w:val="80"/>
          <w:position w:val="5"/>
          <w:sz w:val="14"/>
        </w:rPr>
        <w:t>  </w:t>
      </w:r>
      <w:r>
        <w:rPr>
          <w:rFonts w:ascii="Arial" w:hAnsi="Arial"/>
          <w:i/>
          <w:sz w:val="20"/>
        </w:rPr>
        <w:t>[1942] 1 All E.R. 220</w:t>
      </w:r>
      <w:r>
        <w:rPr>
          <w:sz w:val="20"/>
        </w:rPr>
        <w:t>; Mitchell, (1997) 12 J.C.L. 78; for the extent of the fire brigade’s duty apart from contract, see </w:t>
      </w:r>
      <w:r>
        <w:rPr>
          <w:rFonts w:ascii="Arial" w:hAnsi="Arial"/>
          <w:i/>
          <w:sz w:val="20"/>
        </w:rPr>
        <w:t>John Monroe (Acrylics) Ltd v London Fire &amp; Civil Defence Authority [1997] 2 Lloyd’s Rep. 161</w:t>
      </w:r>
      <w:r>
        <w:rPr>
          <w:sz w:val="20"/>
        </w:rPr>
        <w:t>.</w:t>
      </w:r>
    </w:p>
    <w:p>
      <w:pPr>
        <w:pStyle w:val="BodyText"/>
        <w:spacing w:before="5"/>
      </w:pPr>
    </w:p>
    <w:p>
      <w:pPr>
        <w:tabs>
          <w:tab w:pos="705" w:val="left" w:leader="none"/>
        </w:tabs>
        <w:spacing w:before="0"/>
        <w:ind w:left="165" w:right="0" w:firstLine="0"/>
        <w:jc w:val="left"/>
        <w:rPr>
          <w:sz w:val="20"/>
        </w:rPr>
      </w:pPr>
      <w:bookmarkStart w:name="_bookmark436" w:id="438"/>
      <w:bookmarkEnd w:id="438"/>
      <w:r>
        <w:rPr/>
      </w:r>
      <w:hyperlink w:history="true" w:anchor="_bookmark345">
        <w:r>
          <w:rPr>
            <w:color w:val="005DA1"/>
            <w:spacing w:val="-4"/>
            <w:position w:val="5"/>
            <w:sz w:val="14"/>
            <w:u w:val="single" w:color="005DA1"/>
          </w:rPr>
          <w:t>224</w:t>
        </w:r>
      </w:hyperlink>
      <w:r>
        <w:rPr>
          <w:spacing w:val="-4"/>
          <w:position w:val="5"/>
          <w:sz w:val="14"/>
        </w:rPr>
        <w:t>.</w:t>
      </w:r>
      <w:r>
        <w:rPr>
          <w:position w:val="5"/>
          <w:sz w:val="14"/>
        </w:rPr>
        <w:tab/>
      </w:r>
      <w:r>
        <w:rPr>
          <w:sz w:val="20"/>
        </w:rPr>
        <w:t>At </w:t>
      </w:r>
      <w:r>
        <w:rPr>
          <w:spacing w:val="-4"/>
          <w:sz w:val="20"/>
        </w:rPr>
        <w:t>221.</w:t>
      </w:r>
    </w:p>
    <w:p>
      <w:pPr>
        <w:pStyle w:val="BodyText"/>
        <w:spacing w:before="9"/>
      </w:pPr>
    </w:p>
    <w:p>
      <w:pPr>
        <w:spacing w:line="235" w:lineRule="auto" w:before="0"/>
        <w:ind w:left="705" w:right="167" w:hanging="541"/>
        <w:jc w:val="both"/>
        <w:rPr>
          <w:sz w:val="20"/>
        </w:rPr>
      </w:pPr>
      <w:bookmarkStart w:name="_bookmark437" w:id="439"/>
      <w:bookmarkEnd w:id="439"/>
      <w:r>
        <w:rPr/>
      </w:r>
      <w:hyperlink w:history="true" w:anchor="_bookmark346">
        <w:r>
          <w:rPr>
            <w:color w:val="005DA1"/>
            <w:position w:val="5"/>
            <w:sz w:val="14"/>
            <w:u w:val="single" w:color="005DA1"/>
          </w:rPr>
          <w:t>225</w:t>
        </w:r>
      </w:hyperlink>
      <w:r>
        <w:rPr>
          <w:position w:val="5"/>
          <w:sz w:val="14"/>
        </w:rPr>
        <w:t>.</w:t>
      </w:r>
      <w:r>
        <w:rPr>
          <w:spacing w:val="40"/>
          <w:position w:val="5"/>
          <w:sz w:val="14"/>
        </w:rPr>
        <w:t>  </w:t>
      </w:r>
      <w:r>
        <w:rPr>
          <w:sz w:val="20"/>
        </w:rPr>
        <w:t>Substantially the same point is made in </w:t>
      </w:r>
      <w:r>
        <w:rPr>
          <w:rFonts w:ascii="Arial" w:hAnsi="Arial"/>
          <w:i/>
          <w:sz w:val="20"/>
        </w:rPr>
        <w:t>TTMI SARL v Statoil SA (The Sibohelle) [2011] EWHC 1150 (Comm), [2011] 2 Lloyd’s Rep. 220 </w:t>
      </w:r>
      <w:r>
        <w:rPr>
          <w:sz w:val="20"/>
        </w:rPr>
        <w:t>at [44]. But on the facts of </w:t>
      </w:r>
      <w:r>
        <w:rPr>
          <w:rFonts w:ascii="Arial" w:hAnsi="Arial"/>
          <w:i/>
          <w:sz w:val="20"/>
        </w:rPr>
        <w:t>The Sibohelle </w:t>
      </w:r>
      <w:r>
        <w:rPr>
          <w:sz w:val="20"/>
        </w:rPr>
        <w:t>there was </w:t>
      </w:r>
      <w:r>
        <w:rPr>
          <w:sz w:val="20"/>
        </w:rPr>
        <w:t>no need to invoke any restitutionary remedy since both parties there believed that they were “performing under a contract” (at [44]) and their conduct, coupled with that belief, gave rise to the inference that a contract had indeed been concluded between them (see below, para.2-148 n.786). In the </w:t>
      </w:r>
      <w:r>
        <w:rPr>
          <w:rFonts w:ascii="Arial" w:hAnsi="Arial"/>
          <w:i/>
          <w:sz w:val="20"/>
        </w:rPr>
        <w:t>Upton </w:t>
      </w:r>
      <w:r>
        <w:rPr>
          <w:sz w:val="20"/>
        </w:rPr>
        <w:t>case (above, n.219) there was no such shared belief.</w:t>
      </w:r>
    </w:p>
    <w:p>
      <w:pPr>
        <w:pStyle w:val="BodyText"/>
        <w:spacing w:before="7"/>
      </w:pPr>
    </w:p>
    <w:p>
      <w:pPr>
        <w:spacing w:line="235" w:lineRule="auto" w:before="1"/>
        <w:ind w:left="705" w:right="167" w:hanging="541"/>
        <w:jc w:val="both"/>
        <w:rPr>
          <w:sz w:val="20"/>
        </w:rPr>
      </w:pPr>
      <w:bookmarkStart w:name="_bookmark438" w:id="440"/>
      <w:bookmarkEnd w:id="440"/>
      <w:r>
        <w:rPr/>
      </w:r>
      <w:hyperlink w:history="true" w:anchor="_bookmark347">
        <w:r>
          <w:rPr>
            <w:color w:val="005DA1"/>
            <w:position w:val="5"/>
            <w:sz w:val="14"/>
            <w:u w:val="single" w:color="005DA1"/>
          </w:rPr>
          <w:t>226</w:t>
        </w:r>
      </w:hyperlink>
      <w:r>
        <w:rPr>
          <w:position w:val="5"/>
          <w:sz w:val="14"/>
        </w:rPr>
        <w:t>.</w:t>
      </w:r>
      <w:r>
        <w:rPr>
          <w:spacing w:val="80"/>
          <w:position w:val="5"/>
          <w:sz w:val="14"/>
        </w:rPr>
        <w:t>  </w:t>
      </w:r>
      <w:r>
        <w:rPr>
          <w:sz w:val="20"/>
        </w:rPr>
        <w:t>cf. </w:t>
      </w:r>
      <w:r>
        <w:rPr>
          <w:rFonts w:ascii="Arial" w:hAnsi="Arial"/>
          <w:i/>
          <w:sz w:val="20"/>
        </w:rPr>
        <w:t>B.S.C. v Cleveland Bridge &amp; Engineering Co Ltd [1984] 1 All E.R. 504, 510</w:t>
      </w:r>
      <w:r>
        <w:rPr>
          <w:sz w:val="20"/>
        </w:rPr>
        <w:t>; </w:t>
      </w:r>
      <w:r>
        <w:rPr>
          <w:rFonts w:ascii="Arial" w:hAnsi="Arial"/>
          <w:i/>
          <w:sz w:val="20"/>
        </w:rPr>
        <w:t>Air Transworld Ltd v Bombardier Inc [2012] EWHC 243, [2012] 1 Lloyd’s Rep. 349 </w:t>
      </w:r>
      <w:r>
        <w:rPr>
          <w:sz w:val="20"/>
        </w:rPr>
        <w:t>at [75]. The position where one party thinks that he is giving or getting a gratuitous service while the other thinks that he is contracting (i.e. if the fire brigade had intended from the beginning to charge for their services) will depend on the objective test and the law on mistake as to terms, see below at paras 3-014, </w:t>
      </w:r>
      <w:r>
        <w:rPr>
          <w:spacing w:val="-2"/>
          <w:sz w:val="20"/>
        </w:rPr>
        <w:t>3-022—3-035.</w:t>
      </w:r>
    </w:p>
    <w:p>
      <w:pPr>
        <w:pStyle w:val="BodyText"/>
        <w:spacing w:before="3"/>
      </w:pPr>
    </w:p>
    <w:p>
      <w:pPr>
        <w:tabs>
          <w:tab w:pos="705" w:val="left" w:leader="none"/>
        </w:tabs>
        <w:spacing w:before="1"/>
        <w:ind w:left="165" w:right="0" w:firstLine="0"/>
        <w:jc w:val="left"/>
        <w:rPr>
          <w:sz w:val="20"/>
        </w:rPr>
      </w:pPr>
      <w:bookmarkStart w:name="_bookmark439" w:id="441"/>
      <w:bookmarkEnd w:id="441"/>
      <w:r>
        <w:rPr/>
      </w:r>
      <w:hyperlink w:history="true" w:anchor="_bookmark348">
        <w:r>
          <w:rPr>
            <w:color w:val="005DA1"/>
            <w:spacing w:val="-4"/>
            <w:position w:val="5"/>
            <w:sz w:val="14"/>
            <w:u w:val="single" w:color="005DA1"/>
          </w:rPr>
          <w:t>227</w:t>
        </w:r>
      </w:hyperlink>
      <w:r>
        <w:rPr>
          <w:spacing w:val="-4"/>
          <w:position w:val="5"/>
          <w:sz w:val="14"/>
        </w:rPr>
        <w:t>.</w:t>
      </w:r>
      <w:r>
        <w:rPr>
          <w:position w:val="5"/>
          <w:sz w:val="14"/>
        </w:rPr>
        <w:tab/>
      </w:r>
      <w:r>
        <w:rPr>
          <w:rFonts w:ascii="Arial" w:hAnsi="Arial"/>
          <w:i/>
          <w:sz w:val="20"/>
        </w:rPr>
        <w:t>Tracomin</w:t>
      </w:r>
      <w:r>
        <w:rPr>
          <w:rFonts w:ascii="Arial" w:hAnsi="Arial"/>
          <w:i/>
          <w:spacing w:val="15"/>
          <w:sz w:val="20"/>
        </w:rPr>
        <w:t> </w:t>
      </w:r>
      <w:r>
        <w:rPr>
          <w:rFonts w:ascii="Arial" w:hAnsi="Arial"/>
          <w:i/>
          <w:sz w:val="20"/>
        </w:rPr>
        <w:t>SA</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Anton</w:t>
      </w:r>
      <w:r>
        <w:rPr>
          <w:rFonts w:ascii="Arial" w:hAnsi="Arial"/>
          <w:i/>
          <w:spacing w:val="18"/>
          <w:sz w:val="20"/>
        </w:rPr>
        <w:t> </w:t>
      </w:r>
      <w:r>
        <w:rPr>
          <w:rFonts w:ascii="Arial" w:hAnsi="Arial"/>
          <w:i/>
          <w:sz w:val="20"/>
        </w:rPr>
        <w:t>C.</w:t>
      </w:r>
      <w:r>
        <w:rPr>
          <w:rFonts w:ascii="Arial" w:hAnsi="Arial"/>
          <w:i/>
          <w:spacing w:val="18"/>
          <w:sz w:val="20"/>
        </w:rPr>
        <w:t> </w:t>
      </w:r>
      <w:r>
        <w:rPr>
          <w:rFonts w:ascii="Arial" w:hAnsi="Arial"/>
          <w:i/>
          <w:sz w:val="20"/>
        </w:rPr>
        <w:t>Nielsen</w:t>
      </w:r>
      <w:r>
        <w:rPr>
          <w:rFonts w:ascii="Arial" w:hAnsi="Arial"/>
          <w:i/>
          <w:spacing w:val="18"/>
          <w:sz w:val="20"/>
        </w:rPr>
        <w:t> </w:t>
      </w:r>
      <w:r>
        <w:rPr>
          <w:rFonts w:ascii="Arial" w:hAnsi="Arial"/>
          <w:i/>
          <w:sz w:val="20"/>
        </w:rPr>
        <w:t>[1984]</w:t>
      </w:r>
      <w:r>
        <w:rPr>
          <w:rFonts w:ascii="Arial" w:hAnsi="Arial"/>
          <w:i/>
          <w:spacing w:val="18"/>
          <w:sz w:val="20"/>
        </w:rPr>
        <w:t> </w:t>
      </w:r>
      <w:r>
        <w:rPr>
          <w:rFonts w:ascii="Arial" w:hAnsi="Arial"/>
          <w:i/>
          <w:sz w:val="20"/>
        </w:rPr>
        <w:t>2</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195,</w:t>
      </w:r>
      <w:r>
        <w:rPr>
          <w:rFonts w:ascii="Arial" w:hAnsi="Arial"/>
          <w:i/>
          <w:spacing w:val="18"/>
          <w:sz w:val="20"/>
        </w:rPr>
        <w:t> </w:t>
      </w:r>
      <w:r>
        <w:rPr>
          <w:rFonts w:ascii="Arial" w:hAnsi="Arial"/>
          <w:i/>
          <w:sz w:val="20"/>
        </w:rPr>
        <w:t>203</w:t>
      </w:r>
      <w:r>
        <w:rPr>
          <w:sz w:val="20"/>
        </w:rPr>
        <w:t>;</w:t>
      </w:r>
      <w:r>
        <w:rPr>
          <w:spacing w:val="18"/>
          <w:sz w:val="20"/>
        </w:rPr>
        <w:t> </w:t>
      </w:r>
      <w:r>
        <w:rPr>
          <w:sz w:val="20"/>
        </w:rPr>
        <w:t>and</w:t>
      </w:r>
      <w:r>
        <w:rPr>
          <w:spacing w:val="18"/>
          <w:sz w:val="20"/>
        </w:rPr>
        <w:t> </w:t>
      </w:r>
      <w:r>
        <w:rPr>
          <w:sz w:val="20"/>
        </w:rPr>
        <w:t>see</w:t>
      </w:r>
      <w:r>
        <w:rPr>
          <w:spacing w:val="18"/>
          <w:sz w:val="20"/>
        </w:rPr>
        <w:t> </w:t>
      </w:r>
      <w:r>
        <w:rPr>
          <w:sz w:val="20"/>
        </w:rPr>
        <w:t>above,</w:t>
      </w:r>
      <w:r>
        <w:rPr>
          <w:spacing w:val="18"/>
          <w:sz w:val="20"/>
        </w:rPr>
        <w:t> </w:t>
      </w:r>
      <w:r>
        <w:rPr>
          <w:sz w:val="20"/>
        </w:rPr>
        <w:t>para.2-</w:t>
      </w:r>
      <w:r>
        <w:rPr>
          <w:spacing w:val="-4"/>
          <w:sz w:val="20"/>
        </w:rPr>
        <w:t>006,</w:t>
      </w:r>
    </w:p>
    <w:p>
      <w:pPr>
        <w:spacing w:after="0"/>
        <w:jc w:val="left"/>
        <w:rPr>
          <w:sz w:val="20"/>
        </w:rPr>
        <w:sectPr>
          <w:pgSz w:w="11900" w:h="16840"/>
          <w:pgMar w:header="971" w:footer="0" w:top="1300" w:bottom="280" w:left="1275" w:right="1275"/>
        </w:sectPr>
      </w:pPr>
    </w:p>
    <w:p>
      <w:pPr>
        <w:pStyle w:val="BodyText"/>
        <w:spacing w:before="106"/>
        <w:ind w:left="705"/>
      </w:pPr>
      <w:r>
        <w:rPr/>
        <w:t>below, para.2-</w:t>
      </w:r>
      <w:r>
        <w:rPr>
          <w:spacing w:val="-4"/>
        </w:rPr>
        <w:t>069.</w:t>
      </w:r>
    </w:p>
    <w:p>
      <w:pPr>
        <w:pStyle w:val="BodyText"/>
        <w:spacing w:before="9"/>
      </w:pPr>
    </w:p>
    <w:p>
      <w:pPr>
        <w:spacing w:line="235" w:lineRule="auto" w:before="0"/>
        <w:ind w:left="705" w:right="168" w:hanging="541"/>
        <w:jc w:val="both"/>
        <w:rPr>
          <w:sz w:val="20"/>
        </w:rPr>
      </w:pPr>
      <w:bookmarkStart w:name="_bookmark440" w:id="442"/>
      <w:bookmarkEnd w:id="442"/>
      <w:r>
        <w:rPr/>
      </w:r>
      <w:hyperlink w:history="true" w:anchor="_bookmark349">
        <w:r>
          <w:rPr>
            <w:color w:val="005DA1"/>
            <w:position w:val="5"/>
            <w:sz w:val="14"/>
            <w:u w:val="single" w:color="005DA1"/>
          </w:rPr>
          <w:t>228</w:t>
        </w:r>
      </w:hyperlink>
      <w:r>
        <w:rPr>
          <w:position w:val="5"/>
          <w:sz w:val="14"/>
        </w:rPr>
        <w:t>.</w:t>
      </w:r>
      <w:r>
        <w:rPr>
          <w:spacing w:val="80"/>
          <w:position w:val="5"/>
          <w:sz w:val="14"/>
        </w:rPr>
        <w:t>  </w:t>
      </w:r>
      <w:r>
        <w:rPr>
          <w:rFonts w:ascii="Arial"/>
          <w:i/>
          <w:sz w:val="20"/>
        </w:rPr>
        <w:t>(1833) 5 C. &amp; P. 566; 4 B. &amp; Ad. 621</w:t>
      </w:r>
      <w:r>
        <w:rPr>
          <w:sz w:val="20"/>
        </w:rPr>
        <w:t>; it must be assumed that the claimant knew of the offer; </w:t>
      </w:r>
      <w:r>
        <w:rPr>
          <w:rFonts w:ascii="Arial"/>
          <w:i/>
          <w:sz w:val="20"/>
        </w:rPr>
        <w:t>Carlill v Carbolic Smoke Ball Co Ltd [1892] 2 Q.B. 484, 489</w:t>
      </w:r>
      <w:r>
        <w:rPr>
          <w:sz w:val="20"/>
        </w:rPr>
        <w:t>, n.2. See also </w:t>
      </w:r>
      <w:r>
        <w:rPr>
          <w:rFonts w:ascii="Arial"/>
          <w:i/>
          <w:sz w:val="20"/>
        </w:rPr>
        <w:t>England v </w:t>
      </w:r>
      <w:r>
        <w:rPr>
          <w:rFonts w:ascii="Arial"/>
          <w:i/>
          <w:sz w:val="20"/>
        </w:rPr>
        <w:t>Davidson (1840) 11 A. &amp; E. 856</w:t>
      </w:r>
      <w:r>
        <w:rPr>
          <w:sz w:val="20"/>
        </w:rPr>
        <w:t>; </w:t>
      </w:r>
      <w:r>
        <w:rPr>
          <w:rFonts w:ascii="Arial"/>
          <w:i/>
          <w:sz w:val="20"/>
        </w:rPr>
        <w:t>Smith v Moore (1845) 1 C.B. 438</w:t>
      </w:r>
      <w:r>
        <w:rPr>
          <w:sz w:val="20"/>
        </w:rPr>
        <w:t>; and cf. </w:t>
      </w:r>
      <w:r>
        <w:rPr>
          <w:rFonts w:ascii="Arial"/>
          <w:i/>
          <w:sz w:val="20"/>
        </w:rPr>
        <w:t>Bent v Wakefield Bank (1878) 4 C.P.D. 1</w:t>
      </w:r>
      <w:r>
        <w:rPr>
          <w:sz w:val="20"/>
        </w:rPr>
        <w:t>; </w:t>
      </w:r>
      <w:r>
        <w:rPr>
          <w:rFonts w:ascii="Arial"/>
          <w:i/>
          <w:sz w:val="20"/>
        </w:rPr>
        <w:t>Fallick v Barber (1813) 1 M. &amp; S. 108</w:t>
      </w:r>
      <w:r>
        <w:rPr>
          <w:sz w:val="20"/>
        </w:rPr>
        <w:t>. See also the Theft Act 1968 s.23, penalising advertisements of rewards for stolen goods which state that no questions will be asked, etc.</w:t>
      </w:r>
    </w:p>
    <w:p>
      <w:pPr>
        <w:pStyle w:val="BodyText"/>
        <w:spacing w:before="4"/>
      </w:pPr>
    </w:p>
    <w:p>
      <w:pPr>
        <w:tabs>
          <w:tab w:pos="705" w:val="left" w:leader="none"/>
        </w:tabs>
        <w:spacing w:before="1"/>
        <w:ind w:left="165" w:right="0" w:firstLine="0"/>
        <w:jc w:val="left"/>
        <w:rPr>
          <w:sz w:val="20"/>
        </w:rPr>
      </w:pPr>
      <w:bookmarkStart w:name="_bookmark441" w:id="443"/>
      <w:bookmarkEnd w:id="443"/>
      <w:r>
        <w:rPr/>
      </w:r>
      <w:hyperlink w:history="true" w:anchor="_bookmark350">
        <w:r>
          <w:rPr>
            <w:color w:val="005DA1"/>
            <w:spacing w:val="-4"/>
            <w:position w:val="5"/>
            <w:sz w:val="14"/>
            <w:u w:val="single" w:color="005DA1"/>
          </w:rPr>
          <w:t>229</w:t>
        </w:r>
      </w:hyperlink>
      <w:r>
        <w:rPr>
          <w:spacing w:val="-4"/>
          <w:position w:val="5"/>
          <w:sz w:val="14"/>
        </w:rPr>
        <w:t>.</w:t>
      </w:r>
      <w:r>
        <w:rPr>
          <w:position w:val="5"/>
          <w:sz w:val="14"/>
        </w:rPr>
        <w:tab/>
      </w:r>
      <w:r>
        <w:rPr>
          <w:rFonts w:ascii="Arial"/>
          <w:i/>
          <w:sz w:val="20"/>
        </w:rPr>
        <w:t>(1833) 4 B. &amp; Ad. at </w:t>
      </w:r>
      <w:r>
        <w:rPr>
          <w:rFonts w:ascii="Arial"/>
          <w:i/>
          <w:spacing w:val="-4"/>
          <w:sz w:val="20"/>
        </w:rPr>
        <w:t>623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442" w:id="444"/>
      <w:bookmarkEnd w:id="444"/>
      <w:r>
        <w:rPr/>
      </w:r>
      <w:hyperlink w:history="true" w:anchor="_bookmark351">
        <w:r>
          <w:rPr>
            <w:color w:val="005DA1"/>
            <w:spacing w:val="-4"/>
            <w:position w:val="5"/>
            <w:sz w:val="14"/>
            <w:u w:val="single" w:color="005DA1"/>
          </w:rPr>
          <w:t>230</w:t>
        </w:r>
      </w:hyperlink>
      <w:r>
        <w:rPr>
          <w:spacing w:val="-4"/>
          <w:position w:val="5"/>
          <w:sz w:val="14"/>
        </w:rPr>
        <w:t>.</w:t>
      </w:r>
      <w:r>
        <w:rPr>
          <w:position w:val="5"/>
          <w:sz w:val="14"/>
        </w:rPr>
        <w:tab/>
      </w:r>
      <w:r>
        <w:rPr>
          <w:rFonts w:ascii="Arial"/>
          <w:i/>
          <w:sz w:val="20"/>
        </w:rPr>
        <w:t>[1893]</w:t>
      </w:r>
      <w:r>
        <w:rPr>
          <w:rFonts w:ascii="Arial"/>
          <w:i/>
          <w:spacing w:val="-1"/>
          <w:sz w:val="20"/>
        </w:rPr>
        <w:t> </w:t>
      </w:r>
      <w:r>
        <w:rPr>
          <w:rFonts w:ascii="Arial"/>
          <w:i/>
          <w:sz w:val="20"/>
        </w:rPr>
        <w:t>1 Q.B. 256</w:t>
      </w:r>
      <w:r>
        <w:rPr>
          <w:sz w:val="20"/>
        </w:rPr>
        <w:t>; above, para.2-</w:t>
      </w:r>
      <w:r>
        <w:rPr>
          <w:spacing w:val="-4"/>
          <w:sz w:val="20"/>
        </w:rPr>
        <w:t>015.</w:t>
      </w:r>
    </w:p>
    <w:p>
      <w:pPr>
        <w:pStyle w:val="BodyText"/>
        <w:spacing w:before="5"/>
      </w:pPr>
    </w:p>
    <w:p>
      <w:pPr>
        <w:tabs>
          <w:tab w:pos="705" w:val="left" w:leader="none"/>
        </w:tabs>
        <w:spacing w:before="0"/>
        <w:ind w:left="165" w:right="0" w:firstLine="0"/>
        <w:jc w:val="left"/>
        <w:rPr>
          <w:sz w:val="20"/>
        </w:rPr>
      </w:pPr>
      <w:bookmarkStart w:name="_bookmark443" w:id="445"/>
      <w:bookmarkEnd w:id="445"/>
      <w:r>
        <w:rPr/>
      </w:r>
      <w:hyperlink w:history="true" w:anchor="_bookmark352">
        <w:r>
          <w:rPr>
            <w:color w:val="005DA1"/>
            <w:spacing w:val="-4"/>
            <w:position w:val="5"/>
            <w:sz w:val="14"/>
            <w:u w:val="single" w:color="005DA1"/>
          </w:rPr>
          <w:t>231</w:t>
        </w:r>
      </w:hyperlink>
      <w:r>
        <w:rPr>
          <w:spacing w:val="-4"/>
          <w:position w:val="5"/>
          <w:sz w:val="14"/>
        </w:rPr>
        <w:t>.</w:t>
      </w:r>
      <w:r>
        <w:rPr>
          <w:position w:val="5"/>
          <w:sz w:val="14"/>
        </w:rPr>
        <w:tab/>
      </w:r>
      <w:r>
        <w:rPr>
          <w:rFonts w:ascii="Arial"/>
          <w:i/>
          <w:sz w:val="20"/>
        </w:rPr>
        <w:t>(1927)</w:t>
      </w:r>
      <w:r>
        <w:rPr>
          <w:rFonts w:ascii="Arial"/>
          <w:i/>
          <w:spacing w:val="-3"/>
          <w:sz w:val="20"/>
        </w:rPr>
        <w:t> </w:t>
      </w:r>
      <w:r>
        <w:rPr>
          <w:rFonts w:ascii="Arial"/>
          <w:i/>
          <w:sz w:val="20"/>
        </w:rPr>
        <w:t>40 C.L.R. 227</w:t>
      </w:r>
      <w:r>
        <w:rPr>
          <w:sz w:val="20"/>
        </w:rPr>
        <w:t>; contrast </w:t>
      </w:r>
      <w:r>
        <w:rPr>
          <w:rFonts w:ascii="Arial"/>
          <w:i/>
          <w:sz w:val="20"/>
        </w:rPr>
        <w:t>Simonds v US, 308 F. 2d 160 </w:t>
      </w:r>
      <w:r>
        <w:rPr>
          <w:rFonts w:ascii="Arial"/>
          <w:i/>
          <w:spacing w:val="-2"/>
          <w:sz w:val="20"/>
        </w:rPr>
        <w:t>(1962)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444" w:id="446"/>
      <w:bookmarkEnd w:id="446"/>
      <w:r>
        <w:rPr/>
      </w:r>
      <w:hyperlink w:history="true" w:anchor="_bookmark353">
        <w:r>
          <w:rPr>
            <w:color w:val="005DA1"/>
            <w:spacing w:val="-4"/>
            <w:position w:val="5"/>
            <w:sz w:val="14"/>
            <w:u w:val="single" w:color="005DA1"/>
          </w:rPr>
          <w:t>232</w:t>
        </w:r>
      </w:hyperlink>
      <w:r>
        <w:rPr>
          <w:spacing w:val="-4"/>
          <w:position w:val="5"/>
          <w:sz w:val="14"/>
        </w:rPr>
        <w:t>.</w:t>
      </w:r>
      <w:r>
        <w:rPr>
          <w:position w:val="5"/>
          <w:sz w:val="14"/>
        </w:rPr>
        <w:tab/>
      </w:r>
      <w:r>
        <w:rPr>
          <w:rFonts w:ascii="Arial" w:hAnsi="Arial"/>
          <w:i/>
          <w:sz w:val="20"/>
        </w:rPr>
        <w:t>(1927)</w:t>
      </w:r>
      <w:r>
        <w:rPr>
          <w:rFonts w:ascii="Arial" w:hAnsi="Arial"/>
          <w:i/>
          <w:spacing w:val="-1"/>
          <w:sz w:val="20"/>
        </w:rPr>
        <w:t> </w:t>
      </w:r>
      <w:r>
        <w:rPr>
          <w:rFonts w:ascii="Arial" w:hAnsi="Arial"/>
          <w:i/>
          <w:sz w:val="20"/>
        </w:rPr>
        <w:t>40 C.L.R. 227, 233</w:t>
      </w:r>
      <w:r>
        <w:rPr>
          <w:sz w:val="20"/>
        </w:rPr>
        <w:t>; </w:t>
      </w:r>
      <w:r>
        <w:rPr>
          <w:rFonts w:ascii="Arial" w:hAnsi="Arial"/>
          <w:i/>
          <w:sz w:val="20"/>
        </w:rPr>
        <w:t>Tracomin SA v Anton C. Nielsen [1984] 2 Lloyd’s Rep. 195, </w:t>
      </w:r>
      <w:r>
        <w:rPr>
          <w:rFonts w:ascii="Arial" w:hAnsi="Arial"/>
          <w:i/>
          <w:spacing w:val="-4"/>
          <w:sz w:val="20"/>
        </w:rPr>
        <w:t>203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45" w:id="447"/>
      <w:bookmarkEnd w:id="447"/>
      <w:r>
        <w:rPr/>
      </w:r>
      <w:hyperlink w:history="true" w:anchor="_bookmark354">
        <w:r>
          <w:rPr>
            <w:color w:val="005DA1"/>
            <w:spacing w:val="-4"/>
            <w:position w:val="5"/>
            <w:sz w:val="14"/>
            <w:u w:val="single" w:color="005DA1"/>
          </w:rPr>
          <w:t>233</w:t>
        </w:r>
      </w:hyperlink>
      <w:r>
        <w:rPr>
          <w:spacing w:val="-4"/>
          <w:position w:val="5"/>
          <w:sz w:val="14"/>
        </w:rPr>
        <w:t>.</w:t>
      </w:r>
      <w:r>
        <w:rPr>
          <w:position w:val="5"/>
          <w:sz w:val="14"/>
        </w:rPr>
        <w:tab/>
      </w:r>
      <w:r>
        <w:rPr>
          <w:rFonts w:ascii="Arial" w:hAnsi="Arial"/>
          <w:i/>
          <w:sz w:val="20"/>
        </w:rPr>
        <w:t>Lark v Outhwaite [1991] 2 Lloyd’s Rep. 132, </w:t>
      </w:r>
      <w:r>
        <w:rPr>
          <w:rFonts w:ascii="Arial" w:hAnsi="Arial"/>
          <w:i/>
          <w:spacing w:val="-4"/>
          <w:sz w:val="20"/>
        </w:rPr>
        <w:t>140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46" w:id="448"/>
      <w:bookmarkEnd w:id="448"/>
      <w:r>
        <w:rPr/>
      </w:r>
      <w:hyperlink w:history="true" w:anchor="_bookmark355">
        <w:r>
          <w:rPr>
            <w:color w:val="005DA1"/>
            <w:spacing w:val="-4"/>
            <w:position w:val="5"/>
            <w:sz w:val="14"/>
            <w:u w:val="single" w:color="005DA1"/>
          </w:rPr>
          <w:t>234</w:t>
        </w:r>
      </w:hyperlink>
      <w:r>
        <w:rPr>
          <w:spacing w:val="-4"/>
          <w:position w:val="5"/>
          <w:sz w:val="14"/>
        </w:rPr>
        <w:t>.</w:t>
      </w:r>
      <w:r>
        <w:rPr>
          <w:position w:val="5"/>
          <w:sz w:val="14"/>
        </w:rPr>
        <w:tab/>
      </w:r>
      <w:r>
        <w:rPr>
          <w:rFonts w:ascii="Arial"/>
          <w:i/>
          <w:sz w:val="20"/>
        </w:rPr>
        <w:t>Tinn v Hoffman &amp; Co (1873) 29 L.T. 271, </w:t>
      </w:r>
      <w:r>
        <w:rPr>
          <w:rFonts w:ascii="Arial"/>
          <w:i/>
          <w:spacing w:val="-4"/>
          <w:sz w:val="20"/>
        </w:rPr>
        <w:t>278</w:t>
      </w:r>
      <w:r>
        <w:rPr>
          <w:spacing w:val="-4"/>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3. - The Acceptance</w:t>
      </w:r>
    </w:p>
    <w:p>
      <w:pPr>
        <w:pStyle w:val="ListParagraph"/>
        <w:numPr>
          <w:ilvl w:val="0"/>
          <w:numId w:val="1"/>
        </w:numPr>
        <w:tabs>
          <w:tab w:pos="3025" w:val="left" w:leader="none"/>
        </w:tabs>
        <w:spacing w:line="240" w:lineRule="auto" w:before="3" w:after="0"/>
        <w:ind w:left="3025" w:right="0" w:hanging="373"/>
        <w:jc w:val="left"/>
        <w:rPr>
          <w:b/>
          <w:sz w:val="24"/>
        </w:rPr>
      </w:pPr>
      <w:r>
        <w:rPr>
          <w:b/>
          <w:sz w:val="24"/>
        </w:rPr>
        <w:t>- Communication of </w:t>
      </w:r>
      <w:r>
        <w:rPr>
          <w:b/>
          <w:spacing w:val="-2"/>
          <w:sz w:val="24"/>
        </w:rPr>
        <w:t>Acceptance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General requirement of </w:t>
      </w:r>
      <w:r>
        <w:rPr>
          <w:rFonts w:ascii="Arial"/>
          <w:b/>
          <w:spacing w:val="-2"/>
          <w:sz w:val="18"/>
        </w:rPr>
        <w:t>communication</w:t>
      </w:r>
    </w:p>
    <w:p>
      <w:pPr>
        <w:pStyle w:val="BodyText"/>
        <w:spacing w:before="41"/>
        <w:rPr>
          <w:rFonts w:ascii="Arial"/>
          <w:b/>
          <w:sz w:val="18"/>
        </w:rPr>
      </w:pPr>
    </w:p>
    <w:p>
      <w:pPr>
        <w:pStyle w:val="Heading2"/>
        <w:spacing w:before="1"/>
      </w:pPr>
      <w:r>
        <w:rPr/>
        <w:t>2-</w:t>
      </w:r>
      <w:r>
        <w:rPr>
          <w:spacing w:val="-5"/>
        </w:rPr>
        <w:t>044</w:t>
      </w:r>
    </w:p>
    <w:p>
      <w:pPr>
        <w:pStyle w:val="BodyText"/>
        <w:spacing w:line="235" w:lineRule="auto" w:before="202"/>
        <w:ind w:left="164" w:right="167"/>
        <w:jc w:val="both"/>
      </w:pPr>
      <w:bookmarkStart w:name="_bookmark447" w:id="449"/>
      <w:bookmarkEnd w:id="449"/>
      <w:r>
        <w:rPr/>
      </w:r>
      <w:r>
        <w:rPr/>
        <w:t>The general rule is that an acceptance has no legal effect until it is communicated to the offeror. </w:t>
      </w:r>
      <w:r>
        <w:rPr>
          <w:color w:val="005DA1"/>
          <w:u w:val="single" w:color="005DA1"/>
          <w:vertAlign w:val="superscript"/>
        </w:rPr>
        <w:t>235</w:t>
      </w:r>
      <w:r>
        <w:rPr>
          <w:color w:val="005DA1"/>
          <w:vertAlign w:val="baseline"/>
        </w:rPr>
        <w:t> </w:t>
      </w:r>
      <w:bookmarkStart w:name="_bookmark448" w:id="450"/>
      <w:bookmarkEnd w:id="450"/>
      <w:r>
        <w:rPr>
          <w:color w:val="005DA1"/>
          <w:w w:val="92"/>
          <w:vertAlign w:val="baseline"/>
        </w:rPr>
      </w:r>
      <w:r>
        <w:rPr>
          <w:vertAlign w:val="baseline"/>
        </w:rPr>
        <w:t>Accordingly, no contract is concluded by: a person who writes an acceptance on a piece of </w:t>
      </w:r>
      <w:r>
        <w:rPr>
          <w:vertAlign w:val="baseline"/>
        </w:rPr>
        <w:t>paper </w:t>
      </w:r>
      <w:bookmarkStart w:name="_bookmark449" w:id="451"/>
      <w:bookmarkEnd w:id="451"/>
      <w:r>
        <w:rPr>
          <w:vertAlign w:val="baseline"/>
        </w:rPr>
        <w:t>which</w:t>
      </w:r>
      <w:r>
        <w:rPr>
          <w:vertAlign w:val="baseline"/>
        </w:rPr>
        <w:t> he simply keeps </w:t>
      </w:r>
      <w:r>
        <w:rPr>
          <w:color w:val="005DA1"/>
          <w:u w:val="single" w:color="005DA1"/>
          <w:vertAlign w:val="superscript"/>
        </w:rPr>
        <w:t>236</w:t>
      </w:r>
      <w:r>
        <w:rPr>
          <w:vertAlign w:val="baseline"/>
        </w:rPr>
        <w:t>; a company that resolves to accept an application for shares but does not communicate the resolution to the applicant </w:t>
      </w:r>
      <w:r>
        <w:rPr>
          <w:color w:val="005DA1"/>
          <w:u w:val="single" w:color="005DA1"/>
          <w:vertAlign w:val="superscript"/>
        </w:rPr>
        <w:t>237</w:t>
      </w:r>
      <w:r>
        <w:rPr>
          <w:vertAlign w:val="baseline"/>
        </w:rPr>
        <w:t>; a person who decides to accept an offer to sell goods </w:t>
      </w:r>
      <w:bookmarkStart w:name="_bookmark450" w:id="452"/>
      <w:bookmarkEnd w:id="452"/>
      <w:r>
        <w:rPr>
          <w:vertAlign w:val="baseline"/>
        </w:rPr>
        <w:t>to</w:t>
      </w:r>
      <w:r>
        <w:rPr>
          <w:vertAlign w:val="baseline"/>
        </w:rPr>
        <w:t> him and instructs his bank to pay the offeror but neither he nor the bank gives notice of this fact to the offeror </w:t>
      </w:r>
      <w:r>
        <w:rPr>
          <w:color w:val="005DA1"/>
          <w:u w:val="single" w:color="005DA1"/>
          <w:vertAlign w:val="superscript"/>
        </w:rPr>
        <w:t>238</w:t>
      </w:r>
      <w:r>
        <w:rPr>
          <w:vertAlign w:val="baseline"/>
        </w:rPr>
        <w:t>; and a person who communicates the acceptance only to his own agent. </w:t>
      </w:r>
      <w:r>
        <w:rPr>
          <w:color w:val="005DA1"/>
          <w:u w:val="single" w:color="005DA1"/>
          <w:vertAlign w:val="superscript"/>
        </w:rPr>
        <w:t>239</w:t>
      </w:r>
      <w:r>
        <w:rPr>
          <w:color w:val="005DA1"/>
          <w:vertAlign w:val="baseline"/>
        </w:rPr>
        <w:t> </w:t>
      </w:r>
      <w:r>
        <w:rPr>
          <w:vertAlign w:val="baseline"/>
        </w:rPr>
        <w:t>The main reason for the rule is that it would be unfair to bind the offeror before he knows that his offer had been </w:t>
      </w:r>
      <w:bookmarkStart w:name="_bookmark451" w:id="453"/>
      <w:bookmarkEnd w:id="453"/>
      <w:r>
        <w:rPr>
          <w:vertAlign w:val="baseline"/>
        </w:rPr>
        <w:t>accepted.</w:t>
      </w:r>
      <w:r>
        <w:rPr>
          <w:vertAlign w:val="baseline"/>
        </w:rPr>
        <w:t> So long as the offeror knows of the acceptance, a contract may be concluded even though the acceptance was not brought to his notice </w:t>
      </w:r>
      <w:r>
        <w:rPr>
          <w:rFonts w:ascii="Arial" w:hAnsi="Arial"/>
          <w:i/>
          <w:vertAlign w:val="baseline"/>
        </w:rPr>
        <w:t>by the offeree</w:t>
      </w:r>
      <w:r>
        <w:rPr>
          <w:vertAlign w:val="baseline"/>
        </w:rPr>
        <w:t>. </w:t>
      </w:r>
      <w:r>
        <w:rPr>
          <w:color w:val="005DA1"/>
          <w:u w:val="single" w:color="005DA1"/>
          <w:vertAlign w:val="superscript"/>
        </w:rPr>
        <w:t>240</w:t>
      </w:r>
      <w:r>
        <w:rPr>
          <w:color w:val="005DA1"/>
          <w:vertAlign w:val="baseline"/>
        </w:rPr>
        <w:t> </w:t>
      </w:r>
      <w:r>
        <w:rPr>
          <w:vertAlign w:val="baseline"/>
        </w:rPr>
        <w:t>However, there will be no contract if </w:t>
      </w:r>
      <w:bookmarkStart w:name="_bookmark452" w:id="454"/>
      <w:bookmarkEnd w:id="454"/>
      <w:r>
        <w:rPr>
          <w:vertAlign w:val="baseline"/>
        </w:rPr>
        <w:t>the</w:t>
      </w:r>
      <w:r>
        <w:rPr>
          <w:vertAlign w:val="baseline"/>
        </w:rPr>
        <w:t> communication is made by a third party without the offeree’s authority in circumstances indicating that the offeree’s decision to accept was not yet regarded by him as irrevocable. </w:t>
      </w:r>
      <w:r>
        <w:rPr>
          <w:color w:val="005DA1"/>
          <w:u w:val="single" w:color="005DA1"/>
          <w:vertAlign w:val="superscript"/>
        </w:rPr>
        <w:t>241</w:t>
      </w:r>
    </w:p>
    <w:p>
      <w:pPr>
        <w:pStyle w:val="BodyText"/>
      </w:pPr>
    </w:p>
    <w:p>
      <w:pPr>
        <w:pStyle w:val="BodyText"/>
        <w:spacing w:before="34"/>
      </w:pPr>
    </w:p>
    <w:p>
      <w:pPr>
        <w:spacing w:before="1"/>
        <w:ind w:left="165" w:right="0" w:firstLine="0"/>
        <w:jc w:val="left"/>
        <w:rPr>
          <w:rFonts w:ascii="Arial"/>
          <w:b/>
          <w:sz w:val="18"/>
        </w:rPr>
      </w:pPr>
      <w:r>
        <w:rPr>
          <w:rFonts w:ascii="Arial"/>
          <w:b/>
          <w:sz w:val="18"/>
        </w:rPr>
        <w:t>What amounts to </w:t>
      </w:r>
      <w:r>
        <w:rPr>
          <w:rFonts w:ascii="Arial"/>
          <w:b/>
          <w:spacing w:val="-2"/>
          <w:sz w:val="18"/>
        </w:rPr>
        <w:t>communication</w:t>
      </w:r>
    </w:p>
    <w:p>
      <w:pPr>
        <w:pStyle w:val="BodyText"/>
        <w:spacing w:before="41"/>
        <w:rPr>
          <w:rFonts w:ascii="Arial"/>
          <w:b/>
          <w:sz w:val="18"/>
        </w:rPr>
      </w:pPr>
    </w:p>
    <w:p>
      <w:pPr>
        <w:pStyle w:val="Heading2"/>
      </w:pPr>
      <w:r>
        <w:rPr/>
        <w:t>2-</w:t>
      </w:r>
      <w:r>
        <w:rPr>
          <w:spacing w:val="-5"/>
        </w:rPr>
        <w:t>045</w:t>
      </w:r>
    </w:p>
    <w:p>
      <w:pPr>
        <w:pStyle w:val="BodyText"/>
        <w:spacing w:line="235" w:lineRule="auto" w:before="202"/>
        <w:ind w:left="165" w:right="167"/>
        <w:jc w:val="both"/>
      </w:pPr>
      <w:r>
        <w:rPr/>
        <w:t>For</w:t>
      </w:r>
      <w:r>
        <w:rPr>
          <w:spacing w:val="-2"/>
        </w:rPr>
        <w:t> </w:t>
      </w:r>
      <w:r>
        <w:rPr/>
        <w:t>an</w:t>
      </w:r>
      <w:r>
        <w:rPr>
          <w:spacing w:val="-2"/>
        </w:rPr>
        <w:t> </w:t>
      </w:r>
      <w:r>
        <w:rPr/>
        <w:t>acceptance</w:t>
      </w:r>
      <w:r>
        <w:rPr>
          <w:spacing w:val="-2"/>
        </w:rPr>
        <w:t> </w:t>
      </w:r>
      <w:r>
        <w:rPr/>
        <w:t>to</w:t>
      </w:r>
      <w:r>
        <w:rPr>
          <w:spacing w:val="-2"/>
        </w:rPr>
        <w:t> </w:t>
      </w:r>
      <w:r>
        <w:rPr/>
        <w:t>be</w:t>
      </w:r>
      <w:r>
        <w:rPr>
          <w:spacing w:val="-2"/>
        </w:rPr>
        <w:t> </w:t>
      </w:r>
      <w:r>
        <w:rPr/>
        <w:t>“communicated”</w:t>
      </w:r>
      <w:r>
        <w:rPr>
          <w:spacing w:val="-2"/>
        </w:rPr>
        <w:t> </w:t>
      </w:r>
      <w:r>
        <w:rPr/>
        <w:t>it</w:t>
      </w:r>
      <w:r>
        <w:rPr>
          <w:spacing w:val="-2"/>
        </w:rPr>
        <w:t> </w:t>
      </w:r>
      <w:r>
        <w:rPr/>
        <w:t>must</w:t>
      </w:r>
      <w:r>
        <w:rPr>
          <w:spacing w:val="-2"/>
        </w:rPr>
        <w:t> </w:t>
      </w:r>
      <w:r>
        <w:rPr/>
        <w:t>normally</w:t>
      </w:r>
      <w:r>
        <w:rPr>
          <w:spacing w:val="-2"/>
        </w:rPr>
        <w:t> </w:t>
      </w:r>
      <w:r>
        <w:rPr/>
        <w:t>be</w:t>
      </w:r>
      <w:r>
        <w:rPr>
          <w:spacing w:val="-2"/>
        </w:rPr>
        <w:t> </w:t>
      </w:r>
      <w:r>
        <w:rPr/>
        <w:t>brought</w:t>
      </w:r>
      <w:r>
        <w:rPr>
          <w:spacing w:val="-2"/>
        </w:rPr>
        <w:t> </w:t>
      </w:r>
      <w:r>
        <w:rPr/>
        <w:t>to</w:t>
      </w:r>
      <w:r>
        <w:rPr>
          <w:spacing w:val="-2"/>
        </w:rPr>
        <w:t> </w:t>
      </w:r>
      <w:r>
        <w:rPr/>
        <w:t>the</w:t>
      </w:r>
      <w:r>
        <w:rPr>
          <w:spacing w:val="-2"/>
        </w:rPr>
        <w:t> </w:t>
      </w:r>
      <w:r>
        <w:rPr/>
        <w:t>notice</w:t>
      </w:r>
      <w:r>
        <w:rPr>
          <w:spacing w:val="-2"/>
        </w:rPr>
        <w:t> </w:t>
      </w:r>
      <w:r>
        <w:rPr/>
        <w:t>of</w:t>
      </w:r>
      <w:r>
        <w:rPr>
          <w:spacing w:val="-2"/>
        </w:rPr>
        <w:t> </w:t>
      </w:r>
      <w:r>
        <w:rPr/>
        <w:t>the</w:t>
      </w:r>
      <w:r>
        <w:rPr>
          <w:spacing w:val="-2"/>
        </w:rPr>
        <w:t> </w:t>
      </w:r>
      <w:r>
        <w:rPr/>
        <w:t>offeror.</w:t>
      </w:r>
      <w:r>
        <w:rPr>
          <w:spacing w:val="-2"/>
        </w:rPr>
        <w:t> </w:t>
      </w:r>
      <w:r>
        <w:rPr/>
        <w:t>Thus there is no contract if the words of acceptance are “drowned by an aircraft flying overhead”; or if </w:t>
      </w:r>
      <w:r>
        <w:rPr/>
        <w:t>they </w:t>
      </w:r>
      <w:bookmarkStart w:name="_bookmark453" w:id="455"/>
      <w:bookmarkEnd w:id="455"/>
      <w:r>
        <w:rPr/>
        <w:t>are</w:t>
      </w:r>
      <w:r>
        <w:rPr/>
        <w:t> spoken into a telephone after the line has gone dead or become so indistinct that the offeror does not hear them. </w:t>
      </w:r>
      <w:r>
        <w:rPr>
          <w:color w:val="005DA1"/>
          <w:u w:val="single" w:color="005DA1"/>
          <w:vertAlign w:val="superscript"/>
        </w:rPr>
        <w:t>242</w:t>
      </w:r>
      <w:r>
        <w:rPr>
          <w:color w:val="005DA1"/>
          <w:vertAlign w:val="baseline"/>
        </w:rPr>
        <w:t> </w:t>
      </w:r>
      <w:r>
        <w:rPr>
          <w:vertAlign w:val="baseline"/>
        </w:rPr>
        <w:t>However, in some circumstances, the requirement of “communication” may be </w:t>
      </w:r>
      <w:bookmarkStart w:name="_bookmark454" w:id="456"/>
      <w:bookmarkEnd w:id="456"/>
      <w:r>
        <w:rPr>
          <w:vertAlign w:val="baseline"/>
        </w:rPr>
        <w:t>satisfied</w:t>
      </w:r>
      <w:r>
        <w:rPr>
          <w:vertAlign w:val="baseline"/>
        </w:rPr>
        <w:t> even though the acceptance has not actually come to the notice of the offeror: e.g. where a written notice of acceptance is left by the offeree at the offeror’s address. </w:t>
      </w:r>
      <w:r>
        <w:rPr>
          <w:color w:val="005DA1"/>
          <w:u w:val="single" w:color="005DA1"/>
          <w:vertAlign w:val="superscript"/>
        </w:rPr>
        <w:t>243</w:t>
      </w:r>
    </w:p>
    <w:p>
      <w:pPr>
        <w:pStyle w:val="BodyText"/>
      </w:pPr>
    </w:p>
    <w:p>
      <w:pPr>
        <w:pStyle w:val="BodyText"/>
        <w:spacing w:before="37"/>
      </w:pPr>
    </w:p>
    <w:p>
      <w:pPr>
        <w:spacing w:before="0"/>
        <w:ind w:left="165" w:right="0" w:firstLine="0"/>
        <w:jc w:val="left"/>
        <w:rPr>
          <w:rFonts w:ascii="Arial"/>
          <w:b/>
          <w:sz w:val="18"/>
        </w:rPr>
      </w:pPr>
      <w:r>
        <w:rPr>
          <w:rFonts w:ascii="Arial"/>
          <w:b/>
          <w:sz w:val="18"/>
        </w:rPr>
        <w:t>Exceptions to requirement of communication of </w:t>
      </w:r>
      <w:r>
        <w:rPr>
          <w:rFonts w:ascii="Arial"/>
          <w:b/>
          <w:spacing w:val="-2"/>
          <w:sz w:val="18"/>
        </w:rPr>
        <w:t>acceptance</w:t>
      </w:r>
    </w:p>
    <w:p>
      <w:pPr>
        <w:pStyle w:val="BodyText"/>
        <w:spacing w:before="41"/>
        <w:rPr>
          <w:rFonts w:ascii="Arial"/>
          <w:b/>
          <w:sz w:val="18"/>
        </w:rPr>
      </w:pPr>
    </w:p>
    <w:p>
      <w:pPr>
        <w:pStyle w:val="Heading2"/>
      </w:pPr>
      <w:r>
        <w:rPr/>
        <w:t>2-</w:t>
      </w:r>
      <w:r>
        <w:rPr>
          <w:spacing w:val="-5"/>
        </w:rPr>
        <w:t>046</w:t>
      </w:r>
    </w:p>
    <w:p>
      <w:pPr>
        <w:pStyle w:val="BodyText"/>
        <w:spacing w:line="235" w:lineRule="auto" w:before="203"/>
        <w:ind w:left="165" w:right="167"/>
        <w:jc w:val="both"/>
      </w:pPr>
      <w:r>
        <w:rPr/>
        <w:t>In the following situations an acceptance is, or may be, effective although it is not communicated </w:t>
      </w:r>
      <w:r>
        <w:rPr/>
        <w:t>to the offeror.</w:t>
      </w:r>
    </w:p>
    <w:p>
      <w:pPr>
        <w:pStyle w:val="BodyText"/>
        <w:spacing w:before="208"/>
      </w:pPr>
    </w:p>
    <w:p>
      <w:pPr>
        <w:pStyle w:val="ListParagraph"/>
        <w:numPr>
          <w:ilvl w:val="0"/>
          <w:numId w:val="2"/>
        </w:numPr>
        <w:tabs>
          <w:tab w:pos="435" w:val="left" w:leader="none"/>
        </w:tabs>
        <w:spacing w:line="240" w:lineRule="auto" w:before="0" w:after="0"/>
        <w:ind w:left="435" w:right="0" w:hanging="270"/>
        <w:jc w:val="left"/>
        <w:rPr>
          <w:b/>
          <w:sz w:val="18"/>
        </w:rPr>
      </w:pPr>
      <w:r>
        <w:rPr>
          <w:b/>
          <w:sz w:val="18"/>
        </w:rPr>
        <w:t>Terms of the </w:t>
      </w:r>
      <w:r>
        <w:rPr>
          <w:b/>
          <w:spacing w:val="-2"/>
          <w:sz w:val="18"/>
        </w:rPr>
        <w:t>offer</w:t>
      </w:r>
    </w:p>
    <w:p>
      <w:pPr>
        <w:pStyle w:val="BodyText"/>
        <w:spacing w:before="49"/>
        <w:rPr>
          <w:rFonts w:ascii="Arial"/>
          <w:b/>
          <w:sz w:val="18"/>
        </w:rPr>
      </w:pPr>
    </w:p>
    <w:p>
      <w:pPr>
        <w:pStyle w:val="BodyText"/>
        <w:spacing w:line="235" w:lineRule="auto" w:before="1"/>
        <w:ind w:left="165" w:right="167"/>
        <w:jc w:val="both"/>
      </w:pPr>
      <w:bookmarkStart w:name="_bookmark455" w:id="457"/>
      <w:bookmarkEnd w:id="457"/>
      <w:r>
        <w:rPr/>
      </w:r>
      <w:r>
        <w:rPr/>
        <w:t>The offer may expressly or impliedly </w:t>
      </w:r>
      <w:r>
        <w:rPr>
          <w:color w:val="005DA1"/>
          <w:u w:val="single" w:color="005DA1"/>
          <w:vertAlign w:val="superscript"/>
        </w:rPr>
        <w:t>244</w:t>
      </w:r>
      <w:r>
        <w:rPr>
          <w:color w:val="005DA1"/>
          <w:vertAlign w:val="baseline"/>
        </w:rPr>
        <w:t> </w:t>
      </w:r>
      <w:r>
        <w:rPr>
          <w:vertAlign w:val="baseline"/>
        </w:rPr>
        <w:t>waive the requirement of communication of acceptance. </w:t>
      </w:r>
      <w:r>
        <w:rPr>
          <w:color w:val="005DA1"/>
          <w:u w:val="single" w:color="005DA1"/>
          <w:vertAlign w:val="superscript"/>
        </w:rPr>
        <w:t>245</w:t>
      </w:r>
      <w:r>
        <w:rPr>
          <w:color w:val="005DA1"/>
          <w:vertAlign w:val="baseline"/>
        </w:rPr>
        <w:t> </w:t>
      </w:r>
      <w:bookmarkStart w:name="_bookmark456" w:id="458"/>
      <w:bookmarkEnd w:id="458"/>
      <w:r>
        <w:rPr>
          <w:color w:val="005DA1"/>
          <w:w w:val="92"/>
          <w:vertAlign w:val="baseline"/>
        </w:rPr>
      </w:r>
      <w:r>
        <w:rPr>
          <w:vertAlign w:val="baseline"/>
        </w:rPr>
        <w:t>This may arise when an offer invites acceptance by conduct. For example, where an offer to supply goods is made by sending them to the offeree it may be accepted by simply using them </w:t>
      </w:r>
      <w:r>
        <w:rPr>
          <w:color w:val="005DA1"/>
          <w:u w:val="single" w:color="005DA1"/>
          <w:vertAlign w:val="superscript"/>
        </w:rPr>
        <w:t>246</w:t>
      </w:r>
      <w:r>
        <w:rPr>
          <w:vertAlign w:val="baseline"/>
        </w:rPr>
        <w:t>; and</w:t>
      </w:r>
      <w:r>
        <w:rPr>
          <w:spacing w:val="40"/>
          <w:vertAlign w:val="baseline"/>
        </w:rPr>
        <w:t> </w:t>
      </w:r>
      <w:r>
        <w:rPr>
          <w:vertAlign w:val="baseline"/>
        </w:rPr>
        <w:t>where</w:t>
      </w:r>
      <w:r>
        <w:rPr>
          <w:spacing w:val="30"/>
          <w:vertAlign w:val="baseline"/>
        </w:rPr>
        <w:t> </w:t>
      </w:r>
      <w:r>
        <w:rPr>
          <w:vertAlign w:val="baseline"/>
        </w:rPr>
        <w:t>an</w:t>
      </w:r>
      <w:r>
        <w:rPr>
          <w:spacing w:val="30"/>
          <w:vertAlign w:val="baseline"/>
        </w:rPr>
        <w:t> </w:t>
      </w:r>
      <w:r>
        <w:rPr>
          <w:vertAlign w:val="baseline"/>
        </w:rPr>
        <w:t>offer</w:t>
      </w:r>
      <w:r>
        <w:rPr>
          <w:spacing w:val="30"/>
          <w:vertAlign w:val="baseline"/>
        </w:rPr>
        <w:t> </w:t>
      </w:r>
      <w:r>
        <w:rPr>
          <w:vertAlign w:val="baseline"/>
        </w:rPr>
        <w:t>to</w:t>
      </w:r>
      <w:r>
        <w:rPr>
          <w:spacing w:val="30"/>
          <w:vertAlign w:val="baseline"/>
        </w:rPr>
        <w:t> </w:t>
      </w:r>
      <w:r>
        <w:rPr>
          <w:vertAlign w:val="baseline"/>
        </w:rPr>
        <w:t>buy</w:t>
      </w:r>
      <w:r>
        <w:rPr>
          <w:spacing w:val="30"/>
          <w:vertAlign w:val="baseline"/>
        </w:rPr>
        <w:t> </w:t>
      </w:r>
      <w:r>
        <w:rPr>
          <w:vertAlign w:val="baseline"/>
        </w:rPr>
        <w:t>goods</w:t>
      </w:r>
      <w:r>
        <w:rPr>
          <w:spacing w:val="30"/>
          <w:vertAlign w:val="baseline"/>
        </w:rPr>
        <w:t> </w:t>
      </w:r>
      <w:r>
        <w:rPr>
          <w:vertAlign w:val="baseline"/>
        </w:rPr>
        <w:t>is</w:t>
      </w:r>
      <w:r>
        <w:rPr>
          <w:spacing w:val="30"/>
          <w:vertAlign w:val="baseline"/>
        </w:rPr>
        <w:t> </w:t>
      </w:r>
      <w:r>
        <w:rPr>
          <w:vertAlign w:val="baseline"/>
        </w:rPr>
        <w:t>made</w:t>
      </w:r>
      <w:r>
        <w:rPr>
          <w:spacing w:val="30"/>
          <w:vertAlign w:val="baseline"/>
        </w:rPr>
        <w:t> </w:t>
      </w:r>
      <w:r>
        <w:rPr>
          <w:vertAlign w:val="baseline"/>
        </w:rPr>
        <w:t>by</w:t>
      </w:r>
      <w:r>
        <w:rPr>
          <w:spacing w:val="30"/>
          <w:vertAlign w:val="baseline"/>
        </w:rPr>
        <w:t> </w:t>
      </w:r>
      <w:r>
        <w:rPr>
          <w:vertAlign w:val="baseline"/>
        </w:rPr>
        <w:t>ordering</w:t>
      </w:r>
      <w:r>
        <w:rPr>
          <w:spacing w:val="30"/>
          <w:vertAlign w:val="baseline"/>
        </w:rPr>
        <w:t> </w:t>
      </w:r>
      <w:r>
        <w:rPr>
          <w:vertAlign w:val="baseline"/>
        </w:rPr>
        <w:t>them,</w:t>
      </w:r>
      <w:r>
        <w:rPr>
          <w:spacing w:val="30"/>
          <w:vertAlign w:val="baseline"/>
        </w:rPr>
        <w:t> </w:t>
      </w:r>
      <w:r>
        <w:rPr>
          <w:vertAlign w:val="baseline"/>
        </w:rPr>
        <w:t>it</w:t>
      </w:r>
      <w:r>
        <w:rPr>
          <w:spacing w:val="30"/>
          <w:vertAlign w:val="baseline"/>
        </w:rPr>
        <w:t> </w:t>
      </w:r>
      <w:r>
        <w:rPr>
          <w:vertAlign w:val="baseline"/>
        </w:rPr>
        <w:t>may</w:t>
      </w:r>
      <w:r>
        <w:rPr>
          <w:spacing w:val="30"/>
          <w:vertAlign w:val="baseline"/>
        </w:rPr>
        <w:t> </w:t>
      </w:r>
      <w:r>
        <w:rPr>
          <w:vertAlign w:val="baseline"/>
        </w:rPr>
        <w:t>sometimes</w:t>
      </w:r>
      <w:r>
        <w:rPr>
          <w:spacing w:val="30"/>
          <w:vertAlign w:val="baseline"/>
        </w:rPr>
        <w:t> </w:t>
      </w:r>
      <w:r>
        <w:rPr>
          <w:vertAlign w:val="baseline"/>
        </w:rPr>
        <w:t>be</w:t>
      </w:r>
      <w:r>
        <w:rPr>
          <w:spacing w:val="30"/>
          <w:vertAlign w:val="baseline"/>
        </w:rPr>
        <w:t> </w:t>
      </w:r>
      <w:r>
        <w:rPr>
          <w:vertAlign w:val="baseline"/>
        </w:rPr>
        <w:t>accepted</w:t>
      </w:r>
      <w:r>
        <w:rPr>
          <w:spacing w:val="30"/>
          <w:vertAlign w:val="baseline"/>
        </w:rPr>
        <w:t> </w:t>
      </w:r>
      <w:r>
        <w:rPr>
          <w:vertAlign w:val="baseline"/>
        </w:rPr>
        <w:t>by</w:t>
      </w:r>
      <w:r>
        <w:rPr>
          <w:spacing w:val="30"/>
          <w:vertAlign w:val="baseline"/>
        </w:rPr>
        <w:t> </w:t>
      </w:r>
      <w:r>
        <w:rPr>
          <w:spacing w:val="-2"/>
          <w:vertAlign w:val="baseline"/>
        </w:rPr>
        <w:t>simply</w:t>
      </w:r>
    </w:p>
    <w:p>
      <w:pPr>
        <w:pStyle w:val="BodyText"/>
        <w:spacing w:after="0" w:line="235" w:lineRule="auto"/>
        <w:jc w:val="both"/>
        <w:sectPr>
          <w:headerReference w:type="default" r:id="rId10"/>
          <w:pgSz w:w="11900" w:h="16840"/>
          <w:pgMar w:header="971" w:footer="0" w:top="1300" w:bottom="280" w:left="1275" w:right="1275"/>
          <w:pgNumType w:start="1"/>
        </w:sectPr>
      </w:pPr>
    </w:p>
    <w:p>
      <w:pPr>
        <w:pStyle w:val="BodyText"/>
        <w:spacing w:line="235" w:lineRule="auto" w:before="170"/>
        <w:ind w:left="164" w:right="167"/>
        <w:jc w:val="both"/>
      </w:pPr>
      <w:bookmarkStart w:name="_bookmark457" w:id="459"/>
      <w:bookmarkEnd w:id="459"/>
      <w:r>
        <w:rPr/>
      </w:r>
      <w:bookmarkStart w:name="_bookmark458" w:id="460"/>
      <w:bookmarkEnd w:id="460"/>
      <w:r>
        <w:rPr/>
      </w:r>
      <w:r>
        <w:rPr/>
        <w:t>despatching</w:t>
      </w:r>
      <w:r>
        <w:rPr>
          <w:spacing w:val="-2"/>
        </w:rPr>
        <w:t> </w:t>
      </w:r>
      <w:r>
        <w:rPr/>
        <w:t>them.</w:t>
      </w:r>
      <w:r>
        <w:rPr>
          <w:spacing w:val="-3"/>
        </w:rPr>
        <w:t> </w:t>
      </w:r>
      <w:r>
        <w:rPr>
          <w:color w:val="005DA1"/>
          <w:u w:val="single" w:color="005DA1"/>
          <w:vertAlign w:val="superscript"/>
        </w:rPr>
        <w:t>247</w:t>
      </w:r>
      <w:r>
        <w:rPr>
          <w:color w:val="005DA1"/>
          <w:spacing w:val="-2"/>
          <w:vertAlign w:val="baseline"/>
        </w:rPr>
        <w:t> </w:t>
      </w:r>
      <w:r>
        <w:rPr>
          <w:vertAlign w:val="baseline"/>
        </w:rPr>
        <w:t>Similarly</w:t>
      </w:r>
      <w:r>
        <w:rPr>
          <w:spacing w:val="-2"/>
          <w:vertAlign w:val="baseline"/>
        </w:rPr>
        <w:t> </w:t>
      </w:r>
      <w:r>
        <w:rPr>
          <w:vertAlign w:val="baseline"/>
        </w:rPr>
        <w:t>a</w:t>
      </w:r>
      <w:r>
        <w:rPr>
          <w:spacing w:val="-2"/>
          <w:vertAlign w:val="baseline"/>
        </w:rPr>
        <w:t> </w:t>
      </w:r>
      <w:r>
        <w:rPr>
          <w:vertAlign w:val="baseline"/>
        </w:rPr>
        <w:t>tenant</w:t>
      </w:r>
      <w:r>
        <w:rPr>
          <w:spacing w:val="-2"/>
          <w:vertAlign w:val="baseline"/>
        </w:rPr>
        <w:t> </w:t>
      </w:r>
      <w:r>
        <w:rPr>
          <w:vertAlign w:val="baseline"/>
        </w:rPr>
        <w:t>can</w:t>
      </w:r>
      <w:r>
        <w:rPr>
          <w:spacing w:val="-2"/>
          <w:vertAlign w:val="baseline"/>
        </w:rPr>
        <w:t> </w:t>
      </w:r>
      <w:r>
        <w:rPr>
          <w:vertAlign w:val="baseline"/>
        </w:rPr>
        <w:t>accept</w:t>
      </w:r>
      <w:r>
        <w:rPr>
          <w:spacing w:val="-2"/>
          <w:vertAlign w:val="baseline"/>
        </w:rPr>
        <w:t> </w:t>
      </w:r>
      <w:r>
        <w:rPr>
          <w:vertAlign w:val="baseline"/>
        </w:rPr>
        <w:t>an</w:t>
      </w:r>
      <w:r>
        <w:rPr>
          <w:spacing w:val="-2"/>
          <w:vertAlign w:val="baseline"/>
        </w:rPr>
        <w:t> </w:t>
      </w:r>
      <w:r>
        <w:rPr>
          <w:vertAlign w:val="baseline"/>
        </w:rPr>
        <w:t>offer</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new</w:t>
      </w:r>
      <w:r>
        <w:rPr>
          <w:spacing w:val="-2"/>
          <w:vertAlign w:val="baseline"/>
        </w:rPr>
        <w:t> </w:t>
      </w:r>
      <w:r>
        <w:rPr>
          <w:vertAlign w:val="baseline"/>
        </w:rPr>
        <w:t>tenancy</w:t>
      </w:r>
      <w:r>
        <w:rPr>
          <w:spacing w:val="-2"/>
          <w:vertAlign w:val="baseline"/>
        </w:rPr>
        <w:t> </w:t>
      </w:r>
      <w:r>
        <w:rPr>
          <w:vertAlign w:val="baseline"/>
        </w:rPr>
        <w:t>by</w:t>
      </w:r>
      <w:r>
        <w:rPr>
          <w:spacing w:val="-2"/>
          <w:vertAlign w:val="baseline"/>
        </w:rPr>
        <w:t> </w:t>
      </w:r>
      <w:r>
        <w:rPr>
          <w:vertAlign w:val="baseline"/>
        </w:rPr>
        <w:t>simply</w:t>
      </w:r>
      <w:r>
        <w:rPr>
          <w:spacing w:val="-2"/>
          <w:vertAlign w:val="baseline"/>
        </w:rPr>
        <w:t> </w:t>
      </w:r>
      <w:r>
        <w:rPr>
          <w:vertAlign w:val="baseline"/>
        </w:rPr>
        <w:t>staying</w:t>
      </w:r>
      <w:r>
        <w:rPr>
          <w:spacing w:val="-2"/>
          <w:vertAlign w:val="baseline"/>
        </w:rPr>
        <w:t> </w:t>
      </w:r>
      <w:r>
        <w:rPr>
          <w:vertAlign w:val="baseline"/>
        </w:rPr>
        <w:t>on</w:t>
      </w:r>
      <w:r>
        <w:rPr>
          <w:spacing w:val="-2"/>
          <w:vertAlign w:val="baseline"/>
        </w:rPr>
        <w:t> </w:t>
      </w:r>
      <w:r>
        <w:rPr>
          <w:vertAlign w:val="baseline"/>
        </w:rPr>
        <w:t>the </w:t>
      </w:r>
      <w:bookmarkStart w:name="_bookmark459" w:id="461"/>
      <w:bookmarkEnd w:id="461"/>
      <w:r>
        <w:rPr>
          <w:vertAlign w:val="baseline"/>
        </w:rPr>
        <w:t>premises</w:t>
      </w:r>
      <w:r>
        <w:rPr>
          <w:vertAlign w:val="baseline"/>
        </w:rPr>
        <w:t> </w:t>
      </w:r>
      <w:r>
        <w:rPr>
          <w:color w:val="005DA1"/>
          <w:u w:val="single" w:color="005DA1"/>
          <w:vertAlign w:val="superscript"/>
        </w:rPr>
        <w:t>248</w:t>
      </w:r>
      <w:r>
        <w:rPr>
          <w:vertAlign w:val="baseline"/>
        </w:rPr>
        <w:t>; and an employer’s offer to pay an employee a bonus may be accepted simply by the employee’s staying in the employment. </w:t>
      </w:r>
      <w:r>
        <w:rPr>
          <w:color w:val="005DA1"/>
          <w:u w:val="single" w:color="005DA1"/>
          <w:vertAlign w:val="superscript"/>
        </w:rPr>
        <w:t>249</w:t>
      </w:r>
    </w:p>
    <w:p>
      <w:pPr>
        <w:pStyle w:val="BodyText"/>
      </w:pPr>
    </w:p>
    <w:p>
      <w:pPr>
        <w:pStyle w:val="BodyText"/>
        <w:spacing w:before="38"/>
      </w:pPr>
    </w:p>
    <w:p>
      <w:pPr>
        <w:pStyle w:val="ListParagraph"/>
        <w:numPr>
          <w:ilvl w:val="0"/>
          <w:numId w:val="2"/>
        </w:numPr>
        <w:tabs>
          <w:tab w:pos="435" w:val="left" w:leader="none"/>
        </w:tabs>
        <w:spacing w:line="240" w:lineRule="auto" w:before="0" w:after="0"/>
        <w:ind w:left="435" w:right="0" w:hanging="270"/>
        <w:jc w:val="left"/>
        <w:rPr>
          <w:b/>
          <w:sz w:val="18"/>
        </w:rPr>
      </w:pPr>
      <w:r>
        <w:rPr>
          <w:b/>
          <w:sz w:val="18"/>
        </w:rPr>
        <w:t>Unilateral </w:t>
      </w:r>
      <w:r>
        <w:rPr>
          <w:b/>
          <w:spacing w:val="-2"/>
          <w:sz w:val="18"/>
        </w:rPr>
        <w:t>contracts</w:t>
      </w:r>
    </w:p>
    <w:p>
      <w:pPr>
        <w:pStyle w:val="BodyText"/>
        <w:spacing w:before="49"/>
        <w:rPr>
          <w:rFonts w:ascii="Arial"/>
          <w:b/>
          <w:sz w:val="18"/>
        </w:rPr>
      </w:pPr>
    </w:p>
    <w:p>
      <w:pPr>
        <w:pStyle w:val="BodyText"/>
        <w:spacing w:line="235" w:lineRule="auto" w:before="1"/>
        <w:ind w:left="164" w:right="167"/>
        <w:jc w:val="both"/>
      </w:pPr>
      <w:bookmarkStart w:name="_bookmark460" w:id="462"/>
      <w:bookmarkEnd w:id="462"/>
      <w:r>
        <w:rPr/>
      </w:r>
      <w:r>
        <w:rPr/>
        <w:t>In the case of a unilateral contract, </w:t>
      </w:r>
      <w:r>
        <w:rPr>
          <w:color w:val="005DA1"/>
          <w:u w:val="single" w:color="005DA1"/>
          <w:vertAlign w:val="superscript"/>
        </w:rPr>
        <w:t>250</w:t>
      </w:r>
      <w:r>
        <w:rPr>
          <w:color w:val="005DA1"/>
          <w:vertAlign w:val="baseline"/>
        </w:rPr>
        <w:t> </w:t>
      </w:r>
      <w:r>
        <w:rPr>
          <w:vertAlign w:val="baseline"/>
        </w:rPr>
        <w:t>the requirement of communication of acceptance is </w:t>
      </w:r>
      <w:r>
        <w:rPr>
          <w:vertAlign w:val="baseline"/>
        </w:rPr>
        <w:t>almost </w:t>
      </w:r>
      <w:bookmarkStart w:name="_bookmark461" w:id="463"/>
      <w:bookmarkEnd w:id="463"/>
      <w:r>
        <w:rPr>
          <w:vertAlign w:val="baseline"/>
        </w:rPr>
        <w:t>always</w:t>
      </w:r>
      <w:r>
        <w:rPr>
          <w:vertAlign w:val="baseline"/>
        </w:rPr>
        <w:t> waived. For this reason, performance of the required act or abstention normally suffices, without any previous intimation of acceptance. </w:t>
      </w:r>
      <w:r>
        <w:rPr>
          <w:color w:val="005DA1"/>
          <w:u w:val="single" w:color="005DA1"/>
          <w:vertAlign w:val="superscript"/>
        </w:rPr>
        <w:t>251</w:t>
      </w:r>
      <w:r>
        <w:rPr>
          <w:color w:val="005DA1"/>
          <w:vertAlign w:val="baseline"/>
        </w:rPr>
        <w:t> </w:t>
      </w:r>
      <w:r>
        <w:rPr>
          <w:vertAlign w:val="baseline"/>
        </w:rPr>
        <w:t>Thus in </w:t>
      </w:r>
      <w:r>
        <w:rPr>
          <w:rFonts w:ascii="Arial" w:hAnsi="Arial"/>
          <w:i/>
          <w:vertAlign w:val="baseline"/>
        </w:rPr>
        <w:t>Carlill v Carbolic Smoke Ball Co </w:t>
      </w:r>
      <w:r>
        <w:rPr>
          <w:color w:val="005DA1"/>
          <w:u w:val="single" w:color="005DA1"/>
          <w:vertAlign w:val="superscript"/>
        </w:rPr>
        <w:t>252</w:t>
      </w:r>
      <w:r>
        <w:rPr>
          <w:color w:val="005DA1"/>
          <w:vertAlign w:val="baseline"/>
        </w:rPr>
        <w:t> </w:t>
      </w:r>
      <w:r>
        <w:rPr>
          <w:vertAlign w:val="baseline"/>
        </w:rPr>
        <w:t>the </w:t>
      </w:r>
      <w:bookmarkStart w:name="_bookmark462" w:id="464"/>
      <w:bookmarkEnd w:id="464"/>
      <w:r>
        <w:rPr>
          <w:vertAlign w:val="baseline"/>
        </w:rPr>
        <w:t>court</w:t>
      </w:r>
      <w:r>
        <w:rPr>
          <w:vertAlign w:val="baseline"/>
        </w:rPr>
        <w:t> rejected the argument that the claimant should have notified the defendants of her acceptance</w:t>
      </w:r>
      <w:r>
        <w:rPr>
          <w:spacing w:val="40"/>
          <w:vertAlign w:val="baseline"/>
        </w:rPr>
        <w:t> </w:t>
      </w:r>
      <w:r>
        <w:rPr>
          <w:vertAlign w:val="baseline"/>
        </w:rPr>
        <w:t>of</w:t>
      </w:r>
      <w:r>
        <w:rPr>
          <w:spacing w:val="-2"/>
          <w:vertAlign w:val="baseline"/>
        </w:rPr>
        <w:t> </w:t>
      </w:r>
      <w:r>
        <w:rPr>
          <w:vertAlign w:val="baseline"/>
        </w:rPr>
        <w:t>their</w:t>
      </w:r>
      <w:r>
        <w:rPr>
          <w:spacing w:val="-2"/>
          <w:vertAlign w:val="baseline"/>
        </w:rPr>
        <w:t> </w:t>
      </w:r>
      <w:r>
        <w:rPr>
          <w:vertAlign w:val="baseline"/>
        </w:rPr>
        <w:t>offer.</w:t>
      </w:r>
      <w:r>
        <w:rPr>
          <w:spacing w:val="-2"/>
          <w:vertAlign w:val="baseline"/>
        </w:rPr>
        <w:t> </w:t>
      </w:r>
      <w:r>
        <w:rPr>
          <w:vertAlign w:val="baseline"/>
        </w:rPr>
        <w:t>The</w:t>
      </w:r>
      <w:r>
        <w:rPr>
          <w:spacing w:val="-2"/>
          <w:vertAlign w:val="baseline"/>
        </w:rPr>
        <w:t> </w:t>
      </w:r>
      <w:r>
        <w:rPr>
          <w:vertAlign w:val="baseline"/>
        </w:rPr>
        <w:t>contract</w:t>
      </w:r>
      <w:r>
        <w:rPr>
          <w:spacing w:val="-2"/>
          <w:vertAlign w:val="baseline"/>
        </w:rPr>
        <w:t> </w:t>
      </w:r>
      <w:r>
        <w:rPr>
          <w:vertAlign w:val="baseline"/>
        </w:rPr>
        <w:t>which</w:t>
      </w:r>
      <w:r>
        <w:rPr>
          <w:spacing w:val="-2"/>
          <w:vertAlign w:val="baseline"/>
        </w:rPr>
        <w:t> </w:t>
      </w:r>
      <w:r>
        <w:rPr>
          <w:vertAlign w:val="baseline"/>
        </w:rPr>
        <w:t>arises</w:t>
      </w:r>
      <w:r>
        <w:rPr>
          <w:spacing w:val="-3"/>
          <w:vertAlign w:val="baseline"/>
        </w:rPr>
        <w:t> </w:t>
      </w:r>
      <w:r>
        <w:rPr>
          <w:color w:val="005DA1"/>
          <w:u w:val="single" w:color="005DA1"/>
          <w:vertAlign w:val="superscript"/>
        </w:rPr>
        <w:t>253</w:t>
      </w:r>
      <w:r>
        <w:rPr>
          <w:color w:val="005DA1"/>
          <w:spacing w:val="-2"/>
          <w:vertAlign w:val="baseline"/>
        </w:rPr>
        <w:t> </w:t>
      </w:r>
      <w:r>
        <w:rPr>
          <w:vertAlign w:val="baseline"/>
        </w:rPr>
        <w:t>between</w:t>
      </w:r>
      <w:r>
        <w:rPr>
          <w:spacing w:val="-2"/>
          <w:vertAlign w:val="baseline"/>
        </w:rPr>
        <w:t> </w:t>
      </w:r>
      <w:r>
        <w:rPr>
          <w:vertAlign w:val="baseline"/>
        </w:rPr>
        <w:t>a</w:t>
      </w:r>
      <w:r>
        <w:rPr>
          <w:spacing w:val="-2"/>
          <w:vertAlign w:val="baseline"/>
        </w:rPr>
        <w:t> </w:t>
      </w:r>
      <w:r>
        <w:rPr>
          <w:vertAlign w:val="baseline"/>
        </w:rPr>
        <w:t>bank</w:t>
      </w:r>
      <w:r>
        <w:rPr>
          <w:spacing w:val="-2"/>
          <w:vertAlign w:val="baseline"/>
        </w:rPr>
        <w:t> </w:t>
      </w:r>
      <w:r>
        <w:rPr>
          <w:vertAlign w:val="baseline"/>
        </w:rPr>
        <w:t>which</w:t>
      </w:r>
      <w:r>
        <w:rPr>
          <w:spacing w:val="-2"/>
          <w:vertAlign w:val="baseline"/>
        </w:rPr>
        <w:t> </w:t>
      </w:r>
      <w:r>
        <w:rPr>
          <w:vertAlign w:val="baseline"/>
        </w:rPr>
        <w:t>has</w:t>
      </w:r>
      <w:r>
        <w:rPr>
          <w:spacing w:val="-2"/>
          <w:vertAlign w:val="baseline"/>
        </w:rPr>
        <w:t> </w:t>
      </w:r>
      <w:r>
        <w:rPr>
          <w:vertAlign w:val="baseline"/>
        </w:rPr>
        <w:t>issued</w:t>
      </w:r>
      <w:r>
        <w:rPr>
          <w:spacing w:val="-2"/>
          <w:vertAlign w:val="baseline"/>
        </w:rPr>
        <w:t> </w:t>
      </w:r>
      <w:r>
        <w:rPr>
          <w:vertAlign w:val="baseline"/>
        </w:rPr>
        <w:t>a</w:t>
      </w:r>
      <w:r>
        <w:rPr>
          <w:spacing w:val="-2"/>
          <w:vertAlign w:val="baseline"/>
        </w:rPr>
        <w:t> </w:t>
      </w:r>
      <w:r>
        <w:rPr>
          <w:vertAlign w:val="baseline"/>
        </w:rPr>
        <w:t>credit</w:t>
      </w:r>
      <w:r>
        <w:rPr>
          <w:spacing w:val="-2"/>
          <w:vertAlign w:val="baseline"/>
        </w:rPr>
        <w:t> </w:t>
      </w:r>
      <w:r>
        <w:rPr>
          <w:vertAlign w:val="baseline"/>
        </w:rPr>
        <w:t>card</w:t>
      </w:r>
      <w:r>
        <w:rPr>
          <w:spacing w:val="-2"/>
          <w:vertAlign w:val="baseline"/>
        </w:rPr>
        <w:t> </w:t>
      </w:r>
      <w:r>
        <w:rPr>
          <w:vertAlign w:val="baseline"/>
        </w:rPr>
        <w:t>to</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its </w:t>
      </w:r>
      <w:bookmarkStart w:name="_bookmark463" w:id="465"/>
      <w:bookmarkEnd w:id="465"/>
      <w:r>
        <w:rPr>
          <w:vertAlign w:val="baseline"/>
        </w:rPr>
        <w:t>customers</w:t>
      </w:r>
      <w:r>
        <w:rPr>
          <w:vertAlign w:val="baseline"/>
        </w:rPr>
        <w:t> and the retailer to whom the customer presents the card has also been described as </w:t>
      </w:r>
      <w:bookmarkStart w:name="_bookmark464" w:id="466"/>
      <w:bookmarkEnd w:id="466"/>
      <w:r>
        <w:rPr>
          <w:vertAlign w:val="baseline"/>
        </w:rPr>
        <w:t>unilateral,</w:t>
      </w:r>
      <w:r>
        <w:rPr>
          <w:vertAlign w:val="baseline"/>
        </w:rPr>
        <w:t> </w:t>
      </w:r>
      <w:r>
        <w:rPr>
          <w:color w:val="005DA1"/>
          <w:u w:val="single" w:color="005DA1"/>
          <w:vertAlign w:val="superscript"/>
        </w:rPr>
        <w:t>254</w:t>
      </w:r>
      <w:r>
        <w:rPr>
          <w:color w:val="005DA1"/>
          <w:vertAlign w:val="baseline"/>
        </w:rPr>
        <w:t> </w:t>
      </w:r>
      <w:r>
        <w:rPr>
          <w:vertAlign w:val="baseline"/>
        </w:rPr>
        <w:t>so that the bank’s offer can be accepted by the retailer’s dealing with the customer without</w:t>
      </w:r>
      <w:r>
        <w:rPr>
          <w:spacing w:val="-3"/>
          <w:vertAlign w:val="baseline"/>
        </w:rPr>
        <w:t> </w:t>
      </w:r>
      <w:r>
        <w:rPr>
          <w:vertAlign w:val="baseline"/>
        </w:rPr>
        <w:t>any</w:t>
      </w:r>
      <w:r>
        <w:rPr>
          <w:spacing w:val="-3"/>
          <w:vertAlign w:val="baseline"/>
        </w:rPr>
        <w:t> </w:t>
      </w:r>
      <w:r>
        <w:rPr>
          <w:vertAlign w:val="baseline"/>
        </w:rPr>
        <w:t>need</w:t>
      </w:r>
      <w:r>
        <w:rPr>
          <w:spacing w:val="-3"/>
          <w:vertAlign w:val="baseline"/>
        </w:rPr>
        <w:t> </w:t>
      </w:r>
      <w:r>
        <w:rPr>
          <w:vertAlign w:val="baseline"/>
        </w:rPr>
        <w:t>for</w:t>
      </w:r>
      <w:r>
        <w:rPr>
          <w:spacing w:val="-3"/>
          <w:vertAlign w:val="baseline"/>
        </w:rPr>
        <w:t> </w:t>
      </w:r>
      <w:r>
        <w:rPr>
          <w:vertAlign w:val="baseline"/>
        </w:rPr>
        <w:t>the</w:t>
      </w:r>
      <w:r>
        <w:rPr>
          <w:spacing w:val="-3"/>
          <w:vertAlign w:val="baseline"/>
        </w:rPr>
        <w:t> </w:t>
      </w:r>
      <w:r>
        <w:rPr>
          <w:vertAlign w:val="baseline"/>
        </w:rPr>
        <w:t>retailer’s</w:t>
      </w:r>
      <w:r>
        <w:rPr>
          <w:spacing w:val="-3"/>
          <w:vertAlign w:val="baseline"/>
        </w:rPr>
        <w:t> </w:t>
      </w:r>
      <w:r>
        <w:rPr>
          <w:vertAlign w:val="baseline"/>
        </w:rPr>
        <w:t>acceptance</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communicated</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bank.</w:t>
      </w:r>
      <w:r>
        <w:rPr>
          <w:spacing w:val="-4"/>
          <w:vertAlign w:val="baseline"/>
        </w:rPr>
        <w:t> </w:t>
      </w:r>
      <w:r>
        <w:rPr>
          <w:color w:val="005DA1"/>
          <w:u w:val="single" w:color="005DA1"/>
          <w:vertAlign w:val="superscript"/>
        </w:rPr>
        <w:t>255</w:t>
      </w:r>
      <w:r>
        <w:rPr>
          <w:color w:val="005DA1"/>
          <w:spacing w:val="-3"/>
          <w:vertAlign w:val="baseline"/>
        </w:rPr>
        <w:t> </w:t>
      </w:r>
      <w:r>
        <w:rPr>
          <w:vertAlign w:val="baseline"/>
        </w:rPr>
        <w:t>Another</w:t>
      </w:r>
      <w:r>
        <w:rPr>
          <w:spacing w:val="-3"/>
          <w:vertAlign w:val="baseline"/>
        </w:rPr>
        <w:t> </w:t>
      </w:r>
      <w:r>
        <w:rPr>
          <w:vertAlign w:val="baseline"/>
        </w:rPr>
        <w:t>situation</w:t>
      </w:r>
      <w:r>
        <w:rPr>
          <w:spacing w:val="-3"/>
          <w:vertAlign w:val="baseline"/>
        </w:rPr>
        <w:t> </w:t>
      </w:r>
      <w:r>
        <w:rPr>
          <w:vertAlign w:val="baseline"/>
        </w:rPr>
        <w:t>in </w:t>
      </w:r>
      <w:bookmarkStart w:name="_bookmark465" w:id="467"/>
      <w:bookmarkEnd w:id="467"/>
      <w:r>
        <w:rPr>
          <w:vertAlign w:val="baseline"/>
        </w:rPr>
        <w:t>which</w:t>
      </w:r>
      <w:r>
        <w:rPr>
          <w:vertAlign w:val="baseline"/>
        </w:rPr>
        <w:t> notification of acceptance was said to be unnecessary in the case of a unilateral contract arose in </w:t>
      </w:r>
      <w:r>
        <w:rPr>
          <w:rFonts w:ascii="Arial" w:hAnsi="Arial"/>
          <w:i/>
          <w:vertAlign w:val="baseline"/>
        </w:rPr>
        <w:t>Argo Fund Ltd v Esser Steel Ltd </w:t>
      </w:r>
      <w:r>
        <w:rPr>
          <w:color w:val="005DA1"/>
          <w:u w:val="single" w:color="005DA1"/>
          <w:vertAlign w:val="superscript"/>
        </w:rPr>
        <w:t>256</w:t>
      </w:r>
      <w:r>
        <w:rPr>
          <w:color w:val="005DA1"/>
          <w:vertAlign w:val="baseline"/>
        </w:rPr>
        <w:t> </w:t>
      </w:r>
      <w:r>
        <w:rPr>
          <w:vertAlign w:val="baseline"/>
        </w:rPr>
        <w:t>where an arrangement between a debtor and its creditor banks </w:t>
      </w:r>
      <w:bookmarkStart w:name="_bookmark466" w:id="468"/>
      <w:bookmarkEnd w:id="468"/>
      <w:r>
        <w:rPr>
          <w:vertAlign w:val="baseline"/>
        </w:rPr>
        <w:t>empowered</w:t>
      </w:r>
      <w:r>
        <w:rPr>
          <w:vertAlign w:val="baseline"/>
        </w:rPr>
        <w:t> each creditor to transfer its rights by delivery of a transfer certificate to an “agent”, this </w:t>
      </w:r>
      <w:bookmarkStart w:name="_bookmark467" w:id="469"/>
      <w:bookmarkEnd w:id="469"/>
      <w:r>
        <w:rPr>
          <w:vertAlign w:val="baseline"/>
        </w:rPr>
        <w:t>arrangement</w:t>
      </w:r>
      <w:r>
        <w:rPr>
          <w:vertAlign w:val="baseline"/>
        </w:rPr>
        <w:t> was said to be a unilateral contract </w:t>
      </w:r>
      <w:r>
        <w:rPr>
          <w:color w:val="005DA1"/>
          <w:u w:val="single" w:color="005DA1"/>
          <w:vertAlign w:val="superscript"/>
        </w:rPr>
        <w:t>257</w:t>
      </w:r>
      <w:r>
        <w:rPr>
          <w:color w:val="005DA1"/>
          <w:vertAlign w:val="baseline"/>
        </w:rPr>
        <w:t> </w:t>
      </w:r>
      <w:r>
        <w:rPr>
          <w:vertAlign w:val="baseline"/>
        </w:rPr>
        <w:t>by which the debtor made a standing offer (a) to </w:t>
      </w:r>
      <w:bookmarkStart w:name="_bookmark468" w:id="470"/>
      <w:bookmarkEnd w:id="470"/>
      <w:r>
        <w:rPr>
          <w:vertAlign w:val="baseline"/>
        </w:rPr>
        <w:t>the</w:t>
      </w:r>
      <w:r>
        <w:rPr>
          <w:spacing w:val="-1"/>
          <w:vertAlign w:val="baseline"/>
        </w:rPr>
        <w:t> </w:t>
      </w:r>
      <w:r>
        <w:rPr>
          <w:vertAlign w:val="baseline"/>
        </w:rPr>
        <w:t>creditor,</w:t>
      </w:r>
      <w:r>
        <w:rPr>
          <w:spacing w:val="-1"/>
          <w:vertAlign w:val="baseline"/>
        </w:rPr>
        <w:t> </w:t>
      </w:r>
      <w:r>
        <w:rPr>
          <w:vertAlign w:val="baseline"/>
        </w:rPr>
        <w:t>to</w:t>
      </w:r>
      <w:r>
        <w:rPr>
          <w:spacing w:val="-1"/>
          <w:vertAlign w:val="baseline"/>
        </w:rPr>
        <w:t> </w:t>
      </w:r>
      <w:r>
        <w:rPr>
          <w:vertAlign w:val="baseline"/>
        </w:rPr>
        <w:t>terminate</w:t>
      </w:r>
      <w:r>
        <w:rPr>
          <w:spacing w:val="-1"/>
          <w:vertAlign w:val="baseline"/>
        </w:rPr>
        <w:t> </w:t>
      </w:r>
      <w:r>
        <w:rPr>
          <w:vertAlign w:val="baseline"/>
        </w:rPr>
        <w:t>the</w:t>
      </w:r>
      <w:r>
        <w:rPr>
          <w:spacing w:val="-1"/>
          <w:vertAlign w:val="baseline"/>
        </w:rPr>
        <w:t> </w:t>
      </w:r>
      <w:r>
        <w:rPr>
          <w:vertAlign w:val="baseline"/>
        </w:rPr>
        <w:t>original</w:t>
      </w:r>
      <w:r>
        <w:rPr>
          <w:spacing w:val="-1"/>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(b)</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transferee</w:t>
      </w:r>
      <w:r>
        <w:rPr>
          <w:spacing w:val="-1"/>
          <w:vertAlign w:val="baseline"/>
        </w:rPr>
        <w:t> </w:t>
      </w:r>
      <w:r>
        <w:rPr>
          <w:vertAlign w:val="baseline"/>
        </w:rPr>
        <w:t>to</w:t>
      </w:r>
      <w:r>
        <w:rPr>
          <w:spacing w:val="-1"/>
          <w:vertAlign w:val="baseline"/>
        </w:rPr>
        <w:t> </w:t>
      </w:r>
      <w:r>
        <w:rPr>
          <w:vertAlign w:val="baseline"/>
        </w:rPr>
        <w:t>enter</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new</w:t>
      </w:r>
      <w:r>
        <w:rPr>
          <w:spacing w:val="-1"/>
          <w:vertAlign w:val="baseline"/>
        </w:rPr>
        <w:t> </w:t>
      </w:r>
      <w:r>
        <w:rPr>
          <w:vertAlign w:val="baseline"/>
        </w:rPr>
        <w:t>one.</w:t>
      </w:r>
      <w:r>
        <w:rPr>
          <w:spacing w:val="-2"/>
          <w:vertAlign w:val="baseline"/>
        </w:rPr>
        <w:t> </w:t>
      </w:r>
      <w:r>
        <w:rPr>
          <w:color w:val="005DA1"/>
          <w:u w:val="single" w:color="005DA1"/>
          <w:vertAlign w:val="superscript"/>
        </w:rPr>
        <w:t>258</w:t>
      </w:r>
      <w:r>
        <w:rPr>
          <w:color w:val="005DA1"/>
          <w:spacing w:val="-1"/>
          <w:vertAlign w:val="baseline"/>
        </w:rPr>
        <w:t> </w:t>
      </w:r>
      <w:r>
        <w:rPr>
          <w:vertAlign w:val="baseline"/>
        </w:rPr>
        <w:t>The former offer was accepted by the creditor’s delivery of the transfer certificate to the agent </w:t>
      </w:r>
      <w:r>
        <w:rPr>
          <w:color w:val="005DA1"/>
          <w:u w:val="single" w:color="005DA1"/>
          <w:vertAlign w:val="superscript"/>
        </w:rPr>
        <w:t>259</w:t>
      </w:r>
      <w:r>
        <w:rPr>
          <w:color w:val="005DA1"/>
          <w:vertAlign w:val="baseline"/>
        </w:rPr>
        <w:t> </w:t>
      </w:r>
      <w:r>
        <w:rPr>
          <w:vertAlign w:val="baseline"/>
        </w:rPr>
        <w:t>and the </w:t>
      </w:r>
      <w:bookmarkStart w:name="_bookmark469" w:id="471"/>
      <w:bookmarkEnd w:id="471"/>
      <w:r>
        <w:rPr>
          <w:vertAlign w:val="baseline"/>
        </w:rPr>
        <w:t>latter</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transferee’s</w:t>
      </w:r>
      <w:r>
        <w:rPr>
          <w:spacing w:val="-1"/>
          <w:vertAlign w:val="baseline"/>
        </w:rPr>
        <w:t> </w:t>
      </w:r>
      <w:r>
        <w:rPr>
          <w:vertAlign w:val="baseline"/>
        </w:rPr>
        <w:t>agreeing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transfer</w:t>
      </w:r>
      <w:r>
        <w:rPr>
          <w:spacing w:val="-1"/>
          <w:vertAlign w:val="baseline"/>
        </w:rPr>
        <w:t> </w:t>
      </w:r>
      <w:r>
        <w:rPr>
          <w:vertAlign w:val="baseline"/>
        </w:rPr>
        <w:t>with</w:t>
      </w:r>
      <w:r>
        <w:rPr>
          <w:spacing w:val="-1"/>
          <w:vertAlign w:val="baseline"/>
        </w:rPr>
        <w:t> </w:t>
      </w:r>
      <w:r>
        <w:rPr>
          <w:vertAlign w:val="baseline"/>
        </w:rPr>
        <w:t>the</w:t>
      </w:r>
      <w:r>
        <w:rPr>
          <w:spacing w:val="-1"/>
          <w:vertAlign w:val="baseline"/>
        </w:rPr>
        <w:t> </w:t>
      </w:r>
      <w:r>
        <w:rPr>
          <w:vertAlign w:val="baseline"/>
        </w:rPr>
        <w:t>transferor</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terms</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agreement,</w:t>
      </w:r>
      <w:r>
        <w:rPr>
          <w:spacing w:val="-1"/>
          <w:vertAlign w:val="baseline"/>
        </w:rPr>
        <w:t> </w:t>
      </w:r>
      <w:r>
        <w:rPr>
          <w:vertAlign w:val="baseline"/>
        </w:rPr>
        <w:t>as set out in the certificate. </w:t>
      </w:r>
      <w:r>
        <w:rPr>
          <w:color w:val="005DA1"/>
          <w:u w:val="single" w:color="005DA1"/>
          <w:vertAlign w:val="superscript"/>
        </w:rPr>
        <w:t>260</w:t>
      </w:r>
      <w:r>
        <w:rPr>
          <w:color w:val="005DA1"/>
          <w:vertAlign w:val="baseline"/>
        </w:rPr>
        <w:t> </w:t>
      </w:r>
      <w:r>
        <w:rPr>
          <w:vertAlign w:val="baseline"/>
        </w:rPr>
        <w:t>Notification of these acts of acceptance was not necessary since no such </w:t>
      </w:r>
      <w:bookmarkStart w:name="_bookmark470" w:id="472"/>
      <w:bookmarkEnd w:id="472"/>
      <w:r>
        <w:rPr>
          <w:vertAlign w:val="baseline"/>
        </w:rPr>
        <w:t>requirement</w:t>
      </w:r>
      <w:r>
        <w:rPr>
          <w:vertAlign w:val="baseline"/>
        </w:rPr>
        <w:t> was stated in the original loan agreement and this fact was apparently regarded as a waiver of the requirement of communication of acceptance. </w:t>
      </w:r>
      <w:r>
        <w:rPr>
          <w:color w:val="005DA1"/>
          <w:u w:val="single" w:color="005DA1"/>
          <w:vertAlign w:val="superscript"/>
        </w:rPr>
        <w:t>261</w:t>
      </w:r>
    </w:p>
    <w:p>
      <w:pPr>
        <w:pStyle w:val="BodyText"/>
      </w:pPr>
    </w:p>
    <w:p>
      <w:pPr>
        <w:pStyle w:val="BodyText"/>
        <w:spacing w:before="31"/>
      </w:pPr>
    </w:p>
    <w:p>
      <w:pPr>
        <w:pStyle w:val="ListParagraph"/>
        <w:numPr>
          <w:ilvl w:val="0"/>
          <w:numId w:val="2"/>
        </w:numPr>
        <w:tabs>
          <w:tab w:pos="435" w:val="left" w:leader="none"/>
        </w:tabs>
        <w:spacing w:line="240" w:lineRule="auto" w:before="0" w:after="0"/>
        <w:ind w:left="435" w:right="0" w:hanging="270"/>
        <w:jc w:val="left"/>
        <w:rPr>
          <w:b/>
          <w:sz w:val="18"/>
        </w:rPr>
      </w:pPr>
      <w:r>
        <w:rPr>
          <w:b/>
          <w:sz w:val="18"/>
        </w:rPr>
        <w:t>“Fault” of </w:t>
      </w:r>
      <w:r>
        <w:rPr>
          <w:b/>
          <w:spacing w:val="-2"/>
          <w:sz w:val="18"/>
        </w:rPr>
        <w:t>offeror</w:t>
      </w:r>
    </w:p>
    <w:p>
      <w:pPr>
        <w:pStyle w:val="BodyText"/>
        <w:spacing w:before="50"/>
        <w:rPr>
          <w:rFonts w:ascii="Arial"/>
          <w:b/>
          <w:sz w:val="18"/>
        </w:rPr>
      </w:pPr>
    </w:p>
    <w:p>
      <w:pPr>
        <w:pStyle w:val="BodyText"/>
        <w:spacing w:line="235" w:lineRule="auto"/>
        <w:ind w:left="165" w:right="167"/>
        <w:jc w:val="both"/>
      </w:pPr>
      <w:r>
        <w:rPr/>
        <w:t>The offeror may be precluded from denying that the acceptance was communicated if it was “his own </w:t>
      </w:r>
      <w:bookmarkStart w:name="_bookmark471" w:id="473"/>
      <w:bookmarkEnd w:id="473"/>
      <w:r>
        <w:rPr/>
        <w:t>fault</w:t>
      </w:r>
      <w:r>
        <w:rPr/>
        <w:t> that he did not get it”; e.g. “if the listener on the telephone does not catch the words of acceptance but nevertheless does not … ask for them to be repeated”. </w:t>
      </w:r>
      <w:r>
        <w:rPr>
          <w:color w:val="005DA1"/>
          <w:u w:val="single" w:color="005DA1"/>
          <w:vertAlign w:val="superscript"/>
        </w:rPr>
        <w:t>262</w:t>
      </w:r>
      <w:r>
        <w:rPr>
          <w:color w:val="005DA1"/>
          <w:vertAlign w:val="baseline"/>
        </w:rPr>
        <w:t> </w:t>
      </w:r>
      <w:r>
        <w:rPr>
          <w:vertAlign w:val="baseline"/>
        </w:rPr>
        <w:t>If an acceptance is sent and duly received during business hours by telex or fax but is simply not read by anyone in the </w:t>
      </w:r>
      <w:bookmarkStart w:name="_bookmark472" w:id="474"/>
      <w:bookmarkEnd w:id="474"/>
      <w:r>
        <w:rPr>
          <w:vertAlign w:val="baseline"/>
        </w:rPr>
        <w:t>offeror’s</w:t>
      </w:r>
      <w:r>
        <w:rPr>
          <w:vertAlign w:val="baseline"/>
        </w:rPr>
        <w:t> office when it is there transcribed or printed out on his machine, it is probably taken to have </w:t>
      </w:r>
      <w:bookmarkStart w:name="_bookmark473" w:id="475"/>
      <w:bookmarkEnd w:id="475"/>
      <w:r>
        <w:rPr>
          <w:vertAlign w:val="baseline"/>
        </w:rPr>
        <w:t>been</w:t>
      </w:r>
      <w:r>
        <w:rPr>
          <w:vertAlign w:val="baseline"/>
        </w:rPr>
        <w:t> communicated at that time </w:t>
      </w:r>
      <w:r>
        <w:rPr>
          <w:color w:val="005DA1"/>
          <w:u w:val="single" w:color="005DA1"/>
          <w:vertAlign w:val="superscript"/>
        </w:rPr>
        <w:t>263</w:t>
      </w:r>
      <w:r>
        <w:rPr>
          <w:vertAlign w:val="baseline"/>
        </w:rPr>
        <w:t>; if such a message is received out of business hours, it </w:t>
      </w:r>
      <w:r>
        <w:rPr>
          <w:vertAlign w:val="baseline"/>
        </w:rPr>
        <w:t>probably takes effect at the beginning of the next business day. </w:t>
      </w:r>
      <w:r>
        <w:rPr>
          <w:color w:val="005DA1"/>
          <w:u w:val="single" w:color="005DA1"/>
          <w:vertAlign w:val="superscript"/>
        </w:rPr>
        <w:t>264</w:t>
      </w:r>
    </w:p>
    <w:p>
      <w:pPr>
        <w:pStyle w:val="BodyText"/>
      </w:pPr>
    </w:p>
    <w:p>
      <w:pPr>
        <w:pStyle w:val="BodyText"/>
        <w:spacing w:before="36"/>
      </w:pPr>
    </w:p>
    <w:p>
      <w:pPr>
        <w:pStyle w:val="ListParagraph"/>
        <w:numPr>
          <w:ilvl w:val="0"/>
          <w:numId w:val="2"/>
        </w:numPr>
        <w:tabs>
          <w:tab w:pos="435" w:val="left" w:leader="none"/>
        </w:tabs>
        <w:spacing w:line="240" w:lineRule="auto" w:before="0" w:after="0"/>
        <w:ind w:left="435" w:right="0" w:hanging="270"/>
        <w:jc w:val="left"/>
        <w:rPr>
          <w:b/>
          <w:sz w:val="18"/>
        </w:rPr>
      </w:pPr>
      <w:r>
        <w:rPr>
          <w:b/>
          <w:sz w:val="18"/>
        </w:rPr>
        <w:t>Email </w:t>
      </w:r>
      <w:r>
        <w:rPr>
          <w:b/>
          <w:spacing w:val="-2"/>
          <w:sz w:val="18"/>
        </w:rPr>
        <w:t>acceptance</w:t>
      </w:r>
    </w:p>
    <w:p>
      <w:pPr>
        <w:pStyle w:val="BodyText"/>
        <w:spacing w:before="50"/>
        <w:rPr>
          <w:rFonts w:ascii="Arial"/>
          <w:b/>
          <w:sz w:val="18"/>
        </w:rPr>
      </w:pPr>
    </w:p>
    <w:p>
      <w:pPr>
        <w:pStyle w:val="BodyText"/>
        <w:spacing w:line="235" w:lineRule="auto"/>
        <w:ind w:left="165" w:right="167"/>
        <w:jc w:val="both"/>
      </w:pPr>
      <w:bookmarkStart w:name="_bookmark474" w:id="476"/>
      <w:bookmarkEnd w:id="476"/>
      <w:r>
        <w:rPr/>
      </w:r>
      <w:r>
        <w:rPr/>
        <w:t>While the issue has received no judicial determination, it is submitted that the time of acceptance by </w:t>
      </w:r>
      <w:bookmarkStart w:name="_bookmark475" w:id="477"/>
      <w:bookmarkEnd w:id="477"/>
      <w:r>
        <w:rPr/>
        <w:t>email</w:t>
      </w:r>
      <w:r>
        <w:rPr/>
        <w:t> should be when the email is received by the offeror, </w:t>
      </w:r>
      <w:r>
        <w:rPr>
          <w:color w:val="005DA1"/>
          <w:u w:val="single" w:color="005DA1"/>
          <w:vertAlign w:val="superscript"/>
        </w:rPr>
        <w:t>265</w:t>
      </w:r>
      <w:r>
        <w:rPr>
          <w:color w:val="005DA1"/>
          <w:vertAlign w:val="baseline"/>
        </w:rPr>
        <w:t> </w:t>
      </w:r>
      <w:r>
        <w:rPr>
          <w:vertAlign w:val="baseline"/>
        </w:rPr>
        <w:t>and an email acceptance should be treated as having been received when it arrives on the offeror’s email server, </w:t>
      </w:r>
      <w:r>
        <w:rPr>
          <w:color w:val="005DA1"/>
          <w:u w:val="single" w:color="005DA1"/>
          <w:vertAlign w:val="superscript"/>
        </w:rPr>
        <w:t>266</w:t>
      </w:r>
      <w:r>
        <w:rPr>
          <w:color w:val="005DA1"/>
          <w:vertAlign w:val="baseline"/>
        </w:rPr>
        <w:t> </w:t>
      </w:r>
      <w:r>
        <w:rPr>
          <w:vertAlign w:val="baseline"/>
        </w:rPr>
        <w:t>even if the offeror</w:t>
      </w:r>
      <w:r>
        <w:rPr>
          <w:spacing w:val="40"/>
          <w:vertAlign w:val="baseline"/>
        </w:rPr>
        <w:t> </w:t>
      </w:r>
      <w:r>
        <w:rPr>
          <w:vertAlign w:val="baseline"/>
        </w:rPr>
        <w:t>has not, or perhaps cannot, access it.</w:t>
      </w:r>
    </w:p>
    <w:p>
      <w:pPr>
        <w:pStyle w:val="BodyText"/>
      </w:pPr>
    </w:p>
    <w:p>
      <w:pPr>
        <w:pStyle w:val="BodyText"/>
        <w:spacing w:before="37"/>
      </w:pPr>
    </w:p>
    <w:p>
      <w:pPr>
        <w:pStyle w:val="ListParagraph"/>
        <w:numPr>
          <w:ilvl w:val="0"/>
          <w:numId w:val="2"/>
        </w:numPr>
        <w:tabs>
          <w:tab w:pos="435" w:val="left" w:leader="none"/>
        </w:tabs>
        <w:spacing w:line="240" w:lineRule="auto" w:before="0" w:after="0"/>
        <w:ind w:left="435" w:right="0" w:hanging="270"/>
        <w:jc w:val="left"/>
        <w:rPr>
          <w:b/>
          <w:sz w:val="18"/>
        </w:rPr>
      </w:pPr>
      <w:r>
        <w:rPr>
          <w:b/>
          <w:sz w:val="18"/>
        </w:rPr>
        <w:t>Communication to offeror’s </w:t>
      </w:r>
      <w:r>
        <w:rPr>
          <w:b/>
          <w:spacing w:val="-2"/>
          <w:sz w:val="18"/>
        </w:rPr>
        <w:t>agent</w:t>
      </w:r>
    </w:p>
    <w:p>
      <w:pPr>
        <w:pStyle w:val="BodyText"/>
        <w:spacing w:before="50"/>
        <w:rPr>
          <w:rFonts w:ascii="Arial"/>
          <w:b/>
          <w:sz w:val="18"/>
        </w:rPr>
      </w:pPr>
    </w:p>
    <w:p>
      <w:pPr>
        <w:pStyle w:val="BodyText"/>
        <w:spacing w:line="235" w:lineRule="auto"/>
        <w:ind w:left="164" w:right="167"/>
        <w:jc w:val="both"/>
      </w:pPr>
      <w:bookmarkStart w:name="_bookmark476" w:id="478"/>
      <w:bookmarkEnd w:id="478"/>
      <w:r>
        <w:rPr/>
      </w:r>
      <w:r>
        <w:rPr/>
        <w:t>The acceptance may be communicated, not to the offeror personally, but to his agent. The effect </w:t>
      </w:r>
      <w:r>
        <w:rPr/>
        <w:t>of such a communication depends on the agent’s authority. </w:t>
      </w:r>
      <w:r>
        <w:rPr>
          <w:color w:val="005DA1"/>
          <w:u w:val="single" w:color="005DA1"/>
          <w:vertAlign w:val="superscript"/>
        </w:rPr>
        <w:t>267</w:t>
      </w:r>
      <w:r>
        <w:rPr>
          <w:color w:val="005DA1"/>
          <w:vertAlign w:val="baseline"/>
        </w:rPr>
        <w:t> </w:t>
      </w:r>
      <w:r>
        <w:rPr>
          <w:vertAlign w:val="baseline"/>
        </w:rPr>
        <w:t>The communication concludes a contract if</w:t>
      </w:r>
      <w:r>
        <w:rPr>
          <w:spacing w:val="-1"/>
          <w:vertAlign w:val="baseline"/>
        </w:rPr>
        <w:t> </w:t>
      </w:r>
      <w:r>
        <w:rPr>
          <w:vertAlign w:val="baseline"/>
        </w:rPr>
        <w:t>the</w:t>
      </w:r>
      <w:r>
        <w:rPr>
          <w:spacing w:val="-1"/>
          <w:vertAlign w:val="baseline"/>
        </w:rPr>
        <w:t> </w:t>
      </w:r>
      <w:r>
        <w:rPr>
          <w:vertAlign w:val="baseline"/>
        </w:rPr>
        <w:t>agent</w:t>
      </w:r>
      <w:r>
        <w:rPr>
          <w:spacing w:val="-1"/>
          <w:vertAlign w:val="baseline"/>
        </w:rPr>
        <w:t> </w:t>
      </w:r>
      <w:r>
        <w:rPr>
          <w:vertAlign w:val="baseline"/>
        </w:rPr>
        <w:t>is</w:t>
      </w:r>
      <w:r>
        <w:rPr>
          <w:spacing w:val="-1"/>
          <w:vertAlign w:val="baseline"/>
        </w:rPr>
        <w:t> </w:t>
      </w:r>
      <w:r>
        <w:rPr>
          <w:vertAlign w:val="baseline"/>
        </w:rPr>
        <w:t>authorised</w:t>
      </w:r>
      <w:r>
        <w:rPr>
          <w:spacing w:val="-1"/>
          <w:vertAlign w:val="baseline"/>
        </w:rPr>
        <w:t> </w:t>
      </w:r>
      <w:r>
        <w:rPr>
          <w:vertAlign w:val="baseline"/>
        </w:rPr>
        <w:t>to</w:t>
      </w:r>
      <w:r>
        <w:rPr>
          <w:spacing w:val="-1"/>
          <w:vertAlign w:val="baseline"/>
        </w:rPr>
        <w:t> </w:t>
      </w:r>
      <w:r>
        <w:rPr>
          <w:rFonts w:ascii="Arial" w:hAnsi="Arial"/>
          <w:i/>
          <w:vertAlign w:val="baseline"/>
        </w:rPr>
        <w:t>receive</w:t>
      </w:r>
      <w:r>
        <w:rPr>
          <w:rFonts w:ascii="Arial" w:hAnsi="Arial"/>
          <w:i/>
          <w:spacing w:val="-1"/>
          <w:vertAlign w:val="baseline"/>
        </w:rPr>
        <w:t> </w:t>
      </w:r>
      <w:r>
        <w:rPr>
          <w:vertAlign w:val="baseline"/>
        </w:rPr>
        <w:t>the</w:t>
      </w:r>
      <w:r>
        <w:rPr>
          <w:spacing w:val="-1"/>
          <w:vertAlign w:val="baseline"/>
        </w:rPr>
        <w:t> </w:t>
      </w:r>
      <w:r>
        <w:rPr>
          <w:vertAlign w:val="baseline"/>
        </w:rPr>
        <w:t>acceptance,</w:t>
      </w:r>
      <w:r>
        <w:rPr>
          <w:spacing w:val="-1"/>
          <w:vertAlign w:val="baseline"/>
        </w:rPr>
        <w:t> </w:t>
      </w:r>
      <w:r>
        <w:rPr>
          <w:vertAlign w:val="baseline"/>
        </w:rPr>
        <w:t>but</w:t>
      </w:r>
      <w:r>
        <w:rPr>
          <w:spacing w:val="-1"/>
          <w:vertAlign w:val="baseline"/>
        </w:rPr>
        <w:t> </w:t>
      </w:r>
      <w:r>
        <w:rPr>
          <w:vertAlign w:val="baseline"/>
        </w:rPr>
        <w:t>not</w:t>
      </w:r>
      <w:r>
        <w:rPr>
          <w:spacing w:val="-1"/>
          <w:vertAlign w:val="baseline"/>
        </w:rPr>
        <w:t> </w:t>
      </w:r>
      <w:r>
        <w:rPr>
          <w:vertAlign w:val="baseline"/>
        </w:rPr>
        <w:t>if</w:t>
      </w:r>
      <w:r>
        <w:rPr>
          <w:spacing w:val="-1"/>
          <w:vertAlign w:val="baseline"/>
        </w:rPr>
        <w:t> </w:t>
      </w:r>
      <w:r>
        <w:rPr>
          <w:vertAlign w:val="baseline"/>
        </w:rPr>
        <w:t>he</w:t>
      </w:r>
      <w:r>
        <w:rPr>
          <w:spacing w:val="-1"/>
          <w:vertAlign w:val="baseline"/>
        </w:rPr>
        <w:t> </w:t>
      </w:r>
      <w:r>
        <w:rPr>
          <w:vertAlign w:val="baseline"/>
        </w:rPr>
        <w:t>is</w:t>
      </w:r>
      <w:r>
        <w:rPr>
          <w:spacing w:val="-1"/>
          <w:vertAlign w:val="baseline"/>
        </w:rPr>
        <w:t> </w:t>
      </w:r>
      <w:r>
        <w:rPr>
          <w:vertAlign w:val="baseline"/>
        </w:rPr>
        <w:t>authorised</w:t>
      </w:r>
      <w:r>
        <w:rPr>
          <w:spacing w:val="-1"/>
          <w:vertAlign w:val="baseline"/>
        </w:rPr>
        <w:t> </w:t>
      </w:r>
      <w:r>
        <w:rPr>
          <w:vertAlign w:val="baseline"/>
        </w:rPr>
        <w:t>only</w:t>
      </w:r>
      <w:r>
        <w:rPr>
          <w:spacing w:val="-1"/>
          <w:vertAlign w:val="baseline"/>
        </w:rPr>
        <w:t> </w:t>
      </w:r>
      <w:r>
        <w:rPr>
          <w:vertAlign w:val="baseline"/>
        </w:rPr>
        <w:t>to</w:t>
      </w:r>
      <w:r>
        <w:rPr>
          <w:spacing w:val="-1"/>
          <w:vertAlign w:val="baseline"/>
        </w:rPr>
        <w:t> </w:t>
      </w:r>
      <w:r>
        <w:rPr>
          <w:rFonts w:ascii="Arial" w:hAnsi="Arial"/>
          <w:i/>
          <w:vertAlign w:val="baseline"/>
        </w:rPr>
        <w:t>transmit</w:t>
      </w:r>
      <w:r>
        <w:rPr>
          <w:rFonts w:ascii="Arial" w:hAnsi="Arial"/>
          <w:i/>
          <w:spacing w:val="-1"/>
          <w:vertAlign w:val="baseline"/>
        </w:rPr>
        <w:t> </w:t>
      </w:r>
      <w:r>
        <w:rPr>
          <w:vertAlign w:val="baseline"/>
        </w:rPr>
        <w:t>it</w:t>
      </w:r>
      <w:r>
        <w:rPr>
          <w:spacing w:val="-1"/>
          <w:vertAlign w:val="baseline"/>
        </w:rPr>
        <w:t> </w:t>
      </w:r>
      <w:r>
        <w:rPr>
          <w:vertAlign w:val="baseline"/>
        </w:rPr>
        <w:t>to</w:t>
      </w:r>
      <w:r>
        <w:rPr>
          <w:spacing w:val="-1"/>
          <w:vertAlign w:val="baseline"/>
        </w:rPr>
        <w:t> </w:t>
      </w:r>
      <w:r>
        <w:rPr>
          <w:vertAlign w:val="baseline"/>
        </w:rPr>
        <w:t>the offeror: e.g. if a written acceptance is handed to a messenger sent to the offeree by the offeror. In the latter case the acceptance takes effect only when it is communicated to the offeror (unless the case falls within one of the other exceptions to the general rule requiring the acceptance to be communicated to the offeror).</w:t>
      </w:r>
    </w:p>
    <w:p>
      <w:pPr>
        <w:pStyle w:val="BodyText"/>
      </w:pPr>
    </w:p>
    <w:p>
      <w:pPr>
        <w:pStyle w:val="BodyText"/>
        <w:spacing w:before="36"/>
      </w:pPr>
    </w:p>
    <w:p>
      <w:pPr>
        <w:pStyle w:val="ListParagraph"/>
        <w:numPr>
          <w:ilvl w:val="0"/>
          <w:numId w:val="2"/>
        </w:numPr>
        <w:tabs>
          <w:tab w:pos="434" w:val="left" w:leader="none"/>
        </w:tabs>
        <w:spacing w:line="240" w:lineRule="auto" w:before="0" w:after="0"/>
        <w:ind w:left="434" w:right="0" w:hanging="270"/>
        <w:jc w:val="left"/>
        <w:rPr>
          <w:b/>
          <w:sz w:val="18"/>
        </w:rPr>
      </w:pPr>
      <w:r>
        <w:rPr>
          <w:b/>
          <w:sz w:val="18"/>
        </w:rPr>
        <w:t>Acceptance sent by </w:t>
      </w:r>
      <w:r>
        <w:rPr>
          <w:b/>
          <w:spacing w:val="-4"/>
          <w:sz w:val="18"/>
        </w:rPr>
        <w:t>post</w:t>
      </w:r>
    </w:p>
    <w:p>
      <w:pPr>
        <w:pStyle w:val="BodyText"/>
        <w:spacing w:before="46"/>
        <w:rPr>
          <w:rFonts w:ascii="Arial"/>
          <w:b/>
          <w:sz w:val="18"/>
        </w:rPr>
      </w:pPr>
    </w:p>
    <w:p>
      <w:pPr>
        <w:pStyle w:val="BodyText"/>
        <w:ind w:left="164"/>
        <w:jc w:val="both"/>
      </w:pPr>
      <w:r>
        <w:rPr/>
        <w:t>An</w:t>
      </w:r>
      <w:r>
        <w:rPr>
          <w:spacing w:val="1"/>
        </w:rPr>
        <w:t> </w:t>
      </w:r>
      <w:r>
        <w:rPr/>
        <w:t>acceptance</w:t>
      </w:r>
      <w:r>
        <w:rPr>
          <w:spacing w:val="1"/>
        </w:rPr>
        <w:t> </w:t>
      </w:r>
      <w:r>
        <w:rPr/>
        <w:t>sent</w:t>
      </w:r>
      <w:r>
        <w:rPr>
          <w:spacing w:val="1"/>
        </w:rPr>
        <w:t> </w:t>
      </w:r>
      <w:r>
        <w:rPr/>
        <w:t>by</w:t>
      </w:r>
      <w:r>
        <w:rPr>
          <w:spacing w:val="1"/>
        </w:rPr>
        <w:t> </w:t>
      </w:r>
      <w:r>
        <w:rPr/>
        <w:t>post</w:t>
      </w:r>
      <w:r>
        <w:rPr>
          <w:spacing w:val="1"/>
        </w:rPr>
        <w:t> </w:t>
      </w:r>
      <w:r>
        <w:rPr/>
        <w:t>often</w:t>
      </w:r>
      <w:r>
        <w:rPr>
          <w:spacing w:val="1"/>
        </w:rPr>
        <w:t> </w:t>
      </w:r>
      <w:r>
        <w:rPr/>
        <w:t>takes</w:t>
      </w:r>
      <w:r>
        <w:rPr>
          <w:spacing w:val="1"/>
        </w:rPr>
        <w:t> </w:t>
      </w:r>
      <w:r>
        <w:rPr/>
        <w:t>effect</w:t>
      </w:r>
      <w:r>
        <w:rPr>
          <w:spacing w:val="1"/>
        </w:rPr>
        <w:t> </w:t>
      </w:r>
      <w:r>
        <w:rPr/>
        <w:t>before</w:t>
      </w:r>
      <w:r>
        <w:rPr>
          <w:spacing w:val="1"/>
        </w:rPr>
        <w:t> </w:t>
      </w:r>
      <w:r>
        <w:rPr/>
        <w:t>it</w:t>
      </w:r>
      <w:r>
        <w:rPr>
          <w:spacing w:val="1"/>
        </w:rPr>
        <w:t> </w:t>
      </w:r>
      <w:r>
        <w:rPr/>
        <w:t>is</w:t>
      </w:r>
      <w:r>
        <w:rPr>
          <w:spacing w:val="1"/>
        </w:rPr>
        <w:t> </w:t>
      </w:r>
      <w:r>
        <w:rPr/>
        <w:t>communicated.</w:t>
      </w:r>
      <w:r>
        <w:rPr>
          <w:spacing w:val="1"/>
        </w:rPr>
        <w:t> </w:t>
      </w:r>
      <w:r>
        <w:rPr/>
        <w:t>The</w:t>
      </w:r>
      <w:r>
        <w:rPr>
          <w:spacing w:val="1"/>
        </w:rPr>
        <w:t> </w:t>
      </w:r>
      <w:r>
        <w:rPr/>
        <w:t>exact</w:t>
      </w:r>
      <w:r>
        <w:rPr>
          <w:spacing w:val="1"/>
        </w:rPr>
        <w:t> </w:t>
      </w:r>
      <w:r>
        <w:rPr/>
        <w:t>effects</w:t>
      </w:r>
      <w:r>
        <w:rPr>
          <w:spacing w:val="1"/>
        </w:rPr>
        <w:t> </w:t>
      </w:r>
      <w:r>
        <w:rPr/>
        <w:t>of</w:t>
      </w:r>
      <w:r>
        <w:rPr>
          <w:spacing w:val="1"/>
        </w:rPr>
        <w:t> </w:t>
      </w:r>
      <w:r>
        <w:rPr/>
        <w:t>such</w:t>
      </w:r>
      <w:r>
        <w:rPr>
          <w:spacing w:val="1"/>
        </w:rPr>
        <w:t> </w:t>
      </w:r>
      <w:r>
        <w:rPr>
          <w:spacing w:val="-5"/>
        </w:rPr>
        <w:t>an</w:t>
      </w:r>
    </w:p>
    <w:p>
      <w:pPr>
        <w:pStyle w:val="BodyText"/>
        <w:spacing w:after="0"/>
        <w:jc w:val="both"/>
        <w:sectPr>
          <w:pgSz w:w="11900" w:h="16840"/>
          <w:pgMar w:header="971" w:footer="0" w:top="1300" w:bottom="280" w:left="1275" w:right="1275"/>
        </w:sectPr>
      </w:pPr>
    </w:p>
    <w:p>
      <w:pPr>
        <w:pStyle w:val="BodyText"/>
        <w:spacing w:before="36"/>
      </w:pPr>
    </w:p>
    <w:p>
      <w:pPr>
        <w:pStyle w:val="BodyText"/>
        <w:ind w:left="165"/>
      </w:pPr>
      <w:r>
        <w:rPr/>
        <w:t>acceptance are discussed in paras 2-047—2-059 </w:t>
      </w:r>
      <w:r>
        <w:rPr>
          <w:spacing w:val="-2"/>
        </w:rPr>
        <w:t>below.</w:t>
      </w:r>
    </w:p>
    <w:p>
      <w:pPr>
        <w:pStyle w:val="BodyText"/>
      </w:pPr>
    </w:p>
    <w:p>
      <w:pPr>
        <w:pStyle w:val="BodyText"/>
        <w:spacing w:before="99"/>
      </w:pPr>
      <w:r>
        <w:rPr/>
        <mc:AlternateContent>
          <mc:Choice Requires="wps">
            <w:drawing>
              <wp:anchor distT="0" distB="0" distL="0" distR="0" allowOverlap="1" layoutInCell="1" locked="0" behindDoc="1" simplePos="0" relativeHeight="487601664">
                <wp:simplePos x="0" y="0"/>
                <wp:positionH relativeFrom="page">
                  <wp:posOffset>914400</wp:posOffset>
                </wp:positionH>
                <wp:positionV relativeFrom="paragraph">
                  <wp:posOffset>224428</wp:posOffset>
                </wp:positionV>
                <wp:extent cx="5724525" cy="1270"/>
                <wp:effectExtent l="0" t="0" r="0" b="0"/>
                <wp:wrapTopAndBottom/>
                <wp:docPr id="42" name="Graphic 42"/>
                <wp:cNvGraphicFramePr>
                  <a:graphicFrameLocks/>
                </wp:cNvGraphicFramePr>
                <a:graphic>
                  <a:graphicData uri="http://schemas.microsoft.com/office/word/2010/wordprocessingShape">
                    <wps:wsp>
                      <wps:cNvPr id="42" name="Graphic 4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67157pt;width:450.75pt;height:.1pt;mso-position-horizontal-relative:page;mso-position-vertical-relative:paragraph;z-index:-15714816;mso-wrap-distance-left:0;mso-wrap-distance-right:0" id="docshape10" coordorigin="1440,353" coordsize="9015,0" path="m1440,353l10454,353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477" w:id="479"/>
      <w:bookmarkEnd w:id="479"/>
      <w:r>
        <w:rPr/>
      </w:r>
      <w:hyperlink w:history="true" w:anchor="_bookmark447">
        <w:r>
          <w:rPr>
            <w:color w:val="005DA1"/>
            <w:spacing w:val="-4"/>
            <w:position w:val="5"/>
            <w:sz w:val="14"/>
            <w:u w:val="single" w:color="005DA1"/>
          </w:rPr>
          <w:t>235</w:t>
        </w:r>
      </w:hyperlink>
      <w:r>
        <w:rPr>
          <w:spacing w:val="-4"/>
          <w:position w:val="5"/>
          <w:sz w:val="14"/>
        </w:rPr>
        <w:t>.</w:t>
      </w:r>
      <w:r>
        <w:rPr>
          <w:position w:val="5"/>
          <w:sz w:val="14"/>
        </w:rPr>
        <w:tab/>
      </w:r>
      <w:r>
        <w:rPr>
          <w:rFonts w:ascii="Arial"/>
          <w:i/>
          <w:sz w:val="20"/>
        </w:rPr>
        <w:t>McIver</w:t>
      </w:r>
      <w:r>
        <w:rPr>
          <w:rFonts w:ascii="Arial"/>
          <w:i/>
          <w:spacing w:val="24"/>
          <w:sz w:val="20"/>
        </w:rPr>
        <w:t> </w:t>
      </w:r>
      <w:r>
        <w:rPr>
          <w:rFonts w:ascii="Arial"/>
          <w:i/>
          <w:sz w:val="20"/>
        </w:rPr>
        <w:t>v</w:t>
      </w:r>
      <w:r>
        <w:rPr>
          <w:rFonts w:ascii="Arial"/>
          <w:i/>
          <w:spacing w:val="27"/>
          <w:sz w:val="20"/>
        </w:rPr>
        <w:t> </w:t>
      </w:r>
      <w:r>
        <w:rPr>
          <w:rFonts w:ascii="Arial"/>
          <w:i/>
          <w:sz w:val="20"/>
        </w:rPr>
        <w:t>Richardson</w:t>
      </w:r>
      <w:r>
        <w:rPr>
          <w:rFonts w:ascii="Arial"/>
          <w:i/>
          <w:spacing w:val="27"/>
          <w:sz w:val="20"/>
        </w:rPr>
        <w:t> </w:t>
      </w:r>
      <w:r>
        <w:rPr>
          <w:rFonts w:ascii="Arial"/>
          <w:i/>
          <w:sz w:val="20"/>
        </w:rPr>
        <w:t>(1813)</w:t>
      </w:r>
      <w:r>
        <w:rPr>
          <w:rFonts w:ascii="Arial"/>
          <w:i/>
          <w:spacing w:val="27"/>
          <w:sz w:val="20"/>
        </w:rPr>
        <w:t> </w:t>
      </w:r>
      <w:r>
        <w:rPr>
          <w:rFonts w:ascii="Arial"/>
          <w:i/>
          <w:sz w:val="20"/>
        </w:rPr>
        <w:t>1</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7"/>
          <w:sz w:val="20"/>
        </w:rPr>
        <w:t> </w:t>
      </w:r>
      <w:r>
        <w:rPr>
          <w:rFonts w:ascii="Arial"/>
          <w:i/>
          <w:sz w:val="20"/>
        </w:rPr>
        <w:t>S.</w:t>
      </w:r>
      <w:r>
        <w:rPr>
          <w:rFonts w:ascii="Arial"/>
          <w:i/>
          <w:spacing w:val="27"/>
          <w:sz w:val="20"/>
        </w:rPr>
        <w:t> </w:t>
      </w:r>
      <w:r>
        <w:rPr>
          <w:rFonts w:ascii="Arial"/>
          <w:i/>
          <w:sz w:val="20"/>
        </w:rPr>
        <w:t>557</w:t>
      </w:r>
      <w:r>
        <w:rPr>
          <w:sz w:val="20"/>
        </w:rPr>
        <w:t>;</w:t>
      </w:r>
      <w:r>
        <w:rPr>
          <w:spacing w:val="27"/>
          <w:sz w:val="20"/>
        </w:rPr>
        <w:t> </w:t>
      </w:r>
      <w:r>
        <w:rPr>
          <w:rFonts w:ascii="Arial"/>
          <w:i/>
          <w:sz w:val="20"/>
        </w:rPr>
        <w:t>Mozley</w:t>
      </w:r>
      <w:r>
        <w:rPr>
          <w:rFonts w:ascii="Arial"/>
          <w:i/>
          <w:spacing w:val="26"/>
          <w:sz w:val="20"/>
        </w:rPr>
        <w:t> </w:t>
      </w:r>
      <w:r>
        <w:rPr>
          <w:rFonts w:ascii="Arial"/>
          <w:i/>
          <w:sz w:val="20"/>
        </w:rPr>
        <w:t>v</w:t>
      </w:r>
      <w:r>
        <w:rPr>
          <w:rFonts w:ascii="Arial"/>
          <w:i/>
          <w:spacing w:val="27"/>
          <w:sz w:val="20"/>
        </w:rPr>
        <w:t> </w:t>
      </w:r>
      <w:r>
        <w:rPr>
          <w:rFonts w:ascii="Arial"/>
          <w:i/>
          <w:sz w:val="20"/>
        </w:rPr>
        <w:t>Tinkler</w:t>
      </w:r>
      <w:r>
        <w:rPr>
          <w:rFonts w:ascii="Arial"/>
          <w:i/>
          <w:spacing w:val="27"/>
          <w:sz w:val="20"/>
        </w:rPr>
        <w:t> </w:t>
      </w:r>
      <w:r>
        <w:rPr>
          <w:rFonts w:ascii="Arial"/>
          <w:i/>
          <w:sz w:val="20"/>
        </w:rPr>
        <w:t>(1835)</w:t>
      </w:r>
      <w:r>
        <w:rPr>
          <w:rFonts w:ascii="Arial"/>
          <w:i/>
          <w:spacing w:val="27"/>
          <w:sz w:val="20"/>
        </w:rPr>
        <w:t> </w:t>
      </w:r>
      <w:r>
        <w:rPr>
          <w:rFonts w:ascii="Arial"/>
          <w:i/>
          <w:sz w:val="20"/>
        </w:rPr>
        <w:t>1</w:t>
      </w:r>
      <w:r>
        <w:rPr>
          <w:rFonts w:ascii="Arial"/>
          <w:i/>
          <w:spacing w:val="27"/>
          <w:sz w:val="20"/>
        </w:rPr>
        <w:t> </w:t>
      </w:r>
      <w:r>
        <w:rPr>
          <w:rFonts w:ascii="Arial"/>
          <w:i/>
          <w:sz w:val="20"/>
        </w:rPr>
        <w:t>C.M.</w:t>
      </w:r>
      <w:r>
        <w:rPr>
          <w:rFonts w:ascii="Arial"/>
          <w:i/>
          <w:spacing w:val="27"/>
          <w:sz w:val="20"/>
        </w:rPr>
        <w:t> </w:t>
      </w:r>
      <w:r>
        <w:rPr>
          <w:rFonts w:ascii="Arial"/>
          <w:i/>
          <w:sz w:val="20"/>
        </w:rPr>
        <w:t>&amp;</w:t>
      </w:r>
      <w:r>
        <w:rPr>
          <w:rFonts w:ascii="Arial"/>
          <w:i/>
          <w:spacing w:val="27"/>
          <w:sz w:val="20"/>
        </w:rPr>
        <w:t> </w:t>
      </w:r>
      <w:r>
        <w:rPr>
          <w:rFonts w:ascii="Arial"/>
          <w:i/>
          <w:sz w:val="20"/>
        </w:rPr>
        <w:t>R.</w:t>
      </w:r>
      <w:r>
        <w:rPr>
          <w:rFonts w:ascii="Arial"/>
          <w:i/>
          <w:spacing w:val="27"/>
          <w:sz w:val="20"/>
        </w:rPr>
        <w:t> </w:t>
      </w:r>
      <w:r>
        <w:rPr>
          <w:rFonts w:ascii="Arial"/>
          <w:i/>
          <w:sz w:val="20"/>
        </w:rPr>
        <w:t>692</w:t>
      </w:r>
      <w:r>
        <w:rPr>
          <w:sz w:val="20"/>
        </w:rPr>
        <w:t>;</w:t>
      </w:r>
      <w:r>
        <w:rPr>
          <w:spacing w:val="27"/>
          <w:sz w:val="20"/>
        </w:rPr>
        <w:t> </w:t>
      </w:r>
      <w:r>
        <w:rPr>
          <w:rFonts w:ascii="Arial"/>
          <w:i/>
          <w:sz w:val="20"/>
        </w:rPr>
        <w:t>Ex</w:t>
      </w:r>
      <w:r>
        <w:rPr>
          <w:rFonts w:ascii="Arial"/>
          <w:i/>
          <w:spacing w:val="27"/>
          <w:sz w:val="20"/>
        </w:rPr>
        <w:t> </w:t>
      </w:r>
      <w:r>
        <w:rPr>
          <w:rFonts w:ascii="Arial"/>
          <w:i/>
          <w:spacing w:val="-5"/>
          <w:sz w:val="20"/>
        </w:rPr>
        <w:t>p.</w:t>
      </w:r>
    </w:p>
    <w:p>
      <w:pPr>
        <w:spacing w:line="235" w:lineRule="auto" w:before="1"/>
        <w:ind w:left="705" w:right="167" w:firstLine="0"/>
        <w:jc w:val="both"/>
        <w:rPr>
          <w:sz w:val="20"/>
        </w:rPr>
      </w:pPr>
      <w:r>
        <w:rPr>
          <w:rFonts w:ascii="Arial" w:hAnsi="Arial"/>
          <w:i/>
          <w:sz w:val="20"/>
        </w:rPr>
        <w:t>Stark</w:t>
      </w:r>
      <w:r>
        <w:rPr>
          <w:rFonts w:ascii="Arial" w:hAnsi="Arial"/>
          <w:i/>
          <w:spacing w:val="-3"/>
          <w:sz w:val="20"/>
        </w:rPr>
        <w:t> </w:t>
      </w:r>
      <w:r>
        <w:rPr>
          <w:rFonts w:ascii="Arial" w:hAnsi="Arial"/>
          <w:i/>
          <w:sz w:val="20"/>
        </w:rPr>
        <w:t>[1897]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Ch.</w:t>
      </w:r>
      <w:r>
        <w:rPr>
          <w:rFonts w:ascii="Arial" w:hAnsi="Arial"/>
          <w:i/>
          <w:spacing w:val="-3"/>
          <w:sz w:val="20"/>
        </w:rPr>
        <w:t> </w:t>
      </w:r>
      <w:r>
        <w:rPr>
          <w:rFonts w:ascii="Arial" w:hAnsi="Arial"/>
          <w:i/>
          <w:sz w:val="20"/>
        </w:rPr>
        <w:t>575</w:t>
      </w:r>
      <w:r>
        <w:rPr>
          <w:sz w:val="20"/>
        </w:rPr>
        <w:t>;</w:t>
      </w:r>
      <w:r>
        <w:rPr>
          <w:spacing w:val="-3"/>
          <w:sz w:val="20"/>
        </w:rPr>
        <w:t> </w:t>
      </w:r>
      <w:r>
        <w:rPr>
          <w:rFonts w:ascii="Arial" w:hAnsi="Arial"/>
          <w:i/>
          <w:sz w:val="20"/>
        </w:rPr>
        <w:t>Holwell</w:t>
      </w:r>
      <w:r>
        <w:rPr>
          <w:rFonts w:ascii="Arial" w:hAnsi="Arial"/>
          <w:i/>
          <w:spacing w:val="-3"/>
          <w:sz w:val="20"/>
        </w:rPr>
        <w:t> </w:t>
      </w:r>
      <w:r>
        <w:rPr>
          <w:rFonts w:ascii="Arial" w:hAnsi="Arial"/>
          <w:i/>
          <w:sz w:val="20"/>
        </w:rPr>
        <w:t>Securities</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Hughes</w:t>
      </w:r>
      <w:r>
        <w:rPr>
          <w:rFonts w:ascii="Arial" w:hAnsi="Arial"/>
          <w:i/>
          <w:spacing w:val="-3"/>
          <w:sz w:val="20"/>
        </w:rPr>
        <w:t> </w:t>
      </w:r>
      <w:r>
        <w:rPr>
          <w:rFonts w:ascii="Arial" w:hAnsi="Arial"/>
          <w:i/>
          <w:sz w:val="20"/>
        </w:rPr>
        <w:t>[1974]</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155,</w:t>
      </w:r>
      <w:r>
        <w:rPr>
          <w:rFonts w:ascii="Arial" w:hAnsi="Arial"/>
          <w:i/>
          <w:spacing w:val="-3"/>
          <w:sz w:val="20"/>
        </w:rPr>
        <w:t> </w:t>
      </w:r>
      <w:r>
        <w:rPr>
          <w:rFonts w:ascii="Arial" w:hAnsi="Arial"/>
          <w:i/>
          <w:sz w:val="20"/>
        </w:rPr>
        <w:t>157</w:t>
      </w:r>
      <w:r>
        <w:rPr>
          <w:sz w:val="20"/>
        </w:rPr>
        <w:t>;</w:t>
      </w:r>
      <w:r>
        <w:rPr>
          <w:spacing w:val="-3"/>
          <w:sz w:val="20"/>
        </w:rPr>
        <w:t> </w:t>
      </w:r>
      <w:r>
        <w:rPr>
          <w:rFonts w:ascii="Arial" w:hAnsi="Arial"/>
          <w:i/>
          <w:sz w:val="20"/>
        </w:rPr>
        <w:t>Allied</w:t>
      </w:r>
      <w:r>
        <w:rPr>
          <w:rFonts w:ascii="Arial" w:hAnsi="Arial"/>
          <w:i/>
          <w:spacing w:val="-3"/>
          <w:sz w:val="20"/>
        </w:rPr>
        <w:t> </w:t>
      </w:r>
      <w:r>
        <w:rPr>
          <w:rFonts w:ascii="Arial" w:hAnsi="Arial"/>
          <w:i/>
          <w:sz w:val="20"/>
        </w:rPr>
        <w:t>Marine Transport Ltd v Vale do Rio Doce Navegaçao SA (The Leonidas D.) [1985] 1 W.L.R. 925, 937</w:t>
      </w:r>
      <w:r>
        <w:rPr>
          <w:sz w:val="20"/>
        </w:rPr>
        <w:t>. </w:t>
      </w:r>
      <w:r>
        <w:rPr>
          <w:rFonts w:ascii="Arial" w:hAnsi="Arial"/>
          <w:i/>
          <w:sz w:val="20"/>
        </w:rPr>
        <w:t>In Air Transworld Ltd v Bombardier Inc [2012] EWHC 243 (Comm), [2012] 1 Lloyd’s Rep 349 </w:t>
      </w:r>
      <w:r>
        <w:rPr>
          <w:sz w:val="20"/>
        </w:rPr>
        <w:t>Cooke J. said at [81], that “[t]here is an act of total unreality … in considering offer and acceptance in the abstract, as national concepts divorced from communication”. This statement should, it is submitted, be read in the statutory context in which it was made, that is, in the context of the meaning to be given to the expression “the acts constituting the offer and acceptance” in s.26(4)(b) of the Unfair Contract Terms Act 1977, and not in the wider common law contexts discussed in sections 2 and 3 of this chapter.</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478" w:id="480"/>
      <w:bookmarkEnd w:id="480"/>
      <w:r>
        <w:rPr/>
      </w:r>
      <w:hyperlink w:history="true" w:anchor="_bookmark448">
        <w:r>
          <w:rPr>
            <w:color w:val="005DA1"/>
            <w:spacing w:val="-4"/>
            <w:position w:val="5"/>
            <w:sz w:val="14"/>
            <w:u w:val="single" w:color="005DA1"/>
          </w:rPr>
          <w:t>236</w:t>
        </w:r>
      </w:hyperlink>
      <w:r>
        <w:rPr>
          <w:spacing w:val="-4"/>
          <w:position w:val="5"/>
          <w:sz w:val="14"/>
        </w:rPr>
        <w:t>.</w:t>
      </w:r>
      <w:r>
        <w:rPr>
          <w:position w:val="5"/>
          <w:sz w:val="14"/>
        </w:rPr>
        <w:tab/>
      </w:r>
      <w:r>
        <w:rPr>
          <w:rFonts w:ascii="Arial"/>
          <w:i/>
          <w:sz w:val="20"/>
        </w:rPr>
        <w:t>Kennedy</w:t>
      </w:r>
      <w:r>
        <w:rPr>
          <w:rFonts w:ascii="Arial"/>
          <w:i/>
          <w:spacing w:val="14"/>
          <w:sz w:val="20"/>
        </w:rPr>
        <w:t> </w:t>
      </w:r>
      <w:r>
        <w:rPr>
          <w:rFonts w:ascii="Arial"/>
          <w:i/>
          <w:sz w:val="20"/>
        </w:rPr>
        <w:t>v</w:t>
      </w:r>
      <w:r>
        <w:rPr>
          <w:rFonts w:ascii="Arial"/>
          <w:i/>
          <w:spacing w:val="15"/>
          <w:sz w:val="20"/>
        </w:rPr>
        <w:t> </w:t>
      </w:r>
      <w:r>
        <w:rPr>
          <w:rFonts w:ascii="Arial"/>
          <w:i/>
          <w:sz w:val="20"/>
        </w:rPr>
        <w:t>Thomassen</w:t>
      </w:r>
      <w:r>
        <w:rPr>
          <w:rFonts w:ascii="Arial"/>
          <w:i/>
          <w:spacing w:val="15"/>
          <w:sz w:val="20"/>
        </w:rPr>
        <w:t> </w:t>
      </w:r>
      <w:r>
        <w:rPr>
          <w:rFonts w:ascii="Arial"/>
          <w:i/>
          <w:sz w:val="20"/>
        </w:rPr>
        <w:t>[1929]</w:t>
      </w:r>
      <w:r>
        <w:rPr>
          <w:rFonts w:ascii="Arial"/>
          <w:i/>
          <w:spacing w:val="15"/>
          <w:sz w:val="20"/>
        </w:rPr>
        <w:t> </w:t>
      </w:r>
      <w:r>
        <w:rPr>
          <w:rFonts w:ascii="Arial"/>
          <w:i/>
          <w:sz w:val="20"/>
        </w:rPr>
        <w:t>1</w:t>
      </w:r>
      <w:r>
        <w:rPr>
          <w:rFonts w:ascii="Arial"/>
          <w:i/>
          <w:spacing w:val="15"/>
          <w:sz w:val="20"/>
        </w:rPr>
        <w:t> </w:t>
      </w:r>
      <w:r>
        <w:rPr>
          <w:rFonts w:ascii="Arial"/>
          <w:i/>
          <w:sz w:val="20"/>
        </w:rPr>
        <w:t>Ch.</w:t>
      </w:r>
      <w:r>
        <w:rPr>
          <w:rFonts w:ascii="Arial"/>
          <w:i/>
          <w:spacing w:val="15"/>
          <w:sz w:val="20"/>
        </w:rPr>
        <w:t> </w:t>
      </w:r>
      <w:r>
        <w:rPr>
          <w:rFonts w:ascii="Arial"/>
          <w:i/>
          <w:sz w:val="20"/>
        </w:rPr>
        <w:t>426</w:t>
      </w:r>
      <w:r>
        <w:rPr>
          <w:sz w:val="20"/>
        </w:rPr>
        <w:t>;</w:t>
      </w:r>
      <w:r>
        <w:rPr>
          <w:spacing w:val="15"/>
          <w:sz w:val="20"/>
        </w:rPr>
        <w:t> </w:t>
      </w:r>
      <w:r>
        <w:rPr>
          <w:rFonts w:ascii="Arial"/>
          <w:i/>
          <w:sz w:val="20"/>
        </w:rPr>
        <w:t>Brogden</w:t>
      </w:r>
      <w:r>
        <w:rPr>
          <w:rFonts w:ascii="Arial"/>
          <w:i/>
          <w:spacing w:val="15"/>
          <w:sz w:val="20"/>
        </w:rPr>
        <w:t> </w:t>
      </w:r>
      <w:r>
        <w:rPr>
          <w:rFonts w:ascii="Arial"/>
          <w:i/>
          <w:sz w:val="20"/>
        </w:rPr>
        <w:t>v</w:t>
      </w:r>
      <w:r>
        <w:rPr>
          <w:rFonts w:ascii="Arial"/>
          <w:i/>
          <w:spacing w:val="15"/>
          <w:sz w:val="20"/>
        </w:rPr>
        <w:t> </w:t>
      </w:r>
      <w:r>
        <w:rPr>
          <w:rFonts w:ascii="Arial"/>
          <w:i/>
          <w:sz w:val="20"/>
        </w:rPr>
        <w:t>Metropolitan</w:t>
      </w:r>
      <w:r>
        <w:rPr>
          <w:rFonts w:ascii="Arial"/>
          <w:i/>
          <w:spacing w:val="15"/>
          <w:sz w:val="20"/>
        </w:rPr>
        <w:t> </w:t>
      </w:r>
      <w:r>
        <w:rPr>
          <w:rFonts w:ascii="Arial"/>
          <w:i/>
          <w:sz w:val="20"/>
        </w:rPr>
        <w:t>Ry</w:t>
      </w:r>
      <w:r>
        <w:rPr>
          <w:rFonts w:ascii="Arial"/>
          <w:i/>
          <w:spacing w:val="15"/>
          <w:sz w:val="20"/>
        </w:rPr>
        <w:t> </w:t>
      </w:r>
      <w:r>
        <w:rPr>
          <w:rFonts w:ascii="Arial"/>
          <w:i/>
          <w:sz w:val="20"/>
        </w:rPr>
        <w:t>(1877)</w:t>
      </w:r>
      <w:r>
        <w:rPr>
          <w:rFonts w:ascii="Arial"/>
          <w:i/>
          <w:spacing w:val="15"/>
          <w:sz w:val="20"/>
        </w:rPr>
        <w:t> </w:t>
      </w:r>
      <w:r>
        <w:rPr>
          <w:rFonts w:ascii="Arial"/>
          <w:i/>
          <w:sz w:val="20"/>
        </w:rPr>
        <w:t>2</w:t>
      </w:r>
      <w:r>
        <w:rPr>
          <w:rFonts w:ascii="Arial"/>
          <w:i/>
          <w:spacing w:val="15"/>
          <w:sz w:val="20"/>
        </w:rPr>
        <w:t> </w:t>
      </w:r>
      <w:r>
        <w:rPr>
          <w:rFonts w:ascii="Arial"/>
          <w:i/>
          <w:sz w:val="20"/>
        </w:rPr>
        <w:t>App.</w:t>
      </w:r>
      <w:r>
        <w:rPr>
          <w:rFonts w:ascii="Arial"/>
          <w:i/>
          <w:spacing w:val="15"/>
          <w:sz w:val="20"/>
        </w:rPr>
        <w:t> </w:t>
      </w:r>
      <w:r>
        <w:rPr>
          <w:rFonts w:ascii="Arial"/>
          <w:i/>
          <w:sz w:val="20"/>
        </w:rPr>
        <w:t>Cas.</w:t>
      </w:r>
      <w:r>
        <w:rPr>
          <w:rFonts w:ascii="Arial"/>
          <w:i/>
          <w:spacing w:val="15"/>
          <w:sz w:val="20"/>
        </w:rPr>
        <w:t> </w:t>
      </w:r>
      <w:r>
        <w:rPr>
          <w:rFonts w:ascii="Arial"/>
          <w:i/>
          <w:spacing w:val="-4"/>
          <w:sz w:val="20"/>
        </w:rPr>
        <w:t>666,</w:t>
      </w:r>
    </w:p>
    <w:p>
      <w:pPr>
        <w:spacing w:line="227" w:lineRule="exact" w:before="0"/>
        <w:ind w:left="705" w:right="0" w:firstLine="0"/>
        <w:jc w:val="left"/>
        <w:rPr>
          <w:sz w:val="20"/>
        </w:rPr>
      </w:pPr>
      <w:r>
        <w:rPr>
          <w:rFonts w:ascii="Arial"/>
          <w:i/>
          <w:spacing w:val="-4"/>
          <w:sz w:val="20"/>
        </w:rPr>
        <w:t>692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79" w:id="481"/>
      <w:bookmarkEnd w:id="481"/>
      <w:r>
        <w:rPr/>
      </w:r>
      <w:hyperlink w:history="true" w:anchor="_bookmark449">
        <w:r>
          <w:rPr>
            <w:color w:val="005DA1"/>
            <w:spacing w:val="-4"/>
            <w:position w:val="5"/>
            <w:sz w:val="14"/>
            <w:u w:val="single" w:color="005DA1"/>
          </w:rPr>
          <w:t>237</w:t>
        </w:r>
      </w:hyperlink>
      <w:r>
        <w:rPr>
          <w:spacing w:val="-4"/>
          <w:position w:val="5"/>
          <w:sz w:val="14"/>
        </w:rPr>
        <w:t>.</w:t>
      </w:r>
      <w:r>
        <w:rPr>
          <w:position w:val="5"/>
          <w:sz w:val="14"/>
        </w:rPr>
        <w:tab/>
      </w:r>
      <w:r>
        <w:rPr>
          <w:rFonts w:ascii="Arial" w:hAnsi="Arial"/>
          <w:i/>
          <w:sz w:val="20"/>
        </w:rPr>
        <w:t>Best’s</w:t>
      </w:r>
      <w:r>
        <w:rPr>
          <w:rFonts w:ascii="Arial" w:hAnsi="Arial"/>
          <w:i/>
          <w:spacing w:val="-1"/>
          <w:sz w:val="20"/>
        </w:rPr>
        <w:t> </w:t>
      </w:r>
      <w:r>
        <w:rPr>
          <w:rFonts w:ascii="Arial" w:hAnsi="Arial"/>
          <w:i/>
          <w:sz w:val="20"/>
        </w:rPr>
        <w:t>Case (1865) 2 D.J. &amp; S. 650</w:t>
      </w:r>
      <w:r>
        <w:rPr>
          <w:sz w:val="20"/>
        </w:rPr>
        <w:t>; cf. </w:t>
      </w:r>
      <w:r>
        <w:rPr>
          <w:rFonts w:ascii="Arial" w:hAnsi="Arial"/>
          <w:i/>
          <w:sz w:val="20"/>
        </w:rPr>
        <w:t>Gunn’s Case (1867) L.R. 3 Ch. App. </w:t>
      </w:r>
      <w:r>
        <w:rPr>
          <w:rFonts w:ascii="Arial" w:hAnsi="Arial"/>
          <w:i/>
          <w:spacing w:val="-5"/>
          <w:sz w:val="20"/>
        </w:rPr>
        <w:t>40</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80" w:id="482"/>
      <w:bookmarkEnd w:id="482"/>
      <w:r>
        <w:rPr/>
      </w:r>
      <w:hyperlink w:history="true" w:anchor="_bookmark450">
        <w:r>
          <w:rPr>
            <w:color w:val="005DA1"/>
            <w:spacing w:val="-4"/>
            <w:position w:val="5"/>
            <w:sz w:val="14"/>
            <w:u w:val="single" w:color="005DA1"/>
          </w:rPr>
          <w:t>238</w:t>
        </w:r>
      </w:hyperlink>
      <w:r>
        <w:rPr>
          <w:spacing w:val="-4"/>
          <w:position w:val="5"/>
          <w:sz w:val="14"/>
        </w:rPr>
        <w:t>.</w:t>
      </w:r>
      <w:r>
        <w:rPr>
          <w:position w:val="5"/>
          <w:sz w:val="14"/>
        </w:rPr>
        <w:tab/>
      </w:r>
      <w:r>
        <w:rPr>
          <w:rFonts w:ascii="Arial"/>
          <w:i/>
          <w:sz w:val="20"/>
        </w:rPr>
        <w:t>Brinkibon Ltd v Stahag Stahl und Stahlwarenhandelsgesellschaft mbH [1983] 2 A.C. </w:t>
      </w:r>
      <w:r>
        <w:rPr>
          <w:rFonts w:ascii="Arial"/>
          <w:i/>
          <w:spacing w:val="-5"/>
          <w:sz w:val="20"/>
        </w:rPr>
        <w:t>34</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81" w:id="483"/>
      <w:bookmarkEnd w:id="483"/>
      <w:r>
        <w:rPr/>
      </w:r>
      <w:hyperlink w:history="true" w:anchor="_bookmark450">
        <w:r>
          <w:rPr>
            <w:color w:val="005DA1"/>
            <w:spacing w:val="-4"/>
            <w:position w:val="5"/>
            <w:sz w:val="14"/>
            <w:u w:val="single" w:color="005DA1"/>
          </w:rPr>
          <w:t>239</w:t>
        </w:r>
      </w:hyperlink>
      <w:r>
        <w:rPr>
          <w:spacing w:val="-4"/>
          <w:position w:val="5"/>
          <w:sz w:val="14"/>
        </w:rPr>
        <w:t>.</w:t>
      </w:r>
      <w:r>
        <w:rPr>
          <w:position w:val="5"/>
          <w:sz w:val="14"/>
        </w:rPr>
        <w:tab/>
      </w:r>
      <w:r>
        <w:rPr>
          <w:rFonts w:ascii="Arial" w:hAnsi="Arial"/>
          <w:i/>
          <w:sz w:val="20"/>
        </w:rPr>
        <w:t>Hebb’s</w:t>
      </w:r>
      <w:r>
        <w:rPr>
          <w:rFonts w:ascii="Arial" w:hAnsi="Arial"/>
          <w:i/>
          <w:spacing w:val="-1"/>
          <w:sz w:val="20"/>
        </w:rPr>
        <w:t> </w:t>
      </w:r>
      <w:r>
        <w:rPr>
          <w:rFonts w:ascii="Arial" w:hAnsi="Arial"/>
          <w:i/>
          <w:sz w:val="20"/>
        </w:rPr>
        <w:t>Case (1867) L.R. 4 Eq. 9</w:t>
      </w:r>
      <w:r>
        <w:rPr>
          <w:sz w:val="20"/>
        </w:rPr>
        <w:t>; </w:t>
      </w:r>
      <w:r>
        <w:rPr>
          <w:rFonts w:ascii="Arial" w:hAnsi="Arial"/>
          <w:i/>
          <w:sz w:val="20"/>
        </w:rPr>
        <w:t>Kennedy v Thomassen [1929] 1 Ch. </w:t>
      </w:r>
      <w:r>
        <w:rPr>
          <w:rFonts w:ascii="Arial" w:hAnsi="Arial"/>
          <w:i/>
          <w:spacing w:val="-4"/>
          <w:sz w:val="20"/>
        </w:rPr>
        <w:t>426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482" w:id="484"/>
      <w:bookmarkEnd w:id="484"/>
      <w:r>
        <w:rPr/>
      </w:r>
      <w:hyperlink w:history="true" w:anchor="_bookmark451">
        <w:r>
          <w:rPr>
            <w:color w:val="005DA1"/>
            <w:spacing w:val="-4"/>
            <w:position w:val="5"/>
            <w:sz w:val="14"/>
            <w:u w:val="single" w:color="005DA1"/>
          </w:rPr>
          <w:t>240</w:t>
        </w:r>
      </w:hyperlink>
      <w:r>
        <w:rPr>
          <w:spacing w:val="-4"/>
          <w:position w:val="5"/>
          <w:sz w:val="14"/>
        </w:rPr>
        <w:t>.</w:t>
      </w:r>
      <w:r>
        <w:rPr>
          <w:position w:val="5"/>
          <w:sz w:val="14"/>
        </w:rPr>
        <w:tab/>
      </w:r>
      <w:r>
        <w:rPr>
          <w:rFonts w:ascii="Arial" w:hAnsi="Arial"/>
          <w:i/>
          <w:sz w:val="20"/>
        </w:rPr>
        <w:t>Bloxham’s</w:t>
      </w:r>
      <w:r>
        <w:rPr>
          <w:rFonts w:ascii="Arial" w:hAnsi="Arial"/>
          <w:i/>
          <w:spacing w:val="9"/>
          <w:sz w:val="20"/>
        </w:rPr>
        <w:t> </w:t>
      </w:r>
      <w:r>
        <w:rPr>
          <w:rFonts w:ascii="Arial" w:hAnsi="Arial"/>
          <w:i/>
          <w:sz w:val="20"/>
        </w:rPr>
        <w:t>Case</w:t>
      </w:r>
      <w:r>
        <w:rPr>
          <w:rFonts w:ascii="Arial" w:hAnsi="Arial"/>
          <w:i/>
          <w:spacing w:val="10"/>
          <w:sz w:val="20"/>
        </w:rPr>
        <w:t> </w:t>
      </w:r>
      <w:r>
        <w:rPr>
          <w:rFonts w:ascii="Arial" w:hAnsi="Arial"/>
          <w:i/>
          <w:sz w:val="20"/>
        </w:rPr>
        <w:t>(1864)</w:t>
      </w:r>
      <w:r>
        <w:rPr>
          <w:rFonts w:ascii="Arial" w:hAnsi="Arial"/>
          <w:i/>
          <w:spacing w:val="10"/>
          <w:sz w:val="20"/>
        </w:rPr>
        <w:t> </w:t>
      </w:r>
      <w:r>
        <w:rPr>
          <w:rFonts w:ascii="Arial" w:hAnsi="Arial"/>
          <w:i/>
          <w:sz w:val="20"/>
        </w:rPr>
        <w:t>33</w:t>
      </w:r>
      <w:r>
        <w:rPr>
          <w:rFonts w:ascii="Arial" w:hAnsi="Arial"/>
          <w:i/>
          <w:spacing w:val="10"/>
          <w:sz w:val="20"/>
        </w:rPr>
        <w:t> </w:t>
      </w:r>
      <w:r>
        <w:rPr>
          <w:rFonts w:ascii="Arial" w:hAnsi="Arial"/>
          <w:i/>
          <w:sz w:val="20"/>
        </w:rPr>
        <w:t>Beav.</w:t>
      </w:r>
      <w:r>
        <w:rPr>
          <w:rFonts w:ascii="Arial" w:hAnsi="Arial"/>
          <w:i/>
          <w:spacing w:val="10"/>
          <w:sz w:val="20"/>
        </w:rPr>
        <w:t> </w:t>
      </w:r>
      <w:r>
        <w:rPr>
          <w:rFonts w:ascii="Arial" w:hAnsi="Arial"/>
          <w:i/>
          <w:sz w:val="20"/>
        </w:rPr>
        <w:t>529;</w:t>
      </w:r>
      <w:r>
        <w:rPr>
          <w:rFonts w:ascii="Arial" w:hAnsi="Arial"/>
          <w:i/>
          <w:spacing w:val="10"/>
          <w:sz w:val="20"/>
        </w:rPr>
        <w:t> </w:t>
      </w:r>
      <w:r>
        <w:rPr>
          <w:rFonts w:ascii="Arial" w:hAnsi="Arial"/>
          <w:i/>
          <w:sz w:val="20"/>
        </w:rPr>
        <w:t>(1864)</w:t>
      </w:r>
      <w:r>
        <w:rPr>
          <w:rFonts w:ascii="Arial" w:hAnsi="Arial"/>
          <w:i/>
          <w:spacing w:val="10"/>
          <w:sz w:val="20"/>
        </w:rPr>
        <w:t> </w:t>
      </w:r>
      <w:r>
        <w:rPr>
          <w:rFonts w:ascii="Arial" w:hAnsi="Arial"/>
          <w:i/>
          <w:sz w:val="20"/>
        </w:rPr>
        <w:t>4</w:t>
      </w:r>
      <w:r>
        <w:rPr>
          <w:rFonts w:ascii="Arial" w:hAnsi="Arial"/>
          <w:i/>
          <w:spacing w:val="10"/>
          <w:sz w:val="20"/>
        </w:rPr>
        <w:t> </w:t>
      </w:r>
      <w:r>
        <w:rPr>
          <w:rFonts w:ascii="Arial" w:hAnsi="Arial"/>
          <w:i/>
          <w:sz w:val="20"/>
        </w:rPr>
        <w:t>D.J.</w:t>
      </w:r>
      <w:r>
        <w:rPr>
          <w:rFonts w:ascii="Arial" w:hAnsi="Arial"/>
          <w:i/>
          <w:spacing w:val="10"/>
          <w:sz w:val="20"/>
        </w:rPr>
        <w:t> </w:t>
      </w:r>
      <w:r>
        <w:rPr>
          <w:rFonts w:ascii="Arial" w:hAnsi="Arial"/>
          <w:i/>
          <w:sz w:val="20"/>
        </w:rPr>
        <w:t>&amp;</w:t>
      </w:r>
      <w:r>
        <w:rPr>
          <w:rFonts w:ascii="Arial" w:hAnsi="Arial"/>
          <w:i/>
          <w:spacing w:val="10"/>
          <w:sz w:val="20"/>
        </w:rPr>
        <w:t> </w:t>
      </w:r>
      <w:r>
        <w:rPr>
          <w:rFonts w:ascii="Arial" w:hAnsi="Arial"/>
          <w:i/>
          <w:sz w:val="20"/>
        </w:rPr>
        <w:t>S.</w:t>
      </w:r>
      <w:r>
        <w:rPr>
          <w:rFonts w:ascii="Arial" w:hAnsi="Arial"/>
          <w:i/>
          <w:spacing w:val="10"/>
          <w:sz w:val="20"/>
        </w:rPr>
        <w:t> </w:t>
      </w:r>
      <w:r>
        <w:rPr>
          <w:rFonts w:ascii="Arial" w:hAnsi="Arial"/>
          <w:i/>
          <w:sz w:val="20"/>
        </w:rPr>
        <w:t>447</w:t>
      </w:r>
      <w:r>
        <w:rPr>
          <w:sz w:val="20"/>
        </w:rPr>
        <w:t>;</w:t>
      </w:r>
      <w:r>
        <w:rPr>
          <w:spacing w:val="10"/>
          <w:sz w:val="20"/>
        </w:rPr>
        <w:t> </w:t>
      </w:r>
      <w:r>
        <w:rPr>
          <w:rFonts w:ascii="Arial" w:hAnsi="Arial"/>
          <w:i/>
          <w:sz w:val="20"/>
        </w:rPr>
        <w:t>Levita’s</w:t>
      </w:r>
      <w:r>
        <w:rPr>
          <w:rFonts w:ascii="Arial" w:hAnsi="Arial"/>
          <w:i/>
          <w:spacing w:val="10"/>
          <w:sz w:val="20"/>
        </w:rPr>
        <w:t> </w:t>
      </w:r>
      <w:r>
        <w:rPr>
          <w:rFonts w:ascii="Arial" w:hAnsi="Arial"/>
          <w:i/>
          <w:sz w:val="20"/>
        </w:rPr>
        <w:t>Case</w:t>
      </w:r>
      <w:r>
        <w:rPr>
          <w:rFonts w:ascii="Arial" w:hAnsi="Arial"/>
          <w:i/>
          <w:spacing w:val="10"/>
          <w:sz w:val="20"/>
        </w:rPr>
        <w:t> </w:t>
      </w:r>
      <w:r>
        <w:rPr>
          <w:rFonts w:ascii="Arial" w:hAnsi="Arial"/>
          <w:i/>
          <w:sz w:val="20"/>
        </w:rPr>
        <w:t>(1867)</w:t>
      </w:r>
      <w:r>
        <w:rPr>
          <w:rFonts w:ascii="Arial" w:hAnsi="Arial"/>
          <w:i/>
          <w:spacing w:val="10"/>
          <w:sz w:val="20"/>
        </w:rPr>
        <w:t> </w:t>
      </w:r>
      <w:r>
        <w:rPr>
          <w:rFonts w:ascii="Arial" w:hAnsi="Arial"/>
          <w:i/>
          <w:sz w:val="20"/>
        </w:rPr>
        <w:t>L.R.</w:t>
      </w:r>
      <w:r>
        <w:rPr>
          <w:rFonts w:ascii="Arial" w:hAnsi="Arial"/>
          <w:i/>
          <w:spacing w:val="10"/>
          <w:sz w:val="20"/>
        </w:rPr>
        <w:t> </w:t>
      </w:r>
      <w:r>
        <w:rPr>
          <w:rFonts w:ascii="Arial" w:hAnsi="Arial"/>
          <w:i/>
          <w:sz w:val="20"/>
        </w:rPr>
        <w:t>3</w:t>
      </w:r>
      <w:r>
        <w:rPr>
          <w:rFonts w:ascii="Arial" w:hAnsi="Arial"/>
          <w:i/>
          <w:spacing w:val="10"/>
          <w:sz w:val="20"/>
        </w:rPr>
        <w:t> </w:t>
      </w:r>
      <w:r>
        <w:rPr>
          <w:rFonts w:ascii="Arial" w:hAnsi="Arial"/>
          <w:i/>
          <w:spacing w:val="-5"/>
          <w:sz w:val="20"/>
        </w:rPr>
        <w:t>Ch.</w:t>
      </w:r>
    </w:p>
    <w:p>
      <w:pPr>
        <w:spacing w:line="227" w:lineRule="exact" w:before="0"/>
        <w:ind w:left="705" w:right="0" w:firstLine="0"/>
        <w:jc w:val="left"/>
        <w:rPr>
          <w:sz w:val="20"/>
        </w:rPr>
      </w:pPr>
      <w:r>
        <w:rPr>
          <w:rFonts w:ascii="Arial"/>
          <w:i/>
          <w:sz w:val="20"/>
        </w:rPr>
        <w:t>App. </w:t>
      </w:r>
      <w:r>
        <w:rPr>
          <w:rFonts w:ascii="Arial"/>
          <w:i/>
          <w:spacing w:val="-5"/>
          <w:sz w:val="20"/>
        </w:rPr>
        <w:t>36</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483" w:id="485"/>
      <w:bookmarkEnd w:id="485"/>
      <w:r>
        <w:rPr/>
      </w:r>
      <w:hyperlink w:history="true" w:anchor="_bookmark452">
        <w:r>
          <w:rPr>
            <w:color w:val="005DA1"/>
            <w:spacing w:val="-4"/>
            <w:position w:val="5"/>
            <w:sz w:val="14"/>
            <w:u w:val="single" w:color="005DA1"/>
          </w:rPr>
          <w:t>241</w:t>
        </w:r>
      </w:hyperlink>
      <w:r>
        <w:rPr>
          <w:spacing w:val="-4"/>
          <w:position w:val="5"/>
          <w:sz w:val="14"/>
        </w:rPr>
        <w:t>.</w:t>
      </w:r>
      <w:r>
        <w:rPr>
          <w:position w:val="5"/>
          <w:sz w:val="14"/>
        </w:rPr>
        <w:tab/>
      </w:r>
      <w:r>
        <w:rPr>
          <w:sz w:val="20"/>
        </w:rPr>
        <w:t>This appears to be the best explanation of</w:t>
      </w:r>
      <w:r>
        <w:rPr>
          <w:spacing w:val="-1"/>
          <w:sz w:val="20"/>
        </w:rPr>
        <w:t> </w:t>
      </w:r>
      <w:r>
        <w:rPr>
          <w:rFonts w:ascii="Arial"/>
          <w:i/>
          <w:sz w:val="20"/>
        </w:rPr>
        <w:t>Powell v Lee (1908) 99 L.T. </w:t>
      </w:r>
      <w:r>
        <w:rPr>
          <w:rFonts w:ascii="Arial"/>
          <w:i/>
          <w:spacing w:val="-4"/>
          <w:sz w:val="20"/>
        </w:rPr>
        <w:t>284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84" w:id="486"/>
      <w:bookmarkEnd w:id="486"/>
      <w:r>
        <w:rPr/>
      </w:r>
      <w:hyperlink w:history="true" w:anchor="_bookmark453">
        <w:r>
          <w:rPr>
            <w:color w:val="005DA1"/>
            <w:spacing w:val="-4"/>
            <w:position w:val="5"/>
            <w:sz w:val="14"/>
            <w:u w:val="single" w:color="005DA1"/>
          </w:rPr>
          <w:t>242</w:t>
        </w:r>
      </w:hyperlink>
      <w:r>
        <w:rPr>
          <w:spacing w:val="-4"/>
          <w:position w:val="5"/>
          <w:sz w:val="14"/>
        </w:rPr>
        <w:t>.</w:t>
      </w:r>
      <w:r>
        <w:rPr>
          <w:position w:val="5"/>
          <w:sz w:val="14"/>
        </w:rPr>
        <w:tab/>
      </w:r>
      <w:r>
        <w:rPr>
          <w:rFonts w:ascii="Arial"/>
          <w:i/>
          <w:sz w:val="20"/>
        </w:rPr>
        <w:t>Entores Ltd v Miles Far East Corp [1955] 2 Q.B. 327, </w:t>
      </w:r>
      <w:r>
        <w:rPr>
          <w:rFonts w:ascii="Arial"/>
          <w:i/>
          <w:spacing w:val="-4"/>
          <w:sz w:val="20"/>
        </w:rPr>
        <w:t>332</w:t>
      </w:r>
      <w:r>
        <w:rPr>
          <w:spacing w:val="-4"/>
          <w:sz w:val="20"/>
        </w:rPr>
        <w:t>.</w:t>
      </w:r>
    </w:p>
    <w:p>
      <w:pPr>
        <w:pStyle w:val="BodyText"/>
        <w:spacing w:before="5"/>
      </w:pPr>
    </w:p>
    <w:p>
      <w:pPr>
        <w:pStyle w:val="BodyText"/>
        <w:tabs>
          <w:tab w:pos="705" w:val="left" w:leader="none"/>
        </w:tabs>
        <w:ind w:left="165"/>
      </w:pPr>
      <w:bookmarkStart w:name="_bookmark485" w:id="487"/>
      <w:bookmarkEnd w:id="487"/>
      <w:r>
        <w:rPr/>
      </w:r>
      <w:hyperlink w:history="true" w:anchor="_bookmark454">
        <w:r>
          <w:rPr>
            <w:color w:val="005DA1"/>
            <w:spacing w:val="-4"/>
            <w:position w:val="5"/>
            <w:sz w:val="14"/>
            <w:u w:val="single" w:color="005DA1"/>
          </w:rPr>
          <w:t>243</w:t>
        </w:r>
      </w:hyperlink>
      <w:r>
        <w:rPr>
          <w:spacing w:val="-4"/>
          <w:position w:val="5"/>
          <w:sz w:val="14"/>
        </w:rPr>
        <w:t>.</w:t>
      </w:r>
      <w:r>
        <w:rPr>
          <w:position w:val="5"/>
          <w:sz w:val="14"/>
        </w:rPr>
        <w:tab/>
      </w:r>
      <w:r>
        <w:rPr/>
        <w:t>cf. below, para.2-</w:t>
      </w:r>
      <w:r>
        <w:rPr>
          <w:spacing w:val="-4"/>
        </w:rPr>
        <w:t>096.</w:t>
      </w:r>
    </w:p>
    <w:p>
      <w:pPr>
        <w:pStyle w:val="BodyText"/>
        <w:spacing w:before="9"/>
      </w:pPr>
    </w:p>
    <w:p>
      <w:pPr>
        <w:spacing w:line="235" w:lineRule="auto" w:before="0"/>
        <w:ind w:left="705" w:right="167" w:hanging="541"/>
        <w:jc w:val="both"/>
        <w:rPr>
          <w:sz w:val="20"/>
        </w:rPr>
      </w:pPr>
      <w:bookmarkStart w:name="_bookmark486" w:id="488"/>
      <w:bookmarkEnd w:id="488"/>
      <w:r>
        <w:rPr/>
      </w:r>
      <w:hyperlink w:history="true" w:anchor="_bookmark455">
        <w:r>
          <w:rPr>
            <w:color w:val="005DA1"/>
            <w:position w:val="5"/>
            <w:sz w:val="14"/>
            <w:u w:val="single" w:color="005DA1"/>
          </w:rPr>
          <w:t>244</w:t>
        </w:r>
      </w:hyperlink>
      <w:r>
        <w:rPr>
          <w:position w:val="5"/>
          <w:sz w:val="14"/>
        </w:rPr>
        <w:t>.</w:t>
      </w:r>
      <w:r>
        <w:rPr>
          <w:spacing w:val="80"/>
          <w:w w:val="150"/>
          <w:position w:val="5"/>
          <w:sz w:val="14"/>
        </w:rPr>
        <w:t> </w:t>
      </w:r>
      <w:r>
        <w:rPr>
          <w:sz w:val="20"/>
        </w:rPr>
        <w:t>See the first analysis of the situation in </w:t>
      </w:r>
      <w:r>
        <w:rPr>
          <w:rFonts w:ascii="Arial"/>
          <w:i/>
          <w:sz w:val="20"/>
        </w:rPr>
        <w:t>Photolibrary Group Ltd v Burda Senator Verlag </w:t>
      </w:r>
      <w:r>
        <w:rPr>
          <w:rFonts w:ascii="Arial"/>
          <w:i/>
          <w:sz w:val="20"/>
        </w:rPr>
        <w:t>GmbH [2008] EWHC 1343 (QB), [2008] 2 All E.R. (Comm) 811</w:t>
      </w:r>
      <w:r>
        <w:rPr>
          <w:rFonts w:ascii="Arial"/>
          <w:i/>
          <w:spacing w:val="-1"/>
          <w:sz w:val="20"/>
        </w:rPr>
        <w:t> </w:t>
      </w:r>
      <w:r>
        <w:rPr>
          <w:sz w:val="20"/>
        </w:rPr>
        <w:t>at [63], discussed in para.2-007 above. There is no reference to any communication of the acceptance; presumably the conduct of the parties gave rise to an inference that this requirement had been waived.</w:t>
      </w:r>
    </w:p>
    <w:p>
      <w:pPr>
        <w:pStyle w:val="BodyText"/>
        <w:spacing w:before="5"/>
      </w:pPr>
    </w:p>
    <w:p>
      <w:pPr>
        <w:tabs>
          <w:tab w:pos="705" w:val="left" w:leader="none"/>
        </w:tabs>
        <w:spacing w:before="0"/>
        <w:ind w:left="165" w:right="0" w:firstLine="0"/>
        <w:jc w:val="left"/>
        <w:rPr>
          <w:sz w:val="20"/>
        </w:rPr>
      </w:pPr>
      <w:bookmarkStart w:name="_bookmark487" w:id="489"/>
      <w:bookmarkEnd w:id="489"/>
      <w:r>
        <w:rPr/>
      </w:r>
      <w:hyperlink w:history="true" w:anchor="_bookmark455">
        <w:r>
          <w:rPr>
            <w:color w:val="005DA1"/>
            <w:spacing w:val="-4"/>
            <w:position w:val="5"/>
            <w:sz w:val="14"/>
            <w:u w:val="single" w:color="005DA1"/>
          </w:rPr>
          <w:t>245</w:t>
        </w:r>
      </w:hyperlink>
      <w:r>
        <w:rPr>
          <w:spacing w:val="-4"/>
          <w:position w:val="5"/>
          <w:sz w:val="14"/>
        </w:rPr>
        <w:t>.</w:t>
      </w:r>
      <w:r>
        <w:rPr>
          <w:position w:val="5"/>
          <w:sz w:val="14"/>
        </w:rPr>
        <w:tab/>
      </w:r>
      <w:r>
        <w:rPr>
          <w:rFonts w:ascii="Arial"/>
          <w:i/>
          <w:sz w:val="20"/>
        </w:rPr>
        <w:t>Attrill v Kleinwort Benson Ltd [2012] EWHC 1189 (QB)</w:t>
      </w:r>
      <w:r>
        <w:rPr>
          <w:rFonts w:ascii="Arial"/>
          <w:i/>
          <w:spacing w:val="-1"/>
          <w:sz w:val="20"/>
        </w:rPr>
        <w:t> </w:t>
      </w:r>
      <w:r>
        <w:rPr>
          <w:sz w:val="20"/>
        </w:rPr>
        <w:t>at </w:t>
      </w:r>
      <w:r>
        <w:rPr>
          <w:spacing w:val="-2"/>
          <w:sz w:val="20"/>
        </w:rPr>
        <w:t>[164].</w:t>
      </w:r>
    </w:p>
    <w:p>
      <w:pPr>
        <w:pStyle w:val="BodyText"/>
        <w:spacing w:before="9"/>
      </w:pPr>
    </w:p>
    <w:p>
      <w:pPr>
        <w:spacing w:line="235" w:lineRule="auto" w:before="0"/>
        <w:ind w:left="705" w:right="167" w:hanging="541"/>
        <w:jc w:val="both"/>
        <w:rPr>
          <w:sz w:val="20"/>
        </w:rPr>
      </w:pPr>
      <w:bookmarkStart w:name="_bookmark488" w:id="490"/>
      <w:bookmarkEnd w:id="490"/>
      <w:r>
        <w:rPr/>
      </w:r>
      <w:hyperlink w:history="true" w:anchor="_bookmark456">
        <w:r>
          <w:rPr>
            <w:color w:val="005DA1"/>
            <w:position w:val="5"/>
            <w:sz w:val="14"/>
            <w:u w:val="single" w:color="005DA1"/>
          </w:rPr>
          <w:t>246</w:t>
        </w:r>
      </w:hyperlink>
      <w:r>
        <w:rPr>
          <w:position w:val="5"/>
          <w:sz w:val="14"/>
        </w:rPr>
        <w:t>.</w:t>
      </w:r>
      <w:r>
        <w:rPr>
          <w:spacing w:val="80"/>
          <w:position w:val="5"/>
          <w:sz w:val="14"/>
        </w:rPr>
        <w:t>  </w:t>
      </w:r>
      <w:r>
        <w:rPr>
          <w:rFonts w:ascii="Arial" w:hAnsi="Arial"/>
          <w:i/>
          <w:sz w:val="20"/>
        </w:rPr>
        <w:t>Weatherby v Banham (1832) 5 C. &amp; P. 228</w:t>
      </w:r>
      <w:r>
        <w:rPr>
          <w:sz w:val="20"/>
        </w:rPr>
        <w:t>; cf. </w:t>
      </w:r>
      <w:r>
        <w:rPr>
          <w:rFonts w:ascii="Arial" w:hAnsi="Arial"/>
          <w:i/>
          <w:sz w:val="20"/>
        </w:rPr>
        <w:t>Minories Finance Ltd v Afribank Nigeria Ltd [1995] 1 Lloyd’s Rep. 134, 140</w:t>
      </w:r>
      <w:r>
        <w:rPr>
          <w:sz w:val="20"/>
        </w:rPr>
        <w:t>; it is assumed that the goods are not “unsolicited” within the legislation against “inertia selling” (above, para.2-005).</w:t>
      </w:r>
    </w:p>
    <w:p>
      <w:pPr>
        <w:pStyle w:val="BodyText"/>
        <w:spacing w:before="9"/>
      </w:pPr>
    </w:p>
    <w:p>
      <w:pPr>
        <w:spacing w:line="235" w:lineRule="auto" w:before="0"/>
        <w:ind w:left="705" w:right="167" w:hanging="541"/>
        <w:jc w:val="both"/>
        <w:rPr>
          <w:sz w:val="20"/>
        </w:rPr>
      </w:pPr>
      <w:bookmarkStart w:name="_bookmark489" w:id="491"/>
      <w:bookmarkEnd w:id="491"/>
      <w:r>
        <w:rPr/>
      </w:r>
      <w:hyperlink w:history="true" w:anchor="_bookmark457">
        <w:r>
          <w:rPr>
            <w:color w:val="005DA1"/>
            <w:position w:val="5"/>
            <w:sz w:val="14"/>
            <w:u w:val="single" w:color="005DA1"/>
          </w:rPr>
          <w:t>247</w:t>
        </w:r>
      </w:hyperlink>
      <w:r>
        <w:rPr>
          <w:position w:val="5"/>
          <w:sz w:val="14"/>
        </w:rPr>
        <w:t>.</w:t>
      </w:r>
      <w:r>
        <w:rPr>
          <w:spacing w:val="80"/>
          <w:position w:val="5"/>
          <w:sz w:val="14"/>
        </w:rPr>
        <w:t> </w:t>
      </w:r>
      <w:r>
        <w:rPr>
          <w:rFonts w:ascii="Arial" w:hAnsi="Arial"/>
          <w:i/>
          <w:sz w:val="20"/>
        </w:rPr>
        <w:t>Port Huron Machinery Co v Wohlers, 207 Iowa 826, 221 N.W. 843 (1928)</w:t>
      </w:r>
      <w:r>
        <w:rPr>
          <w:sz w:val="20"/>
        </w:rPr>
        <w:t>; cf. UCC,</w:t>
      </w:r>
      <w:r>
        <w:rPr>
          <w:spacing w:val="40"/>
          <w:sz w:val="20"/>
        </w:rPr>
        <w:t> </w:t>
      </w:r>
      <w:r>
        <w:rPr>
          <w:sz w:val="20"/>
        </w:rPr>
        <w:t>s.2–206(1)(b); </w:t>
      </w:r>
      <w:r>
        <w:rPr>
          <w:rFonts w:ascii="Arial" w:hAnsi="Arial"/>
          <w:i/>
          <w:sz w:val="20"/>
        </w:rPr>
        <w:t>Smit International Singapore Pte Ltd v Kurnia Dewi Shipping SA (The </w:t>
      </w:r>
      <w:r>
        <w:rPr>
          <w:rFonts w:ascii="Arial" w:hAnsi="Arial"/>
          <w:i/>
          <w:sz w:val="20"/>
        </w:rPr>
        <w:t>Kurnia Dewi) [1997] 1 Lloyd’s Rep. 553, 559</w:t>
      </w:r>
      <w:r>
        <w:rPr>
          <w:sz w:val="20"/>
        </w:rPr>
        <w:t>; and see the second analysis of the situation in the </w:t>
      </w:r>
      <w:r>
        <w:rPr>
          <w:rFonts w:ascii="Arial" w:hAnsi="Arial"/>
          <w:i/>
          <w:sz w:val="20"/>
        </w:rPr>
        <w:t>Photolibrary case [2008] EWHC 1343 (QB) </w:t>
      </w:r>
      <w:r>
        <w:rPr>
          <w:sz w:val="20"/>
        </w:rPr>
        <w:t>at [64], where there was (as at [63], above n.240)</w:t>
      </w:r>
      <w:r>
        <w:rPr>
          <w:spacing w:val="40"/>
          <w:sz w:val="20"/>
        </w:rPr>
        <w:t> </w:t>
      </w:r>
      <w:r>
        <w:rPr>
          <w:sz w:val="20"/>
        </w:rPr>
        <w:t>no reference to any communication of the acceptance.</w:t>
      </w:r>
    </w:p>
    <w:p>
      <w:pPr>
        <w:pStyle w:val="BodyText"/>
        <w:spacing w:before="4"/>
      </w:pPr>
    </w:p>
    <w:p>
      <w:pPr>
        <w:tabs>
          <w:tab w:pos="705" w:val="left" w:leader="none"/>
        </w:tabs>
        <w:spacing w:line="227" w:lineRule="exact" w:before="0"/>
        <w:ind w:left="165" w:right="0" w:firstLine="0"/>
        <w:jc w:val="left"/>
        <w:rPr>
          <w:sz w:val="20"/>
        </w:rPr>
      </w:pPr>
      <w:bookmarkStart w:name="_bookmark490" w:id="492"/>
      <w:bookmarkEnd w:id="492"/>
      <w:r>
        <w:rPr/>
      </w:r>
      <w:hyperlink w:history="true" w:anchor="_bookmark458">
        <w:r>
          <w:rPr>
            <w:color w:val="005DA1"/>
            <w:spacing w:val="-4"/>
            <w:position w:val="5"/>
            <w:sz w:val="14"/>
            <w:u w:val="single" w:color="005DA1"/>
          </w:rPr>
          <w:t>248</w:t>
        </w:r>
      </w:hyperlink>
      <w:r>
        <w:rPr>
          <w:spacing w:val="-4"/>
          <w:position w:val="5"/>
          <w:sz w:val="14"/>
        </w:rPr>
        <w:t>.</w:t>
      </w:r>
      <w:r>
        <w:rPr>
          <w:position w:val="5"/>
          <w:sz w:val="14"/>
        </w:rPr>
        <w:tab/>
      </w:r>
      <w:r>
        <w:rPr>
          <w:rFonts w:ascii="Arial"/>
          <w:i/>
          <w:sz w:val="20"/>
        </w:rPr>
        <w:t>Roberts</w:t>
      </w:r>
      <w:r>
        <w:rPr>
          <w:rFonts w:ascii="Arial"/>
          <w:i/>
          <w:spacing w:val="5"/>
          <w:sz w:val="20"/>
        </w:rPr>
        <w:t> </w:t>
      </w:r>
      <w:r>
        <w:rPr>
          <w:rFonts w:ascii="Arial"/>
          <w:i/>
          <w:sz w:val="20"/>
        </w:rPr>
        <w:t>v</w:t>
      </w:r>
      <w:r>
        <w:rPr>
          <w:rFonts w:ascii="Arial"/>
          <w:i/>
          <w:spacing w:val="6"/>
          <w:sz w:val="20"/>
        </w:rPr>
        <w:t> </w:t>
      </w:r>
      <w:r>
        <w:rPr>
          <w:rFonts w:ascii="Arial"/>
          <w:i/>
          <w:sz w:val="20"/>
        </w:rPr>
        <w:t>Hayward</w:t>
      </w:r>
      <w:r>
        <w:rPr>
          <w:rFonts w:ascii="Arial"/>
          <w:i/>
          <w:spacing w:val="6"/>
          <w:sz w:val="20"/>
        </w:rPr>
        <w:t> </w:t>
      </w:r>
      <w:r>
        <w:rPr>
          <w:rFonts w:ascii="Arial"/>
          <w:i/>
          <w:sz w:val="20"/>
        </w:rPr>
        <w:t>(1828)</w:t>
      </w:r>
      <w:r>
        <w:rPr>
          <w:rFonts w:ascii="Arial"/>
          <w:i/>
          <w:spacing w:val="6"/>
          <w:sz w:val="20"/>
        </w:rPr>
        <w:t> </w:t>
      </w:r>
      <w:r>
        <w:rPr>
          <w:rFonts w:ascii="Arial"/>
          <w:i/>
          <w:sz w:val="20"/>
        </w:rPr>
        <w:t>3</w:t>
      </w:r>
      <w:r>
        <w:rPr>
          <w:rFonts w:ascii="Arial"/>
          <w:i/>
          <w:spacing w:val="6"/>
          <w:sz w:val="20"/>
        </w:rPr>
        <w:t> </w:t>
      </w:r>
      <w:r>
        <w:rPr>
          <w:rFonts w:ascii="Arial"/>
          <w:i/>
          <w:sz w:val="20"/>
        </w:rPr>
        <w:t>C.</w:t>
      </w:r>
      <w:r>
        <w:rPr>
          <w:rFonts w:ascii="Arial"/>
          <w:i/>
          <w:spacing w:val="6"/>
          <w:sz w:val="20"/>
        </w:rPr>
        <w:t> </w:t>
      </w:r>
      <w:r>
        <w:rPr>
          <w:rFonts w:ascii="Arial"/>
          <w:i/>
          <w:sz w:val="20"/>
        </w:rPr>
        <w:t>&amp;</w:t>
      </w:r>
      <w:r>
        <w:rPr>
          <w:rFonts w:ascii="Arial"/>
          <w:i/>
          <w:spacing w:val="6"/>
          <w:sz w:val="20"/>
        </w:rPr>
        <w:t> </w:t>
      </w:r>
      <w:r>
        <w:rPr>
          <w:rFonts w:ascii="Arial"/>
          <w:i/>
          <w:sz w:val="20"/>
        </w:rPr>
        <w:t>P.</w:t>
      </w:r>
      <w:r>
        <w:rPr>
          <w:rFonts w:ascii="Arial"/>
          <w:i/>
          <w:spacing w:val="6"/>
          <w:sz w:val="20"/>
        </w:rPr>
        <w:t> </w:t>
      </w:r>
      <w:r>
        <w:rPr>
          <w:rFonts w:ascii="Arial"/>
          <w:i/>
          <w:sz w:val="20"/>
        </w:rPr>
        <w:t>432</w:t>
      </w:r>
      <w:r>
        <w:rPr>
          <w:sz w:val="20"/>
        </w:rPr>
        <w:t>;</w:t>
      </w:r>
      <w:r>
        <w:rPr>
          <w:spacing w:val="6"/>
          <w:sz w:val="20"/>
        </w:rPr>
        <w:t> </w:t>
      </w:r>
      <w:r>
        <w:rPr>
          <w:sz w:val="20"/>
        </w:rPr>
        <w:t>but</w:t>
      </w:r>
      <w:r>
        <w:rPr>
          <w:spacing w:val="6"/>
          <w:sz w:val="20"/>
        </w:rPr>
        <w:t> </w:t>
      </w:r>
      <w:r>
        <w:rPr>
          <w:sz w:val="20"/>
        </w:rPr>
        <w:t>not</w:t>
      </w:r>
      <w:r>
        <w:rPr>
          <w:spacing w:val="6"/>
          <w:sz w:val="20"/>
        </w:rPr>
        <w:t> </w:t>
      </w:r>
      <w:r>
        <w:rPr>
          <w:sz w:val="20"/>
        </w:rPr>
        <w:t>if</w:t>
      </w:r>
      <w:r>
        <w:rPr>
          <w:spacing w:val="6"/>
          <w:sz w:val="20"/>
        </w:rPr>
        <w:t> </w:t>
      </w:r>
      <w:r>
        <w:rPr>
          <w:sz w:val="20"/>
        </w:rPr>
        <w:t>the</w:t>
      </w:r>
      <w:r>
        <w:rPr>
          <w:spacing w:val="6"/>
          <w:sz w:val="20"/>
        </w:rPr>
        <w:t> </w:t>
      </w:r>
      <w:r>
        <w:rPr>
          <w:sz w:val="20"/>
        </w:rPr>
        <w:t>tenant</w:t>
      </w:r>
      <w:r>
        <w:rPr>
          <w:spacing w:val="6"/>
          <w:sz w:val="20"/>
        </w:rPr>
        <w:t> </w:t>
      </w:r>
      <w:r>
        <w:rPr>
          <w:sz w:val="20"/>
        </w:rPr>
        <w:t>disclaims</w:t>
      </w:r>
      <w:r>
        <w:rPr>
          <w:spacing w:val="6"/>
          <w:sz w:val="20"/>
        </w:rPr>
        <w:t> </w:t>
      </w:r>
      <w:r>
        <w:rPr>
          <w:sz w:val="20"/>
        </w:rPr>
        <w:t>the</w:t>
      </w:r>
      <w:r>
        <w:rPr>
          <w:spacing w:val="6"/>
          <w:sz w:val="20"/>
        </w:rPr>
        <w:t> </w:t>
      </w:r>
      <w:r>
        <w:rPr>
          <w:sz w:val="20"/>
        </w:rPr>
        <w:t>intention</w:t>
      </w:r>
      <w:r>
        <w:rPr>
          <w:spacing w:val="6"/>
          <w:sz w:val="20"/>
        </w:rPr>
        <w:t> </w:t>
      </w:r>
      <w:r>
        <w:rPr>
          <w:sz w:val="20"/>
        </w:rPr>
        <w:t>to</w:t>
      </w:r>
      <w:r>
        <w:rPr>
          <w:spacing w:val="6"/>
          <w:sz w:val="20"/>
        </w:rPr>
        <w:t> </w:t>
      </w:r>
      <w:r>
        <w:rPr>
          <w:spacing w:val="-2"/>
          <w:sz w:val="20"/>
        </w:rPr>
        <w:t>accept:</w:t>
      </w:r>
    </w:p>
    <w:p>
      <w:pPr>
        <w:spacing w:line="227" w:lineRule="exact" w:before="0"/>
        <w:ind w:left="705" w:right="0" w:firstLine="0"/>
        <w:jc w:val="left"/>
        <w:rPr>
          <w:sz w:val="20"/>
        </w:rPr>
      </w:pPr>
      <w:r>
        <w:rPr>
          <w:rFonts w:ascii="Arial"/>
          <w:i/>
          <w:sz w:val="20"/>
        </w:rPr>
        <w:t>Glossop v Ashley [1921] 2 K.B. </w:t>
      </w:r>
      <w:r>
        <w:rPr>
          <w:rFonts w:ascii="Arial"/>
          <w:i/>
          <w:spacing w:val="-4"/>
          <w:sz w:val="20"/>
        </w:rPr>
        <w:t>451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491" w:id="493"/>
      <w:bookmarkEnd w:id="493"/>
      <w:r>
        <w:rPr/>
      </w:r>
      <w:hyperlink w:history="true" w:anchor="_bookmark459">
        <w:r>
          <w:rPr>
            <w:color w:val="005DA1"/>
            <w:spacing w:val="-4"/>
            <w:position w:val="5"/>
            <w:sz w:val="14"/>
            <w:u w:val="single" w:color="005DA1"/>
          </w:rPr>
          <w:t>249</w:t>
        </w:r>
      </w:hyperlink>
      <w:r>
        <w:rPr>
          <w:spacing w:val="-4"/>
          <w:position w:val="5"/>
          <w:sz w:val="14"/>
        </w:rPr>
        <w:t>.</w:t>
      </w:r>
      <w:r>
        <w:rPr>
          <w:position w:val="5"/>
          <w:sz w:val="14"/>
        </w:rPr>
        <w:tab/>
      </w:r>
      <w:r>
        <w:rPr>
          <w:rFonts w:ascii="Arial"/>
          <w:i/>
          <w:sz w:val="20"/>
        </w:rPr>
        <w:t>Attrill v Dresdner Kleinwort Ltd [2012] EWHC 118 (QB)</w:t>
      </w:r>
      <w:r>
        <w:rPr>
          <w:rFonts w:ascii="Arial"/>
          <w:i/>
          <w:spacing w:val="-1"/>
          <w:sz w:val="20"/>
        </w:rPr>
        <w:t> </w:t>
      </w:r>
      <w:r>
        <w:rPr>
          <w:sz w:val="20"/>
        </w:rPr>
        <w:t>at </w:t>
      </w:r>
      <w:r>
        <w:rPr>
          <w:spacing w:val="-2"/>
          <w:sz w:val="20"/>
        </w:rPr>
        <w:t>[177].</w:t>
      </w:r>
    </w:p>
    <w:p>
      <w:pPr>
        <w:pStyle w:val="BodyText"/>
        <w:spacing w:before="5"/>
      </w:pPr>
    </w:p>
    <w:p>
      <w:pPr>
        <w:pStyle w:val="BodyText"/>
        <w:tabs>
          <w:tab w:pos="705" w:val="left" w:leader="none"/>
        </w:tabs>
        <w:ind w:left="165"/>
      </w:pPr>
      <w:bookmarkStart w:name="_bookmark492" w:id="494"/>
      <w:bookmarkEnd w:id="494"/>
      <w:r>
        <w:rPr/>
      </w:r>
      <w:hyperlink w:history="true" w:anchor="_bookmark460">
        <w:r>
          <w:rPr>
            <w:color w:val="005DA1"/>
            <w:spacing w:val="-4"/>
            <w:position w:val="5"/>
            <w:sz w:val="14"/>
            <w:u w:val="single" w:color="005DA1"/>
          </w:rPr>
          <w:t>250</w:t>
        </w:r>
      </w:hyperlink>
      <w:r>
        <w:rPr>
          <w:spacing w:val="-4"/>
          <w:position w:val="5"/>
          <w:sz w:val="14"/>
        </w:rPr>
        <w:t>.</w:t>
      </w:r>
      <w:r>
        <w:rPr>
          <w:position w:val="5"/>
          <w:sz w:val="14"/>
        </w:rPr>
        <w:tab/>
      </w:r>
      <w:r>
        <w:rPr/>
        <w:t>See above, para.1-107; below para.2-</w:t>
      </w:r>
      <w:r>
        <w:rPr>
          <w:spacing w:val="-4"/>
        </w:rPr>
        <w:t>082.</w:t>
      </w:r>
    </w:p>
    <w:p>
      <w:pPr>
        <w:pStyle w:val="BodyText"/>
        <w:spacing w:before="5"/>
      </w:pPr>
    </w:p>
    <w:p>
      <w:pPr>
        <w:tabs>
          <w:tab w:pos="540" w:val="left" w:leader="none"/>
        </w:tabs>
        <w:spacing w:line="227" w:lineRule="exact" w:before="0"/>
        <w:ind w:left="0" w:right="168" w:firstLine="0"/>
        <w:jc w:val="right"/>
        <w:rPr>
          <w:sz w:val="20"/>
        </w:rPr>
      </w:pPr>
      <w:bookmarkStart w:name="_bookmark493" w:id="495"/>
      <w:bookmarkEnd w:id="495"/>
      <w:r>
        <w:rPr/>
      </w:r>
      <w:hyperlink w:history="true" w:anchor="_bookmark461">
        <w:r>
          <w:rPr>
            <w:color w:val="005DA1"/>
            <w:spacing w:val="-4"/>
            <w:position w:val="5"/>
            <w:sz w:val="14"/>
            <w:u w:val="single" w:color="005DA1"/>
          </w:rPr>
          <w:t>251</w:t>
        </w:r>
      </w:hyperlink>
      <w:r>
        <w:rPr>
          <w:spacing w:val="-4"/>
          <w:position w:val="5"/>
          <w:sz w:val="14"/>
        </w:rPr>
        <w:t>.</w:t>
      </w:r>
      <w:r>
        <w:rPr>
          <w:position w:val="5"/>
          <w:sz w:val="14"/>
        </w:rPr>
        <w:tab/>
      </w:r>
      <w:r>
        <w:rPr>
          <w:rFonts w:ascii="Arial"/>
          <w:i/>
          <w:sz w:val="20"/>
        </w:rPr>
        <w:t>Shipton</w:t>
      </w:r>
      <w:r>
        <w:rPr>
          <w:rFonts w:ascii="Arial"/>
          <w:i/>
          <w:spacing w:val="13"/>
          <w:sz w:val="20"/>
        </w:rPr>
        <w:t> </w:t>
      </w:r>
      <w:r>
        <w:rPr>
          <w:rFonts w:ascii="Arial"/>
          <w:i/>
          <w:sz w:val="20"/>
        </w:rPr>
        <w:t>v</w:t>
      </w:r>
      <w:r>
        <w:rPr>
          <w:rFonts w:ascii="Arial"/>
          <w:i/>
          <w:spacing w:val="14"/>
          <w:sz w:val="20"/>
        </w:rPr>
        <w:t> </w:t>
      </w:r>
      <w:r>
        <w:rPr>
          <w:rFonts w:ascii="Arial"/>
          <w:i/>
          <w:sz w:val="20"/>
        </w:rPr>
        <w:t>Cardiff</w:t>
      </w:r>
      <w:r>
        <w:rPr>
          <w:rFonts w:ascii="Arial"/>
          <w:i/>
          <w:spacing w:val="14"/>
          <w:sz w:val="20"/>
        </w:rPr>
        <w:t> </w:t>
      </w:r>
      <w:r>
        <w:rPr>
          <w:rFonts w:ascii="Arial"/>
          <w:i/>
          <w:sz w:val="20"/>
        </w:rPr>
        <w:t>Corp</w:t>
      </w:r>
      <w:r>
        <w:rPr>
          <w:rFonts w:ascii="Arial"/>
          <w:i/>
          <w:spacing w:val="14"/>
          <w:sz w:val="20"/>
        </w:rPr>
        <w:t> </w:t>
      </w:r>
      <w:r>
        <w:rPr>
          <w:rFonts w:ascii="Arial"/>
          <w:i/>
          <w:sz w:val="20"/>
        </w:rPr>
        <w:t>(1917)</w:t>
      </w:r>
      <w:r>
        <w:rPr>
          <w:rFonts w:ascii="Arial"/>
          <w:i/>
          <w:spacing w:val="14"/>
          <w:sz w:val="20"/>
        </w:rPr>
        <w:t> </w:t>
      </w:r>
      <w:r>
        <w:rPr>
          <w:rFonts w:ascii="Arial"/>
          <w:i/>
          <w:sz w:val="20"/>
        </w:rPr>
        <w:t>87</w:t>
      </w:r>
      <w:r>
        <w:rPr>
          <w:rFonts w:ascii="Arial"/>
          <w:i/>
          <w:spacing w:val="14"/>
          <w:sz w:val="20"/>
        </w:rPr>
        <w:t> </w:t>
      </w:r>
      <w:r>
        <w:rPr>
          <w:rFonts w:ascii="Arial"/>
          <w:i/>
          <w:sz w:val="20"/>
        </w:rPr>
        <w:t>L.J.K.B.</w:t>
      </w:r>
      <w:r>
        <w:rPr>
          <w:rFonts w:ascii="Arial"/>
          <w:i/>
          <w:spacing w:val="14"/>
          <w:sz w:val="20"/>
        </w:rPr>
        <w:t> </w:t>
      </w:r>
      <w:r>
        <w:rPr>
          <w:rFonts w:ascii="Arial"/>
          <w:i/>
          <w:sz w:val="20"/>
        </w:rPr>
        <w:t>51</w:t>
      </w:r>
      <w:r>
        <w:rPr>
          <w:sz w:val="20"/>
        </w:rPr>
        <w:t>;</w:t>
      </w:r>
      <w:r>
        <w:rPr>
          <w:spacing w:val="14"/>
          <w:sz w:val="20"/>
        </w:rPr>
        <w:t> </w:t>
      </w:r>
      <w:r>
        <w:rPr>
          <w:rFonts w:ascii="Arial"/>
          <w:i/>
          <w:sz w:val="20"/>
        </w:rPr>
        <w:t>Davies</w:t>
      </w:r>
      <w:r>
        <w:rPr>
          <w:rFonts w:ascii="Arial"/>
          <w:i/>
          <w:spacing w:val="14"/>
          <w:sz w:val="20"/>
        </w:rPr>
        <w:t> </w:t>
      </w:r>
      <w:r>
        <w:rPr>
          <w:rFonts w:ascii="Arial"/>
          <w:i/>
          <w:sz w:val="20"/>
        </w:rPr>
        <w:t>v</w:t>
      </w:r>
      <w:r>
        <w:rPr>
          <w:rFonts w:ascii="Arial"/>
          <w:i/>
          <w:spacing w:val="14"/>
          <w:sz w:val="20"/>
        </w:rPr>
        <w:t> </w:t>
      </w:r>
      <w:r>
        <w:rPr>
          <w:rFonts w:ascii="Arial"/>
          <w:i/>
          <w:sz w:val="20"/>
        </w:rPr>
        <w:t>Rhondda</w:t>
      </w:r>
      <w:r>
        <w:rPr>
          <w:rFonts w:ascii="Arial"/>
          <w:i/>
          <w:spacing w:val="14"/>
          <w:sz w:val="20"/>
        </w:rPr>
        <w:t> </w:t>
      </w:r>
      <w:r>
        <w:rPr>
          <w:rFonts w:ascii="Arial"/>
          <w:i/>
          <w:sz w:val="20"/>
        </w:rPr>
        <w:t>UDC</w:t>
      </w:r>
      <w:r>
        <w:rPr>
          <w:rFonts w:ascii="Arial"/>
          <w:i/>
          <w:spacing w:val="14"/>
          <w:sz w:val="20"/>
        </w:rPr>
        <w:t> </w:t>
      </w:r>
      <w:r>
        <w:rPr>
          <w:rFonts w:ascii="Arial"/>
          <w:i/>
          <w:sz w:val="20"/>
        </w:rPr>
        <w:t>(1917)</w:t>
      </w:r>
      <w:r>
        <w:rPr>
          <w:rFonts w:ascii="Arial"/>
          <w:i/>
          <w:spacing w:val="14"/>
          <w:sz w:val="20"/>
        </w:rPr>
        <w:t> </w:t>
      </w:r>
      <w:r>
        <w:rPr>
          <w:rFonts w:ascii="Arial"/>
          <w:i/>
          <w:sz w:val="20"/>
        </w:rPr>
        <w:t>87</w:t>
      </w:r>
      <w:r>
        <w:rPr>
          <w:rFonts w:ascii="Arial"/>
          <w:i/>
          <w:spacing w:val="14"/>
          <w:sz w:val="20"/>
        </w:rPr>
        <w:t> </w:t>
      </w:r>
      <w:r>
        <w:rPr>
          <w:rFonts w:ascii="Arial"/>
          <w:i/>
          <w:sz w:val="20"/>
        </w:rPr>
        <w:t>L.J.K.B.</w:t>
      </w:r>
      <w:r>
        <w:rPr>
          <w:rFonts w:ascii="Arial"/>
          <w:i/>
          <w:spacing w:val="14"/>
          <w:sz w:val="20"/>
        </w:rPr>
        <w:t> </w:t>
      </w:r>
      <w:r>
        <w:rPr>
          <w:rFonts w:ascii="Arial"/>
          <w:i/>
          <w:spacing w:val="-4"/>
          <w:sz w:val="20"/>
        </w:rPr>
        <w:t>166</w:t>
      </w:r>
      <w:r>
        <w:rPr>
          <w:spacing w:val="-4"/>
          <w:sz w:val="20"/>
        </w:rPr>
        <w:t>;</w:t>
      </w:r>
    </w:p>
    <w:p>
      <w:pPr>
        <w:spacing w:line="227" w:lineRule="exact" w:before="0"/>
        <w:ind w:left="0" w:right="168" w:firstLine="0"/>
        <w:jc w:val="right"/>
        <w:rPr>
          <w:rFonts w:ascii="Arial" w:hAnsi="Arial"/>
          <w:i/>
          <w:sz w:val="20"/>
        </w:rPr>
      </w:pPr>
      <w:r>
        <w:rPr>
          <w:rFonts w:ascii="Arial" w:hAnsi="Arial"/>
          <w:i/>
          <w:sz w:val="20"/>
        </w:rPr>
        <w:t>Air</w:t>
      </w:r>
      <w:r>
        <w:rPr>
          <w:rFonts w:ascii="Arial" w:hAnsi="Arial"/>
          <w:i/>
          <w:spacing w:val="4"/>
          <w:sz w:val="20"/>
        </w:rPr>
        <w:t> </w:t>
      </w:r>
      <w:r>
        <w:rPr>
          <w:rFonts w:ascii="Arial" w:hAnsi="Arial"/>
          <w:i/>
          <w:sz w:val="20"/>
        </w:rPr>
        <w:t>Transworld</w:t>
      </w:r>
      <w:r>
        <w:rPr>
          <w:rFonts w:ascii="Arial" w:hAnsi="Arial"/>
          <w:i/>
          <w:spacing w:val="4"/>
          <w:sz w:val="20"/>
        </w:rPr>
        <w:t> </w:t>
      </w:r>
      <w:r>
        <w:rPr>
          <w:rFonts w:ascii="Arial" w:hAnsi="Arial"/>
          <w:i/>
          <w:sz w:val="20"/>
        </w:rPr>
        <w:t>Ltd</w:t>
      </w:r>
      <w:r>
        <w:rPr>
          <w:rFonts w:ascii="Arial" w:hAnsi="Arial"/>
          <w:i/>
          <w:spacing w:val="4"/>
          <w:sz w:val="20"/>
        </w:rPr>
        <w:t> </w:t>
      </w:r>
      <w:r>
        <w:rPr>
          <w:rFonts w:ascii="Arial" w:hAnsi="Arial"/>
          <w:i/>
          <w:sz w:val="20"/>
        </w:rPr>
        <w:t>v</w:t>
      </w:r>
      <w:r>
        <w:rPr>
          <w:rFonts w:ascii="Arial" w:hAnsi="Arial"/>
          <w:i/>
          <w:spacing w:val="4"/>
          <w:sz w:val="20"/>
        </w:rPr>
        <w:t> </w:t>
      </w:r>
      <w:r>
        <w:rPr>
          <w:rFonts w:ascii="Arial" w:hAnsi="Arial"/>
          <w:i/>
          <w:sz w:val="20"/>
        </w:rPr>
        <w:t>Bombardier</w:t>
      </w:r>
      <w:r>
        <w:rPr>
          <w:rFonts w:ascii="Arial" w:hAnsi="Arial"/>
          <w:i/>
          <w:spacing w:val="4"/>
          <w:sz w:val="20"/>
        </w:rPr>
        <w:t> </w:t>
      </w:r>
      <w:r>
        <w:rPr>
          <w:rFonts w:ascii="Arial" w:hAnsi="Arial"/>
          <w:i/>
          <w:sz w:val="20"/>
        </w:rPr>
        <w:t>Inc</w:t>
      </w:r>
      <w:r>
        <w:rPr>
          <w:rFonts w:ascii="Arial" w:hAnsi="Arial"/>
          <w:i/>
          <w:spacing w:val="4"/>
          <w:sz w:val="20"/>
        </w:rPr>
        <w:t> </w:t>
      </w:r>
      <w:r>
        <w:rPr>
          <w:rFonts w:ascii="Arial" w:hAnsi="Arial"/>
          <w:i/>
          <w:sz w:val="20"/>
        </w:rPr>
        <w:t>[2012]</w:t>
      </w:r>
      <w:r>
        <w:rPr>
          <w:rFonts w:ascii="Arial" w:hAnsi="Arial"/>
          <w:i/>
          <w:spacing w:val="4"/>
          <w:sz w:val="20"/>
        </w:rPr>
        <w:t> </w:t>
      </w:r>
      <w:r>
        <w:rPr>
          <w:rFonts w:ascii="Arial" w:hAnsi="Arial"/>
          <w:i/>
          <w:sz w:val="20"/>
        </w:rPr>
        <w:t>EWHC</w:t>
      </w:r>
      <w:r>
        <w:rPr>
          <w:rFonts w:ascii="Arial" w:hAnsi="Arial"/>
          <w:i/>
          <w:spacing w:val="4"/>
          <w:sz w:val="20"/>
        </w:rPr>
        <w:t> </w:t>
      </w:r>
      <w:r>
        <w:rPr>
          <w:rFonts w:ascii="Arial" w:hAnsi="Arial"/>
          <w:i/>
          <w:sz w:val="20"/>
        </w:rPr>
        <w:t>243,</w:t>
      </w:r>
      <w:r>
        <w:rPr>
          <w:rFonts w:ascii="Arial" w:hAnsi="Arial"/>
          <w:i/>
          <w:spacing w:val="4"/>
          <w:sz w:val="20"/>
        </w:rPr>
        <w:t> </w:t>
      </w:r>
      <w:r>
        <w:rPr>
          <w:rFonts w:ascii="Arial" w:hAnsi="Arial"/>
          <w:i/>
          <w:sz w:val="20"/>
        </w:rPr>
        <w:t>[2012]</w:t>
      </w:r>
      <w:r>
        <w:rPr>
          <w:rFonts w:ascii="Arial" w:hAnsi="Arial"/>
          <w:i/>
          <w:spacing w:val="4"/>
          <w:sz w:val="20"/>
        </w:rPr>
        <w:t> </w:t>
      </w:r>
      <w:r>
        <w:rPr>
          <w:rFonts w:ascii="Arial" w:hAnsi="Arial"/>
          <w:i/>
          <w:sz w:val="20"/>
        </w:rPr>
        <w:t>1</w:t>
      </w:r>
      <w:r>
        <w:rPr>
          <w:rFonts w:ascii="Arial" w:hAnsi="Arial"/>
          <w:i/>
          <w:spacing w:val="4"/>
          <w:sz w:val="20"/>
        </w:rPr>
        <w:t> </w:t>
      </w:r>
      <w:r>
        <w:rPr>
          <w:rFonts w:ascii="Arial" w:hAnsi="Arial"/>
          <w:i/>
          <w:sz w:val="20"/>
        </w:rPr>
        <w:t>Lloyd’s</w:t>
      </w:r>
      <w:r>
        <w:rPr>
          <w:rFonts w:ascii="Arial" w:hAnsi="Arial"/>
          <w:i/>
          <w:spacing w:val="4"/>
          <w:sz w:val="20"/>
        </w:rPr>
        <w:t> </w:t>
      </w:r>
      <w:r>
        <w:rPr>
          <w:rFonts w:ascii="Arial" w:hAnsi="Arial"/>
          <w:i/>
          <w:sz w:val="20"/>
        </w:rPr>
        <w:t>Rep.</w:t>
      </w:r>
      <w:r>
        <w:rPr>
          <w:rFonts w:ascii="Arial" w:hAnsi="Arial"/>
          <w:i/>
          <w:spacing w:val="4"/>
          <w:sz w:val="20"/>
        </w:rPr>
        <w:t> </w:t>
      </w:r>
      <w:r>
        <w:rPr>
          <w:rFonts w:ascii="Arial" w:hAnsi="Arial"/>
          <w:i/>
          <w:sz w:val="20"/>
        </w:rPr>
        <w:t>349</w:t>
      </w:r>
      <w:r>
        <w:rPr>
          <w:rFonts w:ascii="Arial" w:hAnsi="Arial"/>
          <w:i/>
          <w:spacing w:val="3"/>
          <w:sz w:val="20"/>
        </w:rPr>
        <w:t> </w:t>
      </w:r>
      <w:r>
        <w:rPr>
          <w:sz w:val="20"/>
        </w:rPr>
        <w:t>at</w:t>
      </w:r>
      <w:r>
        <w:rPr>
          <w:spacing w:val="4"/>
          <w:sz w:val="20"/>
        </w:rPr>
        <w:t> </w:t>
      </w:r>
      <w:r>
        <w:rPr>
          <w:sz w:val="20"/>
        </w:rPr>
        <w:t>[79];</w:t>
      </w:r>
      <w:r>
        <w:rPr>
          <w:spacing w:val="4"/>
          <w:sz w:val="20"/>
        </w:rPr>
        <w:t> </w:t>
      </w:r>
      <w:r>
        <w:rPr>
          <w:rFonts w:ascii="Arial" w:hAnsi="Arial"/>
          <w:i/>
          <w:spacing w:val="-2"/>
          <w:sz w:val="20"/>
        </w:rPr>
        <w:t>Attrill</w:t>
      </w:r>
    </w:p>
    <w:p>
      <w:pPr>
        <w:spacing w:after="0" w:line="227" w:lineRule="exact"/>
        <w:jc w:val="right"/>
        <w:rPr>
          <w:rFonts w:ascii="Arial" w:hAns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i/>
          <w:sz w:val="20"/>
        </w:rPr>
        <w:t>v Dresdner Kleinwort Ltd [2012] EWHC 1189 (QB) </w:t>
      </w:r>
      <w:r>
        <w:rPr>
          <w:sz w:val="20"/>
        </w:rPr>
        <w:t>was affirmed by the Court of Appeal </w:t>
      </w:r>
      <w:r>
        <w:rPr>
          <w:rFonts w:ascii="Arial"/>
          <w:i/>
          <w:sz w:val="20"/>
        </w:rPr>
        <w:t>[2013] EWCA</w:t>
      </w:r>
      <w:r>
        <w:rPr>
          <w:rFonts w:ascii="Arial"/>
          <w:i/>
          <w:spacing w:val="-1"/>
          <w:sz w:val="20"/>
        </w:rPr>
        <w:t> </w:t>
      </w:r>
      <w:r>
        <w:rPr>
          <w:rFonts w:ascii="Arial"/>
          <w:i/>
          <w:sz w:val="20"/>
        </w:rPr>
        <w:t>Civ</w:t>
      </w:r>
      <w:r>
        <w:rPr>
          <w:rFonts w:ascii="Arial"/>
          <w:i/>
          <w:spacing w:val="-1"/>
          <w:sz w:val="20"/>
        </w:rPr>
        <w:t> </w:t>
      </w:r>
      <w:r>
        <w:rPr>
          <w:rFonts w:ascii="Arial"/>
          <w:i/>
          <w:sz w:val="20"/>
        </w:rPr>
        <w:t>394</w:t>
      </w:r>
      <w:r>
        <w:rPr>
          <w:rFonts w:ascii="Arial"/>
          <w:i/>
          <w:spacing w:val="-1"/>
          <w:sz w:val="20"/>
        </w:rPr>
        <w:t> </w:t>
      </w:r>
      <w:r>
        <w:rPr>
          <w:sz w:val="20"/>
        </w:rPr>
        <w:t>where</w:t>
      </w:r>
      <w:r>
        <w:rPr>
          <w:spacing w:val="-1"/>
          <w:sz w:val="20"/>
        </w:rPr>
        <w:t> </w:t>
      </w:r>
      <w:r>
        <w:rPr>
          <w:sz w:val="20"/>
        </w:rPr>
        <w:t>the</w:t>
      </w:r>
      <w:r>
        <w:rPr>
          <w:spacing w:val="-1"/>
          <w:sz w:val="20"/>
        </w:rPr>
        <w:t> </w:t>
      </w:r>
      <w:r>
        <w:rPr>
          <w:sz w:val="20"/>
        </w:rPr>
        <w:t>contract</w:t>
      </w:r>
      <w:r>
        <w:rPr>
          <w:spacing w:val="-1"/>
          <w:sz w:val="20"/>
        </w:rPr>
        <w:t> </w:t>
      </w:r>
      <w:r>
        <w:rPr>
          <w:sz w:val="20"/>
        </w:rPr>
        <w:t>was</w:t>
      </w:r>
      <w:r>
        <w:rPr>
          <w:spacing w:val="-1"/>
          <w:sz w:val="20"/>
        </w:rPr>
        <w:t> </w:t>
      </w:r>
      <w:r>
        <w:rPr>
          <w:sz w:val="20"/>
        </w:rPr>
        <w:t>described</w:t>
      </w:r>
      <w:r>
        <w:rPr>
          <w:spacing w:val="-1"/>
          <w:sz w:val="20"/>
        </w:rPr>
        <w:t> </w:t>
      </w:r>
      <w:r>
        <w:rPr>
          <w:sz w:val="20"/>
        </w:rPr>
        <w:t>as</w:t>
      </w:r>
      <w:r>
        <w:rPr>
          <w:spacing w:val="-1"/>
          <w:sz w:val="20"/>
        </w:rPr>
        <w:t> </w:t>
      </w:r>
      <w:r>
        <w:rPr>
          <w:sz w:val="20"/>
        </w:rPr>
        <w:t>a</w:t>
      </w:r>
      <w:r>
        <w:rPr>
          <w:spacing w:val="-1"/>
          <w:sz w:val="20"/>
        </w:rPr>
        <w:t> </w:t>
      </w:r>
      <w:r>
        <w:rPr>
          <w:sz w:val="20"/>
        </w:rPr>
        <w:t>unilateral</w:t>
      </w:r>
      <w:r>
        <w:rPr>
          <w:spacing w:val="-1"/>
          <w:sz w:val="20"/>
        </w:rPr>
        <w:t> </w:t>
      </w:r>
      <w:r>
        <w:rPr>
          <w:sz w:val="20"/>
        </w:rPr>
        <w:t>one,</w:t>
      </w:r>
      <w:r>
        <w:rPr>
          <w:spacing w:val="-1"/>
          <w:sz w:val="20"/>
        </w:rPr>
        <w:t> </w:t>
      </w:r>
      <w:r>
        <w:rPr>
          <w:sz w:val="20"/>
        </w:rPr>
        <w:t>so</w:t>
      </w:r>
      <w:r>
        <w:rPr>
          <w:spacing w:val="-1"/>
          <w:sz w:val="20"/>
        </w:rPr>
        <w:t> </w:t>
      </w:r>
      <w:r>
        <w:rPr>
          <w:sz w:val="20"/>
        </w:rPr>
        <w:t>that</w:t>
      </w:r>
      <w:r>
        <w:rPr>
          <w:spacing w:val="-1"/>
          <w:sz w:val="20"/>
        </w:rPr>
        <w:t> </w:t>
      </w:r>
      <w:r>
        <w:rPr>
          <w:sz w:val="20"/>
        </w:rPr>
        <w:t>the</w:t>
      </w:r>
      <w:r>
        <w:rPr>
          <w:spacing w:val="-1"/>
          <w:sz w:val="20"/>
        </w:rPr>
        <w:t> </w:t>
      </w:r>
      <w:r>
        <w:rPr>
          <w:sz w:val="20"/>
        </w:rPr>
        <w:t>requirement</w:t>
      </w:r>
      <w:r>
        <w:rPr>
          <w:spacing w:val="-1"/>
          <w:sz w:val="20"/>
        </w:rPr>
        <w:t> </w:t>
      </w:r>
      <w:r>
        <w:rPr>
          <w:sz w:val="20"/>
        </w:rPr>
        <w:t>of communication of acceptance was waived (at [94]).</w:t>
      </w:r>
    </w:p>
    <w:p>
      <w:pPr>
        <w:pStyle w:val="BodyText"/>
        <w:spacing w:before="5"/>
      </w:pPr>
    </w:p>
    <w:p>
      <w:pPr>
        <w:tabs>
          <w:tab w:pos="705" w:val="left" w:leader="none"/>
        </w:tabs>
        <w:spacing w:before="0"/>
        <w:ind w:left="165" w:right="0" w:firstLine="0"/>
        <w:jc w:val="left"/>
        <w:rPr>
          <w:sz w:val="20"/>
        </w:rPr>
      </w:pPr>
      <w:bookmarkStart w:name="_bookmark494" w:id="496"/>
      <w:bookmarkEnd w:id="496"/>
      <w:r>
        <w:rPr/>
      </w:r>
      <w:hyperlink w:history="true" w:anchor="_bookmark461">
        <w:r>
          <w:rPr>
            <w:color w:val="005DA1"/>
            <w:spacing w:val="-4"/>
            <w:position w:val="5"/>
            <w:sz w:val="14"/>
            <w:u w:val="single" w:color="005DA1"/>
          </w:rPr>
          <w:t>252</w:t>
        </w:r>
      </w:hyperlink>
      <w:r>
        <w:rPr>
          <w:spacing w:val="-4"/>
          <w:position w:val="5"/>
          <w:sz w:val="14"/>
        </w:rPr>
        <w:t>.</w:t>
      </w:r>
      <w:r>
        <w:rPr>
          <w:position w:val="5"/>
          <w:sz w:val="14"/>
        </w:rPr>
        <w:tab/>
      </w:r>
      <w:r>
        <w:rPr>
          <w:rFonts w:ascii="Arial"/>
          <w:i/>
          <w:sz w:val="20"/>
        </w:rPr>
        <w:t>[1893]</w:t>
      </w:r>
      <w:r>
        <w:rPr>
          <w:rFonts w:ascii="Arial"/>
          <w:i/>
          <w:spacing w:val="-1"/>
          <w:sz w:val="20"/>
        </w:rPr>
        <w:t> </w:t>
      </w:r>
      <w:r>
        <w:rPr>
          <w:rFonts w:ascii="Arial"/>
          <w:i/>
          <w:sz w:val="20"/>
        </w:rPr>
        <w:t>1 Q.B. 256</w:t>
      </w:r>
      <w:r>
        <w:rPr>
          <w:sz w:val="20"/>
        </w:rPr>
        <w:t>, above, para.2-</w:t>
      </w:r>
      <w:r>
        <w:rPr>
          <w:spacing w:val="-4"/>
          <w:sz w:val="20"/>
        </w:rPr>
        <w:t>015.</w:t>
      </w:r>
    </w:p>
    <w:p>
      <w:pPr>
        <w:pStyle w:val="BodyText"/>
        <w:spacing w:before="5"/>
      </w:pPr>
    </w:p>
    <w:p>
      <w:pPr>
        <w:pStyle w:val="BodyText"/>
        <w:tabs>
          <w:tab w:pos="705" w:val="left" w:leader="none"/>
        </w:tabs>
        <w:ind w:left="165"/>
      </w:pPr>
      <w:bookmarkStart w:name="_bookmark495" w:id="497"/>
      <w:bookmarkEnd w:id="497"/>
      <w:r>
        <w:rPr/>
      </w:r>
      <w:hyperlink w:history="true" w:anchor="_bookmark462">
        <w:r>
          <w:rPr>
            <w:color w:val="005DA1"/>
            <w:spacing w:val="-4"/>
            <w:position w:val="5"/>
            <w:sz w:val="14"/>
            <w:u w:val="single" w:color="005DA1"/>
          </w:rPr>
          <w:t>253</w:t>
        </w:r>
      </w:hyperlink>
      <w:r>
        <w:rPr>
          <w:spacing w:val="-4"/>
          <w:position w:val="5"/>
          <w:sz w:val="14"/>
        </w:rPr>
        <w:t>.</w:t>
      </w:r>
      <w:r>
        <w:rPr>
          <w:position w:val="5"/>
          <w:sz w:val="14"/>
        </w:rPr>
        <w:tab/>
      </w:r>
      <w:r>
        <w:rPr/>
        <w:t>Below,</w:t>
      </w:r>
      <w:r>
        <w:rPr>
          <w:spacing w:val="-2"/>
        </w:rPr>
        <w:t> </w:t>
      </w:r>
      <w:r>
        <w:rPr/>
        <w:t>paras 4-040, 18-</w:t>
      </w:r>
      <w:r>
        <w:rPr>
          <w:spacing w:val="-4"/>
        </w:rPr>
        <w:t>008.</w:t>
      </w:r>
    </w:p>
    <w:p>
      <w:pPr>
        <w:pStyle w:val="BodyText"/>
        <w:spacing w:before="9"/>
      </w:pPr>
    </w:p>
    <w:p>
      <w:pPr>
        <w:tabs>
          <w:tab w:pos="705" w:val="left" w:leader="none"/>
        </w:tabs>
        <w:spacing w:line="235" w:lineRule="auto" w:before="0"/>
        <w:ind w:left="705" w:right="168" w:hanging="541"/>
        <w:jc w:val="left"/>
        <w:rPr>
          <w:sz w:val="20"/>
        </w:rPr>
      </w:pPr>
      <w:bookmarkStart w:name="_bookmark496" w:id="498"/>
      <w:bookmarkEnd w:id="498"/>
      <w:r>
        <w:rPr/>
      </w:r>
      <w:hyperlink w:history="true" w:anchor="_bookmark463">
        <w:r>
          <w:rPr>
            <w:color w:val="005DA1"/>
            <w:spacing w:val="-4"/>
            <w:position w:val="5"/>
            <w:sz w:val="14"/>
            <w:u w:val="single" w:color="005DA1"/>
          </w:rPr>
          <w:t>254</w:t>
        </w:r>
      </w:hyperlink>
      <w:r>
        <w:rPr>
          <w:spacing w:val="-4"/>
          <w:position w:val="5"/>
          <w:sz w:val="14"/>
        </w:rPr>
        <w:t>.</w:t>
      </w:r>
      <w:r>
        <w:rPr>
          <w:position w:val="5"/>
          <w:sz w:val="14"/>
        </w:rPr>
        <w:tab/>
      </w:r>
      <w:r>
        <w:rPr>
          <w:rFonts w:ascii="Arial"/>
          <w:i/>
          <w:sz w:val="20"/>
        </w:rPr>
        <w:t>First</w:t>
      </w:r>
      <w:r>
        <w:rPr>
          <w:rFonts w:ascii="Arial"/>
          <w:i/>
          <w:spacing w:val="32"/>
          <w:sz w:val="20"/>
        </w:rPr>
        <w:t> </w:t>
      </w:r>
      <w:r>
        <w:rPr>
          <w:rFonts w:ascii="Arial"/>
          <w:i/>
          <w:sz w:val="20"/>
        </w:rPr>
        <w:t>Sport</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Barclays</w:t>
      </w:r>
      <w:r>
        <w:rPr>
          <w:rFonts w:ascii="Arial"/>
          <w:i/>
          <w:spacing w:val="32"/>
          <w:sz w:val="20"/>
        </w:rPr>
        <w:t> </w:t>
      </w:r>
      <w:r>
        <w:rPr>
          <w:rFonts w:ascii="Arial"/>
          <w:i/>
          <w:sz w:val="20"/>
        </w:rPr>
        <w:t>Bank</w:t>
      </w:r>
      <w:r>
        <w:rPr>
          <w:rFonts w:ascii="Arial"/>
          <w:i/>
          <w:spacing w:val="32"/>
          <w:sz w:val="20"/>
        </w:rPr>
        <w:t> </w:t>
      </w:r>
      <w:r>
        <w:rPr>
          <w:rFonts w:ascii="Arial"/>
          <w:i/>
          <w:sz w:val="20"/>
        </w:rPr>
        <w:t>Plc</w:t>
      </w:r>
      <w:r>
        <w:rPr>
          <w:rFonts w:ascii="Arial"/>
          <w:i/>
          <w:spacing w:val="32"/>
          <w:sz w:val="20"/>
        </w:rPr>
        <w:t> </w:t>
      </w:r>
      <w:r>
        <w:rPr>
          <w:rFonts w:ascii="Arial"/>
          <w:i/>
          <w:sz w:val="20"/>
        </w:rPr>
        <w:t>[1993]</w:t>
      </w:r>
      <w:r>
        <w:rPr>
          <w:rFonts w:ascii="Arial"/>
          <w:i/>
          <w:spacing w:val="32"/>
          <w:sz w:val="20"/>
        </w:rPr>
        <w:t> </w:t>
      </w:r>
      <w:r>
        <w:rPr>
          <w:rFonts w:ascii="Arial"/>
          <w:i/>
          <w:sz w:val="20"/>
        </w:rPr>
        <w:t>1</w:t>
      </w:r>
      <w:r>
        <w:rPr>
          <w:rFonts w:ascii="Arial"/>
          <w:i/>
          <w:spacing w:val="32"/>
          <w:sz w:val="20"/>
        </w:rPr>
        <w:t> </w:t>
      </w:r>
      <w:r>
        <w:rPr>
          <w:rFonts w:ascii="Arial"/>
          <w:i/>
          <w:sz w:val="20"/>
        </w:rPr>
        <w:t>W.L.R.</w:t>
      </w:r>
      <w:r>
        <w:rPr>
          <w:rFonts w:ascii="Arial"/>
          <w:i/>
          <w:spacing w:val="32"/>
          <w:sz w:val="20"/>
        </w:rPr>
        <w:t> </w:t>
      </w:r>
      <w:r>
        <w:rPr>
          <w:rFonts w:ascii="Arial"/>
          <w:i/>
          <w:sz w:val="20"/>
        </w:rPr>
        <w:t>1228,</w:t>
      </w:r>
      <w:r>
        <w:rPr>
          <w:rFonts w:ascii="Arial"/>
          <w:i/>
          <w:spacing w:val="32"/>
          <w:sz w:val="20"/>
        </w:rPr>
        <w:t> </w:t>
      </w:r>
      <w:r>
        <w:rPr>
          <w:rFonts w:ascii="Arial"/>
          <w:i/>
          <w:sz w:val="20"/>
        </w:rPr>
        <w:t>1234</w:t>
      </w:r>
      <w:r>
        <w:rPr>
          <w:rFonts w:ascii="Arial"/>
          <w:i/>
          <w:spacing w:val="31"/>
          <w:sz w:val="20"/>
        </w:rPr>
        <w:t> </w:t>
      </w:r>
      <w:r>
        <w:rPr>
          <w:sz w:val="20"/>
        </w:rPr>
        <w:t>(where</w:t>
      </w:r>
      <w:r>
        <w:rPr>
          <w:spacing w:val="32"/>
          <w:sz w:val="20"/>
        </w:rPr>
        <w:t> </w:t>
      </w:r>
      <w:r>
        <w:rPr>
          <w:sz w:val="20"/>
        </w:rPr>
        <w:t>the</w:t>
      </w:r>
      <w:r>
        <w:rPr>
          <w:spacing w:val="32"/>
          <w:sz w:val="20"/>
        </w:rPr>
        <w:t> </w:t>
      </w:r>
      <w:r>
        <w:rPr>
          <w:sz w:val="20"/>
        </w:rPr>
        <w:t>card</w:t>
      </w:r>
      <w:r>
        <w:rPr>
          <w:spacing w:val="32"/>
          <w:sz w:val="20"/>
        </w:rPr>
        <w:t> </w:t>
      </w:r>
      <w:r>
        <w:rPr>
          <w:sz w:val="20"/>
        </w:rPr>
        <w:t>had</w:t>
      </w:r>
      <w:r>
        <w:rPr>
          <w:spacing w:val="32"/>
          <w:sz w:val="20"/>
        </w:rPr>
        <w:t> </w:t>
      </w:r>
      <w:r>
        <w:rPr>
          <w:sz w:val="20"/>
        </w:rPr>
        <w:t>been stolen and been presented to the retailer by the thief).</w:t>
      </w:r>
    </w:p>
    <w:p>
      <w:pPr>
        <w:pStyle w:val="BodyText"/>
        <w:spacing w:before="5"/>
      </w:pPr>
    </w:p>
    <w:p>
      <w:pPr>
        <w:tabs>
          <w:tab w:pos="705" w:val="left" w:leader="none"/>
        </w:tabs>
        <w:spacing w:before="1"/>
        <w:ind w:left="165" w:right="0" w:firstLine="0"/>
        <w:jc w:val="left"/>
        <w:rPr>
          <w:sz w:val="20"/>
        </w:rPr>
      </w:pPr>
      <w:bookmarkStart w:name="_bookmark497" w:id="499"/>
      <w:bookmarkEnd w:id="499"/>
      <w:r>
        <w:rPr/>
      </w:r>
      <w:hyperlink w:history="true" w:anchor="_bookmark464">
        <w:r>
          <w:rPr>
            <w:color w:val="005DA1"/>
            <w:spacing w:val="-4"/>
            <w:position w:val="5"/>
            <w:sz w:val="14"/>
            <w:u w:val="single" w:color="005DA1"/>
          </w:rPr>
          <w:t>255</w:t>
        </w:r>
      </w:hyperlink>
      <w:r>
        <w:rPr>
          <w:spacing w:val="-4"/>
          <w:position w:val="5"/>
          <w:sz w:val="14"/>
        </w:rPr>
        <w:t>.</w:t>
      </w:r>
      <w:r>
        <w:rPr>
          <w:position w:val="5"/>
          <w:sz w:val="14"/>
        </w:rPr>
        <w:tab/>
      </w:r>
      <w:r>
        <w:rPr>
          <w:rFonts w:ascii="Arial"/>
          <w:i/>
          <w:sz w:val="20"/>
        </w:rPr>
        <w:t>First Sport Ltd v Barclays Bank Plc [1993] 1 W.L.R. 1228</w:t>
      </w:r>
      <w:r>
        <w:rPr>
          <w:rFonts w:ascii="Arial"/>
          <w:i/>
          <w:spacing w:val="-1"/>
          <w:sz w:val="20"/>
        </w:rPr>
        <w:t> </w:t>
      </w:r>
      <w:r>
        <w:rPr>
          <w:sz w:val="20"/>
        </w:rPr>
        <w:t>at 1234-</w:t>
      </w:r>
      <w:r>
        <w:rPr>
          <w:spacing w:val="-2"/>
          <w:sz w:val="20"/>
        </w:rPr>
        <w:t>1235.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98" w:id="500"/>
      <w:bookmarkEnd w:id="500"/>
      <w:r>
        <w:rPr/>
      </w:r>
      <w:hyperlink w:history="true" w:anchor="_bookmark465">
        <w:r>
          <w:rPr>
            <w:color w:val="005DA1"/>
            <w:spacing w:val="-4"/>
            <w:position w:val="5"/>
            <w:sz w:val="14"/>
            <w:u w:val="single" w:color="005DA1"/>
          </w:rPr>
          <w:t>256</w:t>
        </w:r>
      </w:hyperlink>
      <w:r>
        <w:rPr>
          <w:spacing w:val="-4"/>
          <w:position w:val="5"/>
          <w:sz w:val="14"/>
        </w:rPr>
        <w:t>.</w:t>
      </w:r>
      <w:r>
        <w:rPr>
          <w:position w:val="5"/>
          <w:sz w:val="14"/>
        </w:rPr>
        <w:tab/>
      </w:r>
      <w:r>
        <w:rPr>
          <w:rFonts w:ascii="Arial"/>
          <w:i/>
          <w:sz w:val="20"/>
        </w:rPr>
        <w:t>[2005]</w:t>
      </w:r>
      <w:r>
        <w:rPr>
          <w:rFonts w:ascii="Arial"/>
          <w:i/>
          <w:spacing w:val="32"/>
          <w:sz w:val="20"/>
        </w:rPr>
        <w:t> </w:t>
      </w:r>
      <w:r>
        <w:rPr>
          <w:rFonts w:ascii="Arial"/>
          <w:i/>
          <w:sz w:val="20"/>
        </w:rPr>
        <w:t>EWHC</w:t>
      </w:r>
      <w:r>
        <w:rPr>
          <w:rFonts w:ascii="Arial"/>
          <w:i/>
          <w:spacing w:val="32"/>
          <w:sz w:val="20"/>
        </w:rPr>
        <w:t> </w:t>
      </w:r>
      <w:r>
        <w:rPr>
          <w:rFonts w:ascii="Arial"/>
          <w:i/>
          <w:sz w:val="20"/>
        </w:rPr>
        <w:t>600</w:t>
      </w:r>
      <w:r>
        <w:rPr>
          <w:rFonts w:ascii="Arial"/>
          <w:i/>
          <w:spacing w:val="32"/>
          <w:sz w:val="20"/>
        </w:rPr>
        <w:t> </w:t>
      </w:r>
      <w:r>
        <w:rPr>
          <w:rFonts w:ascii="Arial"/>
          <w:i/>
          <w:sz w:val="20"/>
        </w:rPr>
        <w:t>(Comm),</w:t>
      </w:r>
      <w:r>
        <w:rPr>
          <w:rFonts w:ascii="Arial"/>
          <w:i/>
          <w:spacing w:val="32"/>
          <w:sz w:val="20"/>
        </w:rPr>
        <w:t> </w:t>
      </w:r>
      <w:r>
        <w:rPr>
          <w:rFonts w:ascii="Arial"/>
          <w:i/>
          <w:sz w:val="20"/>
        </w:rPr>
        <w:t>[2006]</w:t>
      </w:r>
      <w:r>
        <w:rPr>
          <w:rFonts w:ascii="Arial"/>
          <w:i/>
          <w:spacing w:val="32"/>
          <w:sz w:val="20"/>
        </w:rPr>
        <w:t> </w:t>
      </w:r>
      <w:r>
        <w:rPr>
          <w:rFonts w:ascii="Arial"/>
          <w:i/>
          <w:sz w:val="20"/>
        </w:rPr>
        <w:t>1</w:t>
      </w:r>
      <w:r>
        <w:rPr>
          <w:rFonts w:ascii="Arial"/>
          <w:i/>
          <w:spacing w:val="32"/>
          <w:sz w:val="20"/>
        </w:rPr>
        <w:t> </w:t>
      </w:r>
      <w:r>
        <w:rPr>
          <w:rFonts w:ascii="Arial"/>
          <w:i/>
          <w:sz w:val="20"/>
        </w:rPr>
        <w:t>All</w:t>
      </w:r>
      <w:r>
        <w:rPr>
          <w:rFonts w:ascii="Arial"/>
          <w:i/>
          <w:spacing w:val="32"/>
          <w:sz w:val="20"/>
        </w:rPr>
        <w:t> </w:t>
      </w:r>
      <w:r>
        <w:rPr>
          <w:rFonts w:ascii="Arial"/>
          <w:i/>
          <w:sz w:val="20"/>
        </w:rPr>
        <w:t>E.R.</w:t>
      </w:r>
      <w:r>
        <w:rPr>
          <w:rFonts w:ascii="Arial"/>
          <w:i/>
          <w:spacing w:val="32"/>
          <w:sz w:val="20"/>
        </w:rPr>
        <w:t> </w:t>
      </w:r>
      <w:r>
        <w:rPr>
          <w:rFonts w:ascii="Arial"/>
          <w:i/>
          <w:sz w:val="20"/>
        </w:rPr>
        <w:t>(Comm)</w:t>
      </w:r>
      <w:r>
        <w:rPr>
          <w:rFonts w:ascii="Arial"/>
          <w:i/>
          <w:spacing w:val="32"/>
          <w:sz w:val="20"/>
        </w:rPr>
        <w:t> </w:t>
      </w:r>
      <w:r>
        <w:rPr>
          <w:rFonts w:ascii="Arial"/>
          <w:i/>
          <w:sz w:val="20"/>
        </w:rPr>
        <w:t>56;</w:t>
      </w:r>
      <w:r>
        <w:rPr>
          <w:rFonts w:ascii="Arial"/>
          <w:i/>
          <w:spacing w:val="32"/>
          <w:sz w:val="20"/>
        </w:rPr>
        <w:t> </w:t>
      </w:r>
      <w:r>
        <w:rPr>
          <w:rFonts w:ascii="Arial"/>
          <w:i/>
          <w:sz w:val="20"/>
        </w:rPr>
        <w:t>affirmed</w:t>
      </w:r>
      <w:r>
        <w:rPr>
          <w:rFonts w:ascii="Arial"/>
          <w:i/>
          <w:spacing w:val="32"/>
          <w:sz w:val="20"/>
        </w:rPr>
        <w:t> </w:t>
      </w:r>
      <w:r>
        <w:rPr>
          <w:rFonts w:ascii="Arial"/>
          <w:i/>
          <w:sz w:val="20"/>
        </w:rPr>
        <w:t>on</w:t>
      </w:r>
      <w:r>
        <w:rPr>
          <w:rFonts w:ascii="Arial"/>
          <w:i/>
          <w:spacing w:val="32"/>
          <w:sz w:val="20"/>
        </w:rPr>
        <w:t> </w:t>
      </w:r>
      <w:r>
        <w:rPr>
          <w:rFonts w:ascii="Arial"/>
          <w:i/>
          <w:sz w:val="20"/>
        </w:rPr>
        <w:t>other</w:t>
      </w:r>
      <w:r>
        <w:rPr>
          <w:rFonts w:ascii="Arial"/>
          <w:i/>
          <w:spacing w:val="32"/>
          <w:sz w:val="20"/>
        </w:rPr>
        <w:t> </w:t>
      </w:r>
      <w:r>
        <w:rPr>
          <w:rFonts w:ascii="Arial"/>
          <w:i/>
          <w:sz w:val="20"/>
        </w:rPr>
        <w:t>grounds</w:t>
      </w:r>
      <w:r>
        <w:rPr>
          <w:rFonts w:ascii="Arial"/>
          <w:i/>
          <w:spacing w:val="32"/>
          <w:sz w:val="20"/>
        </w:rPr>
        <w:t> </w:t>
      </w:r>
      <w:r>
        <w:rPr>
          <w:rFonts w:ascii="Arial"/>
          <w:i/>
          <w:spacing w:val="-2"/>
          <w:sz w:val="20"/>
        </w:rPr>
        <w:t>[2006]</w:t>
      </w:r>
    </w:p>
    <w:p>
      <w:pPr>
        <w:spacing w:line="227" w:lineRule="exact" w:before="0"/>
        <w:ind w:left="705" w:right="0" w:firstLine="0"/>
        <w:jc w:val="left"/>
        <w:rPr>
          <w:sz w:val="20"/>
        </w:rPr>
      </w:pPr>
      <w:r>
        <w:rPr>
          <w:rFonts w:ascii="Arial"/>
          <w:i/>
          <w:sz w:val="20"/>
        </w:rPr>
        <w:t>EWCA Civ 241, [2006] 2 All E.R. (Comm) </w:t>
      </w:r>
      <w:r>
        <w:rPr>
          <w:rFonts w:ascii="Arial"/>
          <w:i/>
          <w:spacing w:val="-4"/>
          <w:sz w:val="20"/>
        </w:rPr>
        <w:t>104</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499" w:id="501"/>
      <w:bookmarkEnd w:id="501"/>
      <w:r>
        <w:rPr/>
      </w:r>
      <w:hyperlink w:history="true" w:anchor="_bookmark466">
        <w:r>
          <w:rPr>
            <w:color w:val="005DA1"/>
            <w:spacing w:val="-4"/>
            <w:position w:val="5"/>
            <w:sz w:val="14"/>
            <w:u w:val="single" w:color="005DA1"/>
          </w:rPr>
          <w:t>257</w:t>
        </w:r>
      </w:hyperlink>
      <w:r>
        <w:rPr>
          <w:spacing w:val="-4"/>
          <w:position w:val="5"/>
          <w:sz w:val="14"/>
        </w:rPr>
        <w:t>.</w:t>
      </w:r>
      <w:r>
        <w:rPr>
          <w:position w:val="5"/>
          <w:sz w:val="14"/>
        </w:rPr>
        <w:tab/>
      </w:r>
      <w:r>
        <w:rPr>
          <w:rFonts w:ascii="Arial"/>
          <w:i/>
          <w:sz w:val="20"/>
        </w:rPr>
        <w:t>Argo</w:t>
      </w:r>
      <w:r>
        <w:rPr>
          <w:rFonts w:ascii="Arial"/>
          <w:i/>
          <w:spacing w:val="21"/>
          <w:sz w:val="20"/>
        </w:rPr>
        <w:t> </w:t>
      </w:r>
      <w:r>
        <w:rPr>
          <w:rFonts w:ascii="Arial"/>
          <w:i/>
          <w:sz w:val="20"/>
        </w:rPr>
        <w:t>Fund</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Esser</w:t>
      </w:r>
      <w:r>
        <w:rPr>
          <w:rFonts w:ascii="Arial"/>
          <w:i/>
          <w:spacing w:val="21"/>
          <w:sz w:val="20"/>
        </w:rPr>
        <w:t> </w:t>
      </w:r>
      <w:r>
        <w:rPr>
          <w:rFonts w:ascii="Arial"/>
          <w:i/>
          <w:sz w:val="20"/>
        </w:rPr>
        <w:t>Steel</w:t>
      </w:r>
      <w:r>
        <w:rPr>
          <w:rFonts w:ascii="Arial"/>
          <w:i/>
          <w:spacing w:val="21"/>
          <w:sz w:val="20"/>
        </w:rPr>
        <w:t> </w:t>
      </w:r>
      <w:r>
        <w:rPr>
          <w:rFonts w:ascii="Arial"/>
          <w:i/>
          <w:sz w:val="20"/>
        </w:rPr>
        <w:t>Ltd</w:t>
      </w:r>
      <w:r>
        <w:rPr>
          <w:rFonts w:ascii="Arial"/>
          <w:i/>
          <w:spacing w:val="21"/>
          <w:sz w:val="20"/>
        </w:rPr>
        <w:t> </w:t>
      </w:r>
      <w:r>
        <w:rPr>
          <w:rFonts w:ascii="Arial"/>
          <w:i/>
          <w:sz w:val="20"/>
        </w:rPr>
        <w:t>[2005]</w:t>
      </w:r>
      <w:r>
        <w:rPr>
          <w:rFonts w:ascii="Arial"/>
          <w:i/>
          <w:spacing w:val="21"/>
          <w:sz w:val="20"/>
        </w:rPr>
        <w:t> </w:t>
      </w:r>
      <w:r>
        <w:rPr>
          <w:rFonts w:ascii="Arial"/>
          <w:i/>
          <w:sz w:val="20"/>
        </w:rPr>
        <w:t>EWHC</w:t>
      </w:r>
      <w:r>
        <w:rPr>
          <w:rFonts w:ascii="Arial"/>
          <w:i/>
          <w:spacing w:val="21"/>
          <w:sz w:val="20"/>
        </w:rPr>
        <w:t> </w:t>
      </w:r>
      <w:r>
        <w:rPr>
          <w:rFonts w:ascii="Arial"/>
          <w:i/>
          <w:sz w:val="20"/>
        </w:rPr>
        <w:t>600</w:t>
      </w:r>
      <w:r>
        <w:rPr>
          <w:rFonts w:ascii="Arial"/>
          <w:i/>
          <w:spacing w:val="21"/>
          <w:sz w:val="20"/>
        </w:rPr>
        <w:t> </w:t>
      </w:r>
      <w:r>
        <w:rPr>
          <w:rFonts w:ascii="Arial"/>
          <w:i/>
          <w:sz w:val="20"/>
        </w:rPr>
        <w:t>(Comm),</w:t>
      </w:r>
      <w:r>
        <w:rPr>
          <w:rFonts w:ascii="Arial"/>
          <w:i/>
          <w:spacing w:val="21"/>
          <w:sz w:val="20"/>
        </w:rPr>
        <w:t> </w:t>
      </w:r>
      <w:r>
        <w:rPr>
          <w:rFonts w:ascii="Arial"/>
          <w:i/>
          <w:sz w:val="20"/>
        </w:rPr>
        <w:t>[2006]</w:t>
      </w:r>
      <w:r>
        <w:rPr>
          <w:rFonts w:ascii="Arial"/>
          <w:i/>
          <w:spacing w:val="21"/>
          <w:sz w:val="20"/>
        </w:rPr>
        <w:t> </w:t>
      </w:r>
      <w:r>
        <w:rPr>
          <w:rFonts w:ascii="Arial"/>
          <w:i/>
          <w:sz w:val="20"/>
        </w:rPr>
        <w:t>1</w:t>
      </w:r>
      <w:r>
        <w:rPr>
          <w:rFonts w:ascii="Arial"/>
          <w:i/>
          <w:spacing w:val="21"/>
          <w:sz w:val="20"/>
        </w:rPr>
        <w:t> </w:t>
      </w:r>
      <w:r>
        <w:rPr>
          <w:rFonts w:ascii="Arial"/>
          <w:i/>
          <w:sz w:val="20"/>
        </w:rPr>
        <w:t>All</w:t>
      </w:r>
      <w:r>
        <w:rPr>
          <w:rFonts w:ascii="Arial"/>
          <w:i/>
          <w:spacing w:val="21"/>
          <w:sz w:val="20"/>
        </w:rPr>
        <w:t> </w:t>
      </w:r>
      <w:r>
        <w:rPr>
          <w:rFonts w:ascii="Arial"/>
          <w:i/>
          <w:sz w:val="20"/>
        </w:rPr>
        <w:t>E.R.</w:t>
      </w:r>
      <w:r>
        <w:rPr>
          <w:rFonts w:ascii="Arial"/>
          <w:i/>
          <w:spacing w:val="21"/>
          <w:sz w:val="20"/>
        </w:rPr>
        <w:t> </w:t>
      </w:r>
      <w:r>
        <w:rPr>
          <w:rFonts w:ascii="Arial"/>
          <w:i/>
          <w:sz w:val="20"/>
        </w:rPr>
        <w:t>(Comm)</w:t>
      </w:r>
      <w:r>
        <w:rPr>
          <w:rFonts w:ascii="Arial"/>
          <w:i/>
          <w:spacing w:val="21"/>
          <w:sz w:val="20"/>
        </w:rPr>
        <w:t> </w:t>
      </w:r>
      <w:r>
        <w:rPr>
          <w:rFonts w:ascii="Arial"/>
          <w:i/>
          <w:sz w:val="20"/>
        </w:rPr>
        <w:t>56</w:t>
      </w:r>
      <w:r>
        <w:rPr>
          <w:rFonts w:ascii="Arial"/>
          <w:i/>
          <w:spacing w:val="21"/>
          <w:sz w:val="20"/>
        </w:rPr>
        <w:t> </w:t>
      </w:r>
      <w:r>
        <w:rPr>
          <w:rFonts w:ascii="Arial"/>
          <w:i/>
          <w:spacing w:val="-5"/>
          <w:sz w:val="20"/>
        </w:rPr>
        <w:t>at</w:t>
      </w:r>
    </w:p>
    <w:p>
      <w:pPr>
        <w:spacing w:line="227" w:lineRule="exact" w:before="0"/>
        <w:ind w:left="705" w:right="0" w:firstLine="0"/>
        <w:jc w:val="left"/>
        <w:rPr>
          <w:sz w:val="20"/>
        </w:rPr>
      </w:pPr>
      <w:r>
        <w:rPr>
          <w:rFonts w:ascii="Arial"/>
          <w:i/>
          <w:sz w:val="20"/>
        </w:rPr>
        <w:t>[51]; affirmed on other grounds [2006] EWCA Civ 241, [2006] 2 All E.R. (Comm) </w:t>
      </w:r>
      <w:r>
        <w:rPr>
          <w:rFonts w:ascii="Arial"/>
          <w:i/>
          <w:spacing w:val="-4"/>
          <w:sz w:val="20"/>
        </w:rPr>
        <w:t>104</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500" w:id="502"/>
      <w:bookmarkEnd w:id="502"/>
      <w:r>
        <w:rPr/>
      </w:r>
      <w:hyperlink w:history="true" w:anchor="_bookmark467">
        <w:r>
          <w:rPr>
            <w:color w:val="005DA1"/>
            <w:spacing w:val="-4"/>
            <w:position w:val="5"/>
            <w:sz w:val="14"/>
            <w:u w:val="single" w:color="005DA1"/>
          </w:rPr>
          <w:t>258</w:t>
        </w:r>
      </w:hyperlink>
      <w:r>
        <w:rPr>
          <w:spacing w:val="-4"/>
          <w:position w:val="5"/>
          <w:sz w:val="14"/>
        </w:rPr>
        <w:t>.</w:t>
      </w:r>
      <w:r>
        <w:rPr>
          <w:position w:val="5"/>
          <w:sz w:val="14"/>
        </w:rPr>
        <w:tab/>
      </w:r>
      <w:r>
        <w:rPr>
          <w:rFonts w:ascii="Arial"/>
          <w:i/>
          <w:sz w:val="20"/>
        </w:rPr>
        <w:t>Argo Fund Ltd v Esser Steel Ltd [2005] EWHC 600 (Comm)</w:t>
      </w:r>
      <w:r>
        <w:rPr>
          <w:sz w:val="20"/>
        </w:rPr>
        <w:t>; the effect of the new contract </w:t>
      </w:r>
      <w:r>
        <w:rPr>
          <w:sz w:val="20"/>
        </w:rPr>
        <w:t>was said at [50], [51] to be to novate the original one.</w:t>
      </w:r>
    </w:p>
    <w:p>
      <w:pPr>
        <w:pStyle w:val="BodyText"/>
        <w:spacing w:before="5"/>
      </w:pPr>
    </w:p>
    <w:p>
      <w:pPr>
        <w:tabs>
          <w:tab w:pos="705" w:val="left" w:leader="none"/>
        </w:tabs>
        <w:spacing w:before="0"/>
        <w:ind w:left="165" w:right="0" w:firstLine="0"/>
        <w:jc w:val="left"/>
        <w:rPr>
          <w:sz w:val="20"/>
        </w:rPr>
      </w:pPr>
      <w:bookmarkStart w:name="_bookmark501" w:id="503"/>
      <w:bookmarkEnd w:id="503"/>
      <w:r>
        <w:rPr/>
      </w:r>
      <w:hyperlink w:history="true" w:anchor="_bookmark468">
        <w:r>
          <w:rPr>
            <w:color w:val="005DA1"/>
            <w:spacing w:val="-4"/>
            <w:position w:val="5"/>
            <w:sz w:val="14"/>
            <w:u w:val="single" w:color="005DA1"/>
          </w:rPr>
          <w:t>259</w:t>
        </w:r>
      </w:hyperlink>
      <w:r>
        <w:rPr>
          <w:spacing w:val="-4"/>
          <w:position w:val="5"/>
          <w:sz w:val="14"/>
        </w:rPr>
        <w:t>.</w:t>
      </w:r>
      <w:r>
        <w:rPr>
          <w:position w:val="5"/>
          <w:sz w:val="14"/>
        </w:rPr>
        <w:tab/>
      </w:r>
      <w:r>
        <w:rPr>
          <w:rFonts w:ascii="Arial"/>
          <w:i/>
          <w:sz w:val="20"/>
        </w:rPr>
        <w:t>Argo Fund Ltd v Esser Steel Ltd [2005] EWHC 600 (Comm)</w:t>
      </w:r>
      <w:r>
        <w:rPr>
          <w:rFonts w:ascii="Arial"/>
          <w:i/>
          <w:spacing w:val="-1"/>
          <w:sz w:val="20"/>
        </w:rPr>
        <w:t> </w:t>
      </w:r>
      <w:r>
        <w:rPr>
          <w:sz w:val="20"/>
        </w:rPr>
        <w:t>at [50], </w:t>
      </w:r>
      <w:r>
        <w:rPr>
          <w:spacing w:val="-2"/>
          <w:sz w:val="20"/>
        </w:rPr>
        <w:t>[51].</w:t>
      </w:r>
    </w:p>
    <w:p>
      <w:pPr>
        <w:pStyle w:val="BodyText"/>
        <w:spacing w:before="5"/>
      </w:pPr>
    </w:p>
    <w:p>
      <w:pPr>
        <w:tabs>
          <w:tab w:pos="705" w:val="left" w:leader="none"/>
        </w:tabs>
        <w:spacing w:before="0"/>
        <w:ind w:left="165" w:right="0" w:firstLine="0"/>
        <w:jc w:val="left"/>
        <w:rPr>
          <w:sz w:val="20"/>
        </w:rPr>
      </w:pPr>
      <w:bookmarkStart w:name="_bookmark502" w:id="504"/>
      <w:bookmarkEnd w:id="504"/>
      <w:r>
        <w:rPr/>
      </w:r>
      <w:hyperlink w:history="true" w:anchor="_bookmark469">
        <w:r>
          <w:rPr>
            <w:color w:val="005DA1"/>
            <w:spacing w:val="-4"/>
            <w:position w:val="5"/>
            <w:sz w:val="14"/>
            <w:u w:val="single" w:color="005DA1"/>
          </w:rPr>
          <w:t>260</w:t>
        </w:r>
      </w:hyperlink>
      <w:r>
        <w:rPr>
          <w:spacing w:val="-4"/>
          <w:position w:val="5"/>
          <w:sz w:val="14"/>
        </w:rPr>
        <w:t>.</w:t>
      </w:r>
      <w:r>
        <w:rPr>
          <w:position w:val="5"/>
          <w:sz w:val="14"/>
        </w:rPr>
        <w:tab/>
      </w:r>
      <w:r>
        <w:rPr>
          <w:rFonts w:ascii="Arial"/>
          <w:i/>
          <w:sz w:val="20"/>
        </w:rPr>
        <w:t>Argo Fund Ltd v Esser Steel Ltd [2005] EWHC 600 (Comm)</w:t>
      </w:r>
      <w:r>
        <w:rPr>
          <w:rFonts w:ascii="Arial"/>
          <w:i/>
          <w:spacing w:val="-1"/>
          <w:sz w:val="20"/>
        </w:rPr>
        <w:t> </w:t>
      </w:r>
      <w:r>
        <w:rPr>
          <w:sz w:val="20"/>
        </w:rPr>
        <w:t>at </w:t>
      </w:r>
      <w:r>
        <w:rPr>
          <w:spacing w:val="-2"/>
          <w:sz w:val="20"/>
        </w:rPr>
        <w:t>[52].</w:t>
      </w:r>
    </w:p>
    <w:p>
      <w:pPr>
        <w:pStyle w:val="BodyText"/>
        <w:spacing w:before="9"/>
      </w:pPr>
    </w:p>
    <w:p>
      <w:pPr>
        <w:tabs>
          <w:tab w:pos="705" w:val="left" w:leader="none"/>
        </w:tabs>
        <w:spacing w:line="235" w:lineRule="auto" w:before="0"/>
        <w:ind w:left="705" w:right="168" w:hanging="541"/>
        <w:jc w:val="left"/>
        <w:rPr>
          <w:sz w:val="20"/>
        </w:rPr>
      </w:pPr>
      <w:bookmarkStart w:name="_bookmark503" w:id="505"/>
      <w:bookmarkEnd w:id="505"/>
      <w:r>
        <w:rPr/>
      </w:r>
      <w:hyperlink w:history="true" w:anchor="_bookmark470">
        <w:r>
          <w:rPr>
            <w:color w:val="005DA1"/>
            <w:spacing w:val="-4"/>
            <w:position w:val="5"/>
            <w:sz w:val="14"/>
            <w:u w:val="single" w:color="005DA1"/>
          </w:rPr>
          <w:t>261</w:t>
        </w:r>
      </w:hyperlink>
      <w:r>
        <w:rPr>
          <w:spacing w:val="-4"/>
          <w:position w:val="5"/>
          <w:sz w:val="14"/>
        </w:rPr>
        <w:t>.</w:t>
      </w:r>
      <w:r>
        <w:rPr>
          <w:position w:val="5"/>
          <w:sz w:val="14"/>
        </w:rPr>
        <w:tab/>
      </w:r>
      <w:r>
        <w:rPr>
          <w:rFonts w:ascii="Arial" w:hAnsi="Arial"/>
          <w:i/>
          <w:sz w:val="20"/>
        </w:rPr>
        <w:t>Argo</w:t>
      </w:r>
      <w:r>
        <w:rPr>
          <w:rFonts w:ascii="Arial" w:hAnsi="Arial"/>
          <w:i/>
          <w:spacing w:val="17"/>
          <w:sz w:val="20"/>
        </w:rPr>
        <w:t> </w:t>
      </w:r>
      <w:r>
        <w:rPr>
          <w:rFonts w:ascii="Arial" w:hAnsi="Arial"/>
          <w:i/>
          <w:sz w:val="20"/>
        </w:rPr>
        <w:t>Fund</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Esser</w:t>
      </w:r>
      <w:r>
        <w:rPr>
          <w:rFonts w:ascii="Arial" w:hAnsi="Arial"/>
          <w:i/>
          <w:spacing w:val="17"/>
          <w:sz w:val="20"/>
        </w:rPr>
        <w:t> </w:t>
      </w:r>
      <w:r>
        <w:rPr>
          <w:rFonts w:ascii="Arial" w:hAnsi="Arial"/>
          <w:i/>
          <w:sz w:val="20"/>
        </w:rPr>
        <w:t>Steel</w:t>
      </w:r>
      <w:r>
        <w:rPr>
          <w:rFonts w:ascii="Arial" w:hAnsi="Arial"/>
          <w:i/>
          <w:spacing w:val="17"/>
          <w:sz w:val="20"/>
        </w:rPr>
        <w:t> </w:t>
      </w:r>
      <w:r>
        <w:rPr>
          <w:rFonts w:ascii="Arial" w:hAnsi="Arial"/>
          <w:i/>
          <w:sz w:val="20"/>
        </w:rPr>
        <w:t>Ltd</w:t>
      </w:r>
      <w:r>
        <w:rPr>
          <w:rFonts w:ascii="Arial" w:hAnsi="Arial"/>
          <w:i/>
          <w:spacing w:val="17"/>
          <w:sz w:val="20"/>
        </w:rPr>
        <w:t> </w:t>
      </w:r>
      <w:r>
        <w:rPr>
          <w:rFonts w:ascii="Arial" w:hAnsi="Arial"/>
          <w:i/>
          <w:sz w:val="20"/>
        </w:rPr>
        <w:t>[2005]</w:t>
      </w:r>
      <w:r>
        <w:rPr>
          <w:rFonts w:ascii="Arial" w:hAnsi="Arial"/>
          <w:i/>
          <w:spacing w:val="17"/>
          <w:sz w:val="20"/>
        </w:rPr>
        <w:t> </w:t>
      </w:r>
      <w:r>
        <w:rPr>
          <w:rFonts w:ascii="Arial" w:hAnsi="Arial"/>
          <w:i/>
          <w:sz w:val="20"/>
        </w:rPr>
        <w:t>EWHC</w:t>
      </w:r>
      <w:r>
        <w:rPr>
          <w:rFonts w:ascii="Arial" w:hAnsi="Arial"/>
          <w:i/>
          <w:spacing w:val="17"/>
          <w:sz w:val="20"/>
        </w:rPr>
        <w:t> </w:t>
      </w:r>
      <w:r>
        <w:rPr>
          <w:rFonts w:ascii="Arial" w:hAnsi="Arial"/>
          <w:i/>
          <w:sz w:val="20"/>
        </w:rPr>
        <w:t>600</w:t>
      </w:r>
      <w:r>
        <w:rPr>
          <w:rFonts w:ascii="Arial" w:hAnsi="Arial"/>
          <w:i/>
          <w:spacing w:val="17"/>
          <w:sz w:val="20"/>
        </w:rPr>
        <w:t> </w:t>
      </w:r>
      <w:r>
        <w:rPr>
          <w:rFonts w:ascii="Arial" w:hAnsi="Arial"/>
          <w:i/>
          <w:sz w:val="20"/>
        </w:rPr>
        <w:t>(Comm) </w:t>
      </w:r>
      <w:r>
        <w:rPr>
          <w:sz w:val="20"/>
        </w:rPr>
        <w:t>at</w:t>
      </w:r>
      <w:r>
        <w:rPr>
          <w:spacing w:val="17"/>
          <w:sz w:val="20"/>
        </w:rPr>
        <w:t> </w:t>
      </w:r>
      <w:r>
        <w:rPr>
          <w:sz w:val="20"/>
        </w:rPr>
        <w:t>[53]</w:t>
      </w:r>
      <w:r>
        <w:rPr>
          <w:spacing w:val="17"/>
          <w:sz w:val="20"/>
        </w:rPr>
        <w:t> </w:t>
      </w:r>
      <w:r>
        <w:rPr>
          <w:sz w:val="20"/>
        </w:rPr>
        <w:t>(“perhaps</w:t>
      </w:r>
      <w:r>
        <w:rPr>
          <w:spacing w:val="17"/>
          <w:sz w:val="20"/>
        </w:rPr>
        <w:t> </w:t>
      </w:r>
      <w:r>
        <w:rPr>
          <w:sz w:val="20"/>
        </w:rPr>
        <w:t>this</w:t>
      </w:r>
      <w:r>
        <w:rPr>
          <w:spacing w:val="17"/>
          <w:sz w:val="20"/>
        </w:rPr>
        <w:t> </w:t>
      </w:r>
      <w:r>
        <w:rPr>
          <w:sz w:val="20"/>
        </w:rPr>
        <w:t>is</w:t>
      </w:r>
      <w:r>
        <w:rPr>
          <w:spacing w:val="17"/>
          <w:sz w:val="20"/>
        </w:rPr>
        <w:t> </w:t>
      </w:r>
      <w:r>
        <w:rPr>
          <w:sz w:val="20"/>
        </w:rPr>
        <w:t>the</w:t>
      </w:r>
      <w:r>
        <w:rPr>
          <w:spacing w:val="17"/>
          <w:sz w:val="20"/>
        </w:rPr>
        <w:t> </w:t>
      </w:r>
      <w:r>
        <w:rPr>
          <w:sz w:val="20"/>
        </w:rPr>
        <w:t>right </w:t>
      </w:r>
      <w:r>
        <w:rPr>
          <w:spacing w:val="-2"/>
          <w:sz w:val="20"/>
        </w:rPr>
        <w:t>analysis”).</w:t>
      </w:r>
    </w:p>
    <w:p>
      <w:pPr>
        <w:pStyle w:val="BodyText"/>
        <w:spacing w:before="5"/>
      </w:pPr>
    </w:p>
    <w:p>
      <w:pPr>
        <w:tabs>
          <w:tab w:pos="705" w:val="left" w:leader="none"/>
        </w:tabs>
        <w:spacing w:before="0"/>
        <w:ind w:left="165" w:right="0" w:firstLine="0"/>
        <w:jc w:val="left"/>
        <w:rPr>
          <w:sz w:val="20"/>
        </w:rPr>
      </w:pPr>
      <w:bookmarkStart w:name="_bookmark504" w:id="506"/>
      <w:bookmarkEnd w:id="506"/>
      <w:r>
        <w:rPr/>
      </w:r>
      <w:hyperlink w:history="true" w:anchor="_bookmark471">
        <w:r>
          <w:rPr>
            <w:color w:val="005DA1"/>
            <w:spacing w:val="-4"/>
            <w:position w:val="5"/>
            <w:sz w:val="14"/>
            <w:u w:val="single" w:color="005DA1"/>
          </w:rPr>
          <w:t>262</w:t>
        </w:r>
      </w:hyperlink>
      <w:r>
        <w:rPr>
          <w:spacing w:val="-4"/>
          <w:position w:val="5"/>
          <w:sz w:val="14"/>
        </w:rPr>
        <w:t>.</w:t>
      </w:r>
      <w:r>
        <w:rPr>
          <w:position w:val="5"/>
          <w:sz w:val="14"/>
        </w:rPr>
        <w:tab/>
      </w:r>
      <w:r>
        <w:rPr>
          <w:rFonts w:ascii="Arial"/>
          <w:i/>
          <w:sz w:val="20"/>
        </w:rPr>
        <w:t>Entores Ltd v Miles Far East Corp [1955] 2 Q.B. 327, </w:t>
      </w:r>
      <w:r>
        <w:rPr>
          <w:rFonts w:ascii="Arial"/>
          <w:i/>
          <w:spacing w:val="-4"/>
          <w:sz w:val="20"/>
        </w:rPr>
        <w:t>333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05" w:id="507"/>
      <w:bookmarkEnd w:id="507"/>
      <w:r>
        <w:rPr/>
      </w:r>
      <w:hyperlink w:history="true" w:anchor="_bookmark472">
        <w:r>
          <w:rPr>
            <w:color w:val="005DA1"/>
            <w:spacing w:val="-4"/>
            <w:position w:val="5"/>
            <w:sz w:val="14"/>
            <w:u w:val="single" w:color="005DA1"/>
          </w:rPr>
          <w:t>263</w:t>
        </w:r>
      </w:hyperlink>
      <w:r>
        <w:rPr>
          <w:spacing w:val="-4"/>
          <w:position w:val="5"/>
          <w:sz w:val="14"/>
        </w:rPr>
        <w:t>.</w:t>
      </w:r>
      <w:r>
        <w:rPr>
          <w:position w:val="5"/>
          <w:sz w:val="14"/>
        </w:rPr>
        <w:tab/>
      </w:r>
      <w:r>
        <w:rPr>
          <w:sz w:val="20"/>
        </w:rPr>
        <w:t>cf. </w:t>
      </w:r>
      <w:r>
        <w:rPr>
          <w:rFonts w:ascii="Arial"/>
          <w:i/>
          <w:sz w:val="20"/>
        </w:rPr>
        <w:t>Tenax Steamship Co Ltd v The Brimnes (Owners) (The Brimnes) [1975] Q.B. 929</w:t>
      </w:r>
      <w:r>
        <w:rPr>
          <w:sz w:val="20"/>
        </w:rPr>
        <w:t>; and </w:t>
      </w:r>
      <w:r>
        <w:rPr>
          <w:sz w:val="20"/>
        </w:rPr>
        <w:t>see below, para.2-096.</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506" w:id="508"/>
      <w:bookmarkEnd w:id="508"/>
      <w:r>
        <w:rPr/>
      </w:r>
      <w:hyperlink w:history="true" w:anchor="_bookmark473">
        <w:r>
          <w:rPr>
            <w:color w:val="005DA1"/>
            <w:spacing w:val="-4"/>
            <w:position w:val="5"/>
            <w:sz w:val="14"/>
            <w:u w:val="single" w:color="005DA1"/>
          </w:rPr>
          <w:t>264</w:t>
        </w:r>
      </w:hyperlink>
      <w:r>
        <w:rPr>
          <w:spacing w:val="-4"/>
          <w:position w:val="5"/>
          <w:sz w:val="14"/>
        </w:rPr>
        <w:t>.</w:t>
      </w:r>
      <w:r>
        <w:rPr>
          <w:position w:val="5"/>
          <w:sz w:val="14"/>
        </w:rPr>
        <w:tab/>
      </w:r>
      <w:r>
        <w:rPr>
          <w:rFonts w:ascii="Arial" w:hAnsi="Arial"/>
          <w:i/>
          <w:sz w:val="20"/>
        </w:rPr>
        <w:t>Schelde</w:t>
      </w:r>
      <w:r>
        <w:rPr>
          <w:rFonts w:ascii="Arial" w:hAnsi="Arial"/>
          <w:i/>
          <w:spacing w:val="1"/>
          <w:sz w:val="20"/>
        </w:rPr>
        <w:t> </w:t>
      </w:r>
      <w:r>
        <w:rPr>
          <w:rFonts w:ascii="Arial" w:hAnsi="Arial"/>
          <w:i/>
          <w:sz w:val="20"/>
        </w:rPr>
        <w:t>Delta</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BV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Astarte</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Pamela)</w:t>
      </w:r>
      <w:r>
        <w:rPr>
          <w:rFonts w:ascii="Arial" w:hAnsi="Arial"/>
          <w:i/>
          <w:spacing w:val="1"/>
          <w:sz w:val="20"/>
        </w:rPr>
        <w:t> </w:t>
      </w:r>
      <w:r>
        <w:rPr>
          <w:rFonts w:ascii="Arial" w:hAnsi="Arial"/>
          <w:i/>
          <w:sz w:val="20"/>
        </w:rPr>
        <w:t>[1995]</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249,</w:t>
      </w:r>
      <w:r>
        <w:rPr>
          <w:rFonts w:ascii="Arial" w:hAnsi="Arial"/>
          <w:i/>
          <w:spacing w:val="1"/>
          <w:sz w:val="20"/>
        </w:rPr>
        <w:t> </w:t>
      </w:r>
      <w:r>
        <w:rPr>
          <w:rFonts w:ascii="Arial" w:hAnsi="Arial"/>
          <w:i/>
          <w:spacing w:val="-5"/>
          <w:sz w:val="20"/>
        </w:rPr>
        <w:t>252</w:t>
      </w:r>
    </w:p>
    <w:p>
      <w:pPr>
        <w:spacing w:line="235" w:lineRule="auto" w:before="1"/>
        <w:ind w:left="705" w:right="0" w:firstLine="0"/>
        <w:jc w:val="left"/>
        <w:rPr>
          <w:sz w:val="20"/>
        </w:rPr>
      </w:pPr>
      <w:r>
        <w:rPr>
          <w:sz w:val="20"/>
        </w:rPr>
        <w:t>;</w:t>
      </w:r>
      <w:r>
        <w:rPr>
          <w:spacing w:val="27"/>
          <w:sz w:val="20"/>
        </w:rPr>
        <w:t> </w:t>
      </w:r>
      <w:r>
        <w:rPr>
          <w:rFonts w:ascii="Arial" w:hAnsi="Arial"/>
          <w:i/>
          <w:sz w:val="20"/>
        </w:rPr>
        <w:t>Galaxy</w:t>
      </w:r>
      <w:r>
        <w:rPr>
          <w:rFonts w:ascii="Arial" w:hAnsi="Arial"/>
          <w:i/>
          <w:spacing w:val="27"/>
          <w:sz w:val="20"/>
        </w:rPr>
        <w:t> </w:t>
      </w:r>
      <w:r>
        <w:rPr>
          <w:rFonts w:ascii="Arial" w:hAnsi="Arial"/>
          <w:i/>
          <w:sz w:val="20"/>
        </w:rPr>
        <w:t>Energy</w:t>
      </w:r>
      <w:r>
        <w:rPr>
          <w:rFonts w:ascii="Arial" w:hAnsi="Arial"/>
          <w:i/>
          <w:spacing w:val="27"/>
          <w:sz w:val="20"/>
        </w:rPr>
        <w:t> </w:t>
      </w:r>
      <w:r>
        <w:rPr>
          <w:rFonts w:ascii="Arial" w:hAnsi="Arial"/>
          <w:i/>
          <w:sz w:val="20"/>
        </w:rPr>
        <w:t>International</w:t>
      </w:r>
      <w:r>
        <w:rPr>
          <w:rFonts w:ascii="Arial" w:hAnsi="Arial"/>
          <w:i/>
          <w:spacing w:val="27"/>
          <w:sz w:val="20"/>
        </w:rPr>
        <w:t> </w:t>
      </w:r>
      <w:r>
        <w:rPr>
          <w:rFonts w:ascii="Arial" w:hAnsi="Arial"/>
          <w:i/>
          <w:sz w:val="20"/>
        </w:rPr>
        <w:t>Ltd</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Novorossiysk</w:t>
      </w:r>
      <w:r>
        <w:rPr>
          <w:rFonts w:ascii="Arial" w:hAnsi="Arial"/>
          <w:i/>
          <w:spacing w:val="27"/>
          <w:sz w:val="20"/>
        </w:rPr>
        <w:t> </w:t>
      </w:r>
      <w:r>
        <w:rPr>
          <w:rFonts w:ascii="Arial" w:hAnsi="Arial"/>
          <w:i/>
          <w:sz w:val="20"/>
        </w:rPr>
        <w:t>Shipping</w:t>
      </w:r>
      <w:r>
        <w:rPr>
          <w:rFonts w:ascii="Arial" w:hAnsi="Arial"/>
          <w:i/>
          <w:spacing w:val="27"/>
          <w:sz w:val="20"/>
        </w:rPr>
        <w:t> </w:t>
      </w:r>
      <w:r>
        <w:rPr>
          <w:rFonts w:ascii="Arial" w:hAnsi="Arial"/>
          <w:i/>
          <w:sz w:val="20"/>
        </w:rPr>
        <w:t>Co</w:t>
      </w:r>
      <w:r>
        <w:rPr>
          <w:rFonts w:ascii="Arial" w:hAnsi="Arial"/>
          <w:i/>
          <w:spacing w:val="27"/>
          <w:sz w:val="20"/>
        </w:rPr>
        <w:t> </w:t>
      </w:r>
      <w:r>
        <w:rPr>
          <w:rFonts w:ascii="Arial" w:hAnsi="Arial"/>
          <w:i/>
          <w:sz w:val="20"/>
        </w:rPr>
        <w:t>(The</w:t>
      </w:r>
      <w:r>
        <w:rPr>
          <w:rFonts w:ascii="Arial" w:hAnsi="Arial"/>
          <w:i/>
          <w:spacing w:val="27"/>
          <w:sz w:val="20"/>
        </w:rPr>
        <w:t> </w:t>
      </w:r>
      <w:r>
        <w:rPr>
          <w:rFonts w:ascii="Arial" w:hAnsi="Arial"/>
          <w:i/>
          <w:sz w:val="20"/>
        </w:rPr>
        <w:t>Peter</w:t>
      </w:r>
      <w:r>
        <w:rPr>
          <w:rFonts w:ascii="Arial" w:hAnsi="Arial"/>
          <w:i/>
          <w:spacing w:val="27"/>
          <w:sz w:val="20"/>
        </w:rPr>
        <w:t> </w:t>
      </w:r>
      <w:r>
        <w:rPr>
          <w:rFonts w:ascii="Arial" w:hAnsi="Arial"/>
          <w:i/>
          <w:sz w:val="20"/>
        </w:rPr>
        <w:t>Schmidt)</w:t>
      </w:r>
      <w:r>
        <w:rPr>
          <w:rFonts w:ascii="Arial" w:hAnsi="Arial"/>
          <w:i/>
          <w:spacing w:val="27"/>
          <w:sz w:val="20"/>
        </w:rPr>
        <w:t> </w:t>
      </w:r>
      <w:r>
        <w:rPr>
          <w:rFonts w:ascii="Arial" w:hAnsi="Arial"/>
          <w:i/>
          <w:sz w:val="20"/>
        </w:rPr>
        <w:t>[1998]</w:t>
      </w:r>
      <w:r>
        <w:rPr>
          <w:rFonts w:ascii="Arial" w:hAnsi="Arial"/>
          <w:i/>
          <w:spacing w:val="27"/>
          <w:sz w:val="20"/>
        </w:rPr>
        <w:t> </w:t>
      </w:r>
      <w:r>
        <w:rPr>
          <w:rFonts w:ascii="Arial" w:hAnsi="Arial"/>
          <w:i/>
          <w:sz w:val="20"/>
        </w:rPr>
        <w:t>2 Lloyd’s Rep. 1</w:t>
      </w:r>
      <w:r>
        <w:rPr>
          <w:sz w:val="20"/>
        </w:rPr>
        <w:t>.</w:t>
      </w:r>
    </w:p>
    <w:p>
      <w:pPr>
        <w:pStyle w:val="BodyText"/>
        <w:spacing w:before="5"/>
      </w:pPr>
    </w:p>
    <w:p>
      <w:pPr>
        <w:pStyle w:val="BodyText"/>
        <w:tabs>
          <w:tab w:pos="705" w:val="left" w:leader="none"/>
        </w:tabs>
        <w:ind w:left="165"/>
      </w:pPr>
      <w:bookmarkStart w:name="_bookmark507" w:id="509"/>
      <w:bookmarkEnd w:id="509"/>
      <w:r>
        <w:rPr/>
      </w:r>
      <w:hyperlink w:history="true" w:anchor="_bookmark474">
        <w:r>
          <w:rPr>
            <w:color w:val="005DA1"/>
            <w:spacing w:val="-4"/>
            <w:position w:val="5"/>
            <w:sz w:val="14"/>
            <w:u w:val="single" w:color="005DA1"/>
          </w:rPr>
          <w:t>265</w:t>
        </w:r>
      </w:hyperlink>
      <w:r>
        <w:rPr>
          <w:spacing w:val="-4"/>
          <w:position w:val="5"/>
          <w:sz w:val="14"/>
        </w:rPr>
        <w:t>.</w:t>
      </w:r>
      <w:r>
        <w:rPr>
          <w:position w:val="5"/>
          <w:sz w:val="14"/>
        </w:rPr>
        <w:tab/>
      </w:r>
      <w:r>
        <w:rPr/>
        <w:t>See</w:t>
      </w:r>
      <w:r>
        <w:rPr>
          <w:spacing w:val="-2"/>
        </w:rPr>
        <w:t> </w:t>
      </w:r>
      <w:r>
        <w:rPr/>
        <w:t>below, para.2-</w:t>
      </w:r>
      <w:r>
        <w:rPr>
          <w:spacing w:val="-4"/>
        </w:rPr>
        <w:t>079.</w:t>
      </w:r>
    </w:p>
    <w:p>
      <w:pPr>
        <w:pStyle w:val="BodyText"/>
        <w:spacing w:before="5"/>
      </w:pPr>
    </w:p>
    <w:p>
      <w:pPr>
        <w:pStyle w:val="BodyText"/>
        <w:tabs>
          <w:tab w:pos="705" w:val="left" w:leader="none"/>
        </w:tabs>
        <w:spacing w:before="1"/>
        <w:ind w:left="165"/>
      </w:pPr>
      <w:bookmarkStart w:name="_bookmark508" w:id="510"/>
      <w:bookmarkEnd w:id="510"/>
      <w:r>
        <w:rPr/>
      </w:r>
      <w:hyperlink w:history="true" w:anchor="_bookmark475">
        <w:r>
          <w:rPr>
            <w:color w:val="005DA1"/>
            <w:spacing w:val="-4"/>
            <w:position w:val="5"/>
            <w:sz w:val="14"/>
            <w:u w:val="single" w:color="005DA1"/>
          </w:rPr>
          <w:t>266</w:t>
        </w:r>
      </w:hyperlink>
      <w:r>
        <w:rPr>
          <w:spacing w:val="-4"/>
          <w:position w:val="5"/>
          <w:sz w:val="14"/>
        </w:rPr>
        <w:t>.</w:t>
      </w:r>
      <w:r>
        <w:rPr>
          <w:position w:val="5"/>
          <w:sz w:val="14"/>
        </w:rPr>
        <w:tab/>
      </w:r>
      <w:r>
        <w:rPr/>
        <w:t>See</w:t>
      </w:r>
      <w:r>
        <w:rPr>
          <w:spacing w:val="-2"/>
        </w:rPr>
        <w:t> </w:t>
      </w:r>
      <w:r>
        <w:rPr/>
        <w:t>below, para.2-</w:t>
      </w:r>
      <w:r>
        <w:rPr>
          <w:spacing w:val="-4"/>
        </w:rPr>
        <w:t>080.</w:t>
      </w:r>
    </w:p>
    <w:p>
      <w:pPr>
        <w:pStyle w:val="BodyText"/>
        <w:spacing w:before="4"/>
      </w:pPr>
    </w:p>
    <w:p>
      <w:pPr>
        <w:tabs>
          <w:tab w:pos="705" w:val="left" w:leader="none"/>
        </w:tabs>
        <w:spacing w:before="1"/>
        <w:ind w:left="165" w:right="0" w:firstLine="0"/>
        <w:jc w:val="left"/>
        <w:rPr>
          <w:sz w:val="20"/>
        </w:rPr>
      </w:pPr>
      <w:bookmarkStart w:name="_bookmark509" w:id="511"/>
      <w:bookmarkEnd w:id="511"/>
      <w:r>
        <w:rPr/>
      </w:r>
      <w:hyperlink w:history="true" w:anchor="_bookmark476">
        <w:r>
          <w:rPr>
            <w:color w:val="005DA1"/>
            <w:spacing w:val="-4"/>
            <w:position w:val="5"/>
            <w:sz w:val="14"/>
            <w:u w:val="single" w:color="005DA1"/>
          </w:rPr>
          <w:t>267</w:t>
        </w:r>
      </w:hyperlink>
      <w:r>
        <w:rPr>
          <w:spacing w:val="-4"/>
          <w:position w:val="5"/>
          <w:sz w:val="14"/>
        </w:rPr>
        <w:t>.</w:t>
      </w:r>
      <w:r>
        <w:rPr>
          <w:position w:val="5"/>
          <w:sz w:val="14"/>
        </w:rPr>
        <w:tab/>
      </w:r>
      <w:r>
        <w:rPr>
          <w:rFonts w:ascii="Arial"/>
          <w:i/>
          <w:sz w:val="20"/>
        </w:rPr>
        <w:t>Henthorn v Fraser [1892] 2 Ch. 27, </w:t>
      </w:r>
      <w:r>
        <w:rPr>
          <w:rFonts w:ascii="Arial"/>
          <w:i/>
          <w:spacing w:val="-5"/>
          <w:sz w:val="20"/>
        </w:rPr>
        <w:t>33</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3. - The Acceptance</w:t>
      </w:r>
    </w:p>
    <w:p>
      <w:pPr>
        <w:pStyle w:val="ListParagraph"/>
        <w:numPr>
          <w:ilvl w:val="0"/>
          <w:numId w:val="1"/>
        </w:numPr>
        <w:tabs>
          <w:tab w:pos="3671" w:val="left" w:leader="none"/>
        </w:tabs>
        <w:spacing w:line="240" w:lineRule="auto" w:before="3" w:after="0"/>
        <w:ind w:left="3671" w:right="0" w:hanging="360"/>
        <w:jc w:val="left"/>
        <w:rPr>
          <w:b/>
          <w:sz w:val="24"/>
        </w:rPr>
      </w:pPr>
      <w:r>
        <w:rPr>
          <w:b/>
          <w:sz w:val="24"/>
        </w:rPr>
        <w:t>- Posted </w:t>
      </w:r>
      <w:r>
        <w:rPr>
          <w:b/>
          <w:spacing w:val="-2"/>
          <w:sz w:val="24"/>
        </w:rPr>
        <w:t>Acceptance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510" w:id="512"/>
      <w:bookmarkEnd w:id="512"/>
      <w:r>
        <w:rPr/>
      </w:r>
      <w:r>
        <w:rPr>
          <w:rFonts w:ascii="Arial"/>
          <w:b/>
          <w:sz w:val="18"/>
        </w:rPr>
        <w:t>The posting rule </w:t>
      </w:r>
      <w:r>
        <w:rPr>
          <w:rFonts w:ascii="Arial"/>
          <w:b/>
          <w:color w:val="005DA1"/>
          <w:spacing w:val="-5"/>
          <w:sz w:val="18"/>
          <w:u w:val="single" w:color="005DA1"/>
          <w:vertAlign w:val="superscript"/>
        </w:rPr>
        <w:t>268</w:t>
      </w:r>
    </w:p>
    <w:p>
      <w:pPr>
        <w:pStyle w:val="BodyText"/>
        <w:spacing w:before="41"/>
        <w:rPr>
          <w:rFonts w:ascii="Arial"/>
          <w:b/>
          <w:sz w:val="18"/>
        </w:rPr>
      </w:pPr>
    </w:p>
    <w:p>
      <w:pPr>
        <w:pStyle w:val="Heading2"/>
        <w:spacing w:before="1"/>
      </w:pPr>
      <w:r>
        <w:rPr/>
        <w:t>2-</w:t>
      </w:r>
      <w:r>
        <w:rPr>
          <w:spacing w:val="-5"/>
        </w:rPr>
        <w:t>047</w:t>
      </w:r>
    </w:p>
    <w:p>
      <w:pPr>
        <w:pStyle w:val="BodyText"/>
        <w:spacing w:line="235" w:lineRule="auto" w:before="202"/>
        <w:ind w:left="165" w:right="167"/>
        <w:jc w:val="both"/>
      </w:pPr>
      <w:r>
        <w:rPr/>
        <w:t>An acceptance sent by post could take effect when it is posted, when it would in the ordinary </w:t>
      </w:r>
      <w:r>
        <w:rPr/>
        <w:t>course</w:t>
      </w:r>
      <w:r>
        <w:rPr>
          <w:spacing w:val="40"/>
        </w:rPr>
        <w:t> </w:t>
      </w:r>
      <w:r>
        <w:rPr/>
        <w:t>of post have reached the offeror, when it arrives at his address, or when it is actually communicated</w:t>
      </w:r>
      <w:r>
        <w:rPr>
          <w:spacing w:val="40"/>
        </w:rPr>
        <w:t> </w:t>
      </w:r>
      <w:bookmarkStart w:name="_bookmark511" w:id="513"/>
      <w:bookmarkEnd w:id="513"/>
      <w:r>
        <w:rPr/>
        <w:t>to</w:t>
      </w:r>
      <w:r>
        <w:rPr/>
        <w:t> the offeror. Each of these solutions could cause inconvenience or injustice to one of the parties, </w:t>
      </w:r>
      <w:bookmarkStart w:name="_bookmark512" w:id="514"/>
      <w:bookmarkEnd w:id="514"/>
      <w:r>
        <w:rPr/>
        <w:t>especially</w:t>
      </w:r>
      <w:r>
        <w:rPr/>
        <w:t> when the acceptance is lost or delayed in the post. In English law, the general rule </w:t>
      </w:r>
      <w:r>
        <w:rPr>
          <w:color w:val="005DA1"/>
          <w:u w:val="single" w:color="005DA1"/>
          <w:vertAlign w:val="superscript"/>
        </w:rPr>
        <w:t>269</w:t>
      </w:r>
      <w:r>
        <w:rPr>
          <w:color w:val="005DA1"/>
          <w:vertAlign w:val="baseline"/>
        </w:rPr>
        <w:t> </w:t>
      </w:r>
      <w:r>
        <w:rPr>
          <w:vertAlign w:val="baseline"/>
        </w:rPr>
        <w:t>is </w:t>
      </w:r>
      <w:bookmarkStart w:name="_bookmark513" w:id="515"/>
      <w:bookmarkEnd w:id="515"/>
      <w:r>
        <w:rPr>
          <w:vertAlign w:val="baseline"/>
        </w:rPr>
        <w:t>that</w:t>
      </w:r>
      <w:r>
        <w:rPr>
          <w:vertAlign w:val="baseline"/>
        </w:rPr>
        <w:t> a postal acceptance takes effect when </w:t>
      </w:r>
      <w:r>
        <w:rPr>
          <w:color w:val="005DA1"/>
          <w:u w:val="single" w:color="005DA1"/>
          <w:vertAlign w:val="superscript"/>
        </w:rPr>
        <w:t>270</w:t>
      </w:r>
      <w:r>
        <w:rPr>
          <w:color w:val="005DA1"/>
          <w:vertAlign w:val="baseline"/>
        </w:rPr>
        <w:t> </w:t>
      </w:r>
      <w:r>
        <w:rPr>
          <w:vertAlign w:val="baseline"/>
        </w:rPr>
        <w:t>and where </w:t>
      </w:r>
      <w:r>
        <w:rPr>
          <w:color w:val="005DA1"/>
          <w:u w:val="single" w:color="005DA1"/>
          <w:vertAlign w:val="superscript"/>
        </w:rPr>
        <w:t>271</w:t>
      </w:r>
      <w:r>
        <w:rPr>
          <w:color w:val="005DA1"/>
          <w:vertAlign w:val="baseline"/>
        </w:rPr>
        <w:t> </w:t>
      </w:r>
      <w:r>
        <w:rPr>
          <w:vertAlign w:val="baseline"/>
        </w:rPr>
        <w:t>the letter of acceptance is posted. A</w:t>
      </w:r>
      <w:r>
        <w:rPr>
          <w:spacing w:val="40"/>
          <w:vertAlign w:val="baseline"/>
        </w:rPr>
        <w:t> </w:t>
      </w:r>
      <w:r>
        <w:rPr>
          <w:vertAlign w:val="baseline"/>
        </w:rPr>
        <w:t>letter is “posted” for this purpose when it is put in the control of the Post Office </w:t>
      </w:r>
      <w:r>
        <w:rPr>
          <w:color w:val="005DA1"/>
          <w:u w:val="single" w:color="005DA1"/>
          <w:vertAlign w:val="superscript"/>
        </w:rPr>
        <w:t>272</w:t>
      </w:r>
      <w:r>
        <w:rPr>
          <w:color w:val="005DA1"/>
          <w:vertAlign w:val="baseline"/>
        </w:rPr>
        <w:t> </w:t>
      </w:r>
      <w:r>
        <w:rPr>
          <w:vertAlign w:val="baseline"/>
        </w:rPr>
        <w:t>or of one of its </w:t>
      </w:r>
      <w:bookmarkStart w:name="_bookmark514" w:id="516"/>
      <w:bookmarkEnd w:id="516"/>
      <w:r>
        <w:rPr>
          <w:vertAlign w:val="baseline"/>
        </w:rPr>
        <w:t>employees</w:t>
      </w:r>
      <w:r>
        <w:rPr>
          <w:vertAlign w:val="baseline"/>
        </w:rPr>
        <w:t> authorised to </w:t>
      </w:r>
      <w:r>
        <w:rPr>
          <w:rFonts w:ascii="Arial" w:hAnsi="Arial"/>
          <w:i/>
          <w:vertAlign w:val="baseline"/>
        </w:rPr>
        <w:t>receive </w:t>
      </w:r>
      <w:r>
        <w:rPr>
          <w:vertAlign w:val="baseline"/>
        </w:rPr>
        <w:t>letters. Handing letters to a postman authorised to </w:t>
      </w:r>
      <w:r>
        <w:rPr>
          <w:rFonts w:ascii="Arial" w:hAnsi="Arial"/>
          <w:i/>
          <w:vertAlign w:val="baseline"/>
        </w:rPr>
        <w:t>deliver </w:t>
      </w:r>
      <w:r>
        <w:rPr>
          <w:vertAlign w:val="baseline"/>
        </w:rPr>
        <w:t>letters is not posting. </w:t>
      </w:r>
      <w:r>
        <w:rPr>
          <w:color w:val="005DA1"/>
          <w:u w:val="single" w:color="005DA1"/>
          <w:vertAlign w:val="superscript"/>
        </w:rPr>
        <w:t>273</w:t>
      </w:r>
      <w:r>
        <w:rPr>
          <w:color w:val="005DA1"/>
          <w:vertAlign w:val="baseline"/>
        </w:rPr>
        <w:t> </w:t>
      </w:r>
      <w:r>
        <w:rPr>
          <w:vertAlign w:val="baseline"/>
        </w:rPr>
        <w:t>The same principle applies to the case of an acceptance by telegram: such an </w:t>
      </w:r>
      <w:bookmarkStart w:name="_bookmark515" w:id="517"/>
      <w:bookmarkEnd w:id="517"/>
      <w:r>
        <w:rPr>
          <w:vertAlign w:val="baseline"/>
        </w:rPr>
        <w:t>acceptance</w:t>
      </w:r>
      <w:r>
        <w:rPr>
          <w:vertAlign w:val="baseline"/>
        </w:rPr>
        <w:t> takes effect when the telegram is communicated to a person authorised to receive it for transmission to the addressee </w:t>
      </w:r>
      <w:r>
        <w:rPr>
          <w:color w:val="005DA1"/>
          <w:u w:val="single" w:color="005DA1"/>
          <w:vertAlign w:val="superscript"/>
        </w:rPr>
        <w:t>274</w:t>
      </w:r>
      <w:r>
        <w:rPr>
          <w:vertAlign w:val="baseline"/>
        </w:rPr>
        <w:t>; and it seems that this rule would apply to telemessages, which have replaced inland telegrams. The “posting” rule, which generally favours the offeree, has been explained as one of convenience for the reasons stated in paras 2-052—2-056 below.</w:t>
      </w:r>
    </w:p>
    <w:p>
      <w:pPr>
        <w:pStyle w:val="BodyText"/>
      </w:pPr>
    </w:p>
    <w:p>
      <w:pPr>
        <w:pStyle w:val="BodyText"/>
        <w:spacing w:before="34"/>
      </w:pPr>
    </w:p>
    <w:p>
      <w:pPr>
        <w:spacing w:before="0"/>
        <w:ind w:left="165" w:right="0" w:firstLine="0"/>
        <w:jc w:val="both"/>
        <w:rPr>
          <w:rFonts w:ascii="Arial"/>
          <w:b/>
          <w:sz w:val="18"/>
        </w:rPr>
      </w:pPr>
      <w:r>
        <w:rPr>
          <w:rFonts w:ascii="Arial"/>
          <w:b/>
          <w:sz w:val="18"/>
        </w:rPr>
        <w:t>Conditions of </w:t>
      </w:r>
      <w:r>
        <w:rPr>
          <w:rFonts w:ascii="Arial"/>
          <w:b/>
          <w:spacing w:val="-2"/>
          <w:sz w:val="18"/>
        </w:rPr>
        <w:t>applicability</w:t>
      </w:r>
    </w:p>
    <w:p>
      <w:pPr>
        <w:pStyle w:val="BodyText"/>
        <w:spacing w:before="41"/>
        <w:rPr>
          <w:rFonts w:ascii="Arial"/>
          <w:b/>
          <w:sz w:val="18"/>
        </w:rPr>
      </w:pPr>
    </w:p>
    <w:p>
      <w:pPr>
        <w:pStyle w:val="Heading2"/>
        <w:spacing w:before="1"/>
      </w:pPr>
      <w:r>
        <w:rPr/>
        <w:t>2-</w:t>
      </w:r>
      <w:r>
        <w:rPr>
          <w:spacing w:val="-5"/>
        </w:rPr>
        <w:t>048</w:t>
      </w:r>
    </w:p>
    <w:p>
      <w:pPr>
        <w:pStyle w:val="BodyText"/>
        <w:spacing w:line="235" w:lineRule="auto" w:before="202"/>
        <w:ind w:left="165" w:right="167"/>
        <w:jc w:val="both"/>
      </w:pPr>
      <w:r>
        <w:rPr/>
        <w:t>The posting rule applies only if it is reasonable to use the post. This will normally be the case if the </w:t>
      </w:r>
      <w:bookmarkStart w:name="_bookmark516" w:id="518"/>
      <w:bookmarkEnd w:id="518"/>
      <w:r>
        <w:rPr/>
        <w:t>offer</w:t>
      </w:r>
      <w:r>
        <w:rPr>
          <w:spacing w:val="-2"/>
        </w:rPr>
        <w:t> </w:t>
      </w:r>
      <w:r>
        <w:rPr/>
        <w:t>itself</w:t>
      </w:r>
      <w:r>
        <w:rPr>
          <w:spacing w:val="-2"/>
        </w:rPr>
        <w:t> </w:t>
      </w:r>
      <w:r>
        <w:rPr/>
        <w:t>is</w:t>
      </w:r>
      <w:r>
        <w:rPr>
          <w:spacing w:val="-2"/>
        </w:rPr>
        <w:t> </w:t>
      </w:r>
      <w:r>
        <w:rPr/>
        <w:t>made</w:t>
      </w:r>
      <w:r>
        <w:rPr>
          <w:spacing w:val="-2"/>
        </w:rPr>
        <w:t> </w:t>
      </w:r>
      <w:r>
        <w:rPr/>
        <w:t>by</w:t>
      </w:r>
      <w:r>
        <w:rPr>
          <w:spacing w:val="-2"/>
        </w:rPr>
        <w:t> </w:t>
      </w:r>
      <w:r>
        <w:rPr/>
        <w:t>post.</w:t>
      </w:r>
      <w:r>
        <w:rPr>
          <w:spacing w:val="-2"/>
        </w:rPr>
        <w:t> </w:t>
      </w:r>
      <w:r>
        <w:rPr/>
        <w:t>It</w:t>
      </w:r>
      <w:r>
        <w:rPr>
          <w:spacing w:val="-2"/>
        </w:rPr>
        <w:t> </w:t>
      </w:r>
      <w:r>
        <w:rPr/>
        <w:t>may</w:t>
      </w:r>
      <w:r>
        <w:rPr>
          <w:spacing w:val="-2"/>
        </w:rPr>
        <w:t> </w:t>
      </w:r>
      <w:r>
        <w:rPr/>
        <w:t>also</w:t>
      </w:r>
      <w:r>
        <w:rPr>
          <w:spacing w:val="-2"/>
        </w:rPr>
        <w:t> </w:t>
      </w:r>
      <w:r>
        <w:rPr/>
        <w:t>be</w:t>
      </w:r>
      <w:r>
        <w:rPr>
          <w:spacing w:val="-2"/>
        </w:rPr>
        <w:t> </w:t>
      </w:r>
      <w:r>
        <w:rPr/>
        <w:t>reasonable</w:t>
      </w:r>
      <w:r>
        <w:rPr>
          <w:spacing w:val="-2"/>
        </w:rPr>
        <w:t> </w:t>
      </w:r>
      <w:r>
        <w:rPr/>
        <w:t>to</w:t>
      </w:r>
      <w:r>
        <w:rPr>
          <w:spacing w:val="-2"/>
        </w:rPr>
        <w:t> </w:t>
      </w:r>
      <w:r>
        <w:rPr/>
        <w:t>use</w:t>
      </w:r>
      <w:r>
        <w:rPr>
          <w:spacing w:val="-2"/>
        </w:rPr>
        <w:t> </w:t>
      </w:r>
      <w:r>
        <w:rPr/>
        <w:t>the</w:t>
      </w:r>
      <w:r>
        <w:rPr>
          <w:spacing w:val="-2"/>
        </w:rPr>
        <w:t> </w:t>
      </w:r>
      <w:r>
        <w:rPr/>
        <w:t>post</w:t>
      </w:r>
      <w:r>
        <w:rPr>
          <w:spacing w:val="-2"/>
        </w:rPr>
        <w:t> </w:t>
      </w:r>
      <w:r>
        <w:rPr/>
        <w:t>even</w:t>
      </w:r>
      <w:r>
        <w:rPr>
          <w:spacing w:val="-2"/>
        </w:rPr>
        <w:t> </w:t>
      </w:r>
      <w:r>
        <w:rPr/>
        <w:t>though</w:t>
      </w:r>
      <w:r>
        <w:rPr>
          <w:spacing w:val="-2"/>
        </w:rPr>
        <w:t> </w:t>
      </w:r>
      <w:r>
        <w:rPr/>
        <w:t>the</w:t>
      </w:r>
      <w:r>
        <w:rPr>
          <w:spacing w:val="-2"/>
        </w:rPr>
        <w:t> </w:t>
      </w:r>
      <w:r>
        <w:rPr/>
        <w:t>offer</w:t>
      </w:r>
      <w:r>
        <w:rPr>
          <w:spacing w:val="-2"/>
        </w:rPr>
        <w:t> </w:t>
      </w:r>
      <w:r>
        <w:rPr/>
        <w:t>was</w:t>
      </w:r>
      <w:r>
        <w:rPr>
          <w:spacing w:val="-2"/>
        </w:rPr>
        <w:t> </w:t>
      </w:r>
      <w:r>
        <w:rPr/>
        <w:t>made orally if immediate acceptance was not contemplated and the parties lived at a distance. </w:t>
      </w:r>
      <w:r>
        <w:rPr>
          <w:color w:val="005DA1"/>
          <w:u w:val="single" w:color="005DA1"/>
          <w:vertAlign w:val="superscript"/>
        </w:rPr>
        <w:t>275</w:t>
      </w:r>
      <w:r>
        <w:rPr>
          <w:color w:val="005DA1"/>
          <w:vertAlign w:val="baseline"/>
        </w:rPr>
        <w:t> </w:t>
      </w:r>
      <w:r>
        <w:rPr>
          <w:vertAlign w:val="baseline"/>
        </w:rPr>
        <w:t>On </w:t>
      </w:r>
      <w:r>
        <w:rPr>
          <w:vertAlign w:val="baseline"/>
        </w:rPr>
        <w:t>the </w:t>
      </w:r>
      <w:bookmarkStart w:name="_bookmark517" w:id="519"/>
      <w:bookmarkEnd w:id="519"/>
      <w:r>
        <w:rPr>
          <w:vertAlign w:val="baseline"/>
        </w:rPr>
        <w:t>other</w:t>
      </w:r>
      <w:r>
        <w:rPr>
          <w:vertAlign w:val="baseline"/>
        </w:rPr>
        <w:t> hand it would not normally be reasonable to attempt to reply by a posted letter of acceptance to </w:t>
      </w:r>
      <w:bookmarkStart w:name="_bookmark518" w:id="520"/>
      <w:bookmarkEnd w:id="520"/>
      <w:r>
        <w:rPr>
          <w:vertAlign w:val="baseline"/>
        </w:rPr>
        <w:t>an</w:t>
      </w:r>
      <w:r>
        <w:rPr>
          <w:vertAlign w:val="baseline"/>
        </w:rPr>
        <w:t> offer made by telex </w:t>
      </w:r>
      <w:r>
        <w:rPr>
          <w:color w:val="005DA1"/>
          <w:u w:val="single" w:color="005DA1"/>
          <w:vertAlign w:val="superscript"/>
        </w:rPr>
        <w:t>276</w:t>
      </w:r>
      <w:r>
        <w:rPr>
          <w:color w:val="005DA1"/>
          <w:vertAlign w:val="baseline"/>
        </w:rPr>
        <w:t> </w:t>
      </w:r>
      <w:r>
        <w:rPr>
          <w:vertAlign w:val="baseline"/>
        </w:rPr>
        <w:t>or by telephone, fax or email. Nor would it be reasonable to accept by post</w:t>
      </w:r>
      <w:r>
        <w:rPr>
          <w:spacing w:val="40"/>
          <w:vertAlign w:val="baseline"/>
        </w:rPr>
        <w:t> </w:t>
      </w:r>
      <w:r>
        <w:rPr>
          <w:vertAlign w:val="baseline"/>
        </w:rPr>
        <w:t>if the postal service was, to the acceptor’s knowledge, disrupted. </w:t>
      </w:r>
      <w:r>
        <w:rPr>
          <w:color w:val="005DA1"/>
          <w:u w:val="single" w:color="005DA1"/>
          <w:vertAlign w:val="superscript"/>
        </w:rPr>
        <w:t>277</w:t>
      </w:r>
    </w:p>
    <w:p>
      <w:pPr>
        <w:pStyle w:val="BodyText"/>
      </w:pPr>
    </w:p>
    <w:p>
      <w:pPr>
        <w:pStyle w:val="BodyText"/>
        <w:spacing w:before="36"/>
      </w:pPr>
    </w:p>
    <w:p>
      <w:pPr>
        <w:spacing w:before="1"/>
        <w:ind w:left="165" w:right="0" w:firstLine="0"/>
        <w:jc w:val="both"/>
        <w:rPr>
          <w:rFonts w:ascii="Arial"/>
          <w:b/>
          <w:sz w:val="18"/>
        </w:rPr>
      </w:pPr>
      <w:r>
        <w:rPr>
          <w:rFonts w:ascii="Arial"/>
          <w:b/>
          <w:sz w:val="18"/>
        </w:rPr>
        <w:t>Instantaneous </w:t>
      </w:r>
      <w:r>
        <w:rPr>
          <w:rFonts w:ascii="Arial"/>
          <w:b/>
          <w:spacing w:val="-2"/>
          <w:sz w:val="18"/>
        </w:rPr>
        <w:t>communications</w:t>
      </w:r>
    </w:p>
    <w:p>
      <w:pPr>
        <w:pStyle w:val="BodyText"/>
        <w:spacing w:before="41"/>
        <w:rPr>
          <w:rFonts w:ascii="Arial"/>
          <w:b/>
          <w:sz w:val="18"/>
        </w:rPr>
      </w:pPr>
    </w:p>
    <w:p>
      <w:pPr>
        <w:pStyle w:val="Heading2"/>
      </w:pPr>
      <w:r>
        <w:rPr/>
        <w:t>2-</w:t>
      </w:r>
      <w:r>
        <w:rPr>
          <w:spacing w:val="-5"/>
        </w:rPr>
        <w:t>049</w:t>
      </w:r>
    </w:p>
    <w:p>
      <w:pPr>
        <w:pStyle w:val="BodyText"/>
        <w:spacing w:line="235" w:lineRule="auto" w:before="202"/>
        <w:ind w:left="165" w:right="167"/>
        <w:jc w:val="both"/>
      </w:pPr>
      <w:bookmarkStart w:name="_bookmark519" w:id="521"/>
      <w:bookmarkEnd w:id="521"/>
      <w:r>
        <w:rPr/>
      </w:r>
      <w:r>
        <w:rPr/>
        <w:t>The posting rule does not apply to acceptances made by some “instantaneous” mode </w:t>
      </w:r>
      <w:r>
        <w:rPr/>
        <w:t>of communication, e.g. by telephone or by telex. </w:t>
      </w:r>
      <w:r>
        <w:rPr>
          <w:color w:val="005DA1"/>
          <w:u w:val="single" w:color="005DA1"/>
          <w:vertAlign w:val="superscript"/>
        </w:rPr>
        <w:t>278</w:t>
      </w:r>
      <w:r>
        <w:rPr>
          <w:color w:val="005DA1"/>
          <w:vertAlign w:val="baseline"/>
        </w:rPr>
        <w:t> </w:t>
      </w:r>
      <w:r>
        <w:rPr>
          <w:vertAlign w:val="baseline"/>
        </w:rPr>
        <w:t>The reason is that the acceptor will often know at </w:t>
      </w:r>
      <w:bookmarkStart w:name="_bookmark520" w:id="522"/>
      <w:bookmarkEnd w:id="522"/>
      <w:r>
        <w:rPr>
          <w:vertAlign w:val="baseline"/>
        </w:rPr>
        <w:t>once</w:t>
      </w:r>
      <w:r>
        <w:rPr>
          <w:vertAlign w:val="baseline"/>
        </w:rPr>
        <w:t> that his attempt to communicate was unsuccessful, so that he has the opportunity of making a proper communication. </w:t>
      </w:r>
      <w:r>
        <w:rPr>
          <w:color w:val="005DA1"/>
          <w:u w:val="single" w:color="005DA1"/>
          <w:vertAlign w:val="superscript"/>
        </w:rPr>
        <w:t>279</w:t>
      </w:r>
      <w:r>
        <w:rPr>
          <w:color w:val="005DA1"/>
          <w:vertAlign w:val="baseline"/>
        </w:rPr>
        <w:t> </w:t>
      </w:r>
      <w:r>
        <w:rPr>
          <w:vertAlign w:val="baseline"/>
        </w:rPr>
        <w:t>On the other hand, a person who accepts by a letter that goes astray, may </w:t>
      </w:r>
      <w:bookmarkStart w:name="_bookmark521" w:id="523"/>
      <w:bookmarkEnd w:id="523"/>
      <w:r>
        <w:rPr>
          <w:vertAlign w:val="baseline"/>
        </w:rPr>
        <w:t>not</w:t>
      </w:r>
      <w:r>
        <w:rPr>
          <w:vertAlign w:val="baseline"/>
        </w:rPr>
        <w:t> know of the loss or delay until it is too late to make another communication. Such instantaneous communications are therefore governed by the general rule </w:t>
      </w:r>
      <w:r>
        <w:rPr>
          <w:color w:val="005DA1"/>
          <w:u w:val="single" w:color="005DA1"/>
          <w:vertAlign w:val="superscript"/>
        </w:rPr>
        <w:t>280</w:t>
      </w:r>
      <w:r>
        <w:rPr>
          <w:color w:val="005DA1"/>
          <w:vertAlign w:val="baseline"/>
        </w:rPr>
        <w:t> </w:t>
      </w:r>
      <w:r>
        <w:rPr>
          <w:vertAlign w:val="baseline"/>
        </w:rPr>
        <w:t>that an acceptance must be actually communicated, subject to the other exceptions to that rule stated in para.2-046 above.</w:t>
      </w:r>
    </w:p>
    <w:p>
      <w:pPr>
        <w:pStyle w:val="BodyText"/>
        <w:spacing w:after="0" w:line="235" w:lineRule="auto"/>
        <w:jc w:val="both"/>
        <w:sectPr>
          <w:headerReference w:type="default" r:id="rId11"/>
          <w:pgSz w:w="11900" w:h="16840"/>
          <w:pgMar w:header="971" w:footer="0" w:top="1300" w:bottom="280" w:left="1275" w:right="1275"/>
          <w:pgNumType w:start="1"/>
        </w:sectPr>
      </w:pPr>
    </w:p>
    <w:p>
      <w:pPr>
        <w:pStyle w:val="BodyText"/>
        <w:spacing w:before="2"/>
        <w:rPr>
          <w:sz w:val="18"/>
        </w:rPr>
      </w:pPr>
    </w:p>
    <w:p>
      <w:pPr>
        <w:spacing w:before="0"/>
        <w:ind w:left="165" w:right="0" w:firstLine="0"/>
        <w:jc w:val="left"/>
        <w:rPr>
          <w:rFonts w:ascii="Arial"/>
          <w:b/>
          <w:sz w:val="18"/>
        </w:rPr>
      </w:pPr>
      <w:r>
        <w:rPr>
          <w:rFonts w:ascii="Arial"/>
          <w:b/>
          <w:sz w:val="18"/>
        </w:rPr>
        <w:t>Dictated telegrams and </w:t>
      </w:r>
      <w:r>
        <w:rPr>
          <w:rFonts w:ascii="Arial"/>
          <w:b/>
          <w:spacing w:val="-2"/>
          <w:sz w:val="18"/>
        </w:rPr>
        <w:t>faxes</w:t>
      </w:r>
    </w:p>
    <w:p>
      <w:pPr>
        <w:pStyle w:val="BodyText"/>
        <w:spacing w:before="41"/>
        <w:rPr>
          <w:rFonts w:ascii="Arial"/>
          <w:b/>
          <w:sz w:val="18"/>
        </w:rPr>
      </w:pPr>
    </w:p>
    <w:p>
      <w:pPr>
        <w:pStyle w:val="Heading2"/>
      </w:pPr>
      <w:r>
        <w:rPr/>
        <w:t>2-</w:t>
      </w:r>
      <w:r>
        <w:rPr>
          <w:spacing w:val="-5"/>
        </w:rPr>
        <w:t>050</w:t>
      </w:r>
    </w:p>
    <w:p>
      <w:pPr>
        <w:pStyle w:val="BodyText"/>
        <w:spacing w:line="235" w:lineRule="auto" w:before="203"/>
        <w:ind w:left="165" w:right="167"/>
        <w:jc w:val="both"/>
      </w:pPr>
      <w:r>
        <w:rPr/>
        <w:t>It is now uncommon for acceptances to be made by telegram or telemessage dictated over </w:t>
      </w:r>
      <w:r>
        <w:rPr/>
        <w:t>the telephone and there is no authority on the question whether such an acceptance takes effect when</w:t>
      </w:r>
      <w:r>
        <w:rPr>
          <w:spacing w:val="40"/>
        </w:rPr>
        <w:t> </w:t>
      </w:r>
      <w:bookmarkStart w:name="_bookmark522" w:id="524"/>
      <w:bookmarkEnd w:id="524"/>
      <w:r>
        <w:rPr/>
        <w:t>the</w:t>
      </w:r>
      <w:r>
        <w:rPr/>
        <w:t> message is dictated by the sender or when it is communicated to the addressee. It is submitted </w:t>
      </w:r>
      <w:bookmarkStart w:name="_bookmark523" w:id="525"/>
      <w:bookmarkEnd w:id="525"/>
      <w:r>
        <w:rPr/>
        <w:t>that</w:t>
      </w:r>
      <w:r>
        <w:rPr/>
        <w:t> such an acceptance should, in accordance with the above reasoning, </w:t>
      </w:r>
      <w:r>
        <w:rPr>
          <w:color w:val="005DA1"/>
          <w:u w:val="single" w:color="005DA1"/>
          <w:vertAlign w:val="superscript"/>
        </w:rPr>
        <w:t>281</w:t>
      </w:r>
      <w:r>
        <w:rPr>
          <w:color w:val="005DA1"/>
          <w:vertAlign w:val="baseline"/>
        </w:rPr>
        <w:t> </w:t>
      </w:r>
      <w:r>
        <w:rPr>
          <w:vertAlign w:val="baseline"/>
        </w:rPr>
        <w:t>take effect as soon as it is</w:t>
      </w:r>
      <w:r>
        <w:rPr>
          <w:spacing w:val="-2"/>
          <w:vertAlign w:val="baseline"/>
        </w:rPr>
        <w:t> </w:t>
      </w:r>
      <w:r>
        <w:rPr>
          <w:vertAlign w:val="baseline"/>
        </w:rPr>
        <w:t>dictated</w:t>
      </w:r>
      <w:r>
        <w:rPr>
          <w:spacing w:val="-2"/>
          <w:vertAlign w:val="baseline"/>
        </w:rPr>
        <w:t> </w:t>
      </w:r>
      <w:r>
        <w:rPr>
          <w:color w:val="005DA1"/>
          <w:u w:val="single" w:color="005DA1"/>
          <w:vertAlign w:val="superscript"/>
        </w:rPr>
        <w:t>282</w:t>
      </w:r>
      <w:r>
        <w:rPr>
          <w:vertAlign w:val="baseline"/>
        </w:rPr>
        <w:t>;</w:t>
      </w:r>
      <w:r>
        <w:rPr>
          <w:spacing w:val="-2"/>
          <w:vertAlign w:val="baseline"/>
        </w:rPr>
        <w:t> </w:t>
      </w:r>
      <w:r>
        <w:rPr>
          <w:vertAlign w:val="baseline"/>
        </w:rPr>
        <w:t>for</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later</w:t>
      </w:r>
      <w:r>
        <w:rPr>
          <w:spacing w:val="-2"/>
          <w:vertAlign w:val="baseline"/>
        </w:rPr>
        <w:t> </w:t>
      </w:r>
      <w:r>
        <w:rPr>
          <w:vertAlign w:val="baseline"/>
        </w:rPr>
        <w:t>goes</w:t>
      </w:r>
      <w:r>
        <w:rPr>
          <w:spacing w:val="-2"/>
          <w:vertAlign w:val="baseline"/>
        </w:rPr>
        <w:t> </w:t>
      </w:r>
      <w:r>
        <w:rPr>
          <w:vertAlign w:val="baseline"/>
        </w:rPr>
        <w:t>astray,</w:t>
      </w:r>
      <w:r>
        <w:rPr>
          <w:spacing w:val="-2"/>
          <w:vertAlign w:val="baseline"/>
        </w:rPr>
        <w:t> </w:t>
      </w:r>
      <w:r>
        <w:rPr>
          <w:vertAlign w:val="baseline"/>
        </w:rPr>
        <w:t>the</w:t>
      </w:r>
      <w:r>
        <w:rPr>
          <w:spacing w:val="-2"/>
          <w:vertAlign w:val="baseline"/>
        </w:rPr>
        <w:t> </w:t>
      </w:r>
      <w:r>
        <w:rPr>
          <w:vertAlign w:val="baseline"/>
        </w:rPr>
        <w:t>acceptor</w:t>
      </w:r>
      <w:r>
        <w:rPr>
          <w:spacing w:val="-2"/>
          <w:vertAlign w:val="baseline"/>
        </w:rPr>
        <w:t> </w:t>
      </w:r>
      <w:r>
        <w:rPr>
          <w:vertAlign w:val="baseline"/>
        </w:rPr>
        <w:t>is</w:t>
      </w:r>
      <w:r>
        <w:rPr>
          <w:spacing w:val="-2"/>
          <w:vertAlign w:val="baseline"/>
        </w:rPr>
        <w:t> </w:t>
      </w:r>
      <w:r>
        <w:rPr>
          <w:vertAlign w:val="baseline"/>
        </w:rPr>
        <w:t>unlikely</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any</w:t>
      </w:r>
      <w:r>
        <w:rPr>
          <w:spacing w:val="-2"/>
          <w:vertAlign w:val="baseline"/>
        </w:rPr>
        <w:t> </w:t>
      </w:r>
      <w:r>
        <w:rPr>
          <w:vertAlign w:val="baseline"/>
        </w:rPr>
        <w:t>means</w:t>
      </w:r>
      <w:r>
        <w:rPr>
          <w:spacing w:val="-2"/>
          <w:vertAlign w:val="baseline"/>
        </w:rPr>
        <w:t> </w:t>
      </w:r>
      <w:r>
        <w:rPr>
          <w:vertAlign w:val="baseline"/>
        </w:rPr>
        <w:t>of</w:t>
      </w:r>
      <w:r>
        <w:rPr>
          <w:spacing w:val="-2"/>
          <w:vertAlign w:val="baseline"/>
        </w:rPr>
        <w:t> </w:t>
      </w:r>
      <w:r>
        <w:rPr>
          <w:vertAlign w:val="baseline"/>
        </w:rPr>
        <w:t>knowing</w:t>
      </w:r>
      <w:r>
        <w:rPr>
          <w:spacing w:val="-2"/>
          <w:vertAlign w:val="baseline"/>
        </w:rPr>
        <w:t> </w:t>
      </w:r>
      <w:r>
        <w:rPr>
          <w:vertAlign w:val="baseline"/>
        </w:rPr>
        <w:t>this</w:t>
      </w:r>
      <w:r>
        <w:rPr>
          <w:spacing w:val="-2"/>
          <w:vertAlign w:val="baseline"/>
        </w:rPr>
        <w:t> </w:t>
      </w:r>
      <w:r>
        <w:rPr>
          <w:vertAlign w:val="baseline"/>
        </w:rPr>
        <w:t>fact until it is too late to make a further communication. Fax messages seem to occupy an intermediate position between postal and instantaneous communications. The sender will know at once if his </w:t>
      </w:r>
      <w:bookmarkStart w:name="_bookmark524" w:id="526"/>
      <w:bookmarkEnd w:id="526"/>
      <w:r>
        <w:rPr>
          <w:vertAlign w:val="baseline"/>
        </w:rPr>
        <w:t>message</w:t>
      </w:r>
      <w:r>
        <w:rPr>
          <w:spacing w:val="-2"/>
          <w:vertAlign w:val="baseline"/>
        </w:rPr>
        <w:t> </w:t>
      </w:r>
      <w:r>
        <w:rPr>
          <w:vertAlign w:val="baseline"/>
        </w:rPr>
        <w:t>has</w:t>
      </w:r>
      <w:r>
        <w:rPr>
          <w:spacing w:val="-2"/>
          <w:vertAlign w:val="baseline"/>
        </w:rPr>
        <w:t> </w:t>
      </w:r>
      <w:r>
        <w:rPr>
          <w:vertAlign w:val="baseline"/>
        </w:rPr>
        <w:t>not</w:t>
      </w:r>
      <w:r>
        <w:rPr>
          <w:spacing w:val="-2"/>
          <w:vertAlign w:val="baseline"/>
        </w:rPr>
        <w:t> </w:t>
      </w:r>
      <w:r>
        <w:rPr>
          <w:vertAlign w:val="baseline"/>
        </w:rPr>
        <w:t>been</w:t>
      </w:r>
      <w:r>
        <w:rPr>
          <w:spacing w:val="-2"/>
          <w:vertAlign w:val="baseline"/>
        </w:rPr>
        <w:t> </w:t>
      </w:r>
      <w:r>
        <w:rPr>
          <w:vertAlign w:val="baseline"/>
        </w:rPr>
        <w:t>received</w:t>
      </w:r>
      <w:r>
        <w:rPr>
          <w:spacing w:val="-2"/>
          <w:vertAlign w:val="baseline"/>
        </w:rPr>
        <w:t> </w:t>
      </w:r>
      <w:r>
        <w:rPr>
          <w:vertAlign w:val="baseline"/>
        </w:rPr>
        <w:t>at</w:t>
      </w:r>
      <w:r>
        <w:rPr>
          <w:spacing w:val="-2"/>
          <w:vertAlign w:val="baseline"/>
        </w:rPr>
        <w:t> </w:t>
      </w:r>
      <w:r>
        <w:rPr>
          <w:vertAlign w:val="baseline"/>
        </w:rPr>
        <w:t>all,</w:t>
      </w:r>
      <w:r>
        <w:rPr>
          <w:spacing w:val="-2"/>
          <w:vertAlign w:val="baseline"/>
        </w:rPr>
        <w:t> </w:t>
      </w:r>
      <w:r>
        <w:rPr>
          <w:vertAlign w:val="baseline"/>
        </w:rPr>
        <w:t>or</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received</w:t>
      </w:r>
      <w:r>
        <w:rPr>
          <w:spacing w:val="-2"/>
          <w:vertAlign w:val="baseline"/>
        </w:rPr>
        <w:t> </w:t>
      </w:r>
      <w:r>
        <w:rPr>
          <w:vertAlign w:val="baseline"/>
        </w:rPr>
        <w:t>only</w:t>
      </w:r>
      <w:r>
        <w:rPr>
          <w:spacing w:val="-2"/>
          <w:vertAlign w:val="baseline"/>
        </w:rPr>
        <w:t> </w:t>
      </w:r>
      <w:r>
        <w:rPr>
          <w:vertAlign w:val="baseline"/>
        </w:rPr>
        <w:t>in</w:t>
      </w:r>
      <w:r>
        <w:rPr>
          <w:spacing w:val="-2"/>
          <w:vertAlign w:val="baseline"/>
        </w:rPr>
        <w:t> </w:t>
      </w:r>
      <w:r>
        <w:rPr>
          <w:vertAlign w:val="baseline"/>
        </w:rPr>
        <w:t>part,</w:t>
      </w:r>
      <w:r>
        <w:rPr>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situations</w:t>
      </w:r>
      <w:r>
        <w:rPr>
          <w:spacing w:val="-2"/>
          <w:vertAlign w:val="baseline"/>
        </w:rPr>
        <w:t> </w:t>
      </w:r>
      <w:r>
        <w:rPr>
          <w:vertAlign w:val="baseline"/>
        </w:rPr>
        <w:t>the mere sending of the message should not amount to an effective acceptance. </w:t>
      </w:r>
      <w:r>
        <w:rPr>
          <w:color w:val="005DA1"/>
          <w:u w:val="single" w:color="005DA1"/>
          <w:vertAlign w:val="superscript"/>
        </w:rPr>
        <w:t>283</w:t>
      </w:r>
      <w:r>
        <w:rPr>
          <w:color w:val="005DA1"/>
          <w:vertAlign w:val="baseline"/>
        </w:rPr>
        <w:t> </w:t>
      </w:r>
      <w:r>
        <w:rPr>
          <w:vertAlign w:val="baseline"/>
        </w:rPr>
        <w:t>However, it is also </w:t>
      </w:r>
      <w:bookmarkStart w:name="_bookmark525" w:id="527"/>
      <w:bookmarkEnd w:id="527"/>
      <w:r>
        <w:rPr>
          <w:vertAlign w:val="baseline"/>
        </w:rPr>
        <w:t>possible</w:t>
      </w:r>
      <w:r>
        <w:rPr>
          <w:vertAlign w:val="baseline"/>
        </w:rPr>
        <w:t> for the entire message to have been received, but in such a form as to be wholly or partly illegible.</w:t>
      </w:r>
      <w:r>
        <w:rPr>
          <w:spacing w:val="-3"/>
          <w:vertAlign w:val="baseline"/>
        </w:rPr>
        <w:t> </w:t>
      </w:r>
      <w:r>
        <w:rPr>
          <w:color w:val="005DA1"/>
          <w:u w:val="single" w:color="005DA1"/>
          <w:vertAlign w:val="superscript"/>
        </w:rPr>
        <w:t>284</w:t>
      </w:r>
      <w:r>
        <w:rPr>
          <w:color w:val="005DA1"/>
          <w:spacing w:val="-2"/>
          <w:vertAlign w:val="baseline"/>
        </w:rPr>
        <w:t> </w:t>
      </w:r>
      <w:r>
        <w:rPr>
          <w:vertAlign w:val="baseline"/>
        </w:rPr>
        <w:t>Since</w:t>
      </w:r>
      <w:r>
        <w:rPr>
          <w:spacing w:val="-2"/>
          <w:vertAlign w:val="baseline"/>
        </w:rPr>
        <w:t> </w:t>
      </w:r>
      <w:r>
        <w:rPr>
          <w:vertAlign w:val="baseline"/>
        </w:rPr>
        <w:t>the</w:t>
      </w:r>
      <w:r>
        <w:rPr>
          <w:spacing w:val="-2"/>
          <w:vertAlign w:val="baseline"/>
        </w:rPr>
        <w:t> </w:t>
      </w:r>
      <w:r>
        <w:rPr>
          <w:vertAlign w:val="baseline"/>
        </w:rPr>
        <w:t>sender</w:t>
      </w:r>
      <w:r>
        <w:rPr>
          <w:spacing w:val="-2"/>
          <w:vertAlign w:val="baseline"/>
        </w:rPr>
        <w:t> </w:t>
      </w:r>
      <w:r>
        <w:rPr>
          <w:vertAlign w:val="baseline"/>
        </w:rPr>
        <w:t>is</w:t>
      </w:r>
      <w:r>
        <w:rPr>
          <w:spacing w:val="-2"/>
          <w:vertAlign w:val="baseline"/>
        </w:rPr>
        <w:t> </w:t>
      </w:r>
      <w:r>
        <w:rPr>
          <w:vertAlign w:val="baseline"/>
        </w:rPr>
        <w:t>unlikely</w:t>
      </w:r>
      <w:r>
        <w:rPr>
          <w:spacing w:val="-2"/>
          <w:vertAlign w:val="baseline"/>
        </w:rPr>
        <w:t> </w:t>
      </w:r>
      <w:r>
        <w:rPr>
          <w:vertAlign w:val="baseline"/>
        </w:rPr>
        <w:t>to</w:t>
      </w:r>
      <w:r>
        <w:rPr>
          <w:spacing w:val="-2"/>
          <w:vertAlign w:val="baseline"/>
        </w:rPr>
        <w:t> </w:t>
      </w:r>
      <w:r>
        <w:rPr>
          <w:vertAlign w:val="baseline"/>
        </w:rPr>
        <w:t>know,</w:t>
      </w:r>
      <w:r>
        <w:rPr>
          <w:spacing w:val="-2"/>
          <w:vertAlign w:val="baseline"/>
        </w:rPr>
        <w:t> </w:t>
      </w:r>
      <w:r>
        <w:rPr>
          <w:vertAlign w:val="baseline"/>
        </w:rPr>
        <w:t>or</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means</w:t>
      </w:r>
      <w:r>
        <w:rPr>
          <w:spacing w:val="-2"/>
          <w:vertAlign w:val="baseline"/>
        </w:rPr>
        <w:t> </w:t>
      </w:r>
      <w:r>
        <w:rPr>
          <w:vertAlign w:val="baseline"/>
        </w:rPr>
        <w:t>of</w:t>
      </w:r>
      <w:r>
        <w:rPr>
          <w:spacing w:val="-2"/>
          <w:vertAlign w:val="baseline"/>
        </w:rPr>
        <w:t> </w:t>
      </w:r>
      <w:r>
        <w:rPr>
          <w:vertAlign w:val="baseline"/>
        </w:rPr>
        <w:t>knowing,</w:t>
      </w:r>
      <w:r>
        <w:rPr>
          <w:spacing w:val="-2"/>
          <w:vertAlign w:val="baseline"/>
        </w:rPr>
        <w:t> </w:t>
      </w:r>
      <w:r>
        <w:rPr>
          <w:vertAlign w:val="baseline"/>
        </w:rPr>
        <w:t>this</w:t>
      </w:r>
      <w:r>
        <w:rPr>
          <w:spacing w:val="-2"/>
          <w:vertAlign w:val="baseline"/>
        </w:rPr>
        <w:t> </w:t>
      </w:r>
      <w:r>
        <w:rPr>
          <w:vertAlign w:val="baseline"/>
        </w:rPr>
        <w:t>at</w:t>
      </w:r>
      <w:r>
        <w:rPr>
          <w:spacing w:val="-2"/>
          <w:vertAlign w:val="baseline"/>
        </w:rPr>
        <w:t> </w:t>
      </w:r>
      <w:r>
        <w:rPr>
          <w:vertAlign w:val="baseline"/>
        </w:rPr>
        <w:t>once,</w:t>
      </w:r>
      <w:r>
        <w:rPr>
          <w:spacing w:val="-2"/>
          <w:vertAlign w:val="baseline"/>
        </w:rPr>
        <w:t> </w:t>
      </w:r>
      <w:r>
        <w:rPr>
          <w:vertAlign w:val="baseline"/>
        </w:rPr>
        <w:t>the</w:t>
      </w:r>
      <w:r>
        <w:rPr>
          <w:spacing w:val="-2"/>
          <w:vertAlign w:val="baseline"/>
        </w:rPr>
        <w:t> </w:t>
      </w:r>
      <w:r>
        <w:rPr>
          <w:vertAlign w:val="baseline"/>
        </w:rPr>
        <w:t>above reasoning would suggest that an acceptance sent by fax might well be effective in such</w:t>
      </w:r>
      <w:r>
        <w:rPr>
          <w:spacing w:val="40"/>
          <w:vertAlign w:val="baseline"/>
        </w:rPr>
        <w:t> </w:t>
      </w:r>
      <w:r>
        <w:rPr>
          <w:spacing w:val="-2"/>
          <w:vertAlign w:val="baseline"/>
        </w:rPr>
        <w:t>circumstances.</w:t>
      </w:r>
    </w:p>
    <w:p>
      <w:pPr>
        <w:pStyle w:val="BodyText"/>
      </w:pPr>
    </w:p>
    <w:p>
      <w:pPr>
        <w:pStyle w:val="BodyText"/>
        <w:spacing w:before="33"/>
      </w:pPr>
    </w:p>
    <w:p>
      <w:pPr>
        <w:spacing w:before="1"/>
        <w:ind w:left="165" w:right="0" w:firstLine="0"/>
        <w:jc w:val="left"/>
        <w:rPr>
          <w:rFonts w:ascii="Arial"/>
          <w:b/>
          <w:sz w:val="18"/>
        </w:rPr>
      </w:pPr>
      <w:r>
        <w:rPr>
          <w:rFonts w:ascii="Arial"/>
          <w:b/>
          <w:sz w:val="18"/>
        </w:rPr>
        <w:t>Excluding the posting </w:t>
      </w:r>
      <w:r>
        <w:rPr>
          <w:rFonts w:ascii="Arial"/>
          <w:b/>
          <w:spacing w:val="-4"/>
          <w:sz w:val="18"/>
        </w:rPr>
        <w:t>rule</w:t>
      </w:r>
    </w:p>
    <w:p>
      <w:pPr>
        <w:pStyle w:val="BodyText"/>
        <w:spacing w:before="41"/>
        <w:rPr>
          <w:rFonts w:ascii="Arial"/>
          <w:b/>
          <w:sz w:val="18"/>
        </w:rPr>
      </w:pPr>
    </w:p>
    <w:p>
      <w:pPr>
        <w:pStyle w:val="Heading2"/>
      </w:pPr>
      <w:r>
        <w:rPr/>
        <w:t>2-</w:t>
      </w:r>
      <w:r>
        <w:rPr>
          <w:spacing w:val="-5"/>
        </w:rPr>
        <w:t>051</w:t>
      </w:r>
    </w:p>
    <w:p>
      <w:pPr>
        <w:pStyle w:val="BodyText"/>
        <w:spacing w:line="235" w:lineRule="auto" w:before="202"/>
        <w:ind w:left="165" w:right="167"/>
        <w:jc w:val="both"/>
      </w:pPr>
      <w:r>
        <w:rPr/>
        <w:t>The posting rule can be excluded by the terms of the offer. For this purpose, it is not necessary to </w:t>
      </w:r>
      <w:r>
        <w:rPr/>
        <w:t>say </w:t>
      </w:r>
      <w:bookmarkStart w:name="_bookmark526" w:id="528"/>
      <w:bookmarkEnd w:id="528"/>
      <w:r>
        <w:rPr/>
        <w:t>expressly</w:t>
      </w:r>
      <w:r>
        <w:rPr/>
        <w:t> that the acceptance will take effect only when it has been actually communicated. In</w:t>
      </w:r>
      <w:r>
        <w:rPr>
          <w:spacing w:val="80"/>
        </w:rPr>
        <w:t> </w:t>
      </w:r>
      <w:r>
        <w:rPr>
          <w:rFonts w:ascii="Arial" w:hAnsi="Arial"/>
          <w:i/>
        </w:rPr>
        <w:t>Holwell Securities Ltd v Hughes </w:t>
      </w:r>
      <w:r>
        <w:rPr>
          <w:color w:val="005DA1"/>
          <w:u w:val="single" w:color="005DA1"/>
          <w:vertAlign w:val="superscript"/>
        </w:rPr>
        <w:t>285</w:t>
      </w:r>
      <w:r>
        <w:rPr>
          <w:color w:val="005DA1"/>
          <w:vertAlign w:val="baseline"/>
        </w:rPr>
        <w:t> </w:t>
      </w:r>
      <w:r>
        <w:rPr>
          <w:vertAlign w:val="baseline"/>
        </w:rPr>
        <w:t>an offer to sell a house was made in the form of an option “to be exercisable by notice in writing to the Intending Vendor”. Such a notice was posted but did not arrive. It was held that there was no contract of sale as the offer, on its true construction, required actual communication of acceptance.</w:t>
      </w:r>
    </w:p>
    <w:p>
      <w:pPr>
        <w:pStyle w:val="BodyText"/>
      </w:pPr>
    </w:p>
    <w:p>
      <w:pPr>
        <w:pStyle w:val="BodyText"/>
        <w:spacing w:before="37"/>
      </w:pPr>
    </w:p>
    <w:p>
      <w:pPr>
        <w:spacing w:before="0"/>
        <w:ind w:left="165" w:right="0" w:firstLine="0"/>
        <w:jc w:val="left"/>
        <w:rPr>
          <w:rFonts w:ascii="Arial"/>
          <w:b/>
          <w:sz w:val="18"/>
        </w:rPr>
      </w:pPr>
      <w:r>
        <w:rPr>
          <w:rFonts w:ascii="Arial"/>
          <w:b/>
          <w:sz w:val="18"/>
        </w:rPr>
        <w:t>Operation of the posting </w:t>
      </w:r>
      <w:r>
        <w:rPr>
          <w:rFonts w:ascii="Arial"/>
          <w:b/>
          <w:spacing w:val="-4"/>
          <w:sz w:val="18"/>
        </w:rPr>
        <w:t>rule</w:t>
      </w:r>
    </w:p>
    <w:p>
      <w:pPr>
        <w:pStyle w:val="BodyText"/>
        <w:spacing w:before="41"/>
        <w:rPr>
          <w:rFonts w:ascii="Arial"/>
          <w:b/>
          <w:sz w:val="18"/>
        </w:rPr>
      </w:pPr>
    </w:p>
    <w:p>
      <w:pPr>
        <w:pStyle w:val="Heading2"/>
      </w:pPr>
      <w:r>
        <w:rPr/>
        <w:t>2-</w:t>
      </w:r>
      <w:r>
        <w:rPr>
          <w:spacing w:val="-5"/>
        </w:rPr>
        <w:t>052</w:t>
      </w:r>
    </w:p>
    <w:p>
      <w:pPr>
        <w:pStyle w:val="BodyText"/>
        <w:spacing w:line="235" w:lineRule="auto" w:before="203"/>
        <w:ind w:left="165" w:right="167"/>
        <w:jc w:val="both"/>
      </w:pPr>
      <w:bookmarkStart w:name="_bookmark527" w:id="529"/>
      <w:bookmarkEnd w:id="529"/>
      <w:r>
        <w:rPr/>
      </w:r>
      <w:r>
        <w:rPr/>
        <w:t>The posting rule is essentially one of convenience. </w:t>
      </w:r>
      <w:r>
        <w:rPr>
          <w:color w:val="005DA1"/>
          <w:u w:val="single" w:color="005DA1"/>
          <w:vertAlign w:val="superscript"/>
        </w:rPr>
        <w:t>286</w:t>
      </w:r>
      <w:r>
        <w:rPr>
          <w:color w:val="005DA1"/>
          <w:vertAlign w:val="baseline"/>
        </w:rPr>
        <w:t> </w:t>
      </w:r>
      <w:r>
        <w:rPr>
          <w:vertAlign w:val="baseline"/>
        </w:rPr>
        <w:t>The English authorities support its </w:t>
      </w:r>
      <w:r>
        <w:rPr>
          <w:vertAlign w:val="baseline"/>
        </w:rPr>
        <w:t>application</w:t>
      </w:r>
      <w:r>
        <w:rPr>
          <w:spacing w:val="40"/>
          <w:vertAlign w:val="baseline"/>
        </w:rPr>
        <w:t> </w:t>
      </w:r>
      <w:r>
        <w:rPr>
          <w:vertAlign w:val="baseline"/>
        </w:rPr>
        <w:t>in</w:t>
      </w:r>
      <w:r>
        <w:rPr>
          <w:spacing w:val="-1"/>
          <w:vertAlign w:val="baseline"/>
        </w:rPr>
        <w:t> </w:t>
      </w:r>
      <w:r>
        <w:rPr>
          <w:vertAlign w:val="baseline"/>
        </w:rPr>
        <w:t>three</w:t>
      </w:r>
      <w:r>
        <w:rPr>
          <w:spacing w:val="-1"/>
          <w:vertAlign w:val="baseline"/>
        </w:rPr>
        <w:t> </w:t>
      </w:r>
      <w:r>
        <w:rPr>
          <w:vertAlign w:val="baseline"/>
        </w:rPr>
        <w:t>situations</w:t>
      </w:r>
      <w:r>
        <w:rPr>
          <w:spacing w:val="-1"/>
          <w:vertAlign w:val="baseline"/>
        </w:rPr>
        <w:t> </w:t>
      </w:r>
      <w:r>
        <w:rPr>
          <w:vertAlign w:val="baseline"/>
        </w:rPr>
        <w:t>discussed</w:t>
      </w:r>
      <w:r>
        <w:rPr>
          <w:spacing w:val="-1"/>
          <w:vertAlign w:val="baseline"/>
        </w:rPr>
        <w:t> </w:t>
      </w:r>
      <w:r>
        <w:rPr>
          <w:vertAlign w:val="baseline"/>
        </w:rPr>
        <w:t>in</w:t>
      </w:r>
      <w:r>
        <w:rPr>
          <w:spacing w:val="-1"/>
          <w:vertAlign w:val="baseline"/>
        </w:rPr>
        <w:t> </w:t>
      </w:r>
      <w:r>
        <w:rPr>
          <w:vertAlign w:val="baseline"/>
        </w:rPr>
        <w:t>paras</w:t>
      </w:r>
      <w:r>
        <w:rPr>
          <w:spacing w:val="-1"/>
          <w:vertAlign w:val="baseline"/>
        </w:rPr>
        <w:t> </w:t>
      </w:r>
      <w:r>
        <w:rPr>
          <w:vertAlign w:val="baseline"/>
        </w:rPr>
        <w:t>2-053—2-056</w:t>
      </w:r>
      <w:r>
        <w:rPr>
          <w:spacing w:val="-1"/>
          <w:vertAlign w:val="baseline"/>
        </w:rPr>
        <w:t> </w:t>
      </w:r>
      <w:r>
        <w:rPr>
          <w:vertAlign w:val="baseline"/>
        </w:rPr>
        <w:t>below.</w:t>
      </w:r>
      <w:r>
        <w:rPr>
          <w:spacing w:val="-1"/>
          <w:vertAlign w:val="baseline"/>
        </w:rPr>
        <w:t> </w:t>
      </w:r>
      <w:r>
        <w:rPr>
          <w:vertAlign w:val="baseline"/>
        </w:rPr>
        <w:t>It</w:t>
      </w:r>
      <w:r>
        <w:rPr>
          <w:spacing w:val="-1"/>
          <w:vertAlign w:val="baseline"/>
        </w:rPr>
        <w:t> </w:t>
      </w:r>
      <w:r>
        <w:rPr>
          <w:vertAlign w:val="baseline"/>
        </w:rPr>
        <w:t>should</w:t>
      </w:r>
      <w:r>
        <w:rPr>
          <w:spacing w:val="-1"/>
          <w:vertAlign w:val="baseline"/>
        </w:rPr>
        <w:t> </w:t>
      </w:r>
      <w:r>
        <w:rPr>
          <w:vertAlign w:val="baseline"/>
        </w:rPr>
        <w:t>not,</w:t>
      </w:r>
      <w:r>
        <w:rPr>
          <w:spacing w:val="-1"/>
          <w:vertAlign w:val="baseline"/>
        </w:rPr>
        <w:t> </w:t>
      </w:r>
      <w:r>
        <w:rPr>
          <w:vertAlign w:val="baseline"/>
        </w:rPr>
        <w:t>however,</w:t>
      </w:r>
      <w:r>
        <w:rPr>
          <w:spacing w:val="-1"/>
          <w:vertAlign w:val="baseline"/>
        </w:rPr>
        <w:t> </w:t>
      </w:r>
      <w:r>
        <w:rPr>
          <w:vertAlign w:val="baseline"/>
        </w:rPr>
        <w:t>be</w:t>
      </w:r>
      <w:r>
        <w:rPr>
          <w:spacing w:val="-1"/>
          <w:vertAlign w:val="baseline"/>
        </w:rPr>
        <w:t> </w:t>
      </w:r>
      <w:r>
        <w:rPr>
          <w:vertAlign w:val="baseline"/>
        </w:rPr>
        <w:t>thought</w:t>
      </w:r>
      <w:r>
        <w:rPr>
          <w:spacing w:val="-1"/>
          <w:vertAlign w:val="baseline"/>
        </w:rPr>
        <w:t> </w:t>
      </w:r>
      <w:r>
        <w:rPr>
          <w:vertAlign w:val="baseline"/>
        </w:rPr>
        <w:t>that</w:t>
      </w:r>
      <w:r>
        <w:rPr>
          <w:spacing w:val="-1"/>
          <w:vertAlign w:val="baseline"/>
        </w:rPr>
        <w:t> </w:t>
      </w:r>
      <w:r>
        <w:rPr>
          <w:vertAlign w:val="baseline"/>
        </w:rPr>
        <w:t>the rule will be mechanically applied to all situations which it might, by a process of apparently logical </w:t>
      </w:r>
      <w:bookmarkStart w:name="_bookmark528" w:id="530"/>
      <w:bookmarkEnd w:id="530"/>
      <w:r>
        <w:rPr>
          <w:vertAlign w:val="baseline"/>
        </w:rPr>
        <w:t>deduction,</w:t>
      </w:r>
      <w:r>
        <w:rPr>
          <w:vertAlign w:val="baseline"/>
        </w:rPr>
        <w:t> be thought to govern. It has been said that the rule will not be applied where it would lead to “manifest inconvenience and absurdity” </w:t>
      </w:r>
      <w:r>
        <w:rPr>
          <w:color w:val="005DA1"/>
          <w:u w:val="single" w:color="005DA1"/>
          <w:vertAlign w:val="superscript"/>
        </w:rPr>
        <w:t>287</w:t>
      </w:r>
      <w:r>
        <w:rPr>
          <w:vertAlign w:val="baseline"/>
        </w:rPr>
        <w:t>; so that the question of its application to a further group of situations discussed in paras 2-057—2-060 below depends on practical considerations and on the balance of convenience.</w:t>
      </w:r>
    </w:p>
    <w:p>
      <w:pPr>
        <w:pStyle w:val="BodyText"/>
      </w:pPr>
    </w:p>
    <w:p>
      <w:pPr>
        <w:pStyle w:val="BodyText"/>
        <w:spacing w:before="36"/>
      </w:pPr>
    </w:p>
    <w:p>
      <w:pPr>
        <w:spacing w:before="0"/>
        <w:ind w:left="165" w:right="0" w:firstLine="0"/>
        <w:jc w:val="left"/>
        <w:rPr>
          <w:rFonts w:ascii="Arial"/>
          <w:b/>
          <w:sz w:val="18"/>
        </w:rPr>
      </w:pPr>
      <w:r>
        <w:rPr>
          <w:rFonts w:ascii="Arial"/>
          <w:b/>
          <w:sz w:val="18"/>
        </w:rPr>
        <w:t>Posted acceptance preceded by uncommunicated </w:t>
      </w:r>
      <w:r>
        <w:rPr>
          <w:rFonts w:ascii="Arial"/>
          <w:b/>
          <w:spacing w:val="-2"/>
          <w:sz w:val="18"/>
        </w:rPr>
        <w:t>withdrawal</w:t>
      </w:r>
    </w:p>
    <w:p>
      <w:pPr>
        <w:pStyle w:val="BodyText"/>
        <w:spacing w:before="41"/>
        <w:rPr>
          <w:rFonts w:ascii="Arial"/>
          <w:b/>
          <w:sz w:val="18"/>
        </w:rPr>
      </w:pPr>
    </w:p>
    <w:p>
      <w:pPr>
        <w:pStyle w:val="Heading2"/>
      </w:pPr>
      <w:r>
        <w:rPr/>
        <w:t>2-</w:t>
      </w:r>
      <w:r>
        <w:rPr>
          <w:spacing w:val="-5"/>
        </w:rPr>
        <w:t>053</w:t>
      </w:r>
    </w:p>
    <w:p>
      <w:pPr>
        <w:pStyle w:val="BodyText"/>
        <w:spacing w:line="235" w:lineRule="auto" w:before="203"/>
        <w:ind w:left="164" w:right="167"/>
        <w:jc w:val="both"/>
      </w:pPr>
      <w:bookmarkStart w:name="_bookmark529" w:id="531"/>
      <w:bookmarkEnd w:id="531"/>
      <w:r>
        <w:rPr/>
      </w:r>
      <w:r>
        <w:rPr/>
        <w:t>A posted acceptance prevails over a withdrawal of an offer which was posted before the </w:t>
      </w:r>
      <w:r>
        <w:rPr/>
        <w:t>acceptance </w:t>
      </w:r>
      <w:bookmarkStart w:name="_bookmark530" w:id="532"/>
      <w:bookmarkEnd w:id="532"/>
      <w:r>
        <w:rPr/>
        <w:t>but</w:t>
      </w:r>
      <w:r>
        <w:rPr/>
        <w:t> which had not yet reached the offeree when the acceptance was posted. </w:t>
      </w:r>
      <w:r>
        <w:rPr>
          <w:color w:val="005DA1"/>
          <w:u w:val="single" w:color="005DA1"/>
          <w:vertAlign w:val="superscript"/>
        </w:rPr>
        <w:t>288</w:t>
      </w:r>
      <w:r>
        <w:rPr>
          <w:color w:val="005DA1"/>
          <w:vertAlign w:val="baseline"/>
        </w:rPr>
        <w:t> </w:t>
      </w:r>
      <w:r>
        <w:rPr>
          <w:vertAlign w:val="baseline"/>
        </w:rPr>
        <w:t>It also operates as a restriction on the otherwise unfettered power </w:t>
      </w:r>
      <w:r>
        <w:rPr>
          <w:color w:val="005DA1"/>
          <w:u w:val="single" w:color="005DA1"/>
          <w:vertAlign w:val="superscript"/>
        </w:rPr>
        <w:t>289</w:t>
      </w:r>
      <w:r>
        <w:rPr>
          <w:color w:val="005DA1"/>
          <w:vertAlign w:val="baseline"/>
        </w:rPr>
        <w:t> </w:t>
      </w:r>
      <w:r>
        <w:rPr>
          <w:vertAlign w:val="baseline"/>
        </w:rPr>
        <w:t>of the offeror to withdraw his offer. These are the </w:t>
      </w:r>
      <w:bookmarkStart w:name="_bookmark531" w:id="533"/>
      <w:bookmarkEnd w:id="533"/>
      <w:r>
        <w:rPr>
          <w:vertAlign w:val="baseline"/>
        </w:rPr>
        <w:t>logical</w:t>
      </w:r>
      <w:r>
        <w:rPr>
          <w:vertAlign w:val="baseline"/>
        </w:rPr>
        <w:t> consequences of the general rule that postal acceptance takes effect when it is posted, while the revocation of an offer only takes effect when it actually reaches the offeree. </w:t>
      </w:r>
      <w:r>
        <w:rPr>
          <w:color w:val="005DA1"/>
          <w:u w:val="single" w:color="005DA1"/>
          <w:vertAlign w:val="superscript"/>
        </w:rPr>
        <w:t>290</w:t>
      </w:r>
      <w:r>
        <w:rPr>
          <w:color w:val="005DA1"/>
          <w:vertAlign w:val="baseline"/>
        </w:rPr>
        <w:t> </w:t>
      </w:r>
      <w:r>
        <w:rPr>
          <w:vertAlign w:val="baseline"/>
        </w:rPr>
        <w:t>In practice, these are the most important applications of the rule.</w:t>
      </w:r>
    </w:p>
    <w:p>
      <w:pPr>
        <w:pStyle w:val="BodyText"/>
      </w:pPr>
    </w:p>
    <w:p>
      <w:pPr>
        <w:pStyle w:val="BodyText"/>
        <w:spacing w:before="36"/>
      </w:pPr>
    </w:p>
    <w:p>
      <w:pPr>
        <w:spacing w:before="0"/>
        <w:ind w:left="165" w:right="0" w:firstLine="0"/>
        <w:jc w:val="left"/>
        <w:rPr>
          <w:rFonts w:ascii="Arial"/>
          <w:b/>
          <w:sz w:val="18"/>
        </w:rPr>
      </w:pPr>
      <w:r>
        <w:rPr>
          <w:rFonts w:ascii="Arial"/>
          <w:b/>
          <w:sz w:val="18"/>
        </w:rPr>
        <w:t>Acceptance lost or delayed in the </w:t>
      </w:r>
      <w:r>
        <w:rPr>
          <w:rFonts w:ascii="Arial"/>
          <w:b/>
          <w:spacing w:val="-4"/>
          <w:sz w:val="18"/>
        </w:rPr>
        <w:t>post</w:t>
      </w:r>
    </w:p>
    <w:p>
      <w:pPr>
        <w:pStyle w:val="BodyText"/>
        <w:spacing w:before="41"/>
        <w:rPr>
          <w:rFonts w:ascii="Arial"/>
          <w:b/>
          <w:sz w:val="18"/>
        </w:rPr>
      </w:pPr>
    </w:p>
    <w:p>
      <w:pPr>
        <w:pStyle w:val="Heading2"/>
      </w:pPr>
      <w:r>
        <w:rPr/>
        <w:t>2-</w:t>
      </w:r>
      <w:r>
        <w:rPr>
          <w:spacing w:val="-5"/>
        </w:rPr>
        <w:t>054</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bookmarkStart w:name="_bookmark532" w:id="534"/>
      <w:bookmarkEnd w:id="534"/>
      <w:r>
        <w:rPr/>
      </w:r>
      <w:r>
        <w:rPr/>
        <w:t>A posted acceptance takes effect even though it never reaches the offeror because it is lost through </w:t>
      </w:r>
      <w:bookmarkStart w:name="_bookmark533" w:id="535"/>
      <w:bookmarkEnd w:id="535"/>
      <w:r>
        <w:rPr/>
        <w:t>an</w:t>
      </w:r>
      <w:r>
        <w:rPr/>
        <w:t> accident in the post </w:t>
      </w:r>
      <w:r>
        <w:rPr>
          <w:color w:val="005DA1"/>
          <w:u w:val="single" w:color="005DA1"/>
          <w:vertAlign w:val="superscript"/>
        </w:rPr>
        <w:t>291</w:t>
      </w:r>
      <w:r>
        <w:rPr>
          <w:vertAlign w:val="baseline"/>
        </w:rPr>
        <w:t>; and the same rule probably applies where the acceptance is </w:t>
      </w:r>
      <w:r>
        <w:rPr>
          <w:vertAlign w:val="baseline"/>
        </w:rPr>
        <w:t>merely </w:t>
      </w:r>
      <w:bookmarkStart w:name="_bookmark534" w:id="536"/>
      <w:bookmarkEnd w:id="536"/>
      <w:r>
        <w:rPr>
          <w:vertAlign w:val="baseline"/>
        </w:rPr>
        <w:t>delayed</w:t>
      </w:r>
      <w:r>
        <w:rPr>
          <w:vertAlign w:val="baseline"/>
        </w:rPr>
        <w:t> through an accident in the post, </w:t>
      </w:r>
      <w:r>
        <w:rPr>
          <w:color w:val="005DA1"/>
          <w:u w:val="single" w:color="005DA1"/>
          <w:vertAlign w:val="superscript"/>
        </w:rPr>
        <w:t>292</w:t>
      </w:r>
      <w:r>
        <w:rPr>
          <w:color w:val="005DA1"/>
          <w:vertAlign w:val="baseline"/>
        </w:rPr>
        <w:t> </w:t>
      </w:r>
      <w:r>
        <w:rPr>
          <w:vertAlign w:val="baseline"/>
        </w:rPr>
        <w:t>i.e. the contract is concluded at the time of posting of the </w:t>
      </w:r>
      <w:bookmarkStart w:name="_bookmark535" w:id="537"/>
      <w:bookmarkEnd w:id="537"/>
      <w:r>
        <w:rPr>
          <w:vertAlign w:val="baseline"/>
        </w:rPr>
        <w:t>acceptance.</w:t>
      </w:r>
      <w:r>
        <w:rPr>
          <w:vertAlign w:val="baseline"/>
        </w:rPr>
        <w:t> In </w:t>
      </w:r>
      <w:r>
        <w:rPr>
          <w:rFonts w:ascii="Arial"/>
          <w:i/>
          <w:vertAlign w:val="baseline"/>
        </w:rPr>
        <w:t>Household Fire Insurance Co Ltd v Grant</w:t>
      </w:r>
      <w:r>
        <w:rPr>
          <w:vertAlign w:val="baseline"/>
        </w:rPr>
        <w:t>, </w:t>
      </w:r>
      <w:r>
        <w:rPr>
          <w:color w:val="005DA1"/>
          <w:u w:val="single" w:color="005DA1"/>
          <w:vertAlign w:val="superscript"/>
        </w:rPr>
        <w:t>293</w:t>
      </w:r>
      <w:r>
        <w:rPr>
          <w:color w:val="005DA1"/>
          <w:vertAlign w:val="baseline"/>
        </w:rPr>
        <w:t> </w:t>
      </w:r>
      <w:r>
        <w:rPr>
          <w:vertAlign w:val="baseline"/>
        </w:rPr>
        <w:t>for example, the defendant had applied for shares in a company: this application amounted to an offer by him to subscribe for the shares. </w:t>
      </w:r>
      <w:r>
        <w:rPr>
          <w:color w:val="005DA1"/>
          <w:u w:val="single" w:color="005DA1"/>
          <w:vertAlign w:val="superscript"/>
        </w:rPr>
        <w:t>294</w:t>
      </w:r>
      <w:r>
        <w:rPr>
          <w:color w:val="005DA1"/>
          <w:vertAlign w:val="baseline"/>
        </w:rPr>
        <w:t> </w:t>
      </w:r>
      <w:r>
        <w:rPr>
          <w:vertAlign w:val="baseline"/>
        </w:rPr>
        <w:t>An acceptance, in the form of a letter of allotment, was posted to him but never received. Some three years later, the company went into liquidation, and it was held that the defendant was a shareholder and so liable for calls on the shares. The case has certain unusual features: namely that the initial deposit on application for the shares was not actually paid, the defendant being instead credited with an equivalent sum due to him from the company; and that dividends declared by the company were not actually paid out to the defendant but simply credited to his account with the company. But for these features the defendant would necessarily have become aware (long before the end of the three years) of the fact that he was regarded by the company as a shareholder.</w:t>
      </w:r>
    </w:p>
    <w:p>
      <w:pPr>
        <w:pStyle w:val="BodyText"/>
        <w:spacing w:before="77"/>
      </w:pPr>
    </w:p>
    <w:p>
      <w:pPr>
        <w:pStyle w:val="Heading2"/>
        <w:ind w:left="164"/>
      </w:pPr>
      <w:r>
        <w:rPr/>
        <w:t>2-</w:t>
      </w:r>
      <w:r>
        <w:rPr>
          <w:spacing w:val="-5"/>
        </w:rPr>
        <w:t>055</w:t>
      </w:r>
    </w:p>
    <w:p>
      <w:pPr>
        <w:pStyle w:val="BodyText"/>
        <w:spacing w:line="235" w:lineRule="auto" w:before="202"/>
        <w:ind w:left="164" w:right="167"/>
        <w:jc w:val="both"/>
      </w:pPr>
      <w:bookmarkStart w:name="_bookmark536" w:id="538"/>
      <w:bookmarkEnd w:id="538"/>
      <w:r>
        <w:rPr/>
      </w:r>
      <w:r>
        <w:rPr/>
        <w:t>The decision in </w:t>
      </w:r>
      <w:r>
        <w:rPr>
          <w:rFonts w:ascii="Arial" w:hAnsi="Arial"/>
          <w:i/>
        </w:rPr>
        <w:t>Household Fire Insurance Co Ltd v Grant </w:t>
      </w:r>
      <w:r>
        <w:rPr/>
        <w:t>was reached only by a majority </w:t>
      </w:r>
      <w:r>
        <w:rPr/>
        <w:t>and</w:t>
      </w:r>
      <w:r>
        <w:rPr>
          <w:spacing w:val="40"/>
        </w:rPr>
        <w:t> </w:t>
      </w:r>
      <w:r>
        <w:rPr/>
        <w:t>involved the overruling of a previous contrary decision. </w:t>
      </w:r>
      <w:r>
        <w:rPr>
          <w:color w:val="005DA1"/>
          <w:u w:val="single" w:color="005DA1"/>
          <w:vertAlign w:val="superscript"/>
        </w:rPr>
        <w:t>295</w:t>
      </w:r>
      <w:r>
        <w:rPr>
          <w:color w:val="005DA1"/>
          <w:vertAlign w:val="baseline"/>
        </w:rPr>
        <w:t> </w:t>
      </w:r>
      <w:r>
        <w:rPr>
          <w:vertAlign w:val="baseline"/>
        </w:rPr>
        <w:t>This indicates that the arguments of convenience for and against applying the posting rule to such a situation are finely balanced. On the one hand, it may be hard to hold an offeror liable on an acceptance which, through no fault of his</w:t>
      </w:r>
      <w:r>
        <w:rPr>
          <w:spacing w:val="80"/>
          <w:vertAlign w:val="baseline"/>
        </w:rPr>
        <w:t> </w:t>
      </w:r>
      <w:r>
        <w:rPr>
          <w:vertAlign w:val="baseline"/>
        </w:rPr>
        <w:t>own, was never received by him; on the other it may be equally hard to deprive the offeree of the benefit</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acceptance</w:t>
      </w:r>
      <w:r>
        <w:rPr>
          <w:spacing w:val="-2"/>
          <w:vertAlign w:val="baseline"/>
        </w:rPr>
        <w:t> </w:t>
      </w:r>
      <w:r>
        <w:rPr>
          <w:vertAlign w:val="baseline"/>
        </w:rPr>
        <w:t>if</w:t>
      </w:r>
      <w:r>
        <w:rPr>
          <w:spacing w:val="-2"/>
          <w:vertAlign w:val="baseline"/>
        </w:rPr>
        <w:t> </w:t>
      </w:r>
      <w:r>
        <w:rPr>
          <w:vertAlign w:val="baseline"/>
        </w:rPr>
        <w:t>he</w:t>
      </w:r>
      <w:r>
        <w:rPr>
          <w:spacing w:val="-2"/>
          <w:vertAlign w:val="baseline"/>
        </w:rPr>
        <w:t> </w:t>
      </w:r>
      <w:r>
        <w:rPr>
          <w:vertAlign w:val="baseline"/>
        </w:rPr>
        <w:t>had</w:t>
      </w:r>
      <w:r>
        <w:rPr>
          <w:spacing w:val="-2"/>
          <w:vertAlign w:val="baseline"/>
        </w:rPr>
        <w:t> </w:t>
      </w:r>
      <w:r>
        <w:rPr>
          <w:vertAlign w:val="baseline"/>
        </w:rPr>
        <w:t>taken</w:t>
      </w:r>
      <w:r>
        <w:rPr>
          <w:spacing w:val="-2"/>
          <w:vertAlign w:val="baseline"/>
        </w:rPr>
        <w:t> </w:t>
      </w:r>
      <w:r>
        <w:rPr>
          <w:vertAlign w:val="baseline"/>
        </w:rPr>
        <w:t>all</w:t>
      </w:r>
      <w:r>
        <w:rPr>
          <w:spacing w:val="-2"/>
          <w:vertAlign w:val="baseline"/>
        </w:rPr>
        <w:t> </w:t>
      </w:r>
      <w:r>
        <w:rPr>
          <w:vertAlign w:val="baseline"/>
        </w:rPr>
        <w:t>reasonable</w:t>
      </w:r>
      <w:r>
        <w:rPr>
          <w:spacing w:val="-2"/>
          <w:vertAlign w:val="baseline"/>
        </w:rPr>
        <w:t> </w:t>
      </w:r>
      <w:r>
        <w:rPr>
          <w:vertAlign w:val="baseline"/>
        </w:rPr>
        <w:t>steps</w:t>
      </w:r>
      <w:r>
        <w:rPr>
          <w:spacing w:val="-2"/>
          <w:vertAlign w:val="baseline"/>
        </w:rPr>
        <w:t> </w:t>
      </w:r>
      <w:r>
        <w:rPr>
          <w:vertAlign w:val="baseline"/>
        </w:rPr>
        <w:t>to</w:t>
      </w:r>
      <w:r>
        <w:rPr>
          <w:spacing w:val="-2"/>
          <w:vertAlign w:val="baseline"/>
        </w:rPr>
        <w:t> </w:t>
      </w:r>
      <w:r>
        <w:rPr>
          <w:vertAlign w:val="baseline"/>
        </w:rPr>
        <w:t>communicate</w:t>
      </w:r>
      <w:r>
        <w:rPr>
          <w:spacing w:val="-2"/>
          <w:vertAlign w:val="baseline"/>
        </w:rPr>
        <w:t> </w:t>
      </w:r>
      <w:r>
        <w:rPr>
          <w:vertAlign w:val="baseline"/>
        </w:rPr>
        <w:t>it.</w:t>
      </w:r>
      <w:r>
        <w:rPr>
          <w:spacing w:val="-2"/>
          <w:vertAlign w:val="baseline"/>
        </w:rPr>
        <w:t> </w:t>
      </w:r>
      <w:r>
        <w:rPr>
          <w:vertAlign w:val="baseline"/>
        </w:rPr>
        <w:t>Moreover,</w:t>
      </w:r>
      <w:r>
        <w:rPr>
          <w:spacing w:val="-2"/>
          <w:vertAlign w:val="baseline"/>
        </w:rPr>
        <w:t> </w:t>
      </w:r>
      <w:r>
        <w:rPr>
          <w:vertAlign w:val="baseline"/>
        </w:rPr>
        <w:t>each</w:t>
      </w:r>
      <w:r>
        <w:rPr>
          <w:spacing w:val="-2"/>
          <w:vertAlign w:val="baseline"/>
        </w:rPr>
        <w:t> </w:t>
      </w:r>
      <w:r>
        <w:rPr>
          <w:vertAlign w:val="baseline"/>
        </w:rPr>
        <w:t>party may act in reliance on his (perfectly reasonable) view of the situation: the offeror may enter into other contracts, believing that his offer had not been accepted, while the offeree may refrain from doing so, </w:t>
      </w:r>
      <w:bookmarkStart w:name="_bookmark537" w:id="539"/>
      <w:bookmarkEnd w:id="539"/>
      <w:r>
        <w:rPr>
          <w:vertAlign w:val="baseline"/>
        </w:rPr>
        <w:t>believing</w:t>
      </w:r>
      <w:r>
        <w:rPr>
          <w:vertAlign w:val="baseline"/>
        </w:rPr>
        <w:t> that he had effectively accepted the offer. In this situation, English law favours the offeree</w:t>
      </w:r>
      <w:r>
        <w:rPr>
          <w:spacing w:val="80"/>
          <w:vertAlign w:val="baseline"/>
        </w:rPr>
        <w:t> </w:t>
      </w:r>
      <w:bookmarkStart w:name="_bookmark538" w:id="540"/>
      <w:bookmarkEnd w:id="540"/>
      <w:r>
        <w:rPr>
          <w:vertAlign w:val="baseline"/>
        </w:rPr>
        <w:t>on</w:t>
      </w:r>
      <w:r>
        <w:rPr>
          <w:vertAlign w:val="baseline"/>
        </w:rPr>
        <w:t> the grounds that it is the offeror who “trusts to the post” </w:t>
      </w:r>
      <w:r>
        <w:rPr>
          <w:color w:val="005DA1"/>
          <w:u w:val="single" w:color="005DA1"/>
          <w:vertAlign w:val="superscript"/>
        </w:rPr>
        <w:t>296</w:t>
      </w:r>
      <w:r>
        <w:rPr>
          <w:color w:val="005DA1"/>
          <w:vertAlign w:val="baseline"/>
        </w:rPr>
        <w:t> </w:t>
      </w:r>
      <w:r>
        <w:rPr>
          <w:vertAlign w:val="baseline"/>
        </w:rPr>
        <w:t>and that the offeror can safeguard himself by stipulating in the offer that the acceptance must be actually communicated to him. </w:t>
      </w:r>
      <w:r>
        <w:rPr>
          <w:color w:val="005DA1"/>
          <w:u w:val="single" w:color="005DA1"/>
          <w:vertAlign w:val="superscript"/>
        </w:rPr>
        <w:t>297</w:t>
      </w:r>
      <w:r>
        <w:rPr>
          <w:color w:val="005DA1"/>
          <w:spacing w:val="40"/>
          <w:vertAlign w:val="baseline"/>
        </w:rPr>
        <w:t> </w:t>
      </w:r>
      <w:r>
        <w:rPr>
          <w:vertAlign w:val="baseline"/>
        </w:rPr>
        <w:t>These arguments are not wholly convincing. The offer may be a counter-offer, in which case it will be </w:t>
      </w:r>
      <w:bookmarkStart w:name="_bookmark539" w:id="541"/>
      <w:bookmarkEnd w:id="541"/>
      <w:r>
        <w:rPr>
          <w:vertAlign w:val="baseline"/>
        </w:rPr>
        <w:t>the</w:t>
      </w:r>
      <w:r>
        <w:rPr>
          <w:vertAlign w:val="baseline"/>
        </w:rPr>
        <w:t> ultimate offeree who originally “trust[ed] to the post”. Or the offer may be made on a form</w:t>
      </w:r>
      <w:r>
        <w:rPr>
          <w:spacing w:val="40"/>
          <w:vertAlign w:val="baseline"/>
        </w:rPr>
        <w:t> </w:t>
      </w:r>
      <w:r>
        <w:rPr>
          <w:vertAlign w:val="baseline"/>
        </w:rPr>
        <w:t>prepared by the offeree, </w:t>
      </w:r>
      <w:r>
        <w:rPr>
          <w:color w:val="005DA1"/>
          <w:u w:val="single" w:color="005DA1"/>
          <w:vertAlign w:val="superscript"/>
        </w:rPr>
        <w:t>298</w:t>
      </w:r>
      <w:r>
        <w:rPr>
          <w:color w:val="005DA1"/>
          <w:vertAlign w:val="baseline"/>
        </w:rPr>
        <w:t> </w:t>
      </w:r>
      <w:r>
        <w:rPr>
          <w:vertAlign w:val="baseline"/>
        </w:rPr>
        <w:t>in which case he and not the offeror will, for practical purposes, be in control of its terms. It may be that there are no really convincing reasons to support the weight of the postal acceptance rule. However, since the law cannot avoid preferring either the offeror or the offeree, it must simply choose one in the interest of certainty.</w:t>
      </w:r>
    </w:p>
    <w:p>
      <w:pPr>
        <w:pStyle w:val="BodyText"/>
      </w:pPr>
    </w:p>
    <w:p>
      <w:pPr>
        <w:pStyle w:val="BodyText"/>
        <w:spacing w:before="32"/>
      </w:pPr>
    </w:p>
    <w:p>
      <w:pPr>
        <w:spacing w:before="1"/>
        <w:ind w:left="165" w:right="0" w:firstLine="0"/>
        <w:jc w:val="left"/>
        <w:rPr>
          <w:rFonts w:ascii="Arial"/>
          <w:b/>
          <w:sz w:val="18"/>
        </w:rPr>
      </w:pPr>
      <w:r>
        <w:rPr>
          <w:rFonts w:ascii="Arial"/>
          <w:b/>
          <w:spacing w:val="-2"/>
          <w:sz w:val="18"/>
        </w:rPr>
        <w:t>Priorities</w:t>
      </w:r>
    </w:p>
    <w:p>
      <w:pPr>
        <w:pStyle w:val="BodyText"/>
        <w:spacing w:before="41"/>
        <w:rPr>
          <w:rFonts w:ascii="Arial"/>
          <w:b/>
          <w:sz w:val="18"/>
        </w:rPr>
      </w:pPr>
    </w:p>
    <w:p>
      <w:pPr>
        <w:pStyle w:val="Heading2"/>
      </w:pPr>
      <w:r>
        <w:rPr/>
        <w:t>2-</w:t>
      </w:r>
      <w:r>
        <w:rPr>
          <w:spacing w:val="-5"/>
        </w:rPr>
        <w:t>056</w:t>
      </w:r>
    </w:p>
    <w:p>
      <w:pPr>
        <w:pStyle w:val="BodyText"/>
        <w:spacing w:line="235" w:lineRule="auto" w:before="202"/>
        <w:ind w:left="165" w:right="167"/>
        <w:jc w:val="both"/>
      </w:pPr>
      <w:bookmarkStart w:name="_bookmark540" w:id="542"/>
      <w:bookmarkEnd w:id="542"/>
      <w:r>
        <w:rPr/>
      </w:r>
      <w:r>
        <w:rPr/>
        <w:t>A contract is taken to be made at the time when the acceptance was posted, so as to take priority</w:t>
      </w:r>
      <w:r>
        <w:rPr>
          <w:spacing w:val="40"/>
        </w:rPr>
        <w:t> </w:t>
      </w:r>
      <w:r>
        <w:rPr/>
        <w:t>over</w:t>
      </w:r>
      <w:r>
        <w:rPr>
          <w:spacing w:val="4"/>
        </w:rPr>
        <w:t> </w:t>
      </w:r>
      <w:r>
        <w:rPr/>
        <w:t>another</w:t>
      </w:r>
      <w:r>
        <w:rPr>
          <w:spacing w:val="4"/>
        </w:rPr>
        <w:t> </w:t>
      </w:r>
      <w:r>
        <w:rPr/>
        <w:t>contract</w:t>
      </w:r>
      <w:r>
        <w:rPr>
          <w:spacing w:val="4"/>
        </w:rPr>
        <w:t> </w:t>
      </w:r>
      <w:r>
        <w:rPr/>
        <w:t>affecting</w:t>
      </w:r>
      <w:r>
        <w:rPr>
          <w:spacing w:val="4"/>
        </w:rPr>
        <w:t> </w:t>
      </w:r>
      <w:r>
        <w:rPr/>
        <w:t>the</w:t>
      </w:r>
      <w:r>
        <w:rPr>
          <w:spacing w:val="4"/>
        </w:rPr>
        <w:t> </w:t>
      </w:r>
      <w:r>
        <w:rPr/>
        <w:t>same</w:t>
      </w:r>
      <w:r>
        <w:rPr>
          <w:spacing w:val="4"/>
        </w:rPr>
        <w:t> </w:t>
      </w:r>
      <w:r>
        <w:rPr/>
        <w:t>subjectmatter</w:t>
      </w:r>
      <w:r>
        <w:rPr>
          <w:spacing w:val="4"/>
        </w:rPr>
        <w:t> </w:t>
      </w:r>
      <w:r>
        <w:rPr/>
        <w:t>made</w:t>
      </w:r>
      <w:r>
        <w:rPr>
          <w:spacing w:val="4"/>
        </w:rPr>
        <w:t> </w:t>
      </w:r>
      <w:r>
        <w:rPr/>
        <w:t>after</w:t>
      </w:r>
      <w:r>
        <w:rPr>
          <w:spacing w:val="4"/>
        </w:rPr>
        <w:t> </w:t>
      </w:r>
      <w:r>
        <w:rPr/>
        <w:t>the</w:t>
      </w:r>
      <w:r>
        <w:rPr>
          <w:spacing w:val="4"/>
        </w:rPr>
        <w:t> </w:t>
      </w:r>
      <w:r>
        <w:rPr/>
        <w:t>posting</w:t>
      </w:r>
      <w:r>
        <w:rPr>
          <w:spacing w:val="4"/>
        </w:rPr>
        <w:t> </w:t>
      </w:r>
      <w:r>
        <w:rPr/>
        <w:t>of</w:t>
      </w:r>
      <w:r>
        <w:rPr>
          <w:spacing w:val="4"/>
        </w:rPr>
        <w:t> </w:t>
      </w:r>
      <w:r>
        <w:rPr/>
        <w:t>the</w:t>
      </w:r>
      <w:r>
        <w:rPr>
          <w:spacing w:val="4"/>
        </w:rPr>
        <w:t> </w:t>
      </w:r>
      <w:r>
        <w:rPr/>
        <w:t>first</w:t>
      </w:r>
      <w:r>
        <w:rPr>
          <w:spacing w:val="4"/>
        </w:rPr>
        <w:t> </w:t>
      </w:r>
      <w:r>
        <w:rPr>
          <w:spacing w:val="-2"/>
        </w:rPr>
        <w:t>acceptance.</w:t>
      </w:r>
    </w:p>
    <w:p>
      <w:pPr>
        <w:spacing w:line="113" w:lineRule="exact" w:before="0"/>
        <w:ind w:left="165" w:right="0" w:firstLine="0"/>
        <w:jc w:val="left"/>
        <w:rPr>
          <w:sz w:val="12"/>
        </w:rPr>
      </w:pPr>
      <w:r>
        <w:rPr>
          <w:color w:val="005DA1"/>
          <w:spacing w:val="-5"/>
          <w:sz w:val="12"/>
          <w:u w:val="single" w:color="005DA1"/>
        </w:rPr>
        <w:t>299</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1"/>
        <w:ind w:left="165" w:right="0" w:firstLine="0"/>
        <w:jc w:val="left"/>
        <w:rPr>
          <w:rFonts w:ascii="Arial"/>
          <w:b/>
          <w:sz w:val="18"/>
        </w:rPr>
      </w:pPr>
      <w:r>
        <w:rPr>
          <w:rFonts w:ascii="Arial"/>
          <w:b/>
          <w:sz w:val="18"/>
        </w:rPr>
        <w:t>Fault and misdirected letter of </w:t>
      </w:r>
      <w:r>
        <w:rPr>
          <w:rFonts w:ascii="Arial"/>
          <w:b/>
          <w:spacing w:val="-2"/>
          <w:sz w:val="18"/>
        </w:rPr>
        <w:t>acceptance</w:t>
      </w:r>
    </w:p>
    <w:p>
      <w:pPr>
        <w:pStyle w:val="BodyText"/>
        <w:spacing w:before="41"/>
        <w:rPr>
          <w:rFonts w:ascii="Arial"/>
          <w:b/>
          <w:sz w:val="18"/>
        </w:rPr>
      </w:pPr>
    </w:p>
    <w:p>
      <w:pPr>
        <w:pStyle w:val="Heading2"/>
      </w:pPr>
      <w:r>
        <w:rPr/>
        <w:t>2-</w:t>
      </w:r>
      <w:r>
        <w:rPr>
          <w:spacing w:val="-5"/>
        </w:rPr>
        <w:t>057</w:t>
      </w:r>
    </w:p>
    <w:p>
      <w:pPr>
        <w:pStyle w:val="BodyText"/>
        <w:spacing w:line="235" w:lineRule="auto" w:before="203"/>
        <w:ind w:left="165" w:right="167"/>
        <w:jc w:val="both"/>
        <w:rPr>
          <w:rFonts w:ascii="Arial" w:hAnsi="Arial"/>
          <w:i/>
        </w:rPr>
      </w:pPr>
      <w:r>
        <w:rPr/>
        <w:t>A letter of acceptance may be lost or delayed because it bears a wrong or an incomplete address, </w:t>
      </w:r>
      <w:r>
        <w:rPr/>
        <w:t>or </w:t>
      </w:r>
      <w:bookmarkStart w:name="_bookmark541" w:id="543"/>
      <w:bookmarkEnd w:id="543"/>
      <w:r>
        <w:rPr/>
        <w:t>because</w:t>
      </w:r>
      <w:r>
        <w:rPr/>
        <w:t> it is not properly stamped. Normally such defects will be due to the carelessness of the offeree; and, although there is no English authority precisely in point, </w:t>
      </w:r>
      <w:r>
        <w:rPr>
          <w:color w:val="005DA1"/>
          <w:u w:val="single" w:color="005DA1"/>
          <w:vertAlign w:val="superscript"/>
        </w:rPr>
        <w:t>300</w:t>
      </w:r>
      <w:r>
        <w:rPr>
          <w:color w:val="005DA1"/>
          <w:vertAlign w:val="baseline"/>
        </w:rPr>
        <w:t> </w:t>
      </w:r>
      <w:r>
        <w:rPr>
          <w:vertAlign w:val="baseline"/>
        </w:rPr>
        <w:t>it is submitted that the</w:t>
      </w:r>
      <w:r>
        <w:rPr>
          <w:spacing w:val="40"/>
          <w:vertAlign w:val="baseline"/>
        </w:rPr>
        <w:t> </w:t>
      </w:r>
      <w:r>
        <w:rPr>
          <w:vertAlign w:val="baseline"/>
        </w:rPr>
        <w:t>posting rule should not apply to such cases. Although an offeror may have to take the risk of</w:t>
      </w:r>
      <w:r>
        <w:rPr>
          <w:spacing w:val="40"/>
          <w:vertAlign w:val="baseline"/>
        </w:rPr>
        <w:t> </w:t>
      </w:r>
      <w:r>
        <w:rPr>
          <w:vertAlign w:val="baseline"/>
        </w:rPr>
        <w:t>accidents in the post, it would be unreasonable to impose on him the further risk of the acceptor’s </w:t>
      </w:r>
      <w:bookmarkStart w:name="_bookmark542" w:id="544"/>
      <w:bookmarkEnd w:id="544"/>
      <w:r>
        <w:rPr>
          <w:vertAlign w:val="baseline"/>
        </w:rPr>
        <w:t>carelessness.</w:t>
      </w:r>
      <w:r>
        <w:rPr>
          <w:spacing w:val="12"/>
          <w:vertAlign w:val="baseline"/>
        </w:rPr>
        <w:t> </w:t>
      </w:r>
      <w:r>
        <w:rPr>
          <w:vertAlign w:val="baseline"/>
        </w:rPr>
        <w:t>These</w:t>
      </w:r>
      <w:r>
        <w:rPr>
          <w:spacing w:val="12"/>
          <w:vertAlign w:val="baseline"/>
        </w:rPr>
        <w:t> </w:t>
      </w:r>
      <w:r>
        <w:rPr>
          <w:vertAlign w:val="baseline"/>
        </w:rPr>
        <w:t>arguments</w:t>
      </w:r>
      <w:r>
        <w:rPr>
          <w:spacing w:val="12"/>
          <w:vertAlign w:val="baseline"/>
        </w:rPr>
        <w:t> </w:t>
      </w:r>
      <w:r>
        <w:rPr>
          <w:vertAlign w:val="baseline"/>
        </w:rPr>
        <w:t>do</w:t>
      </w:r>
      <w:r>
        <w:rPr>
          <w:spacing w:val="12"/>
          <w:vertAlign w:val="baseline"/>
        </w:rPr>
        <w:t> </w:t>
      </w:r>
      <w:r>
        <w:rPr>
          <w:vertAlign w:val="baseline"/>
        </w:rPr>
        <w:t>not</w:t>
      </w:r>
      <w:r>
        <w:rPr>
          <w:spacing w:val="12"/>
          <w:vertAlign w:val="baseline"/>
        </w:rPr>
        <w:t> </w:t>
      </w:r>
      <w:r>
        <w:rPr>
          <w:vertAlign w:val="baseline"/>
        </w:rPr>
        <w:t>apply</w:t>
      </w:r>
      <w:r>
        <w:rPr>
          <w:spacing w:val="12"/>
          <w:vertAlign w:val="baseline"/>
        </w:rPr>
        <w:t> </w:t>
      </w:r>
      <w:r>
        <w:rPr>
          <w:vertAlign w:val="baseline"/>
        </w:rPr>
        <w:t>where</w:t>
      </w:r>
      <w:r>
        <w:rPr>
          <w:spacing w:val="12"/>
          <w:vertAlign w:val="baseline"/>
        </w:rPr>
        <w:t> </w:t>
      </w:r>
      <w:r>
        <w:rPr>
          <w:vertAlign w:val="baseline"/>
        </w:rPr>
        <w:t>the</w:t>
      </w:r>
      <w:r>
        <w:rPr>
          <w:spacing w:val="12"/>
          <w:vertAlign w:val="baseline"/>
        </w:rPr>
        <w:t> </w:t>
      </w:r>
      <w:r>
        <w:rPr>
          <w:vertAlign w:val="baseline"/>
        </w:rPr>
        <w:t>misdirection</w:t>
      </w:r>
      <w:r>
        <w:rPr>
          <w:spacing w:val="12"/>
          <w:vertAlign w:val="baseline"/>
        </w:rPr>
        <w:t> </w:t>
      </w:r>
      <w:r>
        <w:rPr>
          <w:vertAlign w:val="baseline"/>
        </w:rPr>
        <w:t>is</w:t>
      </w:r>
      <w:r>
        <w:rPr>
          <w:spacing w:val="12"/>
          <w:vertAlign w:val="baseline"/>
        </w:rPr>
        <w:t> </w:t>
      </w:r>
      <w:r>
        <w:rPr>
          <w:vertAlign w:val="baseline"/>
        </w:rPr>
        <w:t>due</w:t>
      </w:r>
      <w:r>
        <w:rPr>
          <w:spacing w:val="12"/>
          <w:vertAlign w:val="baseline"/>
        </w:rPr>
        <w:t> </w:t>
      </w:r>
      <w:r>
        <w:rPr>
          <w:vertAlign w:val="baseline"/>
        </w:rPr>
        <w:t>to</w:t>
      </w:r>
      <w:r>
        <w:rPr>
          <w:spacing w:val="12"/>
          <w:vertAlign w:val="baseline"/>
        </w:rPr>
        <w:t> </w:t>
      </w:r>
      <w:r>
        <w:rPr>
          <w:vertAlign w:val="baseline"/>
        </w:rPr>
        <w:t>the</w:t>
      </w:r>
      <w:r>
        <w:rPr>
          <w:spacing w:val="12"/>
          <w:vertAlign w:val="baseline"/>
        </w:rPr>
        <w:t> </w:t>
      </w:r>
      <w:r>
        <w:rPr>
          <w:vertAlign w:val="baseline"/>
        </w:rPr>
        <w:t>fault</w:t>
      </w:r>
      <w:r>
        <w:rPr>
          <w:spacing w:val="12"/>
          <w:vertAlign w:val="baseline"/>
        </w:rPr>
        <w:t> </w:t>
      </w:r>
      <w:r>
        <w:rPr>
          <w:vertAlign w:val="baseline"/>
        </w:rPr>
        <w:t>of</w:t>
      </w:r>
      <w:r>
        <w:rPr>
          <w:spacing w:val="12"/>
          <w:vertAlign w:val="baseline"/>
        </w:rPr>
        <w:t> </w:t>
      </w:r>
      <w:r>
        <w:rPr>
          <w:vertAlign w:val="baseline"/>
        </w:rPr>
        <w:t>the</w:t>
      </w:r>
      <w:r>
        <w:rPr>
          <w:spacing w:val="11"/>
          <w:vertAlign w:val="baseline"/>
        </w:rPr>
        <w:t> </w:t>
      </w:r>
      <w:r>
        <w:rPr>
          <w:rFonts w:ascii="Arial" w:hAnsi="Arial"/>
          <w:i/>
          <w:spacing w:val="-2"/>
          <w:vertAlign w:val="baseline"/>
        </w:rPr>
        <w:t>offeror</w:t>
      </w:r>
    </w:p>
    <w:p>
      <w:pPr>
        <w:pStyle w:val="BodyText"/>
        <w:spacing w:line="235" w:lineRule="auto"/>
        <w:ind w:left="165" w:right="167"/>
        <w:jc w:val="both"/>
      </w:pPr>
      <w:r>
        <w:rPr/>
        <w:t>—e.g.</w:t>
      </w:r>
      <w:r>
        <w:rPr>
          <w:spacing w:val="-2"/>
        </w:rPr>
        <w:t> </w:t>
      </w:r>
      <w:r>
        <w:rPr/>
        <w:t>where</w:t>
      </w:r>
      <w:r>
        <w:rPr>
          <w:spacing w:val="-2"/>
        </w:rPr>
        <w:t> </w:t>
      </w:r>
      <w:r>
        <w:rPr/>
        <w:t>his</w:t>
      </w:r>
      <w:r>
        <w:rPr>
          <w:spacing w:val="-2"/>
        </w:rPr>
        <w:t> </w:t>
      </w:r>
      <w:r>
        <w:rPr/>
        <w:t>own</w:t>
      </w:r>
      <w:r>
        <w:rPr>
          <w:spacing w:val="-2"/>
        </w:rPr>
        <w:t> </w:t>
      </w:r>
      <w:r>
        <w:rPr/>
        <w:t>address</w:t>
      </w:r>
      <w:r>
        <w:rPr>
          <w:spacing w:val="-2"/>
        </w:rPr>
        <w:t> </w:t>
      </w:r>
      <w:r>
        <w:rPr/>
        <w:t>is</w:t>
      </w:r>
      <w:r>
        <w:rPr>
          <w:spacing w:val="-2"/>
        </w:rPr>
        <w:t> </w:t>
      </w:r>
      <w:r>
        <w:rPr/>
        <w:t>incompletely</w:t>
      </w:r>
      <w:r>
        <w:rPr>
          <w:spacing w:val="-2"/>
        </w:rPr>
        <w:t> </w:t>
      </w:r>
      <w:r>
        <w:rPr/>
        <w:t>or</w:t>
      </w:r>
      <w:r>
        <w:rPr>
          <w:spacing w:val="-2"/>
        </w:rPr>
        <w:t> </w:t>
      </w:r>
      <w:r>
        <w:rPr/>
        <w:t>illegibly</w:t>
      </w:r>
      <w:r>
        <w:rPr>
          <w:spacing w:val="-2"/>
        </w:rPr>
        <w:t> </w:t>
      </w:r>
      <w:r>
        <w:rPr/>
        <w:t>given</w:t>
      </w:r>
      <w:r>
        <w:rPr>
          <w:spacing w:val="-2"/>
        </w:rPr>
        <w:t> </w:t>
      </w:r>
      <w:r>
        <w:rPr/>
        <w:t>in</w:t>
      </w:r>
      <w:r>
        <w:rPr>
          <w:spacing w:val="-2"/>
        </w:rPr>
        <w:t> </w:t>
      </w:r>
      <w:r>
        <w:rPr/>
        <w:t>the</w:t>
      </w:r>
      <w:r>
        <w:rPr>
          <w:spacing w:val="-2"/>
        </w:rPr>
        <w:t> </w:t>
      </w:r>
      <w:r>
        <w:rPr/>
        <w:t>offer</w:t>
      </w:r>
      <w:r>
        <w:rPr>
          <w:spacing w:val="-2"/>
        </w:rPr>
        <w:t> </w:t>
      </w:r>
      <w:r>
        <w:rPr/>
        <w:t>itself.</w:t>
      </w:r>
      <w:r>
        <w:rPr>
          <w:spacing w:val="-3"/>
        </w:rPr>
        <w:t> </w:t>
      </w:r>
      <w:r>
        <w:rPr>
          <w:color w:val="005DA1"/>
          <w:u w:val="single" w:color="005DA1"/>
          <w:vertAlign w:val="superscript"/>
        </w:rPr>
        <w:t>301</w:t>
      </w:r>
      <w:r>
        <w:rPr>
          <w:color w:val="005DA1"/>
          <w:spacing w:val="-2"/>
          <w:vertAlign w:val="baseline"/>
        </w:rPr>
        <w:t> </w:t>
      </w:r>
      <w:r>
        <w:rPr>
          <w:vertAlign w:val="baseline"/>
        </w:rPr>
        <w:t>In</w:t>
      </w:r>
      <w:r>
        <w:rPr>
          <w:spacing w:val="-2"/>
          <w:vertAlign w:val="baseline"/>
        </w:rPr>
        <w:t> </w:t>
      </w:r>
      <w:r>
        <w:rPr>
          <w:vertAlign w:val="baseline"/>
        </w:rPr>
        <w:t>such</w:t>
      </w:r>
      <w:r>
        <w:rPr>
          <w:spacing w:val="-2"/>
          <w:vertAlign w:val="baseline"/>
        </w:rPr>
        <w:t> </w:t>
      </w:r>
      <w:r>
        <w:rPr>
          <w:vertAlign w:val="baseline"/>
        </w:rPr>
        <w:t>a</w:t>
      </w:r>
      <w:r>
        <w:rPr>
          <w:spacing w:val="-2"/>
          <w:vertAlign w:val="baseline"/>
        </w:rPr>
        <w:t> </w:t>
      </w:r>
      <w:r>
        <w:rPr>
          <w:vertAlign w:val="baseline"/>
        </w:rPr>
        <w:t>case,</w:t>
      </w:r>
      <w:r>
        <w:rPr>
          <w:spacing w:val="-2"/>
          <w:vertAlign w:val="baseline"/>
        </w:rPr>
        <w:t> </w:t>
      </w:r>
      <w:r>
        <w:rPr>
          <w:vertAlign w:val="baseline"/>
        </w:rPr>
        <w:t>the offeror should not be allowed to rely on the fact that the acceptance was misdirected (except perhaps where his error in stating his own address was obvious to the offeree; for in such a case the offeror’s fault would not be the effective cause of the misdirection of the acceptance). It is submitted that a misdirected acceptance should take effect (if at all) at the time that is least favourable to the party responsible for the misdirection.</w:t>
      </w:r>
    </w:p>
    <w:p>
      <w:pPr>
        <w:pStyle w:val="BodyText"/>
        <w:spacing w:after="0" w:line="235" w:lineRule="auto"/>
        <w:jc w:val="both"/>
        <w:sectPr>
          <w:pgSz w:w="11900" w:h="16840"/>
          <w:pgMar w:header="971" w:footer="0" w:top="1300" w:bottom="280" w:left="1275" w:right="1275"/>
        </w:sectPr>
      </w:pPr>
    </w:p>
    <w:p>
      <w:pPr>
        <w:pStyle w:val="BodyText"/>
        <w:spacing w:before="40"/>
      </w:pPr>
    </w:p>
    <w:p>
      <w:pPr>
        <w:pStyle w:val="BodyText"/>
        <w:spacing w:line="235" w:lineRule="auto"/>
        <w:ind w:left="165" w:right="167"/>
        <w:jc w:val="both"/>
      </w:pPr>
      <w:r>
        <w:rPr/>
        <w:t>In </w:t>
      </w:r>
      <w:r>
        <w:rPr>
          <w:rFonts w:ascii="Arial" w:hAnsi="Arial"/>
          <w:i/>
        </w:rPr>
        <w:t>L.J. Korbetis v Transgrain Shipping BV </w:t>
      </w:r>
      <w:r>
        <w:rPr/>
        <w:t>Toulson J. said that he agreed with the above </w:t>
      </w:r>
      <w:r>
        <w:rPr/>
        <w:t>“general </w:t>
      </w:r>
      <w:bookmarkStart w:name="_bookmark543" w:id="545"/>
      <w:bookmarkEnd w:id="545"/>
      <w:r>
        <w:rPr/>
        <w:t>approach”</w:t>
      </w:r>
      <w:r>
        <w:rPr/>
        <w:t> to the problem of misdirected acceptances “because it seems to me to correspond with principle and justice”. </w:t>
      </w:r>
      <w:r>
        <w:rPr>
          <w:color w:val="005DA1"/>
          <w:u w:val="single" w:color="005DA1"/>
          <w:vertAlign w:val="superscript"/>
        </w:rPr>
        <w:t>302</w:t>
      </w:r>
      <w:r>
        <w:rPr>
          <w:color w:val="005DA1"/>
          <w:vertAlign w:val="baseline"/>
        </w:rPr>
        <w:t> </w:t>
      </w:r>
      <w:r>
        <w:rPr>
          <w:vertAlign w:val="baseline"/>
        </w:rPr>
        <w:t>The question in that case was whether shipowners and charterers had agreed on the nomination of a sole arbitrator to whom a dispute, which had arisen under a charterparty between them, was to be referred. The charterers sent a fax inviting the shipowners to choose one of three names; in reply, the shipowners sent a fax from their office in Piraeus, agreeing</w:t>
      </w:r>
      <w:r>
        <w:rPr>
          <w:spacing w:val="40"/>
          <w:vertAlign w:val="baseline"/>
        </w:rPr>
        <w:t> </w:t>
      </w:r>
      <w:r>
        <w:rPr>
          <w:vertAlign w:val="baseline"/>
        </w:rPr>
        <w:t>to one of those names. This fax was intended for the charterers in the Netherlands, but it never reached them because the appropriate international dialling code had not been entered. It was held that the misdirected acceptance was not effective to conclude an agreement for the appointment of the arbitrator.</w:t>
      </w:r>
    </w:p>
    <w:p>
      <w:pPr>
        <w:pStyle w:val="BodyText"/>
      </w:pPr>
    </w:p>
    <w:p>
      <w:pPr>
        <w:pStyle w:val="BodyText"/>
        <w:spacing w:before="35"/>
      </w:pPr>
    </w:p>
    <w:p>
      <w:pPr>
        <w:spacing w:before="0"/>
        <w:ind w:left="165" w:right="0" w:firstLine="0"/>
        <w:jc w:val="both"/>
        <w:rPr>
          <w:rFonts w:ascii="Arial"/>
          <w:b/>
          <w:sz w:val="18"/>
        </w:rPr>
      </w:pPr>
      <w:r>
        <w:rPr>
          <w:rFonts w:ascii="Arial"/>
          <w:b/>
          <w:sz w:val="18"/>
        </w:rPr>
        <w:t>Garbled </w:t>
      </w:r>
      <w:r>
        <w:rPr>
          <w:rFonts w:ascii="Arial"/>
          <w:b/>
          <w:spacing w:val="-2"/>
          <w:sz w:val="18"/>
        </w:rPr>
        <w:t>messages</w:t>
      </w:r>
    </w:p>
    <w:p>
      <w:pPr>
        <w:pStyle w:val="BodyText"/>
        <w:spacing w:before="41"/>
        <w:rPr>
          <w:rFonts w:ascii="Arial"/>
          <w:b/>
          <w:sz w:val="18"/>
        </w:rPr>
      </w:pPr>
    </w:p>
    <w:p>
      <w:pPr>
        <w:pStyle w:val="Heading2"/>
      </w:pPr>
      <w:r>
        <w:rPr/>
        <w:t>2-</w:t>
      </w:r>
      <w:r>
        <w:rPr>
          <w:spacing w:val="-5"/>
        </w:rPr>
        <w:t>058</w:t>
      </w:r>
    </w:p>
    <w:p>
      <w:pPr>
        <w:pStyle w:val="BodyText"/>
        <w:spacing w:line="235" w:lineRule="auto" w:before="203"/>
        <w:ind w:left="165" w:right="167"/>
        <w:jc w:val="both"/>
      </w:pPr>
      <w:bookmarkStart w:name="_bookmark544" w:id="546"/>
      <w:bookmarkEnd w:id="546"/>
      <w:r>
        <w:rPr/>
      </w:r>
      <w:r>
        <w:rPr/>
        <w:t>A message may be garbled as a result of some inaccuracy in transmission for which neither the sender nor the recipient are responsible or aware. In </w:t>
      </w:r>
      <w:r>
        <w:rPr>
          <w:rFonts w:ascii="Arial" w:hAnsi="Arial"/>
          <w:i/>
        </w:rPr>
        <w:t>Henkel v Pape </w:t>
      </w:r>
      <w:r>
        <w:rPr>
          <w:color w:val="005DA1"/>
          <w:u w:val="single" w:color="005DA1"/>
          <w:vertAlign w:val="superscript"/>
        </w:rPr>
        <w:t>303</w:t>
      </w:r>
      <w:r>
        <w:rPr>
          <w:color w:val="005DA1"/>
          <w:vertAlign w:val="baseline"/>
        </w:rPr>
        <w:t> </w:t>
      </w:r>
      <w:r>
        <w:rPr>
          <w:vertAlign w:val="baseline"/>
        </w:rPr>
        <w:t>the claimant invited </w:t>
      </w:r>
      <w:r>
        <w:rPr>
          <w:vertAlign w:val="baseline"/>
        </w:rPr>
        <w:t>the defendant to make an offer to buy 50 rifles; and the defendant, not wanting this number, telegraphed “send </w:t>
      </w:r>
      <w:r>
        <w:rPr>
          <w:rFonts w:ascii="Arial" w:hAnsi="Arial"/>
          <w:i/>
          <w:vertAlign w:val="baseline"/>
        </w:rPr>
        <w:t>three </w:t>
      </w:r>
      <w:r>
        <w:rPr>
          <w:vertAlign w:val="baseline"/>
        </w:rPr>
        <w:t>rifles”. The telegram reached the claimant in the form “send </w:t>
      </w:r>
      <w:r>
        <w:rPr>
          <w:rFonts w:ascii="Arial" w:hAnsi="Arial"/>
          <w:i/>
          <w:vertAlign w:val="baseline"/>
        </w:rPr>
        <w:t>the </w:t>
      </w:r>
      <w:r>
        <w:rPr>
          <w:vertAlign w:val="baseline"/>
        </w:rPr>
        <w:t>rifles” and the claimant despatched 50. It was held that the defendant was not bound to accept more than three. Here the garbled telegram was an offer, but such a communication could also be an acceptance: for example where, in response to an offer to sell 50, the buyer sent a telegraphed message in the form “send </w:t>
      </w:r>
      <w:r>
        <w:rPr>
          <w:rFonts w:ascii="Arial" w:hAnsi="Arial"/>
          <w:i/>
          <w:vertAlign w:val="baseline"/>
        </w:rPr>
        <w:t>the </w:t>
      </w:r>
      <w:r>
        <w:rPr>
          <w:vertAlign w:val="baseline"/>
        </w:rPr>
        <w:t>rifles”.</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submitted</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valid</w:t>
      </w:r>
      <w:r>
        <w:rPr>
          <w:spacing w:val="-1"/>
          <w:vertAlign w:val="baseline"/>
        </w:rPr>
        <w:t> </w:t>
      </w:r>
      <w:r>
        <w:rPr>
          <w:vertAlign w:val="baseline"/>
        </w:rPr>
        <w:t>acceptance</w:t>
      </w:r>
      <w:r>
        <w:rPr>
          <w:spacing w:val="-1"/>
          <w:vertAlign w:val="baseline"/>
        </w:rPr>
        <w:t> </w:t>
      </w:r>
      <w:r>
        <w:rPr>
          <w:vertAlign w:val="baseline"/>
        </w:rPr>
        <w:t>(so</w:t>
      </w:r>
      <w:r>
        <w:rPr>
          <w:spacing w:val="-1"/>
          <w:vertAlign w:val="baseline"/>
        </w:rPr>
        <w:t> </w:t>
      </w:r>
      <w:r>
        <w:rPr>
          <w:vertAlign w:val="baseline"/>
        </w:rPr>
        <w:t>long</w:t>
      </w:r>
      <w:r>
        <w:rPr>
          <w:spacing w:val="-1"/>
          <w:vertAlign w:val="baseline"/>
        </w:rPr>
        <w:t> </w:t>
      </w:r>
      <w:r>
        <w:rPr>
          <w:vertAlign w:val="baseline"/>
        </w:rPr>
        <w:t>as</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reasonable</w:t>
      </w:r>
      <w:r>
        <w:rPr>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buyer to accept by this medium) even if the message arrived in the form “send</w:t>
      </w:r>
      <w:r>
        <w:rPr>
          <w:spacing w:val="-1"/>
          <w:vertAlign w:val="baseline"/>
        </w:rPr>
        <w:t> </w:t>
      </w:r>
      <w:r>
        <w:rPr>
          <w:rFonts w:ascii="Arial" w:hAnsi="Arial"/>
          <w:i/>
          <w:vertAlign w:val="baseline"/>
        </w:rPr>
        <w:t>three </w:t>
      </w:r>
      <w:r>
        <w:rPr>
          <w:vertAlign w:val="baseline"/>
        </w:rPr>
        <w:t>rifles”. If the offeror has to take the risk of loss or delay in the post, there seems to be no good reason why he should not also take the risk of errors in the transmission of a telegraphed message; for in each case the offeree will </w:t>
      </w:r>
      <w:bookmarkStart w:name="_bookmark545" w:id="547"/>
      <w:bookmarkEnd w:id="547"/>
      <w:r>
        <w:rPr>
          <w:vertAlign w:val="baseline"/>
        </w:rPr>
        <w:t>have</w:t>
      </w:r>
      <w:r>
        <w:rPr>
          <w:vertAlign w:val="baseline"/>
        </w:rPr>
        <w:t> no means of knowing that something has gone wrong until it is too late to make another, proper, communication. </w:t>
      </w:r>
      <w:r>
        <w:rPr>
          <w:color w:val="005DA1"/>
          <w:u w:val="single" w:color="005DA1"/>
          <w:vertAlign w:val="superscript"/>
        </w:rPr>
        <w:t>304</w:t>
      </w:r>
    </w:p>
    <w:p>
      <w:pPr>
        <w:pStyle w:val="BodyText"/>
      </w:pPr>
    </w:p>
    <w:p>
      <w:pPr>
        <w:pStyle w:val="BodyText"/>
        <w:spacing w:before="34"/>
      </w:pPr>
    </w:p>
    <w:p>
      <w:pPr>
        <w:spacing w:before="0"/>
        <w:ind w:left="165" w:right="0" w:firstLine="0"/>
        <w:jc w:val="left"/>
        <w:rPr>
          <w:rFonts w:ascii="Arial"/>
          <w:b/>
          <w:sz w:val="18"/>
        </w:rPr>
      </w:pPr>
      <w:r>
        <w:rPr>
          <w:rFonts w:ascii="Arial"/>
          <w:b/>
          <w:sz w:val="18"/>
        </w:rPr>
        <w:t>Revocation of posted </w:t>
      </w:r>
      <w:r>
        <w:rPr>
          <w:rFonts w:ascii="Arial"/>
          <w:b/>
          <w:spacing w:val="-2"/>
          <w:sz w:val="18"/>
        </w:rPr>
        <w:t>acceptance</w:t>
      </w:r>
    </w:p>
    <w:p>
      <w:pPr>
        <w:pStyle w:val="BodyText"/>
        <w:spacing w:before="41"/>
        <w:rPr>
          <w:rFonts w:ascii="Arial"/>
          <w:b/>
          <w:sz w:val="18"/>
        </w:rPr>
      </w:pPr>
    </w:p>
    <w:p>
      <w:pPr>
        <w:pStyle w:val="Heading2"/>
      </w:pPr>
      <w:r>
        <w:rPr/>
        <w:t>2-</w:t>
      </w:r>
      <w:r>
        <w:rPr>
          <w:spacing w:val="-5"/>
        </w:rPr>
        <w:t>059</w:t>
      </w:r>
    </w:p>
    <w:p>
      <w:pPr>
        <w:pStyle w:val="BodyText"/>
        <w:spacing w:line="235" w:lineRule="auto" w:before="203"/>
        <w:ind w:left="165" w:right="167"/>
        <w:jc w:val="both"/>
      </w:pPr>
      <w:r>
        <w:rPr/>
        <w:t>There is no English authority on the question whether a posted acceptance can be revoked by a </w:t>
      </w:r>
      <w:r>
        <w:rPr/>
        <w:t>later communication (such as a telex or an email message), which reaches the offeror before, or at the same time as, the acceptance. One view is that the offeree’s revocation has no effect since, once a </w:t>
      </w:r>
      <w:bookmarkStart w:name="_bookmark546" w:id="548"/>
      <w:bookmarkEnd w:id="548"/>
      <w:r>
        <w:rPr/>
        <w:t>contract</w:t>
      </w:r>
      <w:r>
        <w:rPr/>
        <w:t> has been concluded by the posting of the acceptance, it cannot be dissolved by the act of </w:t>
      </w:r>
      <w:bookmarkStart w:name="_bookmark547" w:id="549"/>
      <w:bookmarkEnd w:id="549"/>
      <w:r>
        <w:rPr/>
        <w:t>one</w:t>
      </w:r>
      <w:r>
        <w:rPr/>
        <w:t> party. </w:t>
      </w:r>
      <w:r>
        <w:rPr>
          <w:color w:val="005DA1"/>
          <w:u w:val="single" w:color="005DA1"/>
          <w:vertAlign w:val="superscript"/>
        </w:rPr>
        <w:t>305</w:t>
      </w:r>
      <w:r>
        <w:rPr>
          <w:color w:val="005DA1"/>
          <w:vertAlign w:val="baseline"/>
        </w:rPr>
        <w:t> </w:t>
      </w:r>
      <w:r>
        <w:rPr>
          <w:vertAlign w:val="baseline"/>
        </w:rPr>
        <w:t>But this apparently “logical” deduction from the “posting rule” overlooks the fundamental point that that rule is only one of convenience. </w:t>
      </w:r>
      <w:r>
        <w:rPr>
          <w:color w:val="005DA1"/>
          <w:u w:val="single" w:color="005DA1"/>
          <w:vertAlign w:val="superscript"/>
        </w:rPr>
        <w:t>306</w:t>
      </w:r>
      <w:r>
        <w:rPr>
          <w:color w:val="005DA1"/>
          <w:vertAlign w:val="baseline"/>
        </w:rPr>
        <w:t> </w:t>
      </w:r>
      <w:r>
        <w:rPr>
          <w:vertAlign w:val="baseline"/>
        </w:rPr>
        <w:t>Hence the issue is whether the offeror could be unjustly prejudiced by allowing the offeree to rely on the subsequent revocation which nevertheless comes to his actual notice at the same time as, or before, the acceptance. On the one hand, it can be argued that the offeror cannot be prejudiced since he was not entitled to have his offer accepted and cannot have relied on its having been accepted if he did not yet know of the acceptance. On the other </w:t>
      </w:r>
      <w:bookmarkStart w:name="_bookmark548" w:id="550"/>
      <w:bookmarkEnd w:id="550"/>
      <w:r>
        <w:rPr>
          <w:vertAlign w:val="baseline"/>
        </w:rPr>
        <w:t>hand</w:t>
      </w:r>
      <w:r>
        <w:rPr>
          <w:spacing w:val="-1"/>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argued</w:t>
      </w:r>
      <w:r>
        <w:rPr>
          <w:spacing w:val="-1"/>
          <w:vertAlign w:val="baseline"/>
        </w:rPr>
        <w:t> </w:t>
      </w:r>
      <w:r>
        <w:rPr>
          <w:vertAlign w:val="baseline"/>
        </w:rPr>
        <w:t>that,</w:t>
      </w:r>
      <w:r>
        <w:rPr>
          <w:spacing w:val="-1"/>
          <w:vertAlign w:val="baseline"/>
        </w:rPr>
        <w:t> </w:t>
      </w:r>
      <w:r>
        <w:rPr>
          <w:vertAlign w:val="baseline"/>
        </w:rPr>
        <w:t>since</w:t>
      </w:r>
      <w:r>
        <w:rPr>
          <w:spacing w:val="-1"/>
          <w:vertAlign w:val="baseline"/>
        </w:rPr>
        <w:t> </w:t>
      </w:r>
      <w:r>
        <w:rPr>
          <w:vertAlign w:val="baseline"/>
        </w:rPr>
        <w:t>the</w:t>
      </w:r>
      <w:r>
        <w:rPr>
          <w:spacing w:val="-1"/>
          <w:vertAlign w:val="baseline"/>
        </w:rPr>
        <w:t> </w:t>
      </w:r>
      <w:r>
        <w:rPr>
          <w:vertAlign w:val="baseline"/>
        </w:rPr>
        <w:t>offeror</w:t>
      </w:r>
      <w:r>
        <w:rPr>
          <w:spacing w:val="-1"/>
          <w:vertAlign w:val="baseline"/>
        </w:rPr>
        <w:t> </w:t>
      </w:r>
      <w:r>
        <w:rPr>
          <w:vertAlign w:val="baseline"/>
        </w:rPr>
        <w:t>can</w:t>
      </w:r>
      <w:r>
        <w:rPr>
          <w:spacing w:val="-1"/>
          <w:vertAlign w:val="baseline"/>
        </w:rPr>
        <w:t> </w:t>
      </w:r>
      <w:r>
        <w:rPr>
          <w:vertAlign w:val="baseline"/>
        </w:rPr>
        <w:t>no</w:t>
      </w:r>
      <w:r>
        <w:rPr>
          <w:spacing w:val="-1"/>
          <w:vertAlign w:val="baseline"/>
        </w:rPr>
        <w:t> </w:t>
      </w:r>
      <w:r>
        <w:rPr>
          <w:vertAlign w:val="baseline"/>
        </w:rPr>
        <w:t>longer</w:t>
      </w:r>
      <w:r>
        <w:rPr>
          <w:spacing w:val="-1"/>
          <w:vertAlign w:val="baseline"/>
        </w:rPr>
        <w:t> </w:t>
      </w:r>
      <w:r>
        <w:rPr>
          <w:vertAlign w:val="baseline"/>
        </w:rPr>
        <w:t>withdraw</w:t>
      </w:r>
      <w:r>
        <w:rPr>
          <w:spacing w:val="-1"/>
          <w:vertAlign w:val="baseline"/>
        </w:rPr>
        <w:t> </w:t>
      </w:r>
      <w:r>
        <w:rPr>
          <w:vertAlign w:val="baseline"/>
        </w:rPr>
        <w:t>his</w:t>
      </w:r>
      <w:r>
        <w:rPr>
          <w:spacing w:val="-1"/>
          <w:vertAlign w:val="baseline"/>
        </w:rPr>
        <w:t> </w:t>
      </w:r>
      <w:r>
        <w:rPr>
          <w:vertAlign w:val="baseline"/>
        </w:rPr>
        <w:t>offer</w:t>
      </w:r>
      <w:r>
        <w:rPr>
          <w:spacing w:val="-1"/>
          <w:vertAlign w:val="baseline"/>
        </w:rPr>
        <w:t> </w:t>
      </w:r>
      <w:r>
        <w:rPr>
          <w:vertAlign w:val="baseline"/>
        </w:rPr>
        <w:t>after</w:t>
      </w:r>
      <w:r>
        <w:rPr>
          <w:spacing w:val="-1"/>
          <w:vertAlign w:val="baseline"/>
        </w:rPr>
        <w:t> </w:t>
      </w:r>
      <w:r>
        <w:rPr>
          <w:vertAlign w:val="baseline"/>
        </w:rPr>
        <w:t>the</w:t>
      </w:r>
      <w:r>
        <w:rPr>
          <w:spacing w:val="-1"/>
          <w:vertAlign w:val="baseline"/>
        </w:rPr>
        <w:t> </w:t>
      </w:r>
      <w:r>
        <w:rPr>
          <w:vertAlign w:val="baseline"/>
        </w:rPr>
        <w:t>acceptance</w:t>
      </w:r>
      <w:r>
        <w:rPr>
          <w:spacing w:val="-1"/>
          <w:vertAlign w:val="baseline"/>
        </w:rPr>
        <w:t> </w:t>
      </w:r>
      <w:r>
        <w:rPr>
          <w:vertAlign w:val="baseline"/>
        </w:rPr>
        <w:t>has </w:t>
      </w:r>
      <w:bookmarkStart w:name="_bookmark549" w:id="551"/>
      <w:bookmarkEnd w:id="551"/>
      <w:r>
        <w:rPr>
          <w:vertAlign w:val="baseline"/>
        </w:rPr>
        <w:t>been</w:t>
      </w:r>
      <w:r>
        <w:rPr>
          <w:vertAlign w:val="baseline"/>
        </w:rPr>
        <w:t> posted by the offeree, </w:t>
      </w:r>
      <w:r>
        <w:rPr>
          <w:color w:val="005DA1"/>
          <w:u w:val="single" w:color="005DA1"/>
          <w:vertAlign w:val="superscript"/>
        </w:rPr>
        <w:t>307</w:t>
      </w:r>
      <w:r>
        <w:rPr>
          <w:color w:val="005DA1"/>
          <w:vertAlign w:val="baseline"/>
        </w:rPr>
        <w:t> </w:t>
      </w:r>
      <w:r>
        <w:rPr>
          <w:vertAlign w:val="baseline"/>
        </w:rPr>
        <w:t>reciprocity demands that the offeree should likewise not be allowed to withdraw his acceptance. </w:t>
      </w:r>
      <w:r>
        <w:rPr>
          <w:color w:val="005DA1"/>
          <w:u w:val="single" w:color="005DA1"/>
          <w:vertAlign w:val="superscript"/>
        </w:rPr>
        <w:t>308</w:t>
      </w:r>
      <w:r>
        <w:rPr>
          <w:color w:val="005DA1"/>
          <w:vertAlign w:val="baseline"/>
        </w:rPr>
        <w:t> </w:t>
      </w:r>
      <w:r>
        <w:rPr>
          <w:vertAlign w:val="baseline"/>
        </w:rPr>
        <w:t>Otherwise, the offeree could speculate, without risk to himself, at the offeror’s expense. He could post an acceptance and hold the offeror bound if the market moved in his own favour, but retract the acceptance by an overtaking communication if the market moved against him, while the offeror had no similar freedom of action. While the offeror may take the risks of </w:t>
      </w:r>
      <w:bookmarkStart w:name="_bookmark550" w:id="552"/>
      <w:bookmarkEnd w:id="552"/>
      <w:r>
        <w:rPr>
          <w:vertAlign w:val="baseline"/>
        </w:rPr>
        <w:t>accidents</w:t>
      </w:r>
      <w:r>
        <w:rPr>
          <w:vertAlign w:val="baseline"/>
        </w:rPr>
        <w:t> in the post, it is submitted that he should not have to bear the risk of the offeree’s revocation. </w:t>
      </w:r>
      <w:r>
        <w:rPr>
          <w:color w:val="005DA1"/>
          <w:u w:val="single" w:color="005DA1"/>
          <w:vertAlign w:val="superscript"/>
        </w:rPr>
        <w:t>309</w:t>
      </w:r>
    </w:p>
    <w:p>
      <w:pPr>
        <w:pStyle w:val="BodyText"/>
        <w:spacing w:before="74"/>
      </w:pPr>
    </w:p>
    <w:p>
      <w:pPr>
        <w:pStyle w:val="Heading2"/>
      </w:pPr>
      <w:r>
        <w:rPr/>
        <w:t>2-</w:t>
      </w:r>
      <w:r>
        <w:rPr>
          <w:spacing w:val="-5"/>
        </w:rPr>
        <w:t>060</w:t>
      </w:r>
    </w:p>
    <w:p>
      <w:pPr>
        <w:pStyle w:val="BodyText"/>
        <w:spacing w:line="235" w:lineRule="auto" w:before="203"/>
        <w:ind w:left="165" w:right="167"/>
        <w:jc w:val="both"/>
      </w:pPr>
      <w:r>
        <w:rPr/>
        <w:t>In para.2-059 above, it is assumed that the offeror wants to hold the offeree to the </w:t>
      </w:r>
      <w:r>
        <w:rPr/>
        <w:t>contract notwithstanding the revocation of the acceptance. But to hold an acceptance binding as soon as it</w:t>
      </w:r>
      <w:r>
        <w:rPr>
          <w:spacing w:val="40"/>
        </w:rPr>
        <w:t> </w:t>
      </w:r>
      <w:r>
        <w:rPr/>
        <w:t>was</w:t>
      </w:r>
      <w:r>
        <w:rPr>
          <w:spacing w:val="54"/>
        </w:rPr>
        <w:t> </w:t>
      </w:r>
      <w:r>
        <w:rPr/>
        <w:t>posted,</w:t>
      </w:r>
      <w:r>
        <w:rPr>
          <w:spacing w:val="54"/>
        </w:rPr>
        <w:t> </w:t>
      </w:r>
      <w:r>
        <w:rPr/>
        <w:t>in</w:t>
      </w:r>
      <w:r>
        <w:rPr>
          <w:spacing w:val="54"/>
        </w:rPr>
        <w:t> </w:t>
      </w:r>
      <w:r>
        <w:rPr/>
        <w:t>spite</w:t>
      </w:r>
      <w:r>
        <w:rPr>
          <w:spacing w:val="54"/>
        </w:rPr>
        <w:t> </w:t>
      </w:r>
      <w:r>
        <w:rPr/>
        <w:t>of</w:t>
      </w:r>
      <w:r>
        <w:rPr>
          <w:spacing w:val="54"/>
        </w:rPr>
        <w:t> </w:t>
      </w:r>
      <w:r>
        <w:rPr/>
        <w:t>an</w:t>
      </w:r>
      <w:r>
        <w:rPr>
          <w:spacing w:val="54"/>
        </w:rPr>
        <w:t> </w:t>
      </w:r>
      <w:r>
        <w:rPr/>
        <w:t>overtaking</w:t>
      </w:r>
      <w:r>
        <w:rPr>
          <w:spacing w:val="54"/>
        </w:rPr>
        <w:t> </w:t>
      </w:r>
      <w:r>
        <w:rPr/>
        <w:t>communication</w:t>
      </w:r>
      <w:r>
        <w:rPr>
          <w:spacing w:val="54"/>
        </w:rPr>
        <w:t> </w:t>
      </w:r>
      <w:r>
        <w:rPr/>
        <w:t>purporting</w:t>
      </w:r>
      <w:r>
        <w:rPr>
          <w:spacing w:val="54"/>
        </w:rPr>
        <w:t> </w:t>
      </w:r>
      <w:r>
        <w:rPr/>
        <w:t>to</w:t>
      </w:r>
      <w:r>
        <w:rPr>
          <w:spacing w:val="54"/>
        </w:rPr>
        <w:t> </w:t>
      </w:r>
      <w:r>
        <w:rPr/>
        <w:t>revoke</w:t>
      </w:r>
      <w:r>
        <w:rPr>
          <w:spacing w:val="54"/>
        </w:rPr>
        <w:t> </w:t>
      </w:r>
      <w:r>
        <w:rPr/>
        <w:t>it,</w:t>
      </w:r>
      <w:r>
        <w:rPr>
          <w:spacing w:val="54"/>
        </w:rPr>
        <w:t> </w:t>
      </w:r>
      <w:r>
        <w:rPr/>
        <w:t>might</w:t>
      </w:r>
      <w:r>
        <w:rPr>
          <w:spacing w:val="54"/>
        </w:rPr>
        <w:t> </w:t>
      </w:r>
      <w:r>
        <w:rPr/>
        <w:t>also</w:t>
      </w:r>
      <w:r>
        <w:rPr>
          <w:spacing w:val="54"/>
        </w:rPr>
        <w:t> </w:t>
      </w:r>
      <w:r>
        <w:rPr>
          <w:spacing w:val="-2"/>
        </w:rPr>
        <w:t>cause</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r>
        <w:rPr/>
        <w:t>hardship to the offeror, particularly where he had acted in reliance on the revocation; e.g. by </w:t>
      </w:r>
      <w:r>
        <w:rPr/>
        <w:t>selling the subject-matter of the original offer to a third party. In such a case it is submitted that the offeree should</w:t>
      </w:r>
      <w:r>
        <w:rPr>
          <w:spacing w:val="-1"/>
        </w:rPr>
        <w:t> </w:t>
      </w:r>
      <w:r>
        <w:rPr/>
        <w:t>not</w:t>
      </w:r>
      <w:r>
        <w:rPr>
          <w:spacing w:val="-1"/>
        </w:rPr>
        <w:t> </w:t>
      </w:r>
      <w:r>
        <w:rPr/>
        <w:t>be</w:t>
      </w:r>
      <w:r>
        <w:rPr>
          <w:spacing w:val="-1"/>
        </w:rPr>
        <w:t> </w:t>
      </w:r>
      <w:r>
        <w:rPr/>
        <w:t>entitled</w:t>
      </w:r>
      <w:r>
        <w:rPr>
          <w:spacing w:val="-1"/>
        </w:rPr>
        <w:t> </w:t>
      </w:r>
      <w:r>
        <w:rPr/>
        <w:t>to</w:t>
      </w:r>
      <w:r>
        <w:rPr>
          <w:spacing w:val="-1"/>
        </w:rPr>
        <w:t> </w:t>
      </w:r>
      <w:r>
        <w:rPr/>
        <w:t>change</w:t>
      </w:r>
      <w:r>
        <w:rPr>
          <w:spacing w:val="-1"/>
        </w:rPr>
        <w:t> </w:t>
      </w:r>
      <w:r>
        <w:rPr/>
        <w:t>his</w:t>
      </w:r>
      <w:r>
        <w:rPr>
          <w:spacing w:val="-1"/>
        </w:rPr>
        <w:t> </w:t>
      </w:r>
      <w:r>
        <w:rPr/>
        <w:t>mind</w:t>
      </w:r>
      <w:r>
        <w:rPr>
          <w:spacing w:val="-1"/>
        </w:rPr>
        <w:t> </w:t>
      </w:r>
      <w:r>
        <w:rPr/>
        <w:t>yet</w:t>
      </w:r>
      <w:r>
        <w:rPr>
          <w:spacing w:val="-1"/>
        </w:rPr>
        <w:t> </w:t>
      </w:r>
      <w:r>
        <w:rPr/>
        <w:t>again</w:t>
      </w:r>
      <w:r>
        <w:rPr>
          <w:spacing w:val="-1"/>
        </w:rPr>
        <w:t> </w:t>
      </w:r>
      <w:r>
        <w:rPr/>
        <w:t>and</w:t>
      </w:r>
      <w:r>
        <w:rPr>
          <w:spacing w:val="-1"/>
        </w:rPr>
        <w:t> </w:t>
      </w:r>
      <w:r>
        <w:rPr/>
        <w:t>rely</w:t>
      </w:r>
      <w:r>
        <w:rPr>
          <w:spacing w:val="-1"/>
        </w:rPr>
        <w:t> </w:t>
      </w:r>
      <w:r>
        <w:rPr/>
        <w:t>on</w:t>
      </w:r>
      <w:r>
        <w:rPr>
          <w:spacing w:val="-1"/>
        </w:rPr>
        <w:t> </w:t>
      </w:r>
      <w:r>
        <w:rPr/>
        <w:t>his</w:t>
      </w:r>
      <w:r>
        <w:rPr>
          <w:spacing w:val="-1"/>
        </w:rPr>
        <w:t> </w:t>
      </w:r>
      <w:r>
        <w:rPr/>
        <w:t>letter</w:t>
      </w:r>
      <w:r>
        <w:rPr>
          <w:spacing w:val="-1"/>
        </w:rPr>
        <w:t> </w:t>
      </w:r>
      <w:r>
        <w:rPr/>
        <w:t>of</w:t>
      </w:r>
      <w:r>
        <w:rPr>
          <w:spacing w:val="-1"/>
        </w:rPr>
        <w:t> </w:t>
      </w:r>
      <w:r>
        <w:rPr/>
        <w:t>acceptance</w:t>
      </w:r>
      <w:r>
        <w:rPr>
          <w:spacing w:val="-1"/>
        </w:rPr>
        <w:t> </w:t>
      </w:r>
      <w:r>
        <w:rPr/>
        <w:t>with</w:t>
      </w:r>
      <w:r>
        <w:rPr>
          <w:spacing w:val="-1"/>
        </w:rPr>
        <w:t> </w:t>
      </w:r>
      <w:r>
        <w:rPr/>
        <w:t>the</w:t>
      </w:r>
      <w:r>
        <w:rPr>
          <w:spacing w:val="-1"/>
        </w:rPr>
        <w:t> </w:t>
      </w:r>
      <w:r>
        <w:rPr/>
        <w:t>object of claiming damages from the offeror. The offeree’s subsequent purported revocation could in such a case be regarded as an offer to rescind the contract, accepted by the offeror’s conduct in relation to subject-matter; communication of such acceptance could be deemed to have been waived. Alternatively, the purported revocation could be regarded as a repudiation in breach of contract,</w:t>
      </w:r>
      <w:r>
        <w:rPr>
          <w:spacing w:val="80"/>
        </w:rPr>
        <w:t> </w:t>
      </w:r>
      <w:bookmarkStart w:name="_bookmark551" w:id="553"/>
      <w:bookmarkEnd w:id="553"/>
      <w:r>
        <w:rPr/>
        <w:t>giving</w:t>
      </w:r>
      <w:r>
        <w:rPr/>
        <w:t> the offeror the power to put an end to his obligations under the contract by “accepting” the </w:t>
      </w:r>
      <w:bookmarkStart w:name="_bookmark552" w:id="554"/>
      <w:bookmarkEnd w:id="554"/>
      <w:r>
        <w:rPr/>
        <w:t>breach.</w:t>
      </w:r>
      <w:r>
        <w:rPr/>
        <w:t> </w:t>
      </w:r>
      <w:r>
        <w:rPr>
          <w:color w:val="005DA1"/>
          <w:u w:val="single" w:color="005DA1"/>
          <w:vertAlign w:val="superscript"/>
        </w:rPr>
        <w:t>310</w:t>
      </w:r>
      <w:r>
        <w:rPr>
          <w:color w:val="005DA1"/>
          <w:vertAlign w:val="baseline"/>
        </w:rPr>
        <w:t> </w:t>
      </w:r>
      <w:r>
        <w:rPr>
          <w:vertAlign w:val="baseline"/>
        </w:rPr>
        <w:t>On the latter view, the offeror who sells to the third party for less than was to be paid by</w:t>
      </w:r>
      <w:r>
        <w:rPr>
          <w:spacing w:val="40"/>
          <w:vertAlign w:val="baseline"/>
        </w:rPr>
        <w:t> </w:t>
      </w:r>
      <w:r>
        <w:rPr>
          <w:vertAlign w:val="baseline"/>
        </w:rPr>
        <w:t>the original offeree, would be able to claim the difference from the offeree as damages. </w:t>
      </w:r>
      <w:r>
        <w:rPr>
          <w:color w:val="005DA1"/>
          <w:u w:val="single" w:color="005DA1"/>
          <w:vertAlign w:val="superscript"/>
        </w:rPr>
        <w:t>311</w:t>
      </w:r>
    </w:p>
    <w:p>
      <w:pPr>
        <w:pStyle w:val="BodyText"/>
      </w:pPr>
    </w:p>
    <w:p>
      <w:pPr>
        <w:pStyle w:val="BodyText"/>
        <w:spacing w:before="35"/>
      </w:pPr>
    </w:p>
    <w:p>
      <w:pPr>
        <w:spacing w:before="0"/>
        <w:ind w:left="165" w:right="0" w:firstLine="0"/>
        <w:jc w:val="both"/>
        <w:rPr>
          <w:rFonts w:ascii="Arial"/>
          <w:b/>
          <w:sz w:val="18"/>
        </w:rPr>
      </w:pPr>
      <w:r>
        <w:rPr>
          <w:rFonts w:ascii="Arial"/>
          <w:b/>
          <w:sz w:val="18"/>
        </w:rPr>
        <w:t>International </w:t>
      </w:r>
      <w:r>
        <w:rPr>
          <w:rFonts w:ascii="Arial"/>
          <w:b/>
          <w:spacing w:val="-2"/>
          <w:sz w:val="18"/>
        </w:rPr>
        <w:t>sales</w:t>
      </w:r>
    </w:p>
    <w:p>
      <w:pPr>
        <w:pStyle w:val="BodyText"/>
        <w:spacing w:before="41"/>
        <w:rPr>
          <w:rFonts w:ascii="Arial"/>
          <w:b/>
          <w:sz w:val="18"/>
        </w:rPr>
      </w:pPr>
    </w:p>
    <w:p>
      <w:pPr>
        <w:pStyle w:val="Heading2"/>
      </w:pPr>
      <w:r>
        <w:rPr/>
        <w:t>2-</w:t>
      </w:r>
      <w:r>
        <w:rPr>
          <w:spacing w:val="-5"/>
        </w:rPr>
        <w:t>061</w:t>
      </w:r>
    </w:p>
    <w:p>
      <w:pPr>
        <w:pStyle w:val="BodyText"/>
        <w:spacing w:line="235" w:lineRule="auto" w:before="203"/>
        <w:ind w:left="164" w:right="167"/>
        <w:jc w:val="both"/>
      </w:pPr>
      <w:bookmarkStart w:name="_bookmark553" w:id="555"/>
      <w:bookmarkEnd w:id="555"/>
      <w:r>
        <w:rPr/>
      </w:r>
      <w:r>
        <w:rPr/>
        <w:t>The Vienna Convention on Contracts for the International Sale of Goods </w:t>
      </w:r>
      <w:r>
        <w:rPr>
          <w:color w:val="005DA1"/>
          <w:u w:val="single" w:color="005DA1"/>
          <w:vertAlign w:val="superscript"/>
        </w:rPr>
        <w:t>312</w:t>
      </w:r>
      <w:r>
        <w:rPr>
          <w:color w:val="005DA1"/>
          <w:vertAlign w:val="baseline"/>
        </w:rPr>
        <w:t> </w:t>
      </w:r>
      <w:r>
        <w:rPr>
          <w:vertAlign w:val="baseline"/>
        </w:rPr>
        <w:t>(which has not been </w:t>
      </w:r>
      <w:bookmarkStart w:name="_bookmark554" w:id="556"/>
      <w:bookmarkEnd w:id="556"/>
      <w:r>
        <w:rPr>
          <w:vertAlign w:val="baseline"/>
        </w:rPr>
        <w:t>ratified</w:t>
      </w:r>
      <w:r>
        <w:rPr>
          <w:vertAlign w:val="baseline"/>
        </w:rPr>
        <w:t> by the United Kingdom) governs not only the rights and duties of the parties to, but also </w:t>
      </w:r>
      <w:r>
        <w:rPr>
          <w:vertAlign w:val="baseline"/>
        </w:rPr>
        <w:t>the </w:t>
      </w:r>
      <w:bookmarkStart w:name="_bookmark555" w:id="557"/>
      <w:bookmarkEnd w:id="557"/>
      <w:r>
        <w:rPr>
          <w:vertAlign w:val="baseline"/>
        </w:rPr>
        <w:t>formation</w:t>
      </w:r>
      <w:r>
        <w:rPr>
          <w:vertAlign w:val="baseline"/>
        </w:rPr>
        <w:t> of, such contracts. Under the Convention an offer takes effect when it “reaches” the offeree </w:t>
      </w:r>
      <w:r>
        <w:rPr>
          <w:color w:val="005DA1"/>
          <w:u w:val="single" w:color="005DA1"/>
          <w:vertAlign w:val="superscript"/>
        </w:rPr>
        <w:t>313</w:t>
      </w:r>
      <w:r>
        <w:rPr>
          <w:color w:val="005DA1"/>
          <w:spacing w:val="-2"/>
          <w:vertAlign w:val="baseline"/>
        </w:rPr>
        <w:t> </w:t>
      </w:r>
      <w:bookmarkStart w:name="_bookmark556" w:id="558"/>
      <w:bookmarkEnd w:id="558"/>
      <w:r>
        <w:rPr>
          <w:color w:val="005DA1"/>
          <w:spacing w:val="2"/>
          <w:vertAlign w:val="baseline"/>
        </w:rPr>
      </w:r>
      <w:r>
        <w:rPr>
          <w:vertAlign w:val="baseline"/>
        </w:rPr>
        <w:t>and</w:t>
      </w:r>
      <w:r>
        <w:rPr>
          <w:spacing w:val="-2"/>
          <w:vertAlign w:val="baseline"/>
        </w:rPr>
        <w:t> </w:t>
      </w:r>
      <w:r>
        <w:rPr>
          <w:vertAlign w:val="baseline"/>
        </w:rPr>
        <w:t>an</w:t>
      </w:r>
      <w:r>
        <w:rPr>
          <w:spacing w:val="-2"/>
          <w:vertAlign w:val="baseline"/>
        </w:rPr>
        <w:t> </w:t>
      </w:r>
      <w:r>
        <w:rPr>
          <w:vertAlign w:val="baseline"/>
        </w:rPr>
        <w:t>acceptance</w:t>
      </w:r>
      <w:r>
        <w:rPr>
          <w:spacing w:val="-2"/>
          <w:vertAlign w:val="baseline"/>
        </w:rPr>
        <w:t> </w:t>
      </w:r>
      <w:r>
        <w:rPr>
          <w:vertAlign w:val="baseline"/>
        </w:rPr>
        <w:t>when</w:t>
      </w:r>
      <w:r>
        <w:rPr>
          <w:spacing w:val="-2"/>
          <w:vertAlign w:val="baseline"/>
        </w:rPr>
        <w:t> </w:t>
      </w:r>
      <w:r>
        <w:rPr>
          <w:vertAlign w:val="baseline"/>
        </w:rPr>
        <w:t>it</w:t>
      </w:r>
      <w:r>
        <w:rPr>
          <w:spacing w:val="-2"/>
          <w:vertAlign w:val="baseline"/>
        </w:rPr>
        <w:t> </w:t>
      </w:r>
      <w:r>
        <w:rPr>
          <w:vertAlign w:val="baseline"/>
        </w:rPr>
        <w:t>“reaches”</w:t>
      </w:r>
      <w:r>
        <w:rPr>
          <w:spacing w:val="-2"/>
          <w:vertAlign w:val="baseline"/>
        </w:rPr>
        <w:t> </w:t>
      </w:r>
      <w:r>
        <w:rPr>
          <w:vertAlign w:val="baseline"/>
        </w:rPr>
        <w:t>the</w:t>
      </w:r>
      <w:r>
        <w:rPr>
          <w:spacing w:val="-2"/>
          <w:vertAlign w:val="baseline"/>
        </w:rPr>
        <w:t> </w:t>
      </w:r>
      <w:r>
        <w:rPr>
          <w:vertAlign w:val="baseline"/>
        </w:rPr>
        <w:t>offeror,</w:t>
      </w:r>
      <w:r>
        <w:rPr>
          <w:spacing w:val="-3"/>
          <w:vertAlign w:val="baseline"/>
        </w:rPr>
        <w:t> </w:t>
      </w:r>
      <w:r>
        <w:rPr>
          <w:color w:val="005DA1"/>
          <w:u w:val="single" w:color="005DA1"/>
          <w:vertAlign w:val="superscript"/>
        </w:rPr>
        <w:t>314</w:t>
      </w:r>
      <w:r>
        <w:rPr>
          <w:color w:val="005DA1"/>
          <w:spacing w:val="-2"/>
          <w:vertAlign w:val="baseline"/>
        </w:rPr>
        <w:t> </w:t>
      </w:r>
      <w:r>
        <w:rPr>
          <w:vertAlign w:val="baseline"/>
        </w:rPr>
        <w:t>i.e.</w:t>
      </w:r>
      <w:r>
        <w:rPr>
          <w:spacing w:val="-2"/>
          <w:vertAlign w:val="baseline"/>
        </w:rPr>
        <w:t> </w:t>
      </w:r>
      <w:r>
        <w:rPr>
          <w:vertAlign w:val="baseline"/>
        </w:rPr>
        <w:t>(in</w:t>
      </w:r>
      <w:r>
        <w:rPr>
          <w:spacing w:val="-2"/>
          <w:vertAlign w:val="baseline"/>
        </w:rPr>
        <w:t> </w:t>
      </w:r>
      <w:r>
        <w:rPr>
          <w:vertAlign w:val="baseline"/>
        </w:rPr>
        <w:t>both</w:t>
      </w:r>
      <w:r>
        <w:rPr>
          <w:spacing w:val="-2"/>
          <w:vertAlign w:val="baseline"/>
        </w:rPr>
        <w:t> </w:t>
      </w:r>
      <w:r>
        <w:rPr>
          <w:vertAlign w:val="baseline"/>
        </w:rPr>
        <w:t>cases)</w:t>
      </w:r>
      <w:r>
        <w:rPr>
          <w:spacing w:val="-2"/>
          <w:vertAlign w:val="baseline"/>
        </w:rPr>
        <w:t> </w:t>
      </w:r>
      <w:r>
        <w:rPr>
          <w:vertAlign w:val="baseline"/>
        </w:rPr>
        <w:t>when</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communicated</w:t>
      </w:r>
      <w:r>
        <w:rPr>
          <w:spacing w:val="-2"/>
          <w:vertAlign w:val="baseline"/>
        </w:rPr>
        <w:t> </w:t>
      </w:r>
      <w:r>
        <w:rPr>
          <w:vertAlign w:val="baseline"/>
        </w:rPr>
        <w:t>to the addressee or delivered to his address. </w:t>
      </w:r>
      <w:r>
        <w:rPr>
          <w:color w:val="005DA1"/>
          <w:u w:val="single" w:color="005DA1"/>
          <w:vertAlign w:val="superscript"/>
        </w:rPr>
        <w:t>315</w:t>
      </w:r>
      <w:r>
        <w:rPr>
          <w:color w:val="005DA1"/>
          <w:vertAlign w:val="baseline"/>
        </w:rPr>
        <w:t> </w:t>
      </w:r>
      <w:r>
        <w:rPr>
          <w:vertAlign w:val="baseline"/>
        </w:rPr>
        <w:t>Thus there is no contract if the acceptance is lost in the post; but if the acceptance is delayed in transmission, an intermediary position has been adopted; the </w:t>
      </w:r>
      <w:bookmarkStart w:name="_bookmark557" w:id="559"/>
      <w:bookmarkEnd w:id="559"/>
      <w:r>
        <w:rPr>
          <w:vertAlign w:val="baseline"/>
        </w:rPr>
        <w:t>delayed</w:t>
      </w:r>
      <w:r>
        <w:rPr>
          <w:vertAlign w:val="baseline"/>
        </w:rPr>
        <w:t> acceptance is effective, unless the offeror informs the offeree promptly on its receipt that he </w:t>
      </w:r>
      <w:bookmarkStart w:name="_bookmark558" w:id="560"/>
      <w:bookmarkEnd w:id="560"/>
      <w:r>
        <w:rPr>
          <w:vertAlign w:val="baseline"/>
        </w:rPr>
        <w:t>regards</w:t>
      </w:r>
      <w:r>
        <w:rPr>
          <w:vertAlign w:val="baseline"/>
        </w:rPr>
        <w:t> the offer as having lapsed. </w:t>
      </w:r>
      <w:r>
        <w:rPr>
          <w:color w:val="005DA1"/>
          <w:u w:val="single" w:color="005DA1"/>
          <w:vertAlign w:val="superscript"/>
        </w:rPr>
        <w:t>316</w:t>
      </w:r>
      <w:r>
        <w:rPr>
          <w:color w:val="005DA1"/>
          <w:vertAlign w:val="baseline"/>
        </w:rPr>
        <w:t> </w:t>
      </w:r>
      <w:r>
        <w:rPr>
          <w:vertAlign w:val="baseline"/>
        </w:rPr>
        <w:t>Once an offer has become effective, it cannot be revoked after the offeree has dispatched his acceptance </w:t>
      </w:r>
      <w:r>
        <w:rPr>
          <w:color w:val="005DA1"/>
          <w:u w:val="single" w:color="005DA1"/>
          <w:vertAlign w:val="superscript"/>
        </w:rPr>
        <w:t>317</w:t>
      </w:r>
      <w:r>
        <w:rPr>
          <w:vertAlign w:val="baseline"/>
        </w:rPr>
        <w:t>: this preserves the English position that a posted acceptance prevails over a previously posted withdrawal (referred to in the Convention as a </w:t>
      </w:r>
      <w:bookmarkStart w:name="_bookmark559" w:id="561"/>
      <w:bookmarkEnd w:id="561"/>
      <w:r>
        <w:rPr>
          <w:vertAlign w:val="baseline"/>
        </w:rPr>
        <w:t>revocation).</w:t>
      </w:r>
      <w:r>
        <w:rPr>
          <w:vertAlign w:val="baseline"/>
        </w:rPr>
        <w:t> An acceptance may be withdrawn by a communication that reaches the offeror before (or at the same time as) the acceptance would have become effective </w:t>
      </w:r>
      <w:r>
        <w:rPr>
          <w:color w:val="005DA1"/>
          <w:u w:val="single" w:color="005DA1"/>
          <w:vertAlign w:val="superscript"/>
        </w:rPr>
        <w:t>318</w:t>
      </w:r>
      <w:r>
        <w:rPr>
          <w:color w:val="005DA1"/>
          <w:vertAlign w:val="baseline"/>
        </w:rPr>
        <w:t> </w:t>
      </w:r>
      <w:r>
        <w:rPr>
          <w:vertAlign w:val="baseline"/>
        </w:rPr>
        <w:t>if there had been no such </w:t>
      </w:r>
      <w:r>
        <w:rPr>
          <w:spacing w:val="-2"/>
          <w:vertAlign w:val="baseline"/>
        </w:rPr>
        <w:t>withdrawal.</w:t>
      </w:r>
    </w:p>
    <w:p>
      <w:pPr>
        <w:pStyle w:val="BodyText"/>
      </w:pPr>
    </w:p>
    <w:p>
      <w:pPr>
        <w:pStyle w:val="BodyText"/>
        <w:spacing w:before="34"/>
      </w:pPr>
    </w:p>
    <w:p>
      <w:pPr>
        <w:spacing w:before="0"/>
        <w:ind w:left="165" w:right="0" w:firstLine="0"/>
        <w:jc w:val="left"/>
        <w:rPr>
          <w:rFonts w:ascii="Arial" w:hAnsi="Arial"/>
          <w:b/>
          <w:sz w:val="18"/>
        </w:rPr>
      </w:pPr>
      <w:r>
        <w:rPr>
          <w:rFonts w:ascii="Arial" w:hAnsi="Arial"/>
          <w:b/>
          <w:sz w:val="18"/>
        </w:rPr>
        <w:t>Consumer’s right to cancel distance and off-premises </w:t>
      </w:r>
      <w:r>
        <w:rPr>
          <w:rFonts w:ascii="Arial" w:hAnsi="Arial"/>
          <w:b/>
          <w:spacing w:val="-2"/>
          <w:sz w:val="18"/>
        </w:rPr>
        <w:t>contracts</w:t>
      </w:r>
    </w:p>
    <w:p>
      <w:pPr>
        <w:pStyle w:val="BodyText"/>
        <w:spacing w:before="41"/>
        <w:rPr>
          <w:rFonts w:ascii="Arial"/>
          <w:b/>
          <w:sz w:val="18"/>
        </w:rPr>
      </w:pPr>
    </w:p>
    <w:p>
      <w:pPr>
        <w:pStyle w:val="Heading2"/>
      </w:pPr>
      <w:r>
        <w:rPr/>
        <w:t>2-</w:t>
      </w:r>
      <w:r>
        <w:rPr>
          <w:spacing w:val="-5"/>
        </w:rPr>
        <w:t>062</w:t>
      </w:r>
    </w:p>
    <w:p>
      <w:pPr>
        <w:pStyle w:val="BodyText"/>
        <w:spacing w:line="235" w:lineRule="auto" w:before="203"/>
        <w:ind w:left="165" w:right="167"/>
        <w:jc w:val="both"/>
      </w:pPr>
      <w:bookmarkStart w:name="_bookmark560" w:id="562"/>
      <w:bookmarkEnd w:id="562"/>
      <w:r>
        <w:rPr/>
      </w:r>
      <w:r>
        <w:rPr/>
        <w:t>Part 3 of the Consumer Protection (Information, Cancellation and Additional Charges) Regulations </w:t>
      </w:r>
      <w:bookmarkStart w:name="_bookmark561" w:id="563"/>
      <w:bookmarkEnd w:id="563"/>
      <w:r>
        <w:rPr/>
        <w:t>2013</w:t>
      </w:r>
      <w:r>
        <w:rPr/>
        <w:t> </w:t>
      </w:r>
      <w:r>
        <w:rPr>
          <w:color w:val="005DA1"/>
          <w:u w:val="single" w:color="005DA1"/>
          <w:vertAlign w:val="superscript"/>
        </w:rPr>
        <w:t>319</w:t>
      </w:r>
      <w:r>
        <w:rPr>
          <w:color w:val="005DA1"/>
          <w:vertAlign w:val="baseline"/>
        </w:rPr>
        <w:t> </w:t>
      </w:r>
      <w:r>
        <w:rPr>
          <w:vertAlign w:val="baseline"/>
        </w:rPr>
        <w:t>applies to “distance and off-premises contracts between a trader and a consumer” </w:t>
      </w:r>
      <w:r>
        <w:rPr>
          <w:color w:val="005DA1"/>
          <w:u w:val="single" w:color="005DA1"/>
          <w:vertAlign w:val="superscript"/>
        </w:rPr>
        <w:t>320</w:t>
      </w:r>
      <w:r>
        <w:rPr>
          <w:color w:val="005DA1"/>
          <w:vertAlign w:val="baseline"/>
        </w:rPr>
        <w:t> </w:t>
      </w:r>
      <w:r>
        <w:rPr>
          <w:vertAlign w:val="baseline"/>
        </w:rPr>
        <w:t>and in the circumstances specified in that Part gives the consumer a “right to cancel” such contracts. </w:t>
      </w:r>
      <w:r>
        <w:rPr>
          <w:color w:val="005DA1"/>
          <w:u w:val="single" w:color="005DA1"/>
          <w:vertAlign w:val="superscript"/>
        </w:rPr>
        <w:t>321</w:t>
      </w:r>
      <w:r>
        <w:rPr>
          <w:color w:val="005DA1"/>
          <w:vertAlign w:val="baseline"/>
        </w:rPr>
        <w:t> </w:t>
      </w:r>
      <w:r>
        <w:rPr>
          <w:vertAlign w:val="baseline"/>
        </w:rPr>
        <w:t>A contract made by, for example, exchange of letters, faxes or email message, or in website trading, falls within the definition of a “distance contract” within the 2013 Regulations if it is one for the </w:t>
      </w:r>
      <w:r>
        <w:rPr>
          <w:vertAlign w:val="baseline"/>
        </w:rPr>
        <w:t>supply of goods or services by a “trader” to a “consumer” and the contract is made:</w:t>
      </w:r>
    </w:p>
    <w:p>
      <w:pPr>
        <w:pStyle w:val="BodyText"/>
      </w:pPr>
    </w:p>
    <w:p>
      <w:pPr>
        <w:pStyle w:val="BodyText"/>
        <w:spacing w:before="124"/>
      </w:pPr>
    </w:p>
    <w:p>
      <w:pPr>
        <w:pStyle w:val="BodyText"/>
        <w:spacing w:line="235" w:lineRule="auto"/>
        <w:ind w:left="1245" w:right="167"/>
        <w:jc w:val="both"/>
      </w:pPr>
      <w:r>
        <w:rPr/>
        <w:t>“without the simultaneous presence of the trader and the consumer, with the exclusive </w:t>
      </w:r>
      <w:bookmarkStart w:name="_bookmark562" w:id="564"/>
      <w:bookmarkEnd w:id="564"/>
      <w:r>
        <w:rPr/>
        <w:t>use</w:t>
      </w:r>
      <w:r>
        <w:rPr/>
        <w:t> of one or more means of distance communication up to and including the time at which the contract is concluded.” </w:t>
      </w:r>
      <w:r>
        <w:rPr>
          <w:color w:val="005DA1"/>
          <w:u w:val="single" w:color="005DA1"/>
          <w:vertAlign w:val="superscript"/>
        </w:rPr>
        <w:t>322</w:t>
      </w:r>
    </w:p>
    <w:p>
      <w:pPr>
        <w:pStyle w:val="BodyText"/>
      </w:pPr>
    </w:p>
    <w:p>
      <w:pPr>
        <w:pStyle w:val="BodyText"/>
        <w:spacing w:before="206"/>
      </w:pPr>
    </w:p>
    <w:p>
      <w:pPr>
        <w:pStyle w:val="BodyText"/>
        <w:spacing w:line="235" w:lineRule="auto"/>
        <w:ind w:left="164" w:right="167"/>
        <w:jc w:val="both"/>
      </w:pPr>
      <w:bookmarkStart w:name="_bookmark563" w:id="565"/>
      <w:bookmarkEnd w:id="565"/>
      <w:r>
        <w:rPr/>
      </w:r>
      <w:bookmarkStart w:name="_bookmark564" w:id="566"/>
      <w:bookmarkEnd w:id="566"/>
      <w:r>
        <w:rPr/>
      </w:r>
      <w:r>
        <w:rPr/>
        <w:t>The Regulations do not specify when such a contract is made, </w:t>
      </w:r>
      <w:r>
        <w:rPr>
          <w:color w:val="005DA1"/>
          <w:u w:val="single" w:color="005DA1"/>
          <w:vertAlign w:val="superscript"/>
        </w:rPr>
        <w:t>323</w:t>
      </w:r>
      <w:r>
        <w:rPr>
          <w:color w:val="005DA1"/>
          <w:vertAlign w:val="baseline"/>
        </w:rPr>
        <w:t> </w:t>
      </w:r>
      <w:r>
        <w:rPr>
          <w:vertAlign w:val="baseline"/>
        </w:rPr>
        <w:t>but if it has been made, they </w:t>
      </w:r>
      <w:r>
        <w:rPr>
          <w:vertAlign w:val="baseline"/>
        </w:rPr>
        <w:t>give </w:t>
      </w:r>
      <w:bookmarkStart w:name="_bookmark565" w:id="567"/>
      <w:bookmarkEnd w:id="567"/>
      <w:r>
        <w:rPr>
          <w:vertAlign w:val="baseline"/>
        </w:rPr>
        <w:t>the</w:t>
      </w:r>
      <w:r>
        <w:rPr>
          <w:vertAlign w:val="baseline"/>
        </w:rPr>
        <w:t> consumer the right to cancel it </w:t>
      </w:r>
      <w:r>
        <w:rPr>
          <w:color w:val="005DA1"/>
          <w:u w:val="single" w:color="005DA1"/>
          <w:vertAlign w:val="superscript"/>
        </w:rPr>
        <w:t>324</w:t>
      </w:r>
      <w:r>
        <w:rPr>
          <w:color w:val="005DA1"/>
          <w:vertAlign w:val="baseline"/>
        </w:rPr>
        <w:t> </w:t>
      </w:r>
      <w:r>
        <w:rPr>
          <w:vertAlign w:val="baseline"/>
        </w:rPr>
        <w:t>by notice within a cancellation period specified in the Regulations (e.g. a period beginning when the contract is made </w:t>
      </w:r>
      <w:r>
        <w:rPr>
          <w:color w:val="005DA1"/>
          <w:u w:val="single" w:color="005DA1"/>
          <w:vertAlign w:val="superscript"/>
        </w:rPr>
        <w:t>325</w:t>
      </w:r>
      <w:r>
        <w:rPr>
          <w:color w:val="005DA1"/>
          <w:vertAlign w:val="baseline"/>
        </w:rPr>
        <w:t> </w:t>
      </w:r>
      <w:r>
        <w:rPr>
          <w:vertAlign w:val="baseline"/>
        </w:rPr>
        <w:t>and ending 14 days after the day </w:t>
      </w:r>
      <w:bookmarkStart w:name="_bookmark566" w:id="568"/>
      <w:bookmarkEnd w:id="568"/>
      <w:r>
        <w:rPr>
          <w:vertAlign w:val="baseline"/>
        </w:rPr>
        <w:t>on</w:t>
      </w:r>
      <w:r>
        <w:rPr>
          <w:vertAlign w:val="baseline"/>
        </w:rPr>
        <w:t> which the goods which are the subject-matter of the contract come into the physical possession of the consumer </w:t>
      </w:r>
      <w:r>
        <w:rPr>
          <w:color w:val="005DA1"/>
          <w:u w:val="single" w:color="005DA1"/>
          <w:vertAlign w:val="superscript"/>
        </w:rPr>
        <w:t>326</w:t>
      </w:r>
      <w:r>
        <w:rPr>
          <w:vertAlign w:val="baseline"/>
        </w:rPr>
        <w:t>). In relation to the argument put forward in para.2-059 above (that, if the revocation were effective, the offeree could speculate without risk to himself at the offeror’s expense), it is significant that the “right to cancel” given to the consumer by Pt 3 of Regulations “does not apply as regards” the supply of goods or certain services “for which the price is dependent on fluctuations in</w:t>
      </w:r>
      <w:r>
        <w:rPr>
          <w:spacing w:val="40"/>
          <w:vertAlign w:val="baseline"/>
        </w:rPr>
        <w:t> </w:t>
      </w:r>
      <w:bookmarkStart w:name="_bookmark567" w:id="569"/>
      <w:bookmarkEnd w:id="569"/>
      <w:r>
        <w:rPr>
          <w:vertAlign w:val="baseline"/>
        </w:rPr>
        <w:t>the</w:t>
      </w:r>
      <w:r>
        <w:rPr>
          <w:vertAlign w:val="baseline"/>
        </w:rPr>
        <w:t> financial market which cannot be controlled by the trader and which may occur during the cancellation</w:t>
      </w:r>
      <w:r>
        <w:rPr>
          <w:spacing w:val="80"/>
          <w:vertAlign w:val="baseline"/>
        </w:rPr>
        <w:t> </w:t>
      </w:r>
      <w:r>
        <w:rPr>
          <w:vertAlign w:val="baseline"/>
        </w:rPr>
        <w:t>period.”</w:t>
      </w:r>
      <w:r>
        <w:rPr>
          <w:spacing w:val="80"/>
          <w:vertAlign w:val="baseline"/>
        </w:rPr>
        <w:t> </w:t>
      </w:r>
      <w:r>
        <w:rPr>
          <w:color w:val="005DA1"/>
          <w:u w:val="single" w:color="005DA1"/>
          <w:vertAlign w:val="superscript"/>
        </w:rPr>
        <w:t>327</w:t>
      </w:r>
      <w:r>
        <w:rPr>
          <w:color w:val="005DA1"/>
          <w:spacing w:val="80"/>
          <w:vertAlign w:val="baseline"/>
        </w:rPr>
        <w:t> </w:t>
      </w:r>
      <w:r>
        <w:rPr>
          <w:vertAlign w:val="baseline"/>
        </w:rPr>
        <w:t>Under</w:t>
      </w:r>
      <w:r>
        <w:rPr>
          <w:spacing w:val="80"/>
          <w:vertAlign w:val="baseline"/>
        </w:rPr>
        <w:t> </w:t>
      </w:r>
      <w:r>
        <w:rPr>
          <w:vertAlign w:val="baseline"/>
        </w:rPr>
        <w:t>the</w:t>
      </w:r>
      <w:r>
        <w:rPr>
          <w:spacing w:val="80"/>
          <w:vertAlign w:val="baseline"/>
        </w:rPr>
        <w:t> </w:t>
      </w:r>
      <w:r>
        <w:rPr>
          <w:vertAlign w:val="baseline"/>
        </w:rPr>
        <w:t>2013</w:t>
      </w:r>
      <w:r>
        <w:rPr>
          <w:spacing w:val="80"/>
          <w:vertAlign w:val="baseline"/>
        </w:rPr>
        <w:t> </w:t>
      </w:r>
      <w:r>
        <w:rPr>
          <w:vertAlign w:val="baseline"/>
        </w:rPr>
        <w:t>Regulations,</w:t>
      </w:r>
      <w:r>
        <w:rPr>
          <w:spacing w:val="80"/>
          <w:vertAlign w:val="baseline"/>
        </w:rPr>
        <w:t> </w:t>
      </w:r>
      <w:r>
        <w:rPr>
          <w:vertAlign w:val="baseline"/>
        </w:rPr>
        <w:t>this</w:t>
      </w:r>
      <w:r>
        <w:rPr>
          <w:spacing w:val="80"/>
          <w:vertAlign w:val="baseline"/>
        </w:rPr>
        <w:t> </w:t>
      </w:r>
      <w:r>
        <w:rPr>
          <w:vertAlign w:val="baseline"/>
        </w:rPr>
        <w:t>“right</w:t>
      </w:r>
      <w:r>
        <w:rPr>
          <w:spacing w:val="80"/>
          <w:vertAlign w:val="baseline"/>
        </w:rPr>
        <w:t> </w:t>
      </w:r>
      <w:r>
        <w:rPr>
          <w:vertAlign w:val="baseline"/>
        </w:rPr>
        <w:t>to</w:t>
      </w:r>
      <w:r>
        <w:rPr>
          <w:spacing w:val="80"/>
          <w:vertAlign w:val="baseline"/>
        </w:rPr>
        <w:t> </w:t>
      </w:r>
      <w:r>
        <w:rPr>
          <w:vertAlign w:val="baseline"/>
        </w:rPr>
        <w:t>cancel”</w:t>
      </w:r>
      <w:r>
        <w:rPr>
          <w:spacing w:val="80"/>
          <w:vertAlign w:val="baseline"/>
        </w:rPr>
        <w:t> </w:t>
      </w:r>
      <w:r>
        <w:rPr>
          <w:vertAlign w:val="baseline"/>
        </w:rPr>
        <w:t>extends</w:t>
      </w:r>
      <w:r>
        <w:rPr>
          <w:spacing w:val="80"/>
          <w:vertAlign w:val="baseline"/>
        </w:rPr>
        <w:t> </w:t>
      </w:r>
      <w:r>
        <w:rPr>
          <w:vertAlign w:val="baseline"/>
        </w:rPr>
        <w:t>also</w:t>
      </w:r>
      <w:r>
        <w:rPr>
          <w:spacing w:val="80"/>
          <w:vertAlign w:val="baseline"/>
        </w:rPr>
        <w:t> </w:t>
      </w:r>
      <w:r>
        <w:rPr>
          <w:vertAlign w:val="baseline"/>
        </w:rPr>
        <w:t>to “off-premises</w:t>
      </w:r>
      <w:r>
        <w:rPr>
          <w:spacing w:val="16"/>
          <w:vertAlign w:val="baseline"/>
        </w:rPr>
        <w:t> </w:t>
      </w:r>
      <w:r>
        <w:rPr>
          <w:vertAlign w:val="baseline"/>
        </w:rPr>
        <w:t>contracts”</w:t>
      </w:r>
      <w:r>
        <w:rPr>
          <w:spacing w:val="16"/>
          <w:vertAlign w:val="baseline"/>
        </w:rPr>
        <w:t> </w:t>
      </w:r>
      <w:r>
        <w:rPr>
          <w:vertAlign w:val="baseline"/>
        </w:rPr>
        <w:t>such</w:t>
      </w:r>
      <w:r>
        <w:rPr>
          <w:spacing w:val="16"/>
          <w:vertAlign w:val="baseline"/>
        </w:rPr>
        <w:t> </w:t>
      </w:r>
      <w:r>
        <w:rPr>
          <w:vertAlign w:val="baseline"/>
        </w:rPr>
        <w:t>as</w:t>
      </w:r>
      <w:r>
        <w:rPr>
          <w:spacing w:val="16"/>
          <w:vertAlign w:val="baseline"/>
        </w:rPr>
        <w:t> </w:t>
      </w:r>
      <w:r>
        <w:rPr>
          <w:vertAlign w:val="baseline"/>
        </w:rPr>
        <w:t>contracts</w:t>
      </w:r>
      <w:r>
        <w:rPr>
          <w:spacing w:val="16"/>
          <w:vertAlign w:val="baseline"/>
        </w:rPr>
        <w:t> </w:t>
      </w:r>
      <w:r>
        <w:rPr>
          <w:vertAlign w:val="baseline"/>
        </w:rPr>
        <w:t>made</w:t>
      </w:r>
      <w:r>
        <w:rPr>
          <w:spacing w:val="16"/>
          <w:vertAlign w:val="baseline"/>
        </w:rPr>
        <w:t> </w:t>
      </w:r>
      <w:r>
        <w:rPr>
          <w:vertAlign w:val="baseline"/>
        </w:rPr>
        <w:t>in</w:t>
      </w:r>
      <w:r>
        <w:rPr>
          <w:spacing w:val="16"/>
          <w:vertAlign w:val="baseline"/>
        </w:rPr>
        <w:t> </w:t>
      </w:r>
      <w:r>
        <w:rPr>
          <w:vertAlign w:val="baseline"/>
        </w:rPr>
        <w:t>the</w:t>
      </w:r>
      <w:r>
        <w:rPr>
          <w:spacing w:val="16"/>
          <w:vertAlign w:val="baseline"/>
        </w:rPr>
        <w:t> </w:t>
      </w:r>
      <w:r>
        <w:rPr>
          <w:vertAlign w:val="baseline"/>
        </w:rPr>
        <w:t>simultaneous</w:t>
      </w:r>
      <w:r>
        <w:rPr>
          <w:spacing w:val="16"/>
          <w:vertAlign w:val="baseline"/>
        </w:rPr>
        <w:t> </w:t>
      </w:r>
      <w:r>
        <w:rPr>
          <w:vertAlign w:val="baseline"/>
        </w:rPr>
        <w:t>presence</w:t>
      </w:r>
      <w:r>
        <w:rPr>
          <w:spacing w:val="16"/>
          <w:vertAlign w:val="baseline"/>
        </w:rPr>
        <w:t> </w:t>
      </w:r>
      <w:r>
        <w:rPr>
          <w:vertAlign w:val="baseline"/>
        </w:rPr>
        <w:t>of</w:t>
      </w:r>
      <w:r>
        <w:rPr>
          <w:spacing w:val="16"/>
          <w:vertAlign w:val="baseline"/>
        </w:rPr>
        <w:t> </w:t>
      </w:r>
      <w:r>
        <w:rPr>
          <w:vertAlign w:val="baseline"/>
        </w:rPr>
        <w:t>the</w:t>
      </w:r>
      <w:r>
        <w:rPr>
          <w:spacing w:val="16"/>
          <w:vertAlign w:val="baseline"/>
        </w:rPr>
        <w:t> </w:t>
      </w:r>
      <w:r>
        <w:rPr>
          <w:vertAlign w:val="baseline"/>
        </w:rPr>
        <w:t>trader</w:t>
      </w:r>
      <w:r>
        <w:rPr>
          <w:spacing w:val="16"/>
          <w:vertAlign w:val="baseline"/>
        </w:rPr>
        <w:t> </w:t>
      </w:r>
      <w:r>
        <w:rPr>
          <w:vertAlign w:val="baseline"/>
        </w:rPr>
        <w:t>and</w:t>
      </w:r>
      <w:r>
        <w:rPr>
          <w:spacing w:val="16"/>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64" w:right="167"/>
        <w:jc w:val="both"/>
      </w:pPr>
      <w:bookmarkStart w:name="_bookmark568" w:id="570"/>
      <w:bookmarkEnd w:id="570"/>
      <w:r>
        <w:rPr/>
      </w:r>
      <w:bookmarkStart w:name="_bookmark569" w:id="571"/>
      <w:bookmarkEnd w:id="571"/>
      <w:r>
        <w:rPr/>
      </w:r>
      <w:r>
        <w:rPr/>
        <w:t>consumer in a place that is not the business premises of the trader. </w:t>
      </w:r>
      <w:r>
        <w:rPr>
          <w:color w:val="005DA1"/>
          <w:u w:val="single" w:color="005DA1"/>
          <w:vertAlign w:val="superscript"/>
        </w:rPr>
        <w:t>328</w:t>
      </w:r>
      <w:r>
        <w:rPr>
          <w:color w:val="005DA1"/>
          <w:vertAlign w:val="baseline"/>
        </w:rPr>
        <w:t> </w:t>
      </w:r>
      <w:r>
        <w:rPr>
          <w:vertAlign w:val="baseline"/>
        </w:rPr>
        <w:t>Cancellation of the contract </w:t>
      </w:r>
      <w:bookmarkStart w:name="_bookmark570" w:id="572"/>
      <w:bookmarkEnd w:id="572"/>
      <w:r>
        <w:rPr>
          <w:vertAlign w:val="baseline"/>
        </w:rPr>
        <w:t>“ends</w:t>
      </w:r>
      <w:r>
        <w:rPr>
          <w:vertAlign w:val="baseline"/>
        </w:rPr>
        <w:t> the obligations of the parties to perform the contract” </w:t>
      </w:r>
      <w:r>
        <w:rPr>
          <w:color w:val="005DA1"/>
          <w:u w:val="single" w:color="005DA1"/>
          <w:vertAlign w:val="superscript"/>
        </w:rPr>
        <w:t>329</w:t>
      </w:r>
      <w:r>
        <w:rPr>
          <w:color w:val="005DA1"/>
          <w:vertAlign w:val="baseline"/>
        </w:rPr>
        <w:t> </w:t>
      </w:r>
      <w:r>
        <w:rPr>
          <w:vertAlign w:val="baseline"/>
        </w:rPr>
        <w:t>and gives rise to obligations that </w:t>
      </w:r>
      <w:r>
        <w:rPr>
          <w:vertAlign w:val="baseline"/>
        </w:rPr>
        <w:t>are designed, broadly speaking, to restore the parties to their pre-contract position. </w:t>
      </w:r>
      <w:r>
        <w:rPr>
          <w:color w:val="005DA1"/>
          <w:u w:val="single" w:color="005DA1"/>
          <w:vertAlign w:val="superscript"/>
        </w:rPr>
        <w:t>330</w:t>
      </w:r>
      <w:r>
        <w:rPr>
          <w:color w:val="005DA1"/>
          <w:vertAlign w:val="baseline"/>
        </w:rPr>
        <w:t> </w:t>
      </w:r>
      <w:r>
        <w:rPr>
          <w:vertAlign w:val="baseline"/>
        </w:rPr>
        <w:t>The effect of the exercise of the right to cancel is therefore not the same as the effect of saying that no contract has </w:t>
      </w:r>
      <w:bookmarkStart w:name="_bookmark571" w:id="573"/>
      <w:bookmarkEnd w:id="573"/>
      <w:r>
        <w:rPr>
          <w:vertAlign w:val="baseline"/>
        </w:rPr>
        <w:t>been</w:t>
      </w:r>
      <w:r>
        <w:rPr>
          <w:vertAlign w:val="baseline"/>
        </w:rPr>
        <w:t> concluded by (e.g.) exchange of letters under the common law rules of offer and acceptance discussed in paras 2-047—2-060 above </w:t>
      </w:r>
      <w:r>
        <w:rPr>
          <w:color w:val="005DA1"/>
          <w:u w:val="single" w:color="005DA1"/>
          <w:vertAlign w:val="superscript"/>
        </w:rPr>
        <w:t>331</w:t>
      </w:r>
      <w:r>
        <w:rPr>
          <w:vertAlign w:val="baseline"/>
        </w:rPr>
        <w:t>; on the contrary, the very concept of the consumer’s “right to cancel” is based on the assumption that, as a matter of common law, a contract has come into the existence. Moreover, </w:t>
      </w:r>
      <w:r>
        <w:rPr>
          <w:rFonts w:ascii="Arial" w:hAnsi="Arial"/>
          <w:i/>
          <w:vertAlign w:val="baseline"/>
        </w:rPr>
        <w:t>the supplier </w:t>
      </w:r>
      <w:r>
        <w:rPr>
          <w:vertAlign w:val="baseline"/>
        </w:rPr>
        <w:t>has no right to cancel under the Regulations, so that the question whether he has entered into the contract continues to be governed by the common law rules.</w:t>
      </w:r>
    </w:p>
    <w:p>
      <w:pPr>
        <w:pStyle w:val="BodyText"/>
      </w:pPr>
    </w:p>
    <w:p>
      <w:pPr>
        <w:pStyle w:val="BodyText"/>
        <w:spacing w:before="36"/>
      </w:pPr>
      <w:r>
        <w:rPr/>
        <mc:AlternateContent>
          <mc:Choice Requires="wps">
            <w:drawing>
              <wp:anchor distT="0" distB="0" distL="0" distR="0" allowOverlap="1" layoutInCell="1" locked="0" behindDoc="1" simplePos="0" relativeHeight="487602176">
                <wp:simplePos x="0" y="0"/>
                <wp:positionH relativeFrom="page">
                  <wp:posOffset>914400</wp:posOffset>
                </wp:positionH>
                <wp:positionV relativeFrom="paragraph">
                  <wp:posOffset>184762</wp:posOffset>
                </wp:positionV>
                <wp:extent cx="5724525" cy="1270"/>
                <wp:effectExtent l="0" t="0" r="0" b="0"/>
                <wp:wrapTopAndBottom/>
                <wp:docPr id="44" name="Graphic 44"/>
                <wp:cNvGraphicFramePr>
                  <a:graphicFrameLocks/>
                </wp:cNvGraphicFramePr>
                <a:graphic>
                  <a:graphicData uri="http://schemas.microsoft.com/office/word/2010/wordprocessingShape">
                    <wps:wsp>
                      <wps:cNvPr id="44" name="Graphic 4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4823pt;width:450.75pt;height:.1pt;mso-position-horizontal-relative:page;mso-position-vertical-relative:paragraph;z-index:-15714304;mso-wrap-distance-left:0;mso-wrap-distance-right:0" id="docshape12"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spacing w:line="227" w:lineRule="exact"/>
        <w:ind w:left="165"/>
      </w:pPr>
      <w:bookmarkStart w:name="_bookmark572" w:id="574"/>
      <w:bookmarkEnd w:id="574"/>
      <w:r>
        <w:rPr/>
      </w:r>
      <w:hyperlink w:history="true" w:anchor="_bookmark510">
        <w:r>
          <w:rPr>
            <w:color w:val="005DA1"/>
            <w:spacing w:val="-4"/>
            <w:position w:val="5"/>
            <w:sz w:val="14"/>
            <w:u w:val="single" w:color="005DA1"/>
          </w:rPr>
          <w:t>268</w:t>
        </w:r>
      </w:hyperlink>
      <w:r>
        <w:rPr>
          <w:spacing w:val="-4"/>
          <w:position w:val="5"/>
          <w:sz w:val="14"/>
        </w:rPr>
        <w:t>.</w:t>
      </w:r>
      <w:r>
        <w:rPr>
          <w:position w:val="5"/>
          <w:sz w:val="14"/>
        </w:rPr>
        <w:tab/>
      </w:r>
      <w:r>
        <w:rPr/>
        <w:t>Winfield</w:t>
      </w:r>
      <w:r>
        <w:rPr>
          <w:spacing w:val="25"/>
        </w:rPr>
        <w:t> </w:t>
      </w:r>
      <w:r>
        <w:rPr/>
        <w:t>(1939)</w:t>
      </w:r>
      <w:r>
        <w:rPr>
          <w:spacing w:val="25"/>
        </w:rPr>
        <w:t> </w:t>
      </w:r>
      <w:r>
        <w:rPr/>
        <w:t>55</w:t>
      </w:r>
      <w:r>
        <w:rPr>
          <w:spacing w:val="25"/>
        </w:rPr>
        <w:t> </w:t>
      </w:r>
      <w:r>
        <w:rPr/>
        <w:t>L.Q.R.</w:t>
      </w:r>
      <w:r>
        <w:rPr>
          <w:spacing w:val="25"/>
        </w:rPr>
        <w:t> </w:t>
      </w:r>
      <w:r>
        <w:rPr/>
        <w:t>499;</w:t>
      </w:r>
      <w:r>
        <w:rPr>
          <w:spacing w:val="25"/>
        </w:rPr>
        <w:t> </w:t>
      </w:r>
      <w:r>
        <w:rPr/>
        <w:t>Nussbaum</w:t>
      </w:r>
      <w:r>
        <w:rPr>
          <w:spacing w:val="25"/>
        </w:rPr>
        <w:t> </w:t>
      </w:r>
      <w:r>
        <w:rPr/>
        <w:t>(1926)</w:t>
      </w:r>
      <w:r>
        <w:rPr>
          <w:spacing w:val="25"/>
        </w:rPr>
        <w:t> </w:t>
      </w:r>
      <w:r>
        <w:rPr/>
        <w:t>36</w:t>
      </w:r>
      <w:r>
        <w:rPr>
          <w:spacing w:val="25"/>
        </w:rPr>
        <w:t> </w:t>
      </w:r>
      <w:r>
        <w:rPr/>
        <w:t>Col.L.Rev.</w:t>
      </w:r>
      <w:r>
        <w:rPr>
          <w:spacing w:val="25"/>
        </w:rPr>
        <w:t> </w:t>
      </w:r>
      <w:r>
        <w:rPr/>
        <w:t>920;</w:t>
      </w:r>
      <w:r>
        <w:rPr>
          <w:spacing w:val="25"/>
        </w:rPr>
        <w:t> </w:t>
      </w:r>
      <w:r>
        <w:rPr/>
        <w:t>Ellison</w:t>
      </w:r>
      <w:r>
        <w:rPr>
          <w:spacing w:val="25"/>
        </w:rPr>
        <w:t> </w:t>
      </w:r>
      <w:r>
        <w:rPr/>
        <w:t>Kahn</w:t>
      </w:r>
      <w:r>
        <w:rPr>
          <w:spacing w:val="25"/>
        </w:rPr>
        <w:t> </w:t>
      </w:r>
      <w:r>
        <w:rPr/>
        <w:t>(1955)</w:t>
      </w:r>
      <w:r>
        <w:rPr>
          <w:spacing w:val="25"/>
        </w:rPr>
        <w:t> </w:t>
      </w:r>
      <w:r>
        <w:rPr>
          <w:spacing w:val="-5"/>
        </w:rPr>
        <w:t>72</w:t>
      </w:r>
    </w:p>
    <w:p>
      <w:pPr>
        <w:pStyle w:val="BodyText"/>
        <w:spacing w:line="227" w:lineRule="exact"/>
        <w:ind w:left="705"/>
      </w:pPr>
      <w:r>
        <w:rPr/>
        <w:t>S.A.L.J. 246; Evans (1966) 15 I.C.L.Q. 553; Gardner (1992) 12 O.J.L.S. </w:t>
      </w:r>
      <w:r>
        <w:rPr>
          <w:spacing w:val="-4"/>
        </w:rPr>
        <w:t>170.</w:t>
      </w:r>
    </w:p>
    <w:p>
      <w:pPr>
        <w:pStyle w:val="BodyText"/>
        <w:spacing w:before="5"/>
      </w:pPr>
    </w:p>
    <w:p>
      <w:pPr>
        <w:pStyle w:val="BodyText"/>
        <w:tabs>
          <w:tab w:pos="705" w:val="left" w:leader="none"/>
        </w:tabs>
        <w:ind w:left="165"/>
      </w:pPr>
      <w:bookmarkStart w:name="_bookmark573" w:id="575"/>
      <w:bookmarkEnd w:id="575"/>
      <w:r>
        <w:rPr/>
      </w:r>
      <w:hyperlink w:history="true" w:anchor="_bookmark511">
        <w:r>
          <w:rPr>
            <w:color w:val="005DA1"/>
            <w:spacing w:val="-4"/>
            <w:position w:val="5"/>
            <w:sz w:val="14"/>
            <w:u w:val="single" w:color="005DA1"/>
          </w:rPr>
          <w:t>269</w:t>
        </w:r>
      </w:hyperlink>
      <w:r>
        <w:rPr>
          <w:spacing w:val="-4"/>
          <w:position w:val="5"/>
          <w:sz w:val="14"/>
        </w:rPr>
        <w:t>.</w:t>
      </w:r>
      <w:r>
        <w:rPr>
          <w:position w:val="5"/>
          <w:sz w:val="14"/>
        </w:rPr>
        <w:tab/>
      </w:r>
      <w:r>
        <w:rPr/>
        <w:t>But see below, paras 2-052 et </w:t>
      </w:r>
      <w:r>
        <w:rPr>
          <w:spacing w:val="-4"/>
        </w:rPr>
        <w:t>seq.</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574" w:id="576"/>
      <w:bookmarkEnd w:id="576"/>
      <w:r>
        <w:rPr/>
      </w:r>
      <w:hyperlink w:history="true" w:anchor="_bookmark512">
        <w:r>
          <w:rPr>
            <w:color w:val="005DA1"/>
            <w:spacing w:val="-4"/>
            <w:position w:val="5"/>
            <w:sz w:val="14"/>
            <w:u w:val="single" w:color="005DA1"/>
          </w:rPr>
          <w:t>270</w:t>
        </w:r>
      </w:hyperlink>
      <w:r>
        <w:rPr>
          <w:spacing w:val="-4"/>
          <w:position w:val="5"/>
          <w:sz w:val="14"/>
        </w:rPr>
        <w:t>.</w:t>
      </w:r>
      <w:r>
        <w:rPr>
          <w:position w:val="5"/>
          <w:sz w:val="14"/>
        </w:rPr>
        <w:tab/>
      </w:r>
      <w:r>
        <w:rPr>
          <w:rFonts w:ascii="Arial"/>
          <w:i/>
          <w:sz w:val="20"/>
        </w:rPr>
        <w:t>Henthorn</w:t>
      </w:r>
      <w:r>
        <w:rPr>
          <w:rFonts w:ascii="Arial"/>
          <w:i/>
          <w:spacing w:val="35"/>
          <w:sz w:val="20"/>
        </w:rPr>
        <w:t> </w:t>
      </w:r>
      <w:r>
        <w:rPr>
          <w:rFonts w:ascii="Arial"/>
          <w:i/>
          <w:sz w:val="20"/>
        </w:rPr>
        <w:t>v</w:t>
      </w:r>
      <w:r>
        <w:rPr>
          <w:rFonts w:ascii="Arial"/>
          <w:i/>
          <w:spacing w:val="36"/>
          <w:sz w:val="20"/>
        </w:rPr>
        <w:t> </w:t>
      </w:r>
      <w:r>
        <w:rPr>
          <w:rFonts w:ascii="Arial"/>
          <w:i/>
          <w:sz w:val="20"/>
        </w:rPr>
        <w:t>Fraser</w:t>
      </w:r>
      <w:r>
        <w:rPr>
          <w:rFonts w:ascii="Arial"/>
          <w:i/>
          <w:spacing w:val="36"/>
          <w:sz w:val="20"/>
        </w:rPr>
        <w:t> </w:t>
      </w:r>
      <w:r>
        <w:rPr>
          <w:rFonts w:ascii="Arial"/>
          <w:i/>
          <w:sz w:val="20"/>
        </w:rPr>
        <w:t>[1892]</w:t>
      </w:r>
      <w:r>
        <w:rPr>
          <w:rFonts w:ascii="Arial"/>
          <w:i/>
          <w:spacing w:val="36"/>
          <w:sz w:val="20"/>
        </w:rPr>
        <w:t> </w:t>
      </w:r>
      <w:r>
        <w:rPr>
          <w:rFonts w:ascii="Arial"/>
          <w:i/>
          <w:sz w:val="20"/>
        </w:rPr>
        <w:t>2</w:t>
      </w:r>
      <w:r>
        <w:rPr>
          <w:rFonts w:ascii="Arial"/>
          <w:i/>
          <w:spacing w:val="36"/>
          <w:sz w:val="20"/>
        </w:rPr>
        <w:t> </w:t>
      </w:r>
      <w:r>
        <w:rPr>
          <w:rFonts w:ascii="Arial"/>
          <w:i/>
          <w:sz w:val="20"/>
        </w:rPr>
        <w:t>Ch.</w:t>
      </w:r>
      <w:r>
        <w:rPr>
          <w:rFonts w:ascii="Arial"/>
          <w:i/>
          <w:spacing w:val="36"/>
          <w:sz w:val="20"/>
        </w:rPr>
        <w:t> </w:t>
      </w:r>
      <w:r>
        <w:rPr>
          <w:rFonts w:ascii="Arial"/>
          <w:i/>
          <w:sz w:val="20"/>
        </w:rPr>
        <w:t>27,</w:t>
      </w:r>
      <w:r>
        <w:rPr>
          <w:rFonts w:ascii="Arial"/>
          <w:i/>
          <w:spacing w:val="36"/>
          <w:sz w:val="20"/>
        </w:rPr>
        <w:t> </w:t>
      </w:r>
      <w:r>
        <w:rPr>
          <w:rFonts w:ascii="Arial"/>
          <w:i/>
          <w:sz w:val="20"/>
        </w:rPr>
        <w:t>33</w:t>
      </w:r>
      <w:r>
        <w:rPr>
          <w:sz w:val="20"/>
        </w:rPr>
        <w:t>;</w:t>
      </w:r>
      <w:r>
        <w:rPr>
          <w:spacing w:val="36"/>
          <w:sz w:val="20"/>
        </w:rPr>
        <w:t> </w:t>
      </w:r>
      <w:r>
        <w:rPr>
          <w:rFonts w:ascii="Arial"/>
          <w:i/>
          <w:sz w:val="20"/>
        </w:rPr>
        <w:t>Adams</w:t>
      </w:r>
      <w:r>
        <w:rPr>
          <w:rFonts w:ascii="Arial"/>
          <w:i/>
          <w:spacing w:val="36"/>
          <w:sz w:val="20"/>
        </w:rPr>
        <w:t> </w:t>
      </w:r>
      <w:r>
        <w:rPr>
          <w:rFonts w:ascii="Arial"/>
          <w:i/>
          <w:sz w:val="20"/>
        </w:rPr>
        <w:t>v</w:t>
      </w:r>
      <w:r>
        <w:rPr>
          <w:rFonts w:ascii="Arial"/>
          <w:i/>
          <w:spacing w:val="35"/>
          <w:sz w:val="20"/>
        </w:rPr>
        <w:t> </w:t>
      </w:r>
      <w:r>
        <w:rPr>
          <w:rFonts w:ascii="Arial"/>
          <w:i/>
          <w:sz w:val="20"/>
        </w:rPr>
        <w:t>Lindsell</w:t>
      </w:r>
      <w:r>
        <w:rPr>
          <w:rFonts w:ascii="Arial"/>
          <w:i/>
          <w:spacing w:val="36"/>
          <w:sz w:val="20"/>
        </w:rPr>
        <w:t> </w:t>
      </w:r>
      <w:r>
        <w:rPr>
          <w:rFonts w:ascii="Arial"/>
          <w:i/>
          <w:sz w:val="20"/>
        </w:rPr>
        <w:t>(1818)</w:t>
      </w:r>
      <w:r>
        <w:rPr>
          <w:rFonts w:ascii="Arial"/>
          <w:i/>
          <w:spacing w:val="36"/>
          <w:sz w:val="20"/>
        </w:rPr>
        <w:t> </w:t>
      </w:r>
      <w:r>
        <w:rPr>
          <w:rFonts w:ascii="Arial"/>
          <w:i/>
          <w:sz w:val="20"/>
        </w:rPr>
        <w:t>1</w:t>
      </w:r>
      <w:r>
        <w:rPr>
          <w:rFonts w:ascii="Arial"/>
          <w:i/>
          <w:spacing w:val="36"/>
          <w:sz w:val="20"/>
        </w:rPr>
        <w:t> </w:t>
      </w:r>
      <w:r>
        <w:rPr>
          <w:rFonts w:ascii="Arial"/>
          <w:i/>
          <w:sz w:val="20"/>
        </w:rPr>
        <w:t>B.</w:t>
      </w:r>
      <w:r>
        <w:rPr>
          <w:rFonts w:ascii="Arial"/>
          <w:i/>
          <w:spacing w:val="36"/>
          <w:sz w:val="20"/>
        </w:rPr>
        <w:t> </w:t>
      </w:r>
      <w:r>
        <w:rPr>
          <w:rFonts w:ascii="Arial"/>
          <w:i/>
          <w:sz w:val="20"/>
        </w:rPr>
        <w:t>&amp;</w:t>
      </w:r>
      <w:r>
        <w:rPr>
          <w:rFonts w:ascii="Arial"/>
          <w:i/>
          <w:spacing w:val="36"/>
          <w:sz w:val="20"/>
        </w:rPr>
        <w:t> </w:t>
      </w:r>
      <w:r>
        <w:rPr>
          <w:rFonts w:ascii="Arial"/>
          <w:i/>
          <w:sz w:val="20"/>
        </w:rPr>
        <w:t>Ald.</w:t>
      </w:r>
      <w:r>
        <w:rPr>
          <w:rFonts w:ascii="Arial"/>
          <w:i/>
          <w:spacing w:val="36"/>
          <w:sz w:val="20"/>
        </w:rPr>
        <w:t> </w:t>
      </w:r>
      <w:r>
        <w:rPr>
          <w:rFonts w:ascii="Arial"/>
          <w:i/>
          <w:sz w:val="20"/>
        </w:rPr>
        <w:t>681</w:t>
      </w:r>
      <w:r>
        <w:rPr>
          <w:sz w:val="20"/>
        </w:rPr>
        <w:t>;</w:t>
      </w:r>
      <w:r>
        <w:rPr>
          <w:spacing w:val="36"/>
          <w:sz w:val="20"/>
        </w:rPr>
        <w:t> </w:t>
      </w:r>
      <w:r>
        <w:rPr>
          <w:rFonts w:ascii="Arial"/>
          <w:i/>
          <w:sz w:val="20"/>
        </w:rPr>
        <w:t>Potter</w:t>
      </w:r>
      <w:r>
        <w:rPr>
          <w:rFonts w:ascii="Arial"/>
          <w:i/>
          <w:spacing w:val="36"/>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Sanders</w:t>
      </w:r>
      <w:r>
        <w:rPr>
          <w:rFonts w:ascii="Arial" w:hAnsi="Arial"/>
          <w:i/>
          <w:spacing w:val="-1"/>
          <w:sz w:val="20"/>
        </w:rPr>
        <w:t> </w:t>
      </w:r>
      <w:r>
        <w:rPr>
          <w:rFonts w:ascii="Arial" w:hAnsi="Arial"/>
          <w:i/>
          <w:sz w:val="20"/>
        </w:rPr>
        <w:t>(1846) 6 Hare 1</w:t>
      </w:r>
      <w:r>
        <w:rPr>
          <w:sz w:val="20"/>
        </w:rPr>
        <w:t>; </w:t>
      </w:r>
      <w:r>
        <w:rPr>
          <w:rFonts w:ascii="Arial" w:hAnsi="Arial"/>
          <w:i/>
          <w:sz w:val="20"/>
        </w:rPr>
        <w:t>Harris’ Case (1872) L.R. 7 Ch. App. </w:t>
      </w:r>
      <w:r>
        <w:rPr>
          <w:rFonts w:ascii="Arial" w:hAnsi="Arial"/>
          <w:i/>
          <w:spacing w:val="-4"/>
          <w:sz w:val="20"/>
        </w:rPr>
        <w:t>587</w:t>
      </w:r>
      <w:r>
        <w:rPr>
          <w:spacing w:val="-4"/>
          <w:sz w:val="20"/>
        </w:rPr>
        <w:t>.</w:t>
      </w:r>
    </w:p>
    <w:p>
      <w:pPr>
        <w:pStyle w:val="BodyText"/>
        <w:spacing w:before="9"/>
      </w:pPr>
    </w:p>
    <w:p>
      <w:pPr>
        <w:spacing w:line="235" w:lineRule="auto" w:before="0"/>
        <w:ind w:left="705" w:right="167" w:hanging="541"/>
        <w:jc w:val="both"/>
        <w:rPr>
          <w:rFonts w:ascii="Arial"/>
          <w:i/>
          <w:sz w:val="20"/>
        </w:rPr>
      </w:pPr>
      <w:bookmarkStart w:name="_bookmark575" w:id="577"/>
      <w:bookmarkEnd w:id="577"/>
      <w:r>
        <w:rPr/>
      </w:r>
      <w:hyperlink w:history="true" w:anchor="_bookmark512">
        <w:r>
          <w:rPr>
            <w:color w:val="005DA1"/>
            <w:position w:val="5"/>
            <w:sz w:val="14"/>
            <w:u w:val="single" w:color="005DA1"/>
          </w:rPr>
          <w:t>271</w:t>
        </w:r>
      </w:hyperlink>
      <w:r>
        <w:rPr>
          <w:position w:val="5"/>
          <w:sz w:val="14"/>
        </w:rPr>
        <w:t>.</w:t>
      </w:r>
      <w:r>
        <w:rPr>
          <w:spacing w:val="40"/>
          <w:position w:val="5"/>
          <w:sz w:val="14"/>
        </w:rPr>
        <w:t>  </w:t>
      </w:r>
      <w:r>
        <w:rPr>
          <w:rFonts w:ascii="Arial"/>
          <w:i/>
          <w:sz w:val="20"/>
        </w:rPr>
        <w:t>Brinkibon</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Stahag</w:t>
      </w:r>
      <w:r>
        <w:rPr>
          <w:rFonts w:ascii="Arial"/>
          <w:i/>
          <w:spacing w:val="-1"/>
          <w:sz w:val="20"/>
        </w:rPr>
        <w:t> </w:t>
      </w:r>
      <w:r>
        <w:rPr>
          <w:rFonts w:ascii="Arial"/>
          <w:i/>
          <w:sz w:val="20"/>
        </w:rPr>
        <w:t>Stahl</w:t>
      </w:r>
      <w:r>
        <w:rPr>
          <w:rFonts w:ascii="Arial"/>
          <w:i/>
          <w:spacing w:val="-1"/>
          <w:sz w:val="20"/>
        </w:rPr>
        <w:t> </w:t>
      </w:r>
      <w:r>
        <w:rPr>
          <w:rFonts w:ascii="Arial"/>
          <w:i/>
          <w:sz w:val="20"/>
        </w:rPr>
        <w:t>and</w:t>
      </w:r>
      <w:r>
        <w:rPr>
          <w:rFonts w:ascii="Arial"/>
          <w:i/>
          <w:spacing w:val="-1"/>
          <w:sz w:val="20"/>
        </w:rPr>
        <w:t> </w:t>
      </w:r>
      <w:r>
        <w:rPr>
          <w:rFonts w:ascii="Arial"/>
          <w:i/>
          <w:sz w:val="20"/>
        </w:rPr>
        <w:t>Stahlwarenhandelsgesellschaft</w:t>
      </w:r>
      <w:r>
        <w:rPr>
          <w:rFonts w:ascii="Arial"/>
          <w:i/>
          <w:spacing w:val="-1"/>
          <w:sz w:val="20"/>
        </w:rPr>
        <w:t> </w:t>
      </w:r>
      <w:r>
        <w:rPr>
          <w:rFonts w:ascii="Arial"/>
          <w:i/>
          <w:sz w:val="20"/>
        </w:rPr>
        <w:t>mbH</w:t>
      </w:r>
      <w:r>
        <w:rPr>
          <w:rFonts w:ascii="Arial"/>
          <w:i/>
          <w:spacing w:val="-1"/>
          <w:sz w:val="20"/>
        </w:rPr>
        <w:t> </w:t>
      </w:r>
      <w:r>
        <w:rPr>
          <w:rFonts w:ascii="Arial"/>
          <w:i/>
          <w:sz w:val="20"/>
        </w:rPr>
        <w:t>[1983]</w:t>
      </w:r>
      <w:r>
        <w:rPr>
          <w:rFonts w:ascii="Arial"/>
          <w:i/>
          <w:spacing w:val="-1"/>
          <w:sz w:val="20"/>
        </w:rPr>
        <w:t> </w:t>
      </w:r>
      <w:r>
        <w:rPr>
          <w:rFonts w:ascii="Arial"/>
          <w:i/>
          <w:sz w:val="20"/>
        </w:rPr>
        <w:t>2</w:t>
      </w:r>
      <w:r>
        <w:rPr>
          <w:rFonts w:ascii="Arial"/>
          <w:i/>
          <w:spacing w:val="-1"/>
          <w:sz w:val="20"/>
        </w:rPr>
        <w:t> </w:t>
      </w:r>
      <w:r>
        <w:rPr>
          <w:rFonts w:ascii="Arial"/>
          <w:i/>
          <w:sz w:val="20"/>
        </w:rPr>
        <w:t>A.C.</w:t>
      </w:r>
      <w:r>
        <w:rPr>
          <w:rFonts w:ascii="Arial"/>
          <w:i/>
          <w:spacing w:val="-1"/>
          <w:sz w:val="20"/>
        </w:rPr>
        <w:t> </w:t>
      </w:r>
      <w:r>
        <w:rPr>
          <w:rFonts w:ascii="Arial"/>
          <w:i/>
          <w:sz w:val="20"/>
        </w:rPr>
        <w:t>34,</w:t>
      </w:r>
      <w:r>
        <w:rPr>
          <w:rFonts w:ascii="Arial"/>
          <w:i/>
          <w:spacing w:val="-1"/>
          <w:sz w:val="20"/>
        </w:rPr>
        <w:t> </w:t>
      </w:r>
      <w:r>
        <w:rPr>
          <w:rFonts w:ascii="Arial"/>
          <w:i/>
          <w:sz w:val="20"/>
        </w:rPr>
        <w:t>41</w:t>
      </w:r>
      <w:r>
        <w:rPr>
          <w:sz w:val="20"/>
        </w:rPr>
        <w:t>.</w:t>
      </w:r>
      <w:r>
        <w:rPr>
          <w:spacing w:val="-1"/>
          <w:sz w:val="20"/>
        </w:rPr>
        <w:t> </w:t>
      </w:r>
      <w:r>
        <w:rPr>
          <w:sz w:val="20"/>
        </w:rPr>
        <w:t>It</w:t>
      </w:r>
      <w:r>
        <w:rPr>
          <w:spacing w:val="-1"/>
          <w:sz w:val="20"/>
        </w:rPr>
        <w:t> </w:t>
      </w:r>
      <w:r>
        <w:rPr>
          <w:sz w:val="20"/>
        </w:rPr>
        <w:t>is also possible for a contract to be made in more than one place. In </w:t>
      </w:r>
      <w:r>
        <w:rPr>
          <w:rFonts w:ascii="Arial"/>
          <w:i/>
          <w:sz w:val="20"/>
        </w:rPr>
        <w:t>Conductive Interjet Technology</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Uni-Pixel</w:t>
      </w:r>
      <w:r>
        <w:rPr>
          <w:rFonts w:ascii="Arial"/>
          <w:i/>
          <w:spacing w:val="1"/>
          <w:sz w:val="20"/>
        </w:rPr>
        <w:t> </w:t>
      </w:r>
      <w:r>
        <w:rPr>
          <w:rFonts w:ascii="Arial"/>
          <w:i/>
          <w:sz w:val="20"/>
        </w:rPr>
        <w:t>Displays</w:t>
      </w:r>
      <w:r>
        <w:rPr>
          <w:rFonts w:ascii="Arial"/>
          <w:i/>
          <w:spacing w:val="1"/>
          <w:sz w:val="20"/>
        </w:rPr>
        <w:t> </w:t>
      </w:r>
      <w:r>
        <w:rPr>
          <w:rFonts w:ascii="Arial"/>
          <w:i/>
          <w:sz w:val="20"/>
        </w:rPr>
        <w:t>Inc</w:t>
      </w:r>
      <w:r>
        <w:rPr>
          <w:rFonts w:ascii="Arial"/>
          <w:i/>
          <w:spacing w:val="1"/>
          <w:sz w:val="20"/>
        </w:rPr>
        <w:t> </w:t>
      </w:r>
      <w:r>
        <w:rPr>
          <w:rFonts w:ascii="Arial"/>
          <w:i/>
          <w:sz w:val="20"/>
        </w:rPr>
        <w:t>[2013]</w:t>
      </w:r>
      <w:r>
        <w:rPr>
          <w:rFonts w:ascii="Arial"/>
          <w:i/>
          <w:spacing w:val="1"/>
          <w:sz w:val="20"/>
        </w:rPr>
        <w:t> </w:t>
      </w:r>
      <w:r>
        <w:rPr>
          <w:rFonts w:ascii="Arial"/>
          <w:i/>
          <w:sz w:val="20"/>
        </w:rPr>
        <w:t>EWHC</w:t>
      </w:r>
      <w:r>
        <w:rPr>
          <w:rFonts w:ascii="Arial"/>
          <w:i/>
          <w:spacing w:val="1"/>
          <w:sz w:val="20"/>
        </w:rPr>
        <w:t> </w:t>
      </w:r>
      <w:r>
        <w:rPr>
          <w:rFonts w:ascii="Arial"/>
          <w:i/>
          <w:sz w:val="20"/>
        </w:rPr>
        <w:t>2968</w:t>
      </w:r>
      <w:r>
        <w:rPr>
          <w:rFonts w:ascii="Arial"/>
          <w:i/>
          <w:spacing w:val="1"/>
          <w:sz w:val="20"/>
        </w:rPr>
        <w:t> </w:t>
      </w:r>
      <w:r>
        <w:rPr>
          <w:rFonts w:ascii="Arial"/>
          <w:i/>
          <w:sz w:val="20"/>
        </w:rPr>
        <w:t>(Ch),</w:t>
      </w:r>
      <w:r>
        <w:rPr>
          <w:rFonts w:ascii="Arial"/>
          <w:i/>
          <w:spacing w:val="1"/>
          <w:sz w:val="20"/>
        </w:rPr>
        <w:t> </w:t>
      </w:r>
      <w:r>
        <w:rPr>
          <w:rFonts w:ascii="Arial"/>
          <w:i/>
          <w:sz w:val="20"/>
        </w:rPr>
        <w:t>[2014]</w:t>
      </w:r>
      <w:r>
        <w:rPr>
          <w:rFonts w:ascii="Arial"/>
          <w:i/>
          <w:spacing w:val="1"/>
          <w:sz w:val="20"/>
        </w:rPr>
        <w:t> </w:t>
      </w:r>
      <w:r>
        <w:rPr>
          <w:rFonts w:ascii="Arial"/>
          <w:i/>
          <w:sz w:val="20"/>
        </w:rPr>
        <w:t>1</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(Comm)</w:t>
      </w:r>
      <w:r>
        <w:rPr>
          <w:rFonts w:ascii="Arial"/>
          <w:i/>
          <w:spacing w:val="1"/>
          <w:sz w:val="20"/>
        </w:rPr>
        <w:t> </w:t>
      </w:r>
      <w:r>
        <w:rPr>
          <w:rFonts w:ascii="Arial"/>
          <w:i/>
          <w:spacing w:val="-5"/>
          <w:sz w:val="20"/>
        </w:rPr>
        <w:t>655</w:t>
      </w:r>
    </w:p>
    <w:p>
      <w:pPr>
        <w:pStyle w:val="BodyText"/>
        <w:spacing w:line="235" w:lineRule="auto"/>
        <w:ind w:left="705" w:right="167"/>
        <w:jc w:val="both"/>
      </w:pPr>
      <w:r>
        <w:rPr/>
        <w:t>, contractual negotiations were conducted between parties in different countries. One copy </w:t>
      </w:r>
      <w:r>
        <w:rPr/>
        <w:t>of the agreed terms was signed by A in the first country; another was sent by A as an email attachment</w:t>
      </w:r>
      <w:r>
        <w:rPr>
          <w:spacing w:val="2"/>
        </w:rPr>
        <w:t> </w:t>
      </w:r>
      <w:r>
        <w:rPr/>
        <w:t>to</w:t>
      </w:r>
      <w:r>
        <w:rPr>
          <w:spacing w:val="2"/>
        </w:rPr>
        <w:t> </w:t>
      </w:r>
      <w:r>
        <w:rPr/>
        <w:t>B</w:t>
      </w:r>
      <w:r>
        <w:rPr>
          <w:spacing w:val="2"/>
        </w:rPr>
        <w:t> </w:t>
      </w:r>
      <w:r>
        <w:rPr/>
        <w:t>in</w:t>
      </w:r>
      <w:r>
        <w:rPr>
          <w:spacing w:val="2"/>
        </w:rPr>
        <w:t> </w:t>
      </w:r>
      <w:r>
        <w:rPr/>
        <w:t>the</w:t>
      </w:r>
      <w:r>
        <w:rPr>
          <w:spacing w:val="2"/>
        </w:rPr>
        <w:t> </w:t>
      </w:r>
      <w:r>
        <w:rPr/>
        <w:t>second</w:t>
      </w:r>
      <w:r>
        <w:rPr>
          <w:spacing w:val="2"/>
        </w:rPr>
        <w:t> </w:t>
      </w:r>
      <w:r>
        <w:rPr/>
        <w:t>country</w:t>
      </w:r>
      <w:r>
        <w:rPr>
          <w:spacing w:val="2"/>
        </w:rPr>
        <w:t> </w:t>
      </w:r>
      <w:r>
        <w:rPr/>
        <w:t>who</w:t>
      </w:r>
      <w:r>
        <w:rPr>
          <w:spacing w:val="2"/>
        </w:rPr>
        <w:t> </w:t>
      </w:r>
      <w:r>
        <w:rPr/>
        <w:t>there</w:t>
      </w:r>
      <w:r>
        <w:rPr>
          <w:spacing w:val="2"/>
        </w:rPr>
        <w:t> </w:t>
      </w:r>
      <w:r>
        <w:rPr/>
        <w:t>signed</w:t>
      </w:r>
      <w:r>
        <w:rPr>
          <w:spacing w:val="2"/>
        </w:rPr>
        <w:t> </w:t>
      </w:r>
      <w:r>
        <w:rPr/>
        <w:t>that</w:t>
      </w:r>
      <w:r>
        <w:rPr>
          <w:spacing w:val="2"/>
        </w:rPr>
        <w:t> </w:t>
      </w:r>
      <w:r>
        <w:rPr/>
        <w:t>copy.</w:t>
      </w:r>
      <w:r>
        <w:rPr>
          <w:spacing w:val="2"/>
        </w:rPr>
        <w:t> </w:t>
      </w:r>
      <w:r>
        <w:rPr/>
        <w:t>In</w:t>
      </w:r>
      <w:r>
        <w:rPr>
          <w:spacing w:val="2"/>
        </w:rPr>
        <w:t> </w:t>
      </w:r>
      <w:r>
        <w:rPr/>
        <w:t>these</w:t>
      </w:r>
      <w:r>
        <w:rPr>
          <w:spacing w:val="2"/>
        </w:rPr>
        <w:t> </w:t>
      </w:r>
      <w:r>
        <w:rPr/>
        <w:t>circumstances</w:t>
      </w:r>
      <w:r>
        <w:rPr>
          <w:spacing w:val="2"/>
        </w:rPr>
        <w:t> </w:t>
      </w:r>
      <w:r>
        <w:rPr>
          <w:spacing w:val="-4"/>
        </w:rPr>
        <w:t>Roth</w:t>
      </w:r>
    </w:p>
    <w:p>
      <w:pPr>
        <w:pStyle w:val="BodyText"/>
        <w:spacing w:line="235" w:lineRule="auto"/>
        <w:ind w:left="705" w:right="167"/>
        <w:jc w:val="both"/>
      </w:pPr>
      <w:r>
        <w:rPr/>
        <w:t>J. said at [73] that it would “be wholly artificial to determine the place of the making of </w:t>
      </w:r>
      <w:r>
        <w:rPr/>
        <w:t>the contract by applying the traditional posting rule, dependent upon which party happened to send the fully executed document”; and that there was “a good arguable case that the contract was made in” both countries.</w:t>
      </w:r>
    </w:p>
    <w:p>
      <w:pPr>
        <w:pStyle w:val="BodyText"/>
        <w:spacing w:before="6"/>
      </w:pPr>
    </w:p>
    <w:p>
      <w:pPr>
        <w:spacing w:line="235" w:lineRule="auto" w:before="0"/>
        <w:ind w:left="705" w:right="167" w:hanging="541"/>
        <w:jc w:val="both"/>
        <w:rPr>
          <w:sz w:val="20"/>
        </w:rPr>
      </w:pPr>
      <w:bookmarkStart w:name="_bookmark576" w:id="578"/>
      <w:bookmarkEnd w:id="578"/>
      <w:r>
        <w:rPr/>
      </w:r>
      <w:hyperlink w:history="true" w:anchor="_bookmark513">
        <w:r>
          <w:rPr>
            <w:color w:val="005DA1"/>
            <w:position w:val="5"/>
            <w:sz w:val="14"/>
            <w:u w:val="single" w:color="005DA1"/>
          </w:rPr>
          <w:t>272</w:t>
        </w:r>
      </w:hyperlink>
      <w:r>
        <w:rPr>
          <w:position w:val="5"/>
          <w:sz w:val="14"/>
        </w:rPr>
        <w:t>.</w:t>
      </w:r>
      <w:r>
        <w:rPr>
          <w:spacing w:val="40"/>
          <w:position w:val="5"/>
          <w:sz w:val="14"/>
        </w:rPr>
        <w:t>  </w:t>
      </w:r>
      <w:r>
        <w:rPr>
          <w:rFonts w:ascii="Arial"/>
          <w:i/>
          <w:sz w:val="20"/>
        </w:rPr>
        <w:t>Brinkibon Ltd v Stahag Stahl and Stahlwarenhandelsgesellschaft mbH [1983] 2 A.C. 34, 41</w:t>
      </w:r>
      <w:r>
        <w:rPr>
          <w:sz w:val="20"/>
        </w:rPr>
        <w:t>; the </w:t>
      </w:r>
      <w:r>
        <w:rPr>
          <w:rFonts w:ascii="Arial"/>
          <w:i/>
          <w:sz w:val="20"/>
        </w:rPr>
        <w:t>"Post Office"</w:t>
      </w:r>
      <w:r>
        <w:rPr>
          <w:rFonts w:ascii="Arial"/>
          <w:i/>
          <w:spacing w:val="80"/>
          <w:sz w:val="20"/>
        </w:rPr>
        <w:t> </w:t>
      </w:r>
      <w:r>
        <w:rPr>
          <w:sz w:val="20"/>
        </w:rPr>
        <w:t>here refers to the provider of the universal postal service under the Postal Services Act 2011, by whatever name that provider may from time to time be known.</w:t>
      </w:r>
    </w:p>
    <w:p>
      <w:pPr>
        <w:pStyle w:val="BodyText"/>
        <w:spacing w:before="5"/>
      </w:pPr>
    </w:p>
    <w:p>
      <w:pPr>
        <w:tabs>
          <w:tab w:pos="705" w:val="left" w:leader="none"/>
        </w:tabs>
        <w:spacing w:before="0"/>
        <w:ind w:left="165" w:right="0" w:firstLine="0"/>
        <w:jc w:val="left"/>
        <w:rPr>
          <w:sz w:val="20"/>
        </w:rPr>
      </w:pPr>
      <w:bookmarkStart w:name="_bookmark577" w:id="579"/>
      <w:bookmarkEnd w:id="579"/>
      <w:r>
        <w:rPr/>
      </w:r>
      <w:hyperlink w:history="true" w:anchor="_bookmark514">
        <w:r>
          <w:rPr>
            <w:color w:val="005DA1"/>
            <w:spacing w:val="-4"/>
            <w:position w:val="5"/>
            <w:sz w:val="14"/>
            <w:u w:val="single" w:color="005DA1"/>
          </w:rPr>
          <w:t>273</w:t>
        </w:r>
      </w:hyperlink>
      <w:r>
        <w:rPr>
          <w:spacing w:val="-4"/>
          <w:position w:val="5"/>
          <w:sz w:val="14"/>
        </w:rPr>
        <w:t>.</w:t>
      </w:r>
      <w:r>
        <w:rPr>
          <w:position w:val="5"/>
          <w:sz w:val="14"/>
        </w:rPr>
        <w:tab/>
      </w:r>
      <w:r>
        <w:rPr>
          <w:rFonts w:ascii="Arial"/>
          <w:i/>
          <w:sz w:val="20"/>
        </w:rPr>
        <w:t>Re London &amp; Northern Bank [1900] 1 Ch. </w:t>
      </w:r>
      <w:r>
        <w:rPr>
          <w:rFonts w:ascii="Arial"/>
          <w:i/>
          <w:spacing w:val="-4"/>
          <w:sz w:val="20"/>
        </w:rPr>
        <w:t>220</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578" w:id="580"/>
      <w:bookmarkEnd w:id="580"/>
      <w:r>
        <w:rPr/>
      </w:r>
      <w:hyperlink w:history="true" w:anchor="_bookmark515">
        <w:r>
          <w:rPr>
            <w:color w:val="005DA1"/>
            <w:spacing w:val="-4"/>
            <w:position w:val="5"/>
            <w:sz w:val="14"/>
            <w:u w:val="single" w:color="005DA1"/>
          </w:rPr>
          <w:t>274</w:t>
        </w:r>
      </w:hyperlink>
      <w:r>
        <w:rPr>
          <w:spacing w:val="-4"/>
          <w:position w:val="5"/>
          <w:sz w:val="14"/>
        </w:rPr>
        <w:t>.</w:t>
      </w:r>
      <w:r>
        <w:rPr>
          <w:position w:val="5"/>
          <w:sz w:val="14"/>
        </w:rPr>
        <w:tab/>
      </w:r>
      <w:r>
        <w:rPr>
          <w:rFonts w:ascii="Arial" w:hAnsi="Arial"/>
          <w:i/>
          <w:sz w:val="20"/>
        </w:rPr>
        <w:t>Bruner v Moore [1904] 1 Ch. 305</w:t>
      </w:r>
      <w:r>
        <w:rPr>
          <w:sz w:val="20"/>
        </w:rPr>
        <w:t>; cf. </w:t>
      </w:r>
      <w:r>
        <w:rPr>
          <w:rFonts w:ascii="Arial" w:hAnsi="Arial"/>
          <w:i/>
          <w:sz w:val="20"/>
        </w:rPr>
        <w:t>Stevenson Jacques &amp; Co v McLean (1880) 5 Q.B.D. 346</w:t>
      </w:r>
      <w:r>
        <w:rPr>
          <w:sz w:val="20"/>
        </w:rPr>
        <w:t>. See also </w:t>
      </w:r>
      <w:r>
        <w:rPr>
          <w:rFonts w:ascii="Arial" w:hAnsi="Arial"/>
          <w:i/>
          <w:sz w:val="20"/>
        </w:rPr>
        <w:t>Cowan v O’Connor (1888) 20 Q.B.D. 640 </w:t>
      </w:r>
      <w:r>
        <w:rPr>
          <w:sz w:val="20"/>
        </w:rPr>
        <w:t>(place of acceptance).</w:t>
      </w:r>
    </w:p>
    <w:p>
      <w:pPr>
        <w:pStyle w:val="BodyText"/>
        <w:spacing w:before="9"/>
      </w:pPr>
    </w:p>
    <w:p>
      <w:pPr>
        <w:spacing w:line="235" w:lineRule="auto" w:before="0"/>
        <w:ind w:left="705" w:right="167" w:hanging="541"/>
        <w:jc w:val="both"/>
        <w:rPr>
          <w:sz w:val="20"/>
        </w:rPr>
      </w:pPr>
      <w:bookmarkStart w:name="_bookmark579" w:id="581"/>
      <w:bookmarkEnd w:id="581"/>
      <w:r>
        <w:rPr/>
      </w:r>
      <w:hyperlink w:history="true" w:anchor="_bookmark516">
        <w:r>
          <w:rPr>
            <w:color w:val="005DA1"/>
            <w:position w:val="5"/>
            <w:sz w:val="14"/>
            <w:u w:val="single" w:color="005DA1"/>
          </w:rPr>
          <w:t>275</w:t>
        </w:r>
      </w:hyperlink>
      <w:r>
        <w:rPr>
          <w:position w:val="5"/>
          <w:sz w:val="14"/>
        </w:rPr>
        <w:t>.</w:t>
      </w:r>
      <w:r>
        <w:rPr>
          <w:spacing w:val="40"/>
          <w:position w:val="5"/>
          <w:sz w:val="14"/>
        </w:rPr>
        <w:t>  </w:t>
      </w:r>
      <w:r>
        <w:rPr>
          <w:sz w:val="20"/>
        </w:rPr>
        <w:t>e.g. in </w:t>
      </w:r>
      <w:r>
        <w:rPr>
          <w:rFonts w:ascii="Arial" w:hAnsi="Arial"/>
          <w:i/>
          <w:sz w:val="20"/>
        </w:rPr>
        <w:t>Henthorn v Fraser [1892] 2 Ch. 27</w:t>
      </w:r>
      <w:r>
        <w:rPr>
          <w:sz w:val="20"/>
        </w:rPr>
        <w:t>. Such a written acceptance of an oral offer does not, however, create a “contract by correspondence” within the Law of Property Act 1925 s.46: </w:t>
      </w:r>
      <w:r>
        <w:rPr>
          <w:rFonts w:ascii="Arial" w:hAnsi="Arial"/>
          <w:i/>
          <w:sz w:val="20"/>
        </w:rPr>
        <w:t>Stearn v Twitchell [1985] 1 All E.R. 631</w:t>
      </w:r>
      <w:r>
        <w:rPr>
          <w:sz w:val="20"/>
        </w:rPr>
        <w:t>.</w:t>
      </w:r>
    </w:p>
    <w:p>
      <w:pPr>
        <w:pStyle w:val="BodyText"/>
        <w:spacing w:before="5"/>
      </w:pPr>
    </w:p>
    <w:p>
      <w:pPr>
        <w:tabs>
          <w:tab w:pos="705" w:val="left" w:leader="none"/>
        </w:tabs>
        <w:spacing w:before="1"/>
        <w:ind w:left="165" w:right="0" w:firstLine="0"/>
        <w:jc w:val="left"/>
        <w:rPr>
          <w:sz w:val="20"/>
        </w:rPr>
      </w:pPr>
      <w:bookmarkStart w:name="_bookmark580" w:id="582"/>
      <w:bookmarkEnd w:id="582"/>
      <w:r>
        <w:rPr/>
      </w:r>
      <w:hyperlink w:history="true" w:anchor="_bookmark517">
        <w:r>
          <w:rPr>
            <w:color w:val="005DA1"/>
            <w:spacing w:val="-4"/>
            <w:position w:val="5"/>
            <w:sz w:val="14"/>
            <w:u w:val="single" w:color="005DA1"/>
          </w:rPr>
          <w:t>276</w:t>
        </w:r>
      </w:hyperlink>
      <w:r>
        <w:rPr>
          <w:spacing w:val="-4"/>
          <w:position w:val="5"/>
          <w:sz w:val="14"/>
        </w:rPr>
        <w:t>.</w:t>
      </w:r>
      <w:r>
        <w:rPr>
          <w:position w:val="5"/>
          <w:sz w:val="14"/>
        </w:rPr>
        <w:tab/>
      </w:r>
      <w:r>
        <w:rPr>
          <w:sz w:val="20"/>
        </w:rPr>
        <w:t>cf. </w:t>
      </w:r>
      <w:r>
        <w:rPr>
          <w:rFonts w:ascii="Arial"/>
          <w:i/>
          <w:sz w:val="20"/>
        </w:rPr>
        <w:t>Quenerduaine v Cole (1883) 32 W.R. 185</w:t>
      </w:r>
      <w:r>
        <w:rPr>
          <w:rFonts w:ascii="Arial"/>
          <w:i/>
          <w:spacing w:val="-1"/>
          <w:sz w:val="20"/>
        </w:rPr>
        <w:t> </w:t>
      </w:r>
      <w:r>
        <w:rPr>
          <w:spacing w:val="-2"/>
          <w:sz w:val="20"/>
        </w:rPr>
        <w:t>(telegram).</w:t>
      </w:r>
    </w:p>
    <w:p>
      <w:pPr>
        <w:pStyle w:val="BodyText"/>
        <w:spacing w:before="4"/>
      </w:pPr>
    </w:p>
    <w:p>
      <w:pPr>
        <w:tabs>
          <w:tab w:pos="705" w:val="left" w:leader="none"/>
        </w:tabs>
        <w:spacing w:before="1"/>
        <w:ind w:left="165" w:right="0" w:firstLine="0"/>
        <w:jc w:val="left"/>
        <w:rPr>
          <w:sz w:val="20"/>
        </w:rPr>
      </w:pPr>
      <w:bookmarkStart w:name="_bookmark581" w:id="583"/>
      <w:bookmarkEnd w:id="583"/>
      <w:r>
        <w:rPr/>
      </w:r>
      <w:hyperlink w:history="true" w:anchor="_bookmark518">
        <w:r>
          <w:rPr>
            <w:color w:val="005DA1"/>
            <w:spacing w:val="-4"/>
            <w:position w:val="5"/>
            <w:sz w:val="14"/>
            <w:u w:val="single" w:color="005DA1"/>
          </w:rPr>
          <w:t>277</w:t>
        </w:r>
      </w:hyperlink>
      <w:r>
        <w:rPr>
          <w:spacing w:val="-4"/>
          <w:position w:val="5"/>
          <w:sz w:val="14"/>
        </w:rPr>
        <w:t>.</w:t>
      </w:r>
      <w:r>
        <w:rPr>
          <w:position w:val="5"/>
          <w:sz w:val="14"/>
        </w:rPr>
        <w:tab/>
      </w:r>
      <w:r>
        <w:rPr>
          <w:rFonts w:ascii="Arial"/>
          <w:i/>
          <w:sz w:val="20"/>
        </w:rPr>
        <w:t>Bal v Van Staden [1902] T.S. </w:t>
      </w:r>
      <w:r>
        <w:rPr>
          <w:rFonts w:ascii="Arial"/>
          <w:i/>
          <w:spacing w:val="-4"/>
          <w:sz w:val="20"/>
        </w:rPr>
        <w:t>128</w:t>
      </w:r>
      <w:r>
        <w:rPr>
          <w:spacing w:val="-4"/>
          <w:sz w:val="20"/>
        </w:rPr>
        <w:t>.</w:t>
      </w:r>
    </w:p>
    <w:p>
      <w:pPr>
        <w:pStyle w:val="BodyText"/>
        <w:spacing w:before="8"/>
      </w:pPr>
    </w:p>
    <w:p>
      <w:pPr>
        <w:spacing w:line="235" w:lineRule="auto" w:before="0"/>
        <w:ind w:left="705" w:right="168" w:hanging="541"/>
        <w:jc w:val="both"/>
        <w:rPr>
          <w:sz w:val="20"/>
        </w:rPr>
      </w:pPr>
      <w:bookmarkStart w:name="_bookmark582" w:id="584"/>
      <w:bookmarkEnd w:id="584"/>
      <w:r>
        <w:rPr/>
      </w:r>
      <w:hyperlink w:history="true" w:anchor="_bookmark519">
        <w:r>
          <w:rPr>
            <w:color w:val="005DA1"/>
            <w:position w:val="5"/>
            <w:sz w:val="14"/>
            <w:u w:val="single" w:color="005DA1"/>
          </w:rPr>
          <w:t>278</w:t>
        </w:r>
      </w:hyperlink>
      <w:r>
        <w:rPr>
          <w:position w:val="5"/>
          <w:sz w:val="14"/>
        </w:rPr>
        <w:t>.</w:t>
      </w:r>
      <w:r>
        <w:rPr>
          <w:spacing w:val="80"/>
          <w:position w:val="5"/>
          <w:sz w:val="14"/>
        </w:rPr>
        <w:t> </w:t>
      </w:r>
      <w:r>
        <w:rPr>
          <w:rFonts w:ascii="Arial" w:hAnsi="Arial"/>
          <w:i/>
          <w:sz w:val="20"/>
        </w:rPr>
        <w:t>Entores Ltd v Miles Far East Corp [1955] 2 Q.B. 327</w:t>
      </w:r>
      <w:r>
        <w:rPr>
          <w:sz w:val="20"/>
        </w:rPr>
        <w:t>; </w:t>
      </w:r>
      <w:r>
        <w:rPr>
          <w:rFonts w:ascii="Arial" w:hAnsi="Arial"/>
          <w:i/>
          <w:sz w:val="20"/>
        </w:rPr>
        <w:t>Brinkibon Ltd v Stahag Stahl </w:t>
      </w:r>
      <w:r>
        <w:rPr>
          <w:rFonts w:ascii="Arial" w:hAnsi="Arial"/>
          <w:i/>
          <w:sz w:val="20"/>
        </w:rPr>
        <w:t>und Stahlwarengesellschaft mbH [1983] 2 A.C. 34</w:t>
      </w:r>
      <w:r>
        <w:rPr>
          <w:sz w:val="20"/>
        </w:rPr>
        <w:t>; </w:t>
      </w:r>
      <w:r>
        <w:rPr>
          <w:rFonts w:ascii="Arial" w:hAnsi="Arial"/>
          <w:i/>
          <w:sz w:val="20"/>
        </w:rPr>
        <w:t>NV Stoomv Maats “De Maas” v Nippon Yusen Kaisha (The Pendrecht) [1980] 2 Lloyd’s Rep. 56, 66</w:t>
      </w:r>
      <w:r>
        <w:rPr>
          <w:sz w:val="20"/>
        </w:rPr>
        <w:t>; </w:t>
      </w:r>
      <w:r>
        <w:rPr>
          <w:rFonts w:ascii="Arial" w:hAnsi="Arial"/>
          <w:i/>
          <w:sz w:val="20"/>
        </w:rPr>
        <w:t>Gill &amp; Duffus Landauer Ltd v London Export Corp GmbH [1982] 2 Lloyd’s Rep. 627</w:t>
      </w:r>
      <w:r>
        <w:rPr>
          <w:sz w:val="20"/>
        </w:rPr>
        <w:t>; cf. </w:t>
      </w:r>
      <w:r>
        <w:rPr>
          <w:rFonts w:ascii="Arial" w:hAnsi="Arial"/>
          <w:i/>
          <w:sz w:val="20"/>
        </w:rPr>
        <w:t>Schelde Delta Shipping BV v Astarte</w:t>
      </w:r>
      <w:r>
        <w:rPr>
          <w:rFonts w:ascii="Arial" w:hAnsi="Arial"/>
          <w:i/>
          <w:spacing w:val="40"/>
          <w:sz w:val="20"/>
        </w:rPr>
        <w:t> </w:t>
      </w:r>
      <w:r>
        <w:rPr>
          <w:rFonts w:ascii="Arial" w:hAnsi="Arial"/>
          <w:i/>
          <w:sz w:val="20"/>
        </w:rPr>
        <w:t>Shipping Ltd (The Pamela) [1995] 2 Lloyd’s Rep. 249, 252 </w:t>
      </w:r>
      <w:r>
        <w:rPr>
          <w:sz w:val="20"/>
        </w:rPr>
        <w:t>(telexed notice withdrawing ship</w:t>
      </w:r>
      <w:r>
        <w:rPr>
          <w:spacing w:val="40"/>
          <w:sz w:val="20"/>
        </w:rPr>
        <w:t> </w:t>
      </w:r>
      <w:r>
        <w:rPr>
          <w:sz w:val="20"/>
        </w:rPr>
        <w:t>from charterparty); and (in tort) </w:t>
      </w:r>
      <w:r>
        <w:rPr>
          <w:rFonts w:ascii="Arial" w:hAnsi="Arial"/>
          <w:i/>
          <w:sz w:val="20"/>
        </w:rPr>
        <w:t>Diamond v Bank of London &amp; Montreal [1979] Q.B. 333</w:t>
      </w:r>
      <w:r>
        <w:rPr>
          <w:sz w:val="20"/>
        </w:rPr>
        <w:t>.</w:t>
      </w:r>
    </w:p>
    <w:p>
      <w:pPr>
        <w:pStyle w:val="BodyText"/>
        <w:spacing w:before="4"/>
      </w:pPr>
    </w:p>
    <w:p>
      <w:pPr>
        <w:tabs>
          <w:tab w:pos="705" w:val="left" w:leader="none"/>
        </w:tabs>
        <w:spacing w:before="0"/>
        <w:ind w:left="165" w:right="0" w:firstLine="0"/>
        <w:jc w:val="left"/>
        <w:rPr>
          <w:sz w:val="20"/>
        </w:rPr>
      </w:pPr>
      <w:bookmarkStart w:name="_bookmark583" w:id="585"/>
      <w:bookmarkEnd w:id="585"/>
      <w:r>
        <w:rPr/>
      </w:r>
      <w:hyperlink w:history="true" w:anchor="_bookmark520">
        <w:r>
          <w:rPr>
            <w:color w:val="005DA1"/>
            <w:spacing w:val="-4"/>
            <w:position w:val="5"/>
            <w:sz w:val="14"/>
            <w:u w:val="single" w:color="005DA1"/>
          </w:rPr>
          <w:t>279</w:t>
        </w:r>
      </w:hyperlink>
      <w:r>
        <w:rPr>
          <w:spacing w:val="-4"/>
          <w:position w:val="5"/>
          <w:sz w:val="14"/>
        </w:rPr>
        <w:t>.</w:t>
      </w:r>
      <w:r>
        <w:rPr>
          <w:position w:val="5"/>
          <w:sz w:val="14"/>
        </w:rPr>
        <w:tab/>
      </w:r>
      <w:r>
        <w:rPr>
          <w:sz w:val="20"/>
        </w:rPr>
        <w:t>See the</w:t>
      </w:r>
      <w:r>
        <w:rPr>
          <w:spacing w:val="-1"/>
          <w:sz w:val="20"/>
        </w:rPr>
        <w:t> </w:t>
      </w:r>
      <w:r>
        <w:rPr>
          <w:rFonts w:ascii="Arial"/>
          <w:i/>
          <w:sz w:val="20"/>
        </w:rPr>
        <w:t>Entores</w:t>
      </w:r>
      <w:r>
        <w:rPr>
          <w:rFonts w:ascii="Arial"/>
          <w:i/>
          <w:spacing w:val="-1"/>
          <w:sz w:val="20"/>
        </w:rPr>
        <w:t> </w:t>
      </w:r>
      <w:r>
        <w:rPr>
          <w:sz w:val="20"/>
        </w:rPr>
        <w:t>case, above n.274, at 333 and the</w:t>
      </w:r>
      <w:r>
        <w:rPr>
          <w:spacing w:val="-1"/>
          <w:sz w:val="20"/>
        </w:rPr>
        <w:t> </w:t>
      </w:r>
      <w:r>
        <w:rPr>
          <w:rFonts w:ascii="Arial"/>
          <w:i/>
          <w:sz w:val="20"/>
        </w:rPr>
        <w:t>Brinkibon</w:t>
      </w:r>
      <w:r>
        <w:rPr>
          <w:rFonts w:ascii="Arial"/>
          <w:i/>
          <w:spacing w:val="-1"/>
          <w:sz w:val="20"/>
        </w:rPr>
        <w:t> </w:t>
      </w:r>
      <w:r>
        <w:rPr>
          <w:sz w:val="20"/>
        </w:rPr>
        <w:t>case, above n.274, at </w:t>
      </w:r>
      <w:r>
        <w:rPr>
          <w:spacing w:val="-5"/>
          <w:sz w:val="20"/>
        </w:rPr>
        <w:t>43.</w:t>
      </w:r>
    </w:p>
    <w:p>
      <w:pPr>
        <w:pStyle w:val="BodyText"/>
        <w:spacing w:before="5"/>
      </w:pPr>
    </w:p>
    <w:p>
      <w:pPr>
        <w:tabs>
          <w:tab w:pos="705" w:val="left" w:leader="none"/>
        </w:tabs>
        <w:spacing w:before="0"/>
        <w:ind w:left="165" w:right="0" w:firstLine="0"/>
        <w:jc w:val="left"/>
        <w:rPr>
          <w:sz w:val="20"/>
        </w:rPr>
      </w:pPr>
      <w:bookmarkStart w:name="_bookmark584" w:id="586"/>
      <w:bookmarkEnd w:id="586"/>
      <w:r>
        <w:rPr/>
      </w:r>
      <w:hyperlink w:history="true" w:anchor="_bookmark521">
        <w:r>
          <w:rPr>
            <w:color w:val="005DA1"/>
            <w:spacing w:val="-4"/>
            <w:position w:val="5"/>
            <w:sz w:val="14"/>
            <w:u w:val="single" w:color="005DA1"/>
          </w:rPr>
          <w:t>280</w:t>
        </w:r>
      </w:hyperlink>
      <w:r>
        <w:rPr>
          <w:spacing w:val="-4"/>
          <w:position w:val="5"/>
          <w:sz w:val="14"/>
        </w:rPr>
        <w:t>.</w:t>
      </w:r>
      <w:r>
        <w:rPr>
          <w:position w:val="5"/>
          <w:sz w:val="14"/>
        </w:rPr>
        <w:tab/>
      </w:r>
      <w:r>
        <w:rPr>
          <w:sz w:val="20"/>
        </w:rPr>
        <w:t>Above, para.2-</w:t>
      </w:r>
      <w:r>
        <w:rPr>
          <w:spacing w:val="-4"/>
          <w:sz w:val="20"/>
        </w:rPr>
        <w:t>044.</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522">
        <w:r>
          <w:rPr>
            <w:color w:val="005DA1"/>
            <w:spacing w:val="-4"/>
            <w:position w:val="5"/>
            <w:sz w:val="14"/>
            <w:u w:val="single" w:color="005DA1"/>
          </w:rPr>
          <w:t>281</w:t>
        </w:r>
      </w:hyperlink>
      <w:r>
        <w:rPr>
          <w:spacing w:val="-4"/>
          <w:position w:val="5"/>
          <w:sz w:val="14"/>
        </w:rPr>
        <w:t>.</w:t>
      </w:r>
      <w:r>
        <w:rPr>
          <w:position w:val="5"/>
          <w:sz w:val="14"/>
        </w:rPr>
        <w:tab/>
      </w:r>
      <w:r>
        <w:rPr>
          <w:sz w:val="20"/>
        </w:rPr>
        <w:t>At n.275, </w:t>
      </w:r>
      <w:r>
        <w:rPr>
          <w:spacing w:val="-2"/>
          <w:sz w:val="20"/>
        </w:rPr>
        <w:t>above.</w:t>
      </w:r>
    </w:p>
    <w:p>
      <w:pPr>
        <w:pStyle w:val="BodyText"/>
        <w:spacing w:before="5"/>
      </w:pPr>
    </w:p>
    <w:p>
      <w:pPr>
        <w:pStyle w:val="BodyText"/>
        <w:tabs>
          <w:tab w:pos="705" w:val="left" w:leader="none"/>
        </w:tabs>
        <w:spacing w:before="1"/>
        <w:ind w:left="165"/>
      </w:pPr>
      <w:bookmarkStart w:name="_bookmark585" w:id="587"/>
      <w:bookmarkEnd w:id="587"/>
      <w:r>
        <w:rPr/>
      </w:r>
      <w:hyperlink w:history="true" w:anchor="_bookmark523">
        <w:r>
          <w:rPr>
            <w:color w:val="005DA1"/>
            <w:spacing w:val="-4"/>
            <w:position w:val="5"/>
            <w:sz w:val="14"/>
            <w:u w:val="single" w:color="005DA1"/>
          </w:rPr>
          <w:t>282</w:t>
        </w:r>
      </w:hyperlink>
      <w:r>
        <w:rPr>
          <w:spacing w:val="-4"/>
          <w:position w:val="5"/>
          <w:sz w:val="14"/>
        </w:rPr>
        <w:t>.</w:t>
      </w:r>
      <w:r>
        <w:rPr>
          <w:position w:val="5"/>
          <w:sz w:val="14"/>
        </w:rPr>
        <w:tab/>
      </w:r>
      <w:r>
        <w:rPr/>
        <w:t>Contra Winfield (1939) 55 L.Q.R. 499, </w:t>
      </w:r>
      <w:r>
        <w:rPr>
          <w:spacing w:val="-4"/>
        </w:rPr>
        <w:t>515.</w:t>
      </w:r>
    </w:p>
    <w:p>
      <w:pPr>
        <w:pStyle w:val="BodyText"/>
        <w:spacing w:before="8"/>
      </w:pPr>
    </w:p>
    <w:p>
      <w:pPr>
        <w:spacing w:line="235" w:lineRule="auto" w:before="0"/>
        <w:ind w:left="705" w:right="167" w:hanging="541"/>
        <w:jc w:val="both"/>
        <w:rPr>
          <w:sz w:val="20"/>
        </w:rPr>
      </w:pPr>
      <w:bookmarkStart w:name="_bookmark586" w:id="588"/>
      <w:bookmarkEnd w:id="588"/>
      <w:r>
        <w:rPr/>
      </w:r>
      <w:hyperlink w:history="true" w:anchor="_bookmark524">
        <w:r>
          <w:rPr>
            <w:color w:val="005DA1"/>
            <w:position w:val="5"/>
            <w:sz w:val="14"/>
            <w:u w:val="single" w:color="005DA1"/>
          </w:rPr>
          <w:t>283</w:t>
        </w:r>
      </w:hyperlink>
      <w:r>
        <w:rPr>
          <w:position w:val="5"/>
          <w:sz w:val="14"/>
        </w:rPr>
        <w:t>.</w:t>
      </w:r>
      <w:r>
        <w:rPr>
          <w:spacing w:val="40"/>
          <w:position w:val="5"/>
          <w:sz w:val="14"/>
        </w:rPr>
        <w:t>  </w:t>
      </w:r>
      <w:r>
        <w:rPr>
          <w:rFonts w:ascii="Arial" w:hAnsi="Arial"/>
          <w:i/>
          <w:sz w:val="20"/>
        </w:rPr>
        <w:t>JSC Zestafoni Nikoladze Ferroalloy Plant v Ronly Holdings Ltd [2004] EWHC 245 (Comm), [2004] 2 Lloyd’s Rep. 335</w:t>
      </w:r>
      <w:r>
        <w:rPr>
          <w:sz w:val="20"/>
        </w:rPr>
        <w:t>, where a fax message was classified at [75] as an “instantaneous communication” and to take effect only on full receipt as the sender’s machine would </w:t>
      </w:r>
      <w:r>
        <w:rPr>
          <w:sz w:val="20"/>
        </w:rPr>
        <w:t>usually indicate whether the message had been received “effectively” (as distinct from having been received only in part). cf. also </w:t>
      </w:r>
      <w:r>
        <w:rPr>
          <w:rFonts w:ascii="Arial" w:hAnsi="Arial"/>
          <w:i/>
          <w:sz w:val="20"/>
        </w:rPr>
        <w:t>Korbetis v Transgrain Shipping BV [2005] EWHC 1345 (QB) </w:t>
      </w:r>
      <w:r>
        <w:rPr>
          <w:sz w:val="20"/>
        </w:rPr>
        <w:t>(misdirected fax acceptance, below, para.2-057).</w:t>
      </w:r>
    </w:p>
    <w:p>
      <w:pPr>
        <w:pStyle w:val="BodyText"/>
        <w:spacing w:before="4"/>
      </w:pPr>
    </w:p>
    <w:p>
      <w:pPr>
        <w:pStyle w:val="BodyText"/>
        <w:tabs>
          <w:tab w:pos="705" w:val="left" w:leader="none"/>
        </w:tabs>
        <w:ind w:left="165"/>
      </w:pPr>
      <w:bookmarkStart w:name="_bookmark587" w:id="589"/>
      <w:bookmarkEnd w:id="589"/>
      <w:r>
        <w:rPr/>
      </w:r>
      <w:hyperlink w:history="true" w:anchor="_bookmark525">
        <w:r>
          <w:rPr>
            <w:color w:val="005DA1"/>
            <w:spacing w:val="-4"/>
            <w:position w:val="5"/>
            <w:sz w:val="14"/>
            <w:u w:val="single" w:color="005DA1"/>
          </w:rPr>
          <w:t>284</w:t>
        </w:r>
      </w:hyperlink>
      <w:r>
        <w:rPr>
          <w:spacing w:val="-4"/>
          <w:position w:val="5"/>
          <w:sz w:val="14"/>
        </w:rPr>
        <w:t>.</w:t>
      </w:r>
      <w:r>
        <w:rPr>
          <w:position w:val="5"/>
          <w:sz w:val="14"/>
        </w:rPr>
        <w:tab/>
      </w:r>
      <w:r>
        <w:rPr/>
        <w:t>This possibility is not considered (as it did not arise) in the</w:t>
      </w:r>
      <w:r>
        <w:rPr>
          <w:spacing w:val="-1"/>
        </w:rPr>
        <w:t> </w:t>
      </w:r>
      <w:r>
        <w:rPr>
          <w:rFonts w:ascii="Arial"/>
          <w:i/>
        </w:rPr>
        <w:t>JSC Zestafoni</w:t>
      </w:r>
      <w:r>
        <w:rPr>
          <w:rFonts w:ascii="Arial"/>
          <w:i/>
          <w:spacing w:val="-1"/>
        </w:rPr>
        <w:t> </w:t>
      </w:r>
      <w:r>
        <w:rPr/>
        <w:t>case, above </w:t>
      </w:r>
      <w:r>
        <w:rPr>
          <w:spacing w:val="-2"/>
        </w:rPr>
        <w:t>n.279.</w:t>
      </w:r>
    </w:p>
    <w:p>
      <w:pPr>
        <w:pStyle w:val="BodyText"/>
        <w:spacing w:before="9"/>
      </w:pPr>
    </w:p>
    <w:p>
      <w:pPr>
        <w:tabs>
          <w:tab w:pos="705" w:val="left" w:leader="none"/>
        </w:tabs>
        <w:spacing w:line="235" w:lineRule="auto" w:before="0"/>
        <w:ind w:left="705" w:right="168" w:hanging="541"/>
        <w:jc w:val="left"/>
        <w:rPr>
          <w:sz w:val="20"/>
        </w:rPr>
      </w:pPr>
      <w:bookmarkStart w:name="_bookmark588" w:id="590"/>
      <w:bookmarkEnd w:id="590"/>
      <w:r>
        <w:rPr/>
      </w:r>
      <w:hyperlink w:history="true" w:anchor="_bookmark526">
        <w:r>
          <w:rPr>
            <w:color w:val="005DA1"/>
            <w:spacing w:val="-4"/>
            <w:position w:val="5"/>
            <w:sz w:val="14"/>
            <w:u w:val="single" w:color="005DA1"/>
          </w:rPr>
          <w:t>285</w:t>
        </w:r>
      </w:hyperlink>
      <w:r>
        <w:rPr>
          <w:spacing w:val="-4"/>
          <w:position w:val="5"/>
          <w:sz w:val="14"/>
        </w:rPr>
        <w:t>.</w:t>
      </w:r>
      <w:r>
        <w:rPr>
          <w:position w:val="5"/>
          <w:sz w:val="14"/>
        </w:rPr>
        <w:tab/>
      </w:r>
      <w:r>
        <w:rPr>
          <w:rFonts w:ascii="Arial"/>
          <w:i/>
          <w:sz w:val="20"/>
        </w:rPr>
        <w:t>Holwell</w:t>
      </w:r>
      <w:r>
        <w:rPr>
          <w:rFonts w:ascii="Arial"/>
          <w:i/>
          <w:spacing w:val="35"/>
          <w:sz w:val="20"/>
        </w:rPr>
        <w:t> </w:t>
      </w:r>
      <w:r>
        <w:rPr>
          <w:rFonts w:ascii="Arial"/>
          <w:i/>
          <w:sz w:val="20"/>
        </w:rPr>
        <w:t>Securities</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Hughes</w:t>
      </w:r>
      <w:r>
        <w:rPr>
          <w:rFonts w:ascii="Arial"/>
          <w:i/>
          <w:spacing w:val="35"/>
          <w:sz w:val="20"/>
        </w:rPr>
        <w:t> </w:t>
      </w:r>
      <w:r>
        <w:rPr>
          <w:rFonts w:ascii="Arial"/>
          <w:i/>
          <w:sz w:val="20"/>
        </w:rPr>
        <w:t>[1974]</w:t>
      </w:r>
      <w:r>
        <w:rPr>
          <w:rFonts w:ascii="Arial"/>
          <w:i/>
          <w:spacing w:val="35"/>
          <w:sz w:val="20"/>
        </w:rPr>
        <w:t> </w:t>
      </w:r>
      <w:r>
        <w:rPr>
          <w:rFonts w:ascii="Arial"/>
          <w:i/>
          <w:sz w:val="20"/>
        </w:rPr>
        <w:t>1</w:t>
      </w:r>
      <w:r>
        <w:rPr>
          <w:rFonts w:ascii="Arial"/>
          <w:i/>
          <w:spacing w:val="35"/>
          <w:sz w:val="20"/>
        </w:rPr>
        <w:t> </w:t>
      </w:r>
      <w:r>
        <w:rPr>
          <w:rFonts w:ascii="Arial"/>
          <w:i/>
          <w:sz w:val="20"/>
        </w:rPr>
        <w:t>W.L.R.</w:t>
      </w:r>
      <w:r>
        <w:rPr>
          <w:rFonts w:ascii="Arial"/>
          <w:i/>
          <w:spacing w:val="35"/>
          <w:sz w:val="20"/>
        </w:rPr>
        <w:t> </w:t>
      </w:r>
      <w:r>
        <w:rPr>
          <w:rFonts w:ascii="Arial"/>
          <w:i/>
          <w:sz w:val="20"/>
        </w:rPr>
        <w:t>155</w:t>
      </w:r>
      <w:r>
        <w:rPr>
          <w:sz w:val="20"/>
        </w:rPr>
        <w:t>;</w:t>
      </w:r>
      <w:r>
        <w:rPr>
          <w:spacing w:val="35"/>
          <w:sz w:val="20"/>
        </w:rPr>
        <w:t> </w:t>
      </w:r>
      <w:r>
        <w:rPr>
          <w:sz w:val="20"/>
        </w:rPr>
        <w:t>cf.</w:t>
      </w:r>
      <w:r>
        <w:rPr>
          <w:spacing w:val="35"/>
          <w:sz w:val="20"/>
        </w:rPr>
        <w:t> </w:t>
      </w:r>
      <w:r>
        <w:rPr>
          <w:rFonts w:ascii="Arial"/>
          <w:i/>
          <w:sz w:val="20"/>
        </w:rPr>
        <w:t>New</w:t>
      </w:r>
      <w:r>
        <w:rPr>
          <w:rFonts w:ascii="Arial"/>
          <w:i/>
          <w:spacing w:val="35"/>
          <w:sz w:val="20"/>
        </w:rPr>
        <w:t> </w:t>
      </w:r>
      <w:r>
        <w:rPr>
          <w:rFonts w:ascii="Arial"/>
          <w:i/>
          <w:sz w:val="20"/>
        </w:rPr>
        <w:t>Hart</w:t>
      </w:r>
      <w:r>
        <w:rPr>
          <w:rFonts w:ascii="Arial"/>
          <w:i/>
          <w:spacing w:val="35"/>
          <w:sz w:val="20"/>
        </w:rPr>
        <w:t> </w:t>
      </w:r>
      <w:r>
        <w:rPr>
          <w:rFonts w:ascii="Arial"/>
          <w:i/>
          <w:sz w:val="20"/>
        </w:rPr>
        <w:t>Builders</w:t>
      </w:r>
      <w:r>
        <w:rPr>
          <w:rFonts w:ascii="Arial"/>
          <w:i/>
          <w:spacing w:val="35"/>
          <w:sz w:val="20"/>
        </w:rPr>
        <w:t> </w:t>
      </w:r>
      <w:r>
        <w:rPr>
          <w:rFonts w:ascii="Arial"/>
          <w:i/>
          <w:sz w:val="20"/>
        </w:rPr>
        <w:t>Ltd</w:t>
      </w:r>
      <w:r>
        <w:rPr>
          <w:rFonts w:ascii="Arial"/>
          <w:i/>
          <w:spacing w:val="35"/>
          <w:sz w:val="20"/>
        </w:rPr>
        <w:t> </w:t>
      </w:r>
      <w:r>
        <w:rPr>
          <w:rFonts w:ascii="Arial"/>
          <w:i/>
          <w:sz w:val="20"/>
        </w:rPr>
        <w:t>v</w:t>
      </w:r>
      <w:r>
        <w:rPr>
          <w:rFonts w:ascii="Arial"/>
          <w:i/>
          <w:spacing w:val="35"/>
          <w:sz w:val="20"/>
        </w:rPr>
        <w:t> </w:t>
      </w:r>
      <w:r>
        <w:rPr>
          <w:rFonts w:ascii="Arial"/>
          <w:i/>
          <w:sz w:val="20"/>
        </w:rPr>
        <w:t>Brindley [1975] Ch. 342</w:t>
      </w:r>
      <w:r>
        <w:rPr>
          <w:sz w:val="20"/>
        </w:rPr>
        <w:t>.</w:t>
      </w:r>
    </w:p>
    <w:p>
      <w:pPr>
        <w:pStyle w:val="BodyText"/>
        <w:spacing w:before="5"/>
      </w:pPr>
    </w:p>
    <w:p>
      <w:pPr>
        <w:tabs>
          <w:tab w:pos="705" w:val="left" w:leader="none"/>
        </w:tabs>
        <w:spacing w:before="1"/>
        <w:ind w:left="165" w:right="0" w:firstLine="0"/>
        <w:jc w:val="left"/>
        <w:rPr>
          <w:sz w:val="20"/>
        </w:rPr>
      </w:pPr>
      <w:bookmarkStart w:name="_bookmark589" w:id="591"/>
      <w:bookmarkEnd w:id="591"/>
      <w:r>
        <w:rPr/>
      </w:r>
      <w:hyperlink w:history="true" w:anchor="_bookmark527">
        <w:r>
          <w:rPr>
            <w:color w:val="005DA1"/>
            <w:spacing w:val="-4"/>
            <w:position w:val="5"/>
            <w:sz w:val="14"/>
            <w:u w:val="single" w:color="005DA1"/>
          </w:rPr>
          <w:t>286</w:t>
        </w:r>
      </w:hyperlink>
      <w:r>
        <w:rPr>
          <w:spacing w:val="-4"/>
          <w:position w:val="5"/>
          <w:sz w:val="14"/>
        </w:rPr>
        <w:t>.</w:t>
      </w:r>
      <w:r>
        <w:rPr>
          <w:position w:val="5"/>
          <w:sz w:val="14"/>
        </w:rPr>
        <w:tab/>
      </w:r>
      <w:r>
        <w:rPr>
          <w:rFonts w:ascii="Arial"/>
          <w:i/>
          <w:sz w:val="20"/>
        </w:rPr>
        <w:t>Brinkibon</w:t>
      </w:r>
      <w:r>
        <w:rPr>
          <w:rFonts w:ascii="Arial"/>
          <w:i/>
          <w:spacing w:val="-1"/>
          <w:sz w:val="20"/>
        </w:rPr>
        <w:t> </w:t>
      </w:r>
      <w:r>
        <w:rPr>
          <w:sz w:val="20"/>
        </w:rPr>
        <w:t>case (above, n.274) at 41;</w:t>
      </w:r>
      <w:r>
        <w:rPr>
          <w:spacing w:val="-1"/>
          <w:sz w:val="20"/>
        </w:rPr>
        <w:t> </w:t>
      </w:r>
      <w:r>
        <w:rPr>
          <w:rFonts w:ascii="Arial"/>
          <w:i/>
          <w:sz w:val="20"/>
        </w:rPr>
        <w:t>Gill &amp; Duffus Landauer</w:t>
      </w:r>
      <w:r>
        <w:rPr>
          <w:rFonts w:ascii="Arial"/>
          <w:i/>
          <w:spacing w:val="-1"/>
          <w:sz w:val="20"/>
        </w:rPr>
        <w:t> </w:t>
      </w:r>
      <w:r>
        <w:rPr>
          <w:sz w:val="20"/>
        </w:rPr>
        <w:t>case (above, n.274) at </w:t>
      </w:r>
      <w:r>
        <w:rPr>
          <w:spacing w:val="-4"/>
          <w:sz w:val="20"/>
        </w:rPr>
        <w:t>631.</w:t>
      </w:r>
    </w:p>
    <w:p>
      <w:pPr>
        <w:pStyle w:val="BodyText"/>
        <w:spacing w:before="4"/>
      </w:pPr>
    </w:p>
    <w:p>
      <w:pPr>
        <w:tabs>
          <w:tab w:pos="705" w:val="left" w:leader="none"/>
        </w:tabs>
        <w:spacing w:before="1"/>
        <w:ind w:left="165" w:right="0" w:firstLine="0"/>
        <w:jc w:val="left"/>
        <w:rPr>
          <w:sz w:val="20"/>
        </w:rPr>
      </w:pPr>
      <w:bookmarkStart w:name="_bookmark590" w:id="592"/>
      <w:bookmarkEnd w:id="592"/>
      <w:r>
        <w:rPr/>
      </w:r>
      <w:hyperlink w:history="true" w:anchor="_bookmark528">
        <w:r>
          <w:rPr>
            <w:color w:val="005DA1"/>
            <w:spacing w:val="-4"/>
            <w:position w:val="5"/>
            <w:sz w:val="14"/>
            <w:u w:val="single" w:color="005DA1"/>
          </w:rPr>
          <w:t>287</w:t>
        </w:r>
      </w:hyperlink>
      <w:r>
        <w:rPr>
          <w:spacing w:val="-4"/>
          <w:position w:val="5"/>
          <w:sz w:val="14"/>
        </w:rPr>
        <w:t>.</w:t>
      </w:r>
      <w:r>
        <w:rPr>
          <w:position w:val="5"/>
          <w:sz w:val="14"/>
        </w:rPr>
        <w:tab/>
      </w:r>
      <w:r>
        <w:rPr>
          <w:rFonts w:ascii="Arial"/>
          <w:i/>
          <w:sz w:val="20"/>
        </w:rPr>
        <w:t>Holwell Securities Ltd v Hughes [1974] 1 W.L.R. 157, </w:t>
      </w:r>
      <w:r>
        <w:rPr>
          <w:rFonts w:ascii="Arial"/>
          <w:i/>
          <w:spacing w:val="-4"/>
          <w:sz w:val="20"/>
        </w:rPr>
        <w:t>161</w:t>
      </w:r>
      <w:r>
        <w:rPr>
          <w:spacing w:val="-4"/>
          <w:sz w:val="20"/>
        </w:rPr>
        <w:t>.</w:t>
      </w:r>
    </w:p>
    <w:p>
      <w:pPr>
        <w:pStyle w:val="BodyText"/>
        <w:spacing w:before="4"/>
      </w:pPr>
    </w:p>
    <w:p>
      <w:pPr>
        <w:tabs>
          <w:tab w:pos="705" w:val="left" w:leader="none"/>
        </w:tabs>
        <w:spacing w:line="227" w:lineRule="exact" w:before="1"/>
        <w:ind w:left="165" w:right="0" w:firstLine="0"/>
        <w:jc w:val="left"/>
        <w:rPr>
          <w:rFonts w:ascii="Arial" w:hAnsi="Arial"/>
          <w:i/>
          <w:sz w:val="20"/>
        </w:rPr>
      </w:pPr>
      <w:bookmarkStart w:name="_bookmark591" w:id="593"/>
      <w:bookmarkEnd w:id="593"/>
      <w:r>
        <w:rPr/>
      </w:r>
      <w:hyperlink w:history="true" w:anchor="_bookmark529">
        <w:r>
          <w:rPr>
            <w:color w:val="005DA1"/>
            <w:spacing w:val="-4"/>
            <w:position w:val="5"/>
            <w:sz w:val="14"/>
            <w:u w:val="single" w:color="005DA1"/>
          </w:rPr>
          <w:t>288</w:t>
        </w:r>
      </w:hyperlink>
      <w:r>
        <w:rPr>
          <w:spacing w:val="-4"/>
          <w:position w:val="5"/>
          <w:sz w:val="14"/>
        </w:rPr>
        <w:t>.</w:t>
      </w:r>
      <w:r>
        <w:rPr>
          <w:position w:val="5"/>
          <w:sz w:val="14"/>
        </w:rPr>
        <w:tab/>
      </w:r>
      <w:r>
        <w:rPr>
          <w:rFonts w:ascii="Arial" w:hAnsi="Arial"/>
          <w:i/>
          <w:sz w:val="20"/>
        </w:rPr>
        <w:t>Harris’</w:t>
      </w:r>
      <w:r>
        <w:rPr>
          <w:rFonts w:ascii="Arial" w:hAnsi="Arial"/>
          <w:i/>
          <w:spacing w:val="18"/>
          <w:sz w:val="20"/>
        </w:rPr>
        <w:t> </w:t>
      </w:r>
      <w:r>
        <w:rPr>
          <w:rFonts w:ascii="Arial" w:hAnsi="Arial"/>
          <w:i/>
          <w:sz w:val="20"/>
        </w:rPr>
        <w:t>Case</w:t>
      </w:r>
      <w:r>
        <w:rPr>
          <w:rFonts w:ascii="Arial" w:hAnsi="Arial"/>
          <w:i/>
          <w:spacing w:val="19"/>
          <w:sz w:val="20"/>
        </w:rPr>
        <w:t> </w:t>
      </w:r>
      <w:r>
        <w:rPr>
          <w:rFonts w:ascii="Arial" w:hAnsi="Arial"/>
          <w:i/>
          <w:sz w:val="20"/>
        </w:rPr>
        <w:t>(1872)</w:t>
      </w:r>
      <w:r>
        <w:rPr>
          <w:rFonts w:ascii="Arial" w:hAnsi="Arial"/>
          <w:i/>
          <w:spacing w:val="19"/>
          <w:sz w:val="20"/>
        </w:rPr>
        <w:t> </w:t>
      </w:r>
      <w:r>
        <w:rPr>
          <w:rFonts w:ascii="Arial" w:hAnsi="Arial"/>
          <w:i/>
          <w:sz w:val="20"/>
        </w:rPr>
        <w:t>L.R.</w:t>
      </w:r>
      <w:r>
        <w:rPr>
          <w:rFonts w:ascii="Arial" w:hAnsi="Arial"/>
          <w:i/>
          <w:spacing w:val="19"/>
          <w:sz w:val="20"/>
        </w:rPr>
        <w:t> </w:t>
      </w:r>
      <w:r>
        <w:rPr>
          <w:rFonts w:ascii="Arial" w:hAnsi="Arial"/>
          <w:i/>
          <w:sz w:val="20"/>
        </w:rPr>
        <w:t>7</w:t>
      </w:r>
      <w:r>
        <w:rPr>
          <w:rFonts w:ascii="Arial" w:hAnsi="Arial"/>
          <w:i/>
          <w:spacing w:val="19"/>
          <w:sz w:val="20"/>
        </w:rPr>
        <w:t> </w:t>
      </w:r>
      <w:r>
        <w:rPr>
          <w:rFonts w:ascii="Arial" w:hAnsi="Arial"/>
          <w:i/>
          <w:sz w:val="20"/>
        </w:rPr>
        <w:t>Ch.</w:t>
      </w:r>
      <w:r>
        <w:rPr>
          <w:rFonts w:ascii="Arial" w:hAnsi="Arial"/>
          <w:i/>
          <w:spacing w:val="19"/>
          <w:sz w:val="20"/>
        </w:rPr>
        <w:t> </w:t>
      </w:r>
      <w:r>
        <w:rPr>
          <w:rFonts w:ascii="Arial" w:hAnsi="Arial"/>
          <w:i/>
          <w:sz w:val="20"/>
        </w:rPr>
        <w:t>App.</w:t>
      </w:r>
      <w:r>
        <w:rPr>
          <w:rFonts w:ascii="Arial" w:hAnsi="Arial"/>
          <w:i/>
          <w:spacing w:val="19"/>
          <w:sz w:val="20"/>
        </w:rPr>
        <w:t> </w:t>
      </w:r>
      <w:r>
        <w:rPr>
          <w:rFonts w:ascii="Arial" w:hAnsi="Arial"/>
          <w:i/>
          <w:sz w:val="20"/>
        </w:rPr>
        <w:t>587</w:t>
      </w:r>
      <w:r>
        <w:rPr>
          <w:sz w:val="20"/>
        </w:rPr>
        <w:t>;</w:t>
      </w:r>
      <w:r>
        <w:rPr>
          <w:spacing w:val="19"/>
          <w:sz w:val="20"/>
        </w:rPr>
        <w:t> </w:t>
      </w:r>
      <w:r>
        <w:rPr>
          <w:rFonts w:ascii="Arial" w:hAnsi="Arial"/>
          <w:i/>
          <w:sz w:val="20"/>
        </w:rPr>
        <w:t>Byrne</w:t>
      </w:r>
      <w:r>
        <w:rPr>
          <w:rFonts w:ascii="Arial" w:hAnsi="Arial"/>
          <w:i/>
          <w:spacing w:val="19"/>
          <w:sz w:val="20"/>
        </w:rPr>
        <w:t> </w:t>
      </w:r>
      <w:r>
        <w:rPr>
          <w:rFonts w:ascii="Arial" w:hAnsi="Arial"/>
          <w:i/>
          <w:sz w:val="20"/>
        </w:rPr>
        <w:t>&amp;</w:t>
      </w:r>
      <w:r>
        <w:rPr>
          <w:rFonts w:ascii="Arial" w:hAnsi="Arial"/>
          <w:i/>
          <w:spacing w:val="19"/>
          <w:sz w:val="20"/>
        </w:rPr>
        <w:t> </w:t>
      </w:r>
      <w:r>
        <w:rPr>
          <w:rFonts w:ascii="Arial" w:hAnsi="Arial"/>
          <w:i/>
          <w:sz w:val="20"/>
        </w:rPr>
        <w:t>Co</w:t>
      </w:r>
      <w:r>
        <w:rPr>
          <w:rFonts w:ascii="Arial" w:hAnsi="Arial"/>
          <w:i/>
          <w:spacing w:val="19"/>
          <w:sz w:val="20"/>
        </w:rPr>
        <w:t> </w:t>
      </w:r>
      <w:r>
        <w:rPr>
          <w:rFonts w:ascii="Arial" w:hAnsi="Arial"/>
          <w:i/>
          <w:sz w:val="20"/>
        </w:rPr>
        <w:t>v</w:t>
      </w:r>
      <w:r>
        <w:rPr>
          <w:rFonts w:ascii="Arial" w:hAnsi="Arial"/>
          <w:i/>
          <w:spacing w:val="19"/>
          <w:sz w:val="20"/>
        </w:rPr>
        <w:t> </w:t>
      </w:r>
      <w:r>
        <w:rPr>
          <w:rFonts w:ascii="Arial" w:hAnsi="Arial"/>
          <w:i/>
          <w:sz w:val="20"/>
        </w:rPr>
        <w:t>Leon</w:t>
      </w:r>
      <w:r>
        <w:rPr>
          <w:rFonts w:ascii="Arial" w:hAnsi="Arial"/>
          <w:i/>
          <w:spacing w:val="19"/>
          <w:sz w:val="20"/>
        </w:rPr>
        <w:t> </w:t>
      </w:r>
      <w:r>
        <w:rPr>
          <w:rFonts w:ascii="Arial" w:hAnsi="Arial"/>
          <w:i/>
          <w:sz w:val="20"/>
        </w:rPr>
        <w:t>van</w:t>
      </w:r>
      <w:r>
        <w:rPr>
          <w:rFonts w:ascii="Arial" w:hAnsi="Arial"/>
          <w:i/>
          <w:spacing w:val="19"/>
          <w:sz w:val="20"/>
        </w:rPr>
        <w:t> </w:t>
      </w:r>
      <w:r>
        <w:rPr>
          <w:rFonts w:ascii="Arial" w:hAnsi="Arial"/>
          <w:i/>
          <w:sz w:val="20"/>
        </w:rPr>
        <w:t>Tienhoven</w:t>
      </w:r>
      <w:r>
        <w:rPr>
          <w:rFonts w:ascii="Arial" w:hAnsi="Arial"/>
          <w:i/>
          <w:spacing w:val="19"/>
          <w:sz w:val="20"/>
        </w:rPr>
        <w:t> </w:t>
      </w:r>
      <w:r>
        <w:rPr>
          <w:rFonts w:ascii="Arial" w:hAnsi="Arial"/>
          <w:i/>
          <w:sz w:val="20"/>
        </w:rPr>
        <w:t>(1880)</w:t>
      </w:r>
      <w:r>
        <w:rPr>
          <w:rFonts w:ascii="Arial" w:hAnsi="Arial"/>
          <w:i/>
          <w:spacing w:val="19"/>
          <w:sz w:val="20"/>
        </w:rPr>
        <w:t> </w:t>
      </w:r>
      <w:r>
        <w:rPr>
          <w:rFonts w:ascii="Arial" w:hAnsi="Arial"/>
          <w:i/>
          <w:sz w:val="20"/>
        </w:rPr>
        <w:t>5</w:t>
      </w:r>
      <w:r>
        <w:rPr>
          <w:rFonts w:ascii="Arial" w:hAnsi="Arial"/>
          <w:i/>
          <w:spacing w:val="19"/>
          <w:sz w:val="20"/>
        </w:rPr>
        <w:t> </w:t>
      </w:r>
      <w:r>
        <w:rPr>
          <w:rFonts w:ascii="Arial" w:hAnsi="Arial"/>
          <w:i/>
          <w:spacing w:val="-2"/>
          <w:sz w:val="20"/>
        </w:rPr>
        <w:t>C.P.D.</w:t>
      </w:r>
    </w:p>
    <w:p>
      <w:pPr>
        <w:spacing w:line="227" w:lineRule="exact" w:before="0"/>
        <w:ind w:left="705" w:right="0" w:firstLine="0"/>
        <w:jc w:val="left"/>
        <w:rPr>
          <w:sz w:val="20"/>
        </w:rPr>
      </w:pPr>
      <w:r>
        <w:rPr>
          <w:rFonts w:ascii="Arial"/>
          <w:i/>
          <w:sz w:val="20"/>
        </w:rPr>
        <w:t>344</w:t>
      </w:r>
      <w:r>
        <w:rPr>
          <w:sz w:val="20"/>
        </w:rPr>
        <w:t>;</w:t>
      </w:r>
      <w:r>
        <w:rPr>
          <w:spacing w:val="-1"/>
          <w:sz w:val="20"/>
        </w:rPr>
        <w:t> </w:t>
      </w:r>
      <w:r>
        <w:rPr>
          <w:rFonts w:ascii="Arial"/>
          <w:i/>
          <w:sz w:val="20"/>
        </w:rPr>
        <w:t>Henthorn v Fraser [1892] 2 Ch. 27</w:t>
      </w:r>
      <w:r>
        <w:rPr>
          <w:sz w:val="20"/>
        </w:rPr>
        <w:t>; </w:t>
      </w:r>
      <w:r>
        <w:rPr>
          <w:rFonts w:ascii="Arial"/>
          <w:i/>
          <w:sz w:val="20"/>
        </w:rPr>
        <w:t>Re</w:t>
      </w:r>
      <w:r>
        <w:rPr>
          <w:rFonts w:ascii="Arial"/>
          <w:i/>
          <w:spacing w:val="-1"/>
          <w:sz w:val="20"/>
        </w:rPr>
        <w:t> </w:t>
      </w:r>
      <w:r>
        <w:rPr>
          <w:rFonts w:ascii="Arial"/>
          <w:i/>
          <w:sz w:val="20"/>
        </w:rPr>
        <w:t>London &amp; Northern Bank [1900] 1 Ch. </w:t>
      </w:r>
      <w:r>
        <w:rPr>
          <w:rFonts w:ascii="Arial"/>
          <w:i/>
          <w:spacing w:val="-4"/>
          <w:sz w:val="20"/>
        </w:rPr>
        <w:t>200</w:t>
      </w:r>
      <w:r>
        <w:rPr>
          <w:spacing w:val="-4"/>
          <w:sz w:val="20"/>
        </w:rPr>
        <w:t>.</w:t>
      </w:r>
    </w:p>
    <w:p>
      <w:pPr>
        <w:pStyle w:val="BodyText"/>
        <w:spacing w:before="5"/>
      </w:pPr>
    </w:p>
    <w:p>
      <w:pPr>
        <w:pStyle w:val="BodyText"/>
        <w:tabs>
          <w:tab w:pos="705" w:val="left" w:leader="none"/>
        </w:tabs>
        <w:ind w:left="165"/>
      </w:pPr>
      <w:bookmarkStart w:name="_bookmark592" w:id="594"/>
      <w:bookmarkEnd w:id="594"/>
      <w:r>
        <w:rPr/>
      </w:r>
      <w:hyperlink w:history="true" w:anchor="_bookmark530">
        <w:r>
          <w:rPr>
            <w:color w:val="005DA1"/>
            <w:spacing w:val="-4"/>
            <w:position w:val="5"/>
            <w:sz w:val="14"/>
            <w:u w:val="single" w:color="005DA1"/>
          </w:rPr>
          <w:t>289</w:t>
        </w:r>
      </w:hyperlink>
      <w:r>
        <w:rPr>
          <w:spacing w:val="-4"/>
          <w:position w:val="5"/>
          <w:sz w:val="14"/>
        </w:rPr>
        <w:t>.</w:t>
      </w:r>
      <w:r>
        <w:rPr>
          <w:position w:val="5"/>
          <w:sz w:val="14"/>
        </w:rPr>
        <w:tab/>
      </w:r>
      <w:r>
        <w:rPr/>
        <w:t>Below,</w:t>
      </w:r>
      <w:r>
        <w:rPr>
          <w:spacing w:val="-2"/>
        </w:rPr>
        <w:t> </w:t>
      </w:r>
      <w:r>
        <w:rPr/>
        <w:t>paras 2-093, 4-</w:t>
      </w:r>
      <w:r>
        <w:rPr>
          <w:spacing w:val="-4"/>
        </w:rPr>
        <w:t>193.</w:t>
      </w:r>
    </w:p>
    <w:p>
      <w:pPr>
        <w:pStyle w:val="BodyText"/>
        <w:spacing w:before="5"/>
      </w:pPr>
    </w:p>
    <w:p>
      <w:pPr>
        <w:tabs>
          <w:tab w:pos="705" w:val="left" w:leader="none"/>
        </w:tabs>
        <w:spacing w:before="0"/>
        <w:ind w:left="165" w:right="0" w:firstLine="0"/>
        <w:jc w:val="left"/>
        <w:rPr>
          <w:sz w:val="20"/>
        </w:rPr>
      </w:pPr>
      <w:bookmarkStart w:name="_bookmark593" w:id="595"/>
      <w:bookmarkEnd w:id="595"/>
      <w:r>
        <w:rPr/>
      </w:r>
      <w:hyperlink w:history="true" w:anchor="_bookmark531">
        <w:r>
          <w:rPr>
            <w:color w:val="005DA1"/>
            <w:spacing w:val="-4"/>
            <w:position w:val="5"/>
            <w:sz w:val="14"/>
            <w:u w:val="single" w:color="005DA1"/>
          </w:rPr>
          <w:t>290</w:t>
        </w:r>
      </w:hyperlink>
      <w:r>
        <w:rPr>
          <w:spacing w:val="-4"/>
          <w:position w:val="5"/>
          <w:sz w:val="14"/>
        </w:rPr>
        <w:t>.</w:t>
      </w:r>
      <w:r>
        <w:rPr>
          <w:position w:val="5"/>
          <w:sz w:val="14"/>
        </w:rPr>
        <w:tab/>
      </w:r>
      <w:r>
        <w:rPr>
          <w:sz w:val="20"/>
        </w:rPr>
        <w:t>Below, para.2-</w:t>
      </w:r>
      <w:r>
        <w:rPr>
          <w:spacing w:val="-4"/>
          <w:sz w:val="20"/>
        </w:rPr>
        <w:t>094.</w:t>
      </w:r>
    </w:p>
    <w:p>
      <w:pPr>
        <w:pStyle w:val="BodyText"/>
        <w:spacing w:before="5"/>
      </w:pPr>
    </w:p>
    <w:p>
      <w:pPr>
        <w:tabs>
          <w:tab w:pos="705" w:val="left" w:leader="none"/>
        </w:tabs>
        <w:spacing w:before="0"/>
        <w:ind w:left="165" w:right="0" w:firstLine="0"/>
        <w:jc w:val="left"/>
        <w:rPr>
          <w:sz w:val="20"/>
        </w:rPr>
      </w:pPr>
      <w:bookmarkStart w:name="_bookmark594" w:id="596"/>
      <w:bookmarkEnd w:id="596"/>
      <w:r>
        <w:rPr/>
      </w:r>
      <w:hyperlink w:history="true" w:anchor="_bookmark532">
        <w:r>
          <w:rPr>
            <w:color w:val="005DA1"/>
            <w:spacing w:val="-4"/>
            <w:position w:val="5"/>
            <w:sz w:val="14"/>
            <w:u w:val="single" w:color="005DA1"/>
          </w:rPr>
          <w:t>291</w:t>
        </w:r>
      </w:hyperlink>
      <w:r>
        <w:rPr>
          <w:spacing w:val="-4"/>
          <w:position w:val="5"/>
          <w:sz w:val="14"/>
        </w:rPr>
        <w:t>.</w:t>
      </w:r>
      <w:r>
        <w:rPr>
          <w:position w:val="5"/>
          <w:sz w:val="14"/>
        </w:rPr>
        <w:tab/>
      </w:r>
      <w:r>
        <w:rPr>
          <w:rFonts w:ascii="Arial"/>
          <w:i/>
          <w:sz w:val="20"/>
        </w:rPr>
        <w:t>Household Fire Insurance Co Ltd v Grant (1879) 4 Ex. D. </w:t>
      </w:r>
      <w:r>
        <w:rPr>
          <w:rFonts w:ascii="Arial"/>
          <w:i/>
          <w:spacing w:val="-4"/>
          <w:sz w:val="20"/>
        </w:rPr>
        <w:t>216</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595" w:id="597"/>
      <w:bookmarkEnd w:id="597"/>
      <w:r>
        <w:rPr/>
      </w:r>
      <w:hyperlink w:history="true" w:anchor="_bookmark533">
        <w:r>
          <w:rPr>
            <w:color w:val="005DA1"/>
            <w:spacing w:val="-4"/>
            <w:position w:val="5"/>
            <w:sz w:val="14"/>
            <w:u w:val="single" w:color="005DA1"/>
          </w:rPr>
          <w:t>292</w:t>
        </w:r>
      </w:hyperlink>
      <w:r>
        <w:rPr>
          <w:spacing w:val="-4"/>
          <w:position w:val="5"/>
          <w:sz w:val="14"/>
        </w:rPr>
        <w:t>.</w:t>
      </w:r>
      <w:r>
        <w:rPr>
          <w:position w:val="5"/>
          <w:sz w:val="14"/>
        </w:rPr>
        <w:tab/>
      </w:r>
      <w:r>
        <w:rPr>
          <w:sz w:val="20"/>
        </w:rPr>
        <w:t>See</w:t>
      </w:r>
      <w:r>
        <w:rPr>
          <w:spacing w:val="40"/>
          <w:sz w:val="20"/>
        </w:rPr>
        <w:t> </w:t>
      </w:r>
      <w:r>
        <w:rPr>
          <w:rFonts w:ascii="Arial"/>
          <w:i/>
          <w:sz w:val="20"/>
        </w:rPr>
        <w:t>Dunlop</w:t>
      </w:r>
      <w:r>
        <w:rPr>
          <w:rFonts w:ascii="Arial"/>
          <w:i/>
          <w:spacing w:val="40"/>
          <w:sz w:val="20"/>
        </w:rPr>
        <w:t> </w:t>
      </w:r>
      <w:r>
        <w:rPr>
          <w:rFonts w:ascii="Arial"/>
          <w:i/>
          <w:sz w:val="20"/>
        </w:rPr>
        <w:t>v</w:t>
      </w:r>
      <w:r>
        <w:rPr>
          <w:rFonts w:ascii="Arial"/>
          <w:i/>
          <w:spacing w:val="40"/>
          <w:sz w:val="20"/>
        </w:rPr>
        <w:t> </w:t>
      </w:r>
      <w:r>
        <w:rPr>
          <w:rFonts w:ascii="Arial"/>
          <w:i/>
          <w:sz w:val="20"/>
        </w:rPr>
        <w:t>Higgins</w:t>
      </w:r>
      <w:r>
        <w:rPr>
          <w:rFonts w:ascii="Arial"/>
          <w:i/>
          <w:spacing w:val="40"/>
          <w:sz w:val="20"/>
        </w:rPr>
        <w:t> </w:t>
      </w:r>
      <w:r>
        <w:rPr>
          <w:rFonts w:ascii="Arial"/>
          <w:i/>
          <w:sz w:val="20"/>
        </w:rPr>
        <w:t>(1848)</w:t>
      </w:r>
      <w:r>
        <w:rPr>
          <w:rFonts w:ascii="Arial"/>
          <w:i/>
          <w:spacing w:val="40"/>
          <w:sz w:val="20"/>
        </w:rPr>
        <w:t> </w:t>
      </w:r>
      <w:r>
        <w:rPr>
          <w:rFonts w:ascii="Arial"/>
          <w:i/>
          <w:sz w:val="20"/>
        </w:rPr>
        <w:t>1</w:t>
      </w:r>
      <w:r>
        <w:rPr>
          <w:rFonts w:ascii="Arial"/>
          <w:i/>
          <w:spacing w:val="40"/>
          <w:sz w:val="20"/>
        </w:rPr>
        <w:t> </w:t>
      </w:r>
      <w:r>
        <w:rPr>
          <w:rFonts w:ascii="Arial"/>
          <w:i/>
          <w:sz w:val="20"/>
        </w:rPr>
        <w:t>H.L.C.</w:t>
      </w:r>
      <w:r>
        <w:rPr>
          <w:rFonts w:ascii="Arial"/>
          <w:i/>
          <w:spacing w:val="40"/>
          <w:sz w:val="20"/>
        </w:rPr>
        <w:t> </w:t>
      </w:r>
      <w:r>
        <w:rPr>
          <w:rFonts w:ascii="Arial"/>
          <w:i/>
          <w:sz w:val="20"/>
        </w:rPr>
        <w:t>381</w:t>
      </w:r>
      <w:r>
        <w:rPr>
          <w:sz w:val="20"/>
        </w:rPr>
        <w:t>,</w:t>
      </w:r>
      <w:r>
        <w:rPr>
          <w:spacing w:val="40"/>
          <w:sz w:val="20"/>
        </w:rPr>
        <w:t> </w:t>
      </w:r>
      <w:r>
        <w:rPr>
          <w:sz w:val="20"/>
        </w:rPr>
        <w:t>which</w:t>
      </w:r>
      <w:r>
        <w:rPr>
          <w:spacing w:val="40"/>
          <w:sz w:val="20"/>
        </w:rPr>
        <w:t> </w:t>
      </w:r>
      <w:r>
        <w:rPr>
          <w:sz w:val="20"/>
        </w:rPr>
        <w:t>would</w:t>
      </w:r>
      <w:r>
        <w:rPr>
          <w:spacing w:val="40"/>
          <w:sz w:val="20"/>
        </w:rPr>
        <w:t> </w:t>
      </w:r>
      <w:r>
        <w:rPr>
          <w:sz w:val="20"/>
        </w:rPr>
        <w:t>probably</w:t>
      </w:r>
      <w:r>
        <w:rPr>
          <w:spacing w:val="40"/>
          <w:sz w:val="20"/>
        </w:rPr>
        <w:t> </w:t>
      </w:r>
      <w:r>
        <w:rPr>
          <w:sz w:val="20"/>
        </w:rPr>
        <w:t>be</w:t>
      </w:r>
      <w:r>
        <w:rPr>
          <w:spacing w:val="40"/>
          <w:sz w:val="20"/>
        </w:rPr>
        <w:t> </w:t>
      </w:r>
      <w:r>
        <w:rPr>
          <w:sz w:val="20"/>
        </w:rPr>
        <w:t>followed</w:t>
      </w:r>
      <w:r>
        <w:rPr>
          <w:spacing w:val="40"/>
          <w:sz w:val="20"/>
        </w:rPr>
        <w:t> </w:t>
      </w:r>
      <w:r>
        <w:rPr>
          <w:sz w:val="20"/>
        </w:rPr>
        <w:t>in</w:t>
      </w:r>
      <w:r>
        <w:rPr>
          <w:spacing w:val="40"/>
          <w:sz w:val="20"/>
        </w:rPr>
        <w:t> </w:t>
      </w:r>
      <w:r>
        <w:rPr>
          <w:sz w:val="20"/>
        </w:rPr>
        <w:t>England though it is expressly restricted (at 402) to Scots law.</w:t>
      </w:r>
    </w:p>
    <w:p>
      <w:pPr>
        <w:pStyle w:val="BodyText"/>
        <w:spacing w:before="5"/>
      </w:pPr>
    </w:p>
    <w:p>
      <w:pPr>
        <w:tabs>
          <w:tab w:pos="705" w:val="left" w:leader="none"/>
        </w:tabs>
        <w:spacing w:before="0"/>
        <w:ind w:left="165" w:right="0" w:firstLine="0"/>
        <w:jc w:val="left"/>
        <w:rPr>
          <w:sz w:val="20"/>
        </w:rPr>
      </w:pPr>
      <w:bookmarkStart w:name="_bookmark596" w:id="598"/>
      <w:bookmarkEnd w:id="598"/>
      <w:r>
        <w:rPr/>
      </w:r>
      <w:hyperlink w:history="true" w:anchor="_bookmark534">
        <w:r>
          <w:rPr>
            <w:color w:val="005DA1"/>
            <w:spacing w:val="-4"/>
            <w:position w:val="5"/>
            <w:sz w:val="14"/>
            <w:u w:val="single" w:color="005DA1"/>
          </w:rPr>
          <w:t>293</w:t>
        </w:r>
      </w:hyperlink>
      <w:r>
        <w:rPr>
          <w:spacing w:val="-4"/>
          <w:position w:val="5"/>
          <w:sz w:val="14"/>
        </w:rPr>
        <w:t>.</w:t>
      </w:r>
      <w:r>
        <w:rPr>
          <w:position w:val="5"/>
          <w:sz w:val="14"/>
        </w:rPr>
        <w:tab/>
      </w:r>
      <w:r>
        <w:rPr>
          <w:rFonts w:ascii="Arial"/>
          <w:i/>
          <w:sz w:val="20"/>
        </w:rPr>
        <w:t>(1879)</w:t>
      </w:r>
      <w:r>
        <w:rPr>
          <w:rFonts w:ascii="Arial"/>
          <w:i/>
          <w:spacing w:val="-2"/>
          <w:sz w:val="20"/>
        </w:rPr>
        <w:t> </w:t>
      </w:r>
      <w:r>
        <w:rPr>
          <w:rFonts w:ascii="Arial"/>
          <w:i/>
          <w:sz w:val="20"/>
        </w:rPr>
        <w:t>4 Ex. D. </w:t>
      </w:r>
      <w:r>
        <w:rPr>
          <w:rFonts w:ascii="Arial"/>
          <w:i/>
          <w:spacing w:val="-4"/>
          <w:sz w:val="20"/>
        </w:rPr>
        <w:t>216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7" w:id="599"/>
      <w:bookmarkEnd w:id="599"/>
      <w:r>
        <w:rPr/>
      </w:r>
      <w:hyperlink w:history="true" w:anchor="_bookmark535">
        <w:r>
          <w:rPr>
            <w:color w:val="005DA1"/>
            <w:spacing w:val="-4"/>
            <w:position w:val="5"/>
            <w:sz w:val="14"/>
            <w:u w:val="single" w:color="005DA1"/>
          </w:rPr>
          <w:t>294</w:t>
        </w:r>
      </w:hyperlink>
      <w:r>
        <w:rPr>
          <w:spacing w:val="-4"/>
          <w:position w:val="5"/>
          <w:sz w:val="14"/>
        </w:rPr>
        <w:t>.</w:t>
      </w:r>
      <w:r>
        <w:rPr>
          <w:position w:val="5"/>
          <w:sz w:val="14"/>
        </w:rPr>
        <w:tab/>
      </w:r>
      <w:r>
        <w:rPr>
          <w:sz w:val="20"/>
        </w:rPr>
        <w:t>Above, para.2-</w:t>
      </w:r>
      <w:r>
        <w:rPr>
          <w:spacing w:val="-4"/>
          <w:sz w:val="20"/>
        </w:rPr>
        <w:t>024.</w:t>
      </w:r>
    </w:p>
    <w:p>
      <w:pPr>
        <w:pStyle w:val="BodyText"/>
        <w:spacing w:before="5"/>
      </w:pPr>
    </w:p>
    <w:p>
      <w:pPr>
        <w:tabs>
          <w:tab w:pos="705" w:val="left" w:leader="none"/>
        </w:tabs>
        <w:spacing w:before="0"/>
        <w:ind w:left="165" w:right="0" w:firstLine="0"/>
        <w:jc w:val="left"/>
        <w:rPr>
          <w:sz w:val="20"/>
        </w:rPr>
      </w:pPr>
      <w:bookmarkStart w:name="_bookmark598" w:id="600"/>
      <w:bookmarkEnd w:id="600"/>
      <w:r>
        <w:rPr/>
      </w:r>
      <w:hyperlink w:history="true" w:anchor="_bookmark536">
        <w:r>
          <w:rPr>
            <w:color w:val="005DA1"/>
            <w:spacing w:val="-4"/>
            <w:position w:val="5"/>
            <w:sz w:val="14"/>
            <w:u w:val="single" w:color="005DA1"/>
          </w:rPr>
          <w:t>295</w:t>
        </w:r>
      </w:hyperlink>
      <w:r>
        <w:rPr>
          <w:spacing w:val="-4"/>
          <w:position w:val="5"/>
          <w:sz w:val="14"/>
        </w:rPr>
        <w:t>.</w:t>
      </w:r>
      <w:r>
        <w:rPr>
          <w:position w:val="5"/>
          <w:sz w:val="14"/>
        </w:rPr>
        <w:tab/>
      </w:r>
      <w:r>
        <w:rPr>
          <w:rFonts w:ascii="Arial"/>
          <w:i/>
          <w:sz w:val="20"/>
        </w:rPr>
        <w:t>British &amp; American Telegraph Co v Colson (1871) L.R. 6 Ex. </w:t>
      </w:r>
      <w:r>
        <w:rPr>
          <w:rFonts w:ascii="Arial"/>
          <w:i/>
          <w:spacing w:val="-4"/>
          <w:sz w:val="20"/>
        </w:rPr>
        <w:t>108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599" w:id="601"/>
      <w:bookmarkEnd w:id="601"/>
      <w:r>
        <w:rPr/>
      </w:r>
      <w:hyperlink w:history="true" w:anchor="_bookmark537">
        <w:r>
          <w:rPr>
            <w:color w:val="005DA1"/>
            <w:spacing w:val="-4"/>
            <w:position w:val="5"/>
            <w:sz w:val="14"/>
            <w:u w:val="single" w:color="005DA1"/>
          </w:rPr>
          <w:t>296</w:t>
        </w:r>
      </w:hyperlink>
      <w:r>
        <w:rPr>
          <w:spacing w:val="-4"/>
          <w:position w:val="5"/>
          <w:sz w:val="14"/>
        </w:rPr>
        <w:t>.</w:t>
      </w:r>
      <w:r>
        <w:rPr>
          <w:position w:val="5"/>
          <w:sz w:val="14"/>
        </w:rPr>
        <w:tab/>
      </w:r>
      <w:r>
        <w:rPr>
          <w:rFonts w:ascii="Arial"/>
          <w:i/>
          <w:sz w:val="20"/>
        </w:rPr>
        <w:t>Household Insurance case (1879) 4 Ex. D. 216, </w:t>
      </w:r>
      <w:r>
        <w:rPr>
          <w:rFonts w:ascii="Arial"/>
          <w:i/>
          <w:spacing w:val="-4"/>
          <w:sz w:val="20"/>
        </w:rPr>
        <w:t>223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0" w:id="602"/>
      <w:bookmarkEnd w:id="602"/>
      <w:r>
        <w:rPr/>
      </w:r>
      <w:hyperlink w:history="true" w:anchor="_bookmark538">
        <w:r>
          <w:rPr>
            <w:color w:val="005DA1"/>
            <w:spacing w:val="-4"/>
            <w:position w:val="5"/>
            <w:sz w:val="14"/>
            <w:u w:val="single" w:color="005DA1"/>
          </w:rPr>
          <w:t>297</w:t>
        </w:r>
      </w:hyperlink>
      <w:r>
        <w:rPr>
          <w:spacing w:val="-4"/>
          <w:position w:val="5"/>
          <w:sz w:val="14"/>
        </w:rPr>
        <w:t>.</w:t>
      </w:r>
      <w:r>
        <w:rPr>
          <w:position w:val="5"/>
          <w:sz w:val="14"/>
        </w:rPr>
        <w:tab/>
      </w:r>
      <w:r>
        <w:rPr>
          <w:rFonts w:ascii="Arial"/>
          <w:i/>
          <w:sz w:val="20"/>
        </w:rPr>
        <w:t>Household Insurance case (1879) 4 Ex. D. 216, </w:t>
      </w:r>
      <w:r>
        <w:rPr>
          <w:rFonts w:ascii="Arial"/>
          <w:i/>
          <w:spacing w:val="-4"/>
          <w:sz w:val="20"/>
        </w:rPr>
        <w:t>223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601" w:id="603"/>
      <w:bookmarkEnd w:id="603"/>
      <w:r>
        <w:rPr/>
      </w:r>
      <w:hyperlink w:history="true" w:anchor="_bookmark539">
        <w:r>
          <w:rPr>
            <w:color w:val="005DA1"/>
            <w:spacing w:val="-4"/>
            <w:position w:val="5"/>
            <w:sz w:val="14"/>
            <w:u w:val="single" w:color="005DA1"/>
          </w:rPr>
          <w:t>298</w:t>
        </w:r>
      </w:hyperlink>
      <w:r>
        <w:rPr>
          <w:spacing w:val="-4"/>
          <w:position w:val="5"/>
          <w:sz w:val="14"/>
        </w:rPr>
        <w:t>.</w:t>
      </w:r>
      <w:r>
        <w:rPr>
          <w:position w:val="5"/>
          <w:sz w:val="14"/>
        </w:rPr>
        <w:tab/>
      </w:r>
      <w:r>
        <w:rPr>
          <w:sz w:val="20"/>
        </w:rPr>
        <w:t>Below, para.2-</w:t>
      </w:r>
      <w:r>
        <w:rPr>
          <w:spacing w:val="-4"/>
          <w:sz w:val="20"/>
        </w:rPr>
        <w:t>067.</w:t>
      </w:r>
    </w:p>
    <w:p>
      <w:pPr>
        <w:pStyle w:val="BodyText"/>
        <w:spacing w:before="5"/>
      </w:pPr>
    </w:p>
    <w:p>
      <w:pPr>
        <w:tabs>
          <w:tab w:pos="705" w:val="left" w:leader="none"/>
        </w:tabs>
        <w:spacing w:before="0"/>
        <w:ind w:left="165" w:right="0" w:firstLine="0"/>
        <w:jc w:val="left"/>
        <w:rPr>
          <w:sz w:val="20"/>
        </w:rPr>
      </w:pPr>
      <w:bookmarkStart w:name="_bookmark602" w:id="604"/>
      <w:bookmarkEnd w:id="604"/>
      <w:r>
        <w:rPr/>
      </w:r>
      <w:hyperlink w:history="true" w:anchor="_bookmark540">
        <w:r>
          <w:rPr>
            <w:color w:val="005DA1"/>
            <w:spacing w:val="-4"/>
            <w:position w:val="5"/>
            <w:sz w:val="14"/>
            <w:u w:val="single" w:color="005DA1"/>
          </w:rPr>
          <w:t>299</w:t>
        </w:r>
      </w:hyperlink>
      <w:r>
        <w:rPr>
          <w:spacing w:val="-4"/>
          <w:position w:val="5"/>
          <w:sz w:val="14"/>
        </w:rPr>
        <w:t>.</w:t>
      </w:r>
      <w:r>
        <w:rPr>
          <w:position w:val="5"/>
          <w:sz w:val="14"/>
        </w:rPr>
        <w:tab/>
      </w:r>
      <w:r>
        <w:rPr>
          <w:rFonts w:ascii="Arial"/>
          <w:i/>
          <w:sz w:val="20"/>
        </w:rPr>
        <w:t>Potter v Sanders (1846) 6 Hare </w:t>
      </w:r>
      <w:r>
        <w:rPr>
          <w:rFonts w:ascii="Arial"/>
          <w:i/>
          <w:spacing w:val="-5"/>
          <w:sz w:val="20"/>
        </w:rPr>
        <w:t>1</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603" w:id="605"/>
      <w:bookmarkEnd w:id="605"/>
      <w:r>
        <w:rPr/>
      </w:r>
      <w:hyperlink w:history="true" w:anchor="_bookmark541">
        <w:r>
          <w:rPr>
            <w:color w:val="005DA1"/>
            <w:spacing w:val="-4"/>
            <w:position w:val="5"/>
            <w:sz w:val="14"/>
            <w:u w:val="single" w:color="005DA1"/>
          </w:rPr>
          <w:t>300</w:t>
        </w:r>
      </w:hyperlink>
      <w:r>
        <w:rPr>
          <w:spacing w:val="-4"/>
          <w:position w:val="5"/>
          <w:sz w:val="14"/>
        </w:rPr>
        <w:t>.</w:t>
      </w:r>
      <w:r>
        <w:rPr>
          <w:position w:val="5"/>
          <w:sz w:val="14"/>
        </w:rPr>
        <w:tab/>
      </w:r>
      <w:r>
        <w:rPr>
          <w:sz w:val="20"/>
        </w:rPr>
        <w:t>But, see, by way of analogy, </w:t>
      </w:r>
      <w:r>
        <w:rPr>
          <w:rFonts w:ascii="Arial"/>
          <w:i/>
          <w:sz w:val="20"/>
        </w:rPr>
        <w:t>Getreide-Import Gesellschaft v Contimar [1953] 1 W.L.R. 207 </w:t>
      </w:r>
      <w:r>
        <w:rPr>
          <w:sz w:val="20"/>
        </w:rPr>
        <w:t>and </w:t>
      </w:r>
      <w:r>
        <w:rPr>
          <w:spacing w:val="-4"/>
          <w:sz w:val="20"/>
        </w:rPr>
        <w:t>793.</w:t>
      </w:r>
    </w:p>
    <w:p>
      <w:pPr>
        <w:pStyle w:val="BodyText"/>
        <w:spacing w:before="5"/>
      </w:pPr>
    </w:p>
    <w:p>
      <w:pPr>
        <w:tabs>
          <w:tab w:pos="705" w:val="left" w:leader="none"/>
        </w:tabs>
        <w:spacing w:line="227" w:lineRule="exact" w:before="1"/>
        <w:ind w:left="165" w:right="0" w:firstLine="0"/>
        <w:jc w:val="left"/>
        <w:rPr>
          <w:sz w:val="20"/>
        </w:rPr>
      </w:pPr>
      <w:bookmarkStart w:name="_bookmark604" w:id="606"/>
      <w:bookmarkEnd w:id="606"/>
      <w:r>
        <w:rPr/>
      </w:r>
      <w:hyperlink w:history="true" w:anchor="_bookmark542">
        <w:r>
          <w:rPr>
            <w:color w:val="005DA1"/>
            <w:spacing w:val="-4"/>
            <w:position w:val="5"/>
            <w:sz w:val="14"/>
            <w:u w:val="single" w:color="005DA1"/>
          </w:rPr>
          <w:t>301</w:t>
        </w:r>
      </w:hyperlink>
      <w:r>
        <w:rPr>
          <w:spacing w:val="-4"/>
          <w:position w:val="5"/>
          <w:sz w:val="14"/>
        </w:rPr>
        <w:t>.</w:t>
      </w:r>
      <w:r>
        <w:rPr>
          <w:position w:val="5"/>
          <w:sz w:val="14"/>
        </w:rPr>
        <w:tab/>
      </w:r>
      <w:r>
        <w:rPr>
          <w:sz w:val="20"/>
        </w:rPr>
        <w:t>cf.</w:t>
      </w:r>
      <w:r>
        <w:rPr>
          <w:spacing w:val="19"/>
          <w:sz w:val="20"/>
        </w:rPr>
        <w:t> </w:t>
      </w:r>
      <w:r>
        <w:rPr>
          <w:rFonts w:ascii="Arial" w:hAnsi="Arial"/>
          <w:i/>
          <w:sz w:val="20"/>
        </w:rPr>
        <w:t>Townsend’s</w:t>
      </w:r>
      <w:r>
        <w:rPr>
          <w:rFonts w:ascii="Arial" w:hAnsi="Arial"/>
          <w:i/>
          <w:spacing w:val="19"/>
          <w:sz w:val="20"/>
        </w:rPr>
        <w:t> </w:t>
      </w:r>
      <w:r>
        <w:rPr>
          <w:rFonts w:ascii="Arial" w:hAnsi="Arial"/>
          <w:i/>
          <w:sz w:val="20"/>
        </w:rPr>
        <w:t>Case</w:t>
      </w:r>
      <w:r>
        <w:rPr>
          <w:rFonts w:ascii="Arial" w:hAnsi="Arial"/>
          <w:i/>
          <w:spacing w:val="19"/>
          <w:sz w:val="20"/>
        </w:rPr>
        <w:t> </w:t>
      </w:r>
      <w:r>
        <w:rPr>
          <w:rFonts w:ascii="Arial" w:hAnsi="Arial"/>
          <w:i/>
          <w:sz w:val="20"/>
        </w:rPr>
        <w:t>(1871)</w:t>
      </w:r>
      <w:r>
        <w:rPr>
          <w:rFonts w:ascii="Arial" w:hAnsi="Arial"/>
          <w:i/>
          <w:spacing w:val="19"/>
          <w:sz w:val="20"/>
        </w:rPr>
        <w:t> </w:t>
      </w:r>
      <w:r>
        <w:rPr>
          <w:rFonts w:ascii="Arial" w:hAnsi="Arial"/>
          <w:i/>
          <w:sz w:val="20"/>
        </w:rPr>
        <w:t>L.R.</w:t>
      </w:r>
      <w:r>
        <w:rPr>
          <w:rFonts w:ascii="Arial" w:hAnsi="Arial"/>
          <w:i/>
          <w:spacing w:val="19"/>
          <w:sz w:val="20"/>
        </w:rPr>
        <w:t> </w:t>
      </w:r>
      <w:r>
        <w:rPr>
          <w:rFonts w:ascii="Arial" w:hAnsi="Arial"/>
          <w:i/>
          <w:sz w:val="20"/>
        </w:rPr>
        <w:t>13</w:t>
      </w:r>
      <w:r>
        <w:rPr>
          <w:rFonts w:ascii="Arial" w:hAnsi="Arial"/>
          <w:i/>
          <w:spacing w:val="19"/>
          <w:sz w:val="20"/>
        </w:rPr>
        <w:t> </w:t>
      </w:r>
      <w:r>
        <w:rPr>
          <w:rFonts w:ascii="Arial" w:hAnsi="Arial"/>
          <w:i/>
          <w:sz w:val="20"/>
        </w:rPr>
        <w:t>Eq.</w:t>
      </w:r>
      <w:r>
        <w:rPr>
          <w:rFonts w:ascii="Arial" w:hAnsi="Arial"/>
          <w:i/>
          <w:spacing w:val="19"/>
          <w:sz w:val="20"/>
        </w:rPr>
        <w:t> </w:t>
      </w:r>
      <w:r>
        <w:rPr>
          <w:rFonts w:ascii="Arial" w:hAnsi="Arial"/>
          <w:i/>
          <w:sz w:val="20"/>
        </w:rPr>
        <w:t>148</w:t>
      </w:r>
      <w:r>
        <w:rPr>
          <w:rFonts w:ascii="Arial" w:hAnsi="Arial"/>
          <w:i/>
          <w:spacing w:val="18"/>
          <w:sz w:val="20"/>
        </w:rPr>
        <w:t> </w:t>
      </w:r>
      <w:r>
        <w:rPr>
          <w:sz w:val="20"/>
        </w:rPr>
        <w:t>(the</w:t>
      </w:r>
      <w:r>
        <w:rPr>
          <w:spacing w:val="19"/>
          <w:sz w:val="20"/>
        </w:rPr>
        <w:t> </w:t>
      </w:r>
      <w:r>
        <w:rPr>
          <w:sz w:val="20"/>
        </w:rPr>
        <w:t>actual</w:t>
      </w:r>
      <w:r>
        <w:rPr>
          <w:spacing w:val="19"/>
          <w:sz w:val="20"/>
        </w:rPr>
        <w:t> </w:t>
      </w:r>
      <w:r>
        <w:rPr>
          <w:sz w:val="20"/>
        </w:rPr>
        <w:t>reasoning</w:t>
      </w:r>
      <w:r>
        <w:rPr>
          <w:spacing w:val="19"/>
          <w:sz w:val="20"/>
        </w:rPr>
        <w:t> </w:t>
      </w:r>
      <w:r>
        <w:rPr>
          <w:sz w:val="20"/>
        </w:rPr>
        <w:t>of</w:t>
      </w:r>
      <w:r>
        <w:rPr>
          <w:spacing w:val="19"/>
          <w:sz w:val="20"/>
        </w:rPr>
        <w:t> </w:t>
      </w:r>
      <w:r>
        <w:rPr>
          <w:sz w:val="20"/>
        </w:rPr>
        <w:t>which</w:t>
      </w:r>
      <w:r>
        <w:rPr>
          <w:spacing w:val="19"/>
          <w:sz w:val="20"/>
        </w:rPr>
        <w:t> </w:t>
      </w:r>
      <w:r>
        <w:rPr>
          <w:sz w:val="20"/>
        </w:rPr>
        <w:t>is</w:t>
      </w:r>
      <w:r>
        <w:rPr>
          <w:spacing w:val="19"/>
          <w:sz w:val="20"/>
        </w:rPr>
        <w:t> </w:t>
      </w:r>
      <w:r>
        <w:rPr>
          <w:sz w:val="20"/>
        </w:rPr>
        <w:t>obsolete</w:t>
      </w:r>
      <w:r>
        <w:rPr>
          <w:spacing w:val="19"/>
          <w:sz w:val="20"/>
        </w:rPr>
        <w:t> </w:t>
      </w:r>
      <w:r>
        <w:rPr>
          <w:spacing w:val="-2"/>
          <w:sz w:val="20"/>
        </w:rPr>
        <w:t>since</w:t>
      </w:r>
    </w:p>
    <w:p>
      <w:pPr>
        <w:spacing w:line="227" w:lineRule="exact" w:before="0"/>
        <w:ind w:left="705" w:right="0" w:firstLine="0"/>
        <w:jc w:val="left"/>
        <w:rPr>
          <w:sz w:val="20"/>
        </w:rPr>
      </w:pPr>
      <w:r>
        <w:rPr>
          <w:rFonts w:ascii="Arial"/>
          <w:i/>
          <w:sz w:val="20"/>
        </w:rPr>
        <w:t>Household Fire Insurance Co Ltd v Grant (1879) 4 Ex. D. </w:t>
      </w:r>
      <w:r>
        <w:rPr>
          <w:rFonts w:ascii="Arial"/>
          <w:i/>
          <w:spacing w:val="-2"/>
          <w:sz w:val="20"/>
        </w:rPr>
        <w:t>216</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605" w:id="607"/>
      <w:bookmarkEnd w:id="607"/>
      <w:r>
        <w:rPr/>
      </w:r>
      <w:hyperlink w:history="true" w:anchor="_bookmark543">
        <w:r>
          <w:rPr>
            <w:color w:val="005DA1"/>
            <w:spacing w:val="-4"/>
            <w:position w:val="5"/>
            <w:sz w:val="14"/>
            <w:u w:val="single" w:color="005DA1"/>
          </w:rPr>
          <w:t>302</w:t>
        </w:r>
      </w:hyperlink>
      <w:r>
        <w:rPr>
          <w:spacing w:val="-4"/>
          <w:position w:val="5"/>
          <w:sz w:val="14"/>
        </w:rPr>
        <w:t>.</w:t>
      </w:r>
      <w:r>
        <w:rPr>
          <w:position w:val="5"/>
          <w:sz w:val="14"/>
        </w:rPr>
        <w:tab/>
      </w:r>
      <w:r>
        <w:rPr>
          <w:rFonts w:ascii="Arial"/>
          <w:i/>
          <w:sz w:val="20"/>
        </w:rPr>
        <w:t>[2005] EWHC 1345</w:t>
      </w:r>
      <w:r>
        <w:rPr>
          <w:rFonts w:ascii="Arial"/>
          <w:i/>
          <w:spacing w:val="-1"/>
          <w:sz w:val="20"/>
        </w:rPr>
        <w:t> </w:t>
      </w:r>
      <w:r>
        <w:rPr>
          <w:sz w:val="20"/>
        </w:rPr>
        <w:t>(QB) at </w:t>
      </w:r>
      <w:r>
        <w:rPr>
          <w:spacing w:val="-2"/>
          <w:sz w:val="20"/>
        </w:rPr>
        <w:t>[15].</w:t>
      </w:r>
    </w:p>
    <w:p>
      <w:pPr>
        <w:pStyle w:val="BodyText"/>
        <w:spacing w:before="4"/>
      </w:pPr>
    </w:p>
    <w:p>
      <w:pPr>
        <w:tabs>
          <w:tab w:pos="705" w:val="left" w:leader="none"/>
        </w:tabs>
        <w:spacing w:before="1"/>
        <w:ind w:left="165" w:right="0" w:firstLine="0"/>
        <w:jc w:val="left"/>
        <w:rPr>
          <w:sz w:val="20"/>
        </w:rPr>
      </w:pPr>
      <w:bookmarkStart w:name="_bookmark606" w:id="608"/>
      <w:bookmarkEnd w:id="608"/>
      <w:r>
        <w:rPr/>
      </w:r>
      <w:hyperlink w:history="true" w:anchor="_bookmark544">
        <w:r>
          <w:rPr>
            <w:color w:val="005DA1"/>
            <w:spacing w:val="-4"/>
            <w:position w:val="5"/>
            <w:sz w:val="14"/>
            <w:u w:val="single" w:color="005DA1"/>
          </w:rPr>
          <w:t>303</w:t>
        </w:r>
      </w:hyperlink>
      <w:r>
        <w:rPr>
          <w:spacing w:val="-4"/>
          <w:position w:val="5"/>
          <w:sz w:val="14"/>
        </w:rPr>
        <w:t>.</w:t>
      </w:r>
      <w:r>
        <w:rPr>
          <w:position w:val="5"/>
          <w:sz w:val="14"/>
        </w:rPr>
        <w:tab/>
      </w:r>
      <w:r>
        <w:rPr>
          <w:rFonts w:ascii="Arial"/>
          <w:i/>
          <w:sz w:val="20"/>
        </w:rPr>
        <w:t>(1870) 6 Ex. </w:t>
      </w:r>
      <w:r>
        <w:rPr>
          <w:rFonts w:ascii="Arial"/>
          <w:i/>
          <w:spacing w:val="-5"/>
          <w:sz w:val="20"/>
        </w:rPr>
        <w:t>7</w:t>
      </w:r>
      <w:r>
        <w:rPr>
          <w:spacing w:val="-5"/>
          <w:sz w:val="20"/>
        </w:rPr>
        <w:t>.</w:t>
      </w:r>
    </w:p>
    <w:p>
      <w:pPr>
        <w:pStyle w:val="BodyText"/>
        <w:spacing w:before="5"/>
      </w:pPr>
    </w:p>
    <w:p>
      <w:pPr>
        <w:pStyle w:val="BodyText"/>
        <w:tabs>
          <w:tab w:pos="705" w:val="left" w:leader="none"/>
        </w:tabs>
        <w:ind w:left="165"/>
      </w:pPr>
      <w:bookmarkStart w:name="_bookmark607" w:id="609"/>
      <w:bookmarkEnd w:id="609"/>
      <w:r>
        <w:rPr/>
      </w:r>
      <w:hyperlink w:history="true" w:anchor="_bookmark545">
        <w:r>
          <w:rPr>
            <w:color w:val="005DA1"/>
            <w:spacing w:val="-4"/>
            <w:position w:val="5"/>
            <w:sz w:val="14"/>
            <w:u w:val="single" w:color="005DA1"/>
          </w:rPr>
          <w:t>304</w:t>
        </w:r>
      </w:hyperlink>
      <w:r>
        <w:rPr>
          <w:spacing w:val="-4"/>
          <w:position w:val="5"/>
          <w:sz w:val="14"/>
        </w:rPr>
        <w:t>.</w:t>
      </w:r>
      <w:r>
        <w:rPr>
          <w:position w:val="5"/>
          <w:sz w:val="14"/>
        </w:rPr>
        <w:tab/>
      </w:r>
      <w:r>
        <w:rPr/>
        <w:t>cf. above, para.2-</w:t>
      </w:r>
      <w:r>
        <w:rPr>
          <w:spacing w:val="-4"/>
        </w:rPr>
        <w:t>049.</w:t>
      </w:r>
    </w:p>
    <w:p>
      <w:pPr>
        <w:pStyle w:val="BodyText"/>
        <w:spacing w:before="8"/>
      </w:pPr>
    </w:p>
    <w:p>
      <w:pPr>
        <w:tabs>
          <w:tab w:pos="705" w:val="left" w:leader="none"/>
        </w:tabs>
        <w:spacing w:line="235" w:lineRule="auto" w:before="1"/>
        <w:ind w:left="705" w:right="167" w:hanging="541"/>
        <w:jc w:val="left"/>
        <w:rPr>
          <w:sz w:val="20"/>
        </w:rPr>
      </w:pPr>
      <w:bookmarkStart w:name="_bookmark608" w:id="610"/>
      <w:bookmarkEnd w:id="610"/>
      <w:r>
        <w:rPr/>
      </w:r>
      <w:hyperlink w:history="true" w:anchor="_bookmark546">
        <w:r>
          <w:rPr>
            <w:color w:val="005DA1"/>
            <w:spacing w:val="-4"/>
            <w:position w:val="5"/>
            <w:sz w:val="14"/>
            <w:u w:val="single" w:color="005DA1"/>
          </w:rPr>
          <w:t>305</w:t>
        </w:r>
      </w:hyperlink>
      <w:r>
        <w:rPr>
          <w:spacing w:val="-4"/>
          <w:position w:val="5"/>
          <w:sz w:val="14"/>
        </w:rPr>
        <w:t>.</w:t>
      </w:r>
      <w:r>
        <w:rPr>
          <w:position w:val="5"/>
          <w:sz w:val="14"/>
        </w:rPr>
        <w:tab/>
      </w:r>
      <w:r>
        <w:rPr>
          <w:sz w:val="20"/>
        </w:rPr>
        <w:t>This</w:t>
      </w:r>
      <w:r>
        <w:rPr>
          <w:spacing w:val="27"/>
          <w:sz w:val="20"/>
        </w:rPr>
        <w:t> </w:t>
      </w:r>
      <w:r>
        <w:rPr>
          <w:sz w:val="20"/>
        </w:rPr>
        <w:t>view</w:t>
      </w:r>
      <w:r>
        <w:rPr>
          <w:spacing w:val="27"/>
          <w:sz w:val="20"/>
        </w:rPr>
        <w:t> </w:t>
      </w:r>
      <w:r>
        <w:rPr>
          <w:sz w:val="20"/>
        </w:rPr>
        <w:t>is</w:t>
      </w:r>
      <w:r>
        <w:rPr>
          <w:spacing w:val="27"/>
          <w:sz w:val="20"/>
        </w:rPr>
        <w:t> </w:t>
      </w:r>
      <w:r>
        <w:rPr>
          <w:sz w:val="20"/>
        </w:rPr>
        <w:t>sometimes</w:t>
      </w:r>
      <w:r>
        <w:rPr>
          <w:spacing w:val="27"/>
          <w:sz w:val="20"/>
        </w:rPr>
        <w:t> </w:t>
      </w:r>
      <w:r>
        <w:rPr>
          <w:sz w:val="20"/>
        </w:rPr>
        <w:t>said</w:t>
      </w:r>
      <w:r>
        <w:rPr>
          <w:spacing w:val="27"/>
          <w:sz w:val="20"/>
        </w:rPr>
        <w:t> </w:t>
      </w:r>
      <w:r>
        <w:rPr>
          <w:sz w:val="20"/>
        </w:rPr>
        <w:t>to</w:t>
      </w:r>
      <w:r>
        <w:rPr>
          <w:spacing w:val="27"/>
          <w:sz w:val="20"/>
        </w:rPr>
        <w:t> </w:t>
      </w:r>
      <w:r>
        <w:rPr>
          <w:sz w:val="20"/>
        </w:rPr>
        <w:t>be</w:t>
      </w:r>
      <w:r>
        <w:rPr>
          <w:spacing w:val="27"/>
          <w:sz w:val="20"/>
        </w:rPr>
        <w:t> </w:t>
      </w:r>
      <w:r>
        <w:rPr>
          <w:sz w:val="20"/>
        </w:rPr>
        <w:t>supported</w:t>
      </w:r>
      <w:r>
        <w:rPr>
          <w:spacing w:val="27"/>
          <w:sz w:val="20"/>
        </w:rPr>
        <w:t> </w:t>
      </w:r>
      <w:r>
        <w:rPr>
          <w:sz w:val="20"/>
        </w:rPr>
        <w:t>by</w:t>
      </w:r>
      <w:r>
        <w:rPr>
          <w:spacing w:val="27"/>
          <w:sz w:val="20"/>
        </w:rPr>
        <w:t> </w:t>
      </w:r>
      <w:r>
        <w:rPr>
          <w:rFonts w:ascii="Arial"/>
          <w:i/>
          <w:sz w:val="20"/>
        </w:rPr>
        <w:t>Wenkheim</w:t>
      </w:r>
      <w:r>
        <w:rPr>
          <w:rFonts w:ascii="Arial"/>
          <w:i/>
          <w:spacing w:val="27"/>
          <w:sz w:val="20"/>
        </w:rPr>
        <w:t> </w:t>
      </w:r>
      <w:r>
        <w:rPr>
          <w:rFonts w:ascii="Arial"/>
          <w:i/>
          <w:sz w:val="20"/>
        </w:rPr>
        <w:t>v</w:t>
      </w:r>
      <w:r>
        <w:rPr>
          <w:rFonts w:ascii="Arial"/>
          <w:i/>
          <w:spacing w:val="27"/>
          <w:sz w:val="20"/>
        </w:rPr>
        <w:t> </w:t>
      </w:r>
      <w:r>
        <w:rPr>
          <w:rFonts w:ascii="Arial"/>
          <w:i/>
          <w:sz w:val="20"/>
        </w:rPr>
        <w:t>Arndt</w:t>
      </w:r>
      <w:r>
        <w:rPr>
          <w:rFonts w:ascii="Arial"/>
          <w:i/>
          <w:spacing w:val="27"/>
          <w:sz w:val="20"/>
        </w:rPr>
        <w:t> </w:t>
      </w:r>
      <w:r>
        <w:rPr>
          <w:rFonts w:ascii="Arial"/>
          <w:i/>
          <w:sz w:val="20"/>
        </w:rPr>
        <w:t>(N.Z.)</w:t>
      </w:r>
      <w:r>
        <w:rPr>
          <w:rFonts w:ascii="Arial"/>
          <w:i/>
          <w:spacing w:val="27"/>
          <w:sz w:val="20"/>
        </w:rPr>
        <w:t> </w:t>
      </w:r>
      <w:r>
        <w:rPr>
          <w:rFonts w:ascii="Arial"/>
          <w:i/>
          <w:sz w:val="20"/>
        </w:rPr>
        <w:t>1</w:t>
      </w:r>
      <w:r>
        <w:rPr>
          <w:rFonts w:ascii="Arial"/>
          <w:i/>
          <w:spacing w:val="27"/>
          <w:sz w:val="20"/>
        </w:rPr>
        <w:t> </w:t>
      </w:r>
      <w:r>
        <w:rPr>
          <w:rFonts w:ascii="Arial"/>
          <w:i/>
          <w:sz w:val="20"/>
        </w:rPr>
        <w:t>J.R.</w:t>
      </w:r>
      <w:r>
        <w:rPr>
          <w:rFonts w:ascii="Arial"/>
          <w:i/>
          <w:spacing w:val="27"/>
          <w:sz w:val="20"/>
        </w:rPr>
        <w:t> </w:t>
      </w:r>
      <w:r>
        <w:rPr>
          <w:rFonts w:ascii="Arial"/>
          <w:i/>
          <w:sz w:val="20"/>
        </w:rPr>
        <w:t>73</w:t>
      </w:r>
      <w:r>
        <w:rPr>
          <w:rFonts w:ascii="Arial"/>
          <w:i/>
          <w:spacing w:val="27"/>
          <w:sz w:val="20"/>
        </w:rPr>
        <w:t> </w:t>
      </w:r>
      <w:r>
        <w:rPr>
          <w:rFonts w:ascii="Arial"/>
          <w:i/>
          <w:sz w:val="20"/>
        </w:rPr>
        <w:t>(1873)</w:t>
      </w:r>
      <w:r>
        <w:rPr>
          <w:sz w:val="20"/>
        </w:rPr>
        <w:t>, where</w:t>
      </w:r>
      <w:r>
        <w:rPr>
          <w:spacing w:val="46"/>
          <w:sz w:val="20"/>
        </w:rPr>
        <w:t> </w:t>
      </w:r>
      <w:r>
        <w:rPr>
          <w:sz w:val="20"/>
        </w:rPr>
        <w:t>the</w:t>
      </w:r>
      <w:r>
        <w:rPr>
          <w:spacing w:val="46"/>
          <w:sz w:val="20"/>
        </w:rPr>
        <w:t> </w:t>
      </w:r>
      <w:r>
        <w:rPr>
          <w:sz w:val="20"/>
        </w:rPr>
        <w:t>defendant</w:t>
      </w:r>
      <w:r>
        <w:rPr>
          <w:spacing w:val="46"/>
          <w:sz w:val="20"/>
        </w:rPr>
        <w:t> </w:t>
      </w:r>
      <w:r>
        <w:rPr>
          <w:sz w:val="20"/>
        </w:rPr>
        <w:t>had</w:t>
      </w:r>
      <w:r>
        <w:rPr>
          <w:spacing w:val="46"/>
          <w:sz w:val="20"/>
        </w:rPr>
        <w:t> </w:t>
      </w:r>
      <w:r>
        <w:rPr>
          <w:sz w:val="20"/>
        </w:rPr>
        <w:t>by</w:t>
      </w:r>
      <w:r>
        <w:rPr>
          <w:spacing w:val="46"/>
          <w:sz w:val="20"/>
        </w:rPr>
        <w:t> </w:t>
      </w:r>
      <w:r>
        <w:rPr>
          <w:sz w:val="20"/>
        </w:rPr>
        <w:t>letter</w:t>
      </w:r>
      <w:r>
        <w:rPr>
          <w:spacing w:val="46"/>
          <w:sz w:val="20"/>
        </w:rPr>
        <w:t> </w:t>
      </w:r>
      <w:r>
        <w:rPr>
          <w:sz w:val="20"/>
        </w:rPr>
        <w:t>accepted</w:t>
      </w:r>
      <w:r>
        <w:rPr>
          <w:spacing w:val="46"/>
          <w:sz w:val="20"/>
        </w:rPr>
        <w:t> </w:t>
      </w:r>
      <w:r>
        <w:rPr>
          <w:sz w:val="20"/>
        </w:rPr>
        <w:t>an</w:t>
      </w:r>
      <w:r>
        <w:rPr>
          <w:spacing w:val="46"/>
          <w:sz w:val="20"/>
        </w:rPr>
        <w:t> </w:t>
      </w:r>
      <w:r>
        <w:rPr>
          <w:sz w:val="20"/>
        </w:rPr>
        <w:t>offer</w:t>
      </w:r>
      <w:r>
        <w:rPr>
          <w:spacing w:val="46"/>
          <w:sz w:val="20"/>
        </w:rPr>
        <w:t> </w:t>
      </w:r>
      <w:r>
        <w:rPr>
          <w:sz w:val="20"/>
        </w:rPr>
        <w:t>of</w:t>
      </w:r>
      <w:r>
        <w:rPr>
          <w:spacing w:val="46"/>
          <w:sz w:val="20"/>
        </w:rPr>
        <w:t> </w:t>
      </w:r>
      <w:r>
        <w:rPr>
          <w:sz w:val="20"/>
        </w:rPr>
        <w:t>marriage:</w:t>
      </w:r>
      <w:r>
        <w:rPr>
          <w:spacing w:val="46"/>
          <w:sz w:val="20"/>
        </w:rPr>
        <w:t> </w:t>
      </w:r>
      <w:r>
        <w:rPr>
          <w:sz w:val="20"/>
        </w:rPr>
        <w:t>her</w:t>
      </w:r>
      <w:r>
        <w:rPr>
          <w:spacing w:val="46"/>
          <w:sz w:val="20"/>
        </w:rPr>
        <w:t> </w:t>
      </w:r>
      <w:r>
        <w:rPr>
          <w:sz w:val="20"/>
        </w:rPr>
        <w:t>mother</w:t>
      </w:r>
      <w:r>
        <w:rPr>
          <w:spacing w:val="46"/>
          <w:sz w:val="20"/>
        </w:rPr>
        <w:t> </w:t>
      </w:r>
      <w:r>
        <w:rPr>
          <w:sz w:val="20"/>
        </w:rPr>
        <w:t>then</w:t>
      </w:r>
      <w:r>
        <w:rPr>
          <w:spacing w:val="46"/>
          <w:sz w:val="20"/>
        </w:rPr>
        <w:t> </w:t>
      </w:r>
      <w:r>
        <w:rPr>
          <w:sz w:val="20"/>
        </w:rPr>
        <w:t>sent</w:t>
      </w:r>
      <w:r>
        <w:rPr>
          <w:spacing w:val="46"/>
          <w:sz w:val="20"/>
        </w:rPr>
        <w:t> </w:t>
      </w:r>
      <w:r>
        <w:rPr>
          <w:spacing w:val="-10"/>
          <w:sz w:val="20"/>
        </w:rPr>
        <w:t>a</w:t>
      </w:r>
    </w:p>
    <w:p>
      <w:pPr>
        <w:spacing w:after="0" w:line="235" w:lineRule="auto"/>
        <w:jc w:val="left"/>
        <w:rPr>
          <w:sz w:val="20"/>
        </w:rPr>
        <w:sectPr>
          <w:pgSz w:w="11900" w:h="16840"/>
          <w:pgMar w:header="971" w:footer="0" w:top="1300" w:bottom="280" w:left="1275" w:right="1275"/>
        </w:sectPr>
      </w:pPr>
    </w:p>
    <w:p>
      <w:pPr>
        <w:spacing w:line="235" w:lineRule="auto" w:before="110"/>
        <w:ind w:left="705" w:right="167" w:firstLine="0"/>
        <w:jc w:val="both"/>
        <w:rPr>
          <w:sz w:val="20"/>
        </w:rPr>
      </w:pPr>
      <w:r>
        <w:rPr>
          <w:sz w:val="20"/>
        </w:rPr>
        <w:t>telegram purporting to cancel the acceptance. The actual decision was that the mother had </w:t>
      </w:r>
      <w:r>
        <w:rPr>
          <w:sz w:val="20"/>
        </w:rPr>
        <w:t>no authority to act on behalf of her daughter in this way, so that the claimant recovered damages (of no more than one farthing). The view stated in the text is supported by </w:t>
      </w:r>
      <w:r>
        <w:rPr>
          <w:rFonts w:ascii="Arial" w:hAnsi="Arial"/>
          <w:i/>
          <w:sz w:val="20"/>
        </w:rPr>
        <w:t>Morrison v Thoelke 155 So. 2d 889 (1963) </w:t>
      </w:r>
      <w:r>
        <w:rPr>
          <w:sz w:val="20"/>
        </w:rPr>
        <w:t>and by </w:t>
      </w:r>
      <w:r>
        <w:rPr>
          <w:rFonts w:ascii="Arial" w:hAnsi="Arial"/>
          <w:i/>
          <w:sz w:val="20"/>
        </w:rPr>
        <w:t>A to Z Bazaars (Pty) Ltd v Minister of Agriculture (1974) (4) S.A. 392 </w:t>
      </w:r>
      <w:r>
        <w:rPr>
          <w:sz w:val="20"/>
        </w:rPr>
        <w:t>(c) (discussed by Turpin [1975] C.L.J. 25); but contradicted by </w:t>
      </w:r>
      <w:r>
        <w:rPr>
          <w:rFonts w:ascii="Arial" w:hAnsi="Arial"/>
          <w:i/>
          <w:sz w:val="20"/>
        </w:rPr>
        <w:t>Dick v US, 82 F.Supp. 326 (1949)</w:t>
      </w:r>
      <w:r>
        <w:rPr>
          <w:sz w:val="20"/>
        </w:rPr>
        <w:t>. It is also sometimes said to be contradicted by </w:t>
      </w:r>
      <w:r>
        <w:rPr>
          <w:rFonts w:ascii="Arial" w:hAnsi="Arial"/>
          <w:i/>
          <w:sz w:val="20"/>
        </w:rPr>
        <w:t>Dunmore v Alexander (1830) 9 Shaw 190</w:t>
      </w:r>
      <w:r>
        <w:rPr>
          <w:sz w:val="20"/>
        </w:rPr>
        <w:t>, but there the first letter was probably an offer; only the dissenting judge regarded it as an acceptance. See generally Hudson (1966) 82 L.Q.R. 169. cf. </w:t>
      </w:r>
      <w:r>
        <w:rPr>
          <w:rFonts w:ascii="Arial" w:hAnsi="Arial"/>
          <w:i/>
          <w:sz w:val="20"/>
        </w:rPr>
        <w:t>Kinch v Bullard [1999] 1 W.L.R. 423 </w:t>
      </w:r>
      <w:r>
        <w:rPr>
          <w:sz w:val="20"/>
        </w:rPr>
        <w:t>(notice which, by virtue of Law of Property Act 1925 s.196(3), had taken effect on being left at a person’s place of abode, but without having been actually communicated to him, could not thereafter be withdrawn by sender).</w:t>
      </w:r>
    </w:p>
    <w:p>
      <w:pPr>
        <w:pStyle w:val="BodyText"/>
        <w:spacing w:before="2"/>
      </w:pPr>
    </w:p>
    <w:p>
      <w:pPr>
        <w:tabs>
          <w:tab w:pos="705" w:val="left" w:leader="none"/>
        </w:tabs>
        <w:spacing w:before="0"/>
        <w:ind w:left="165" w:right="0" w:firstLine="0"/>
        <w:jc w:val="left"/>
        <w:rPr>
          <w:sz w:val="20"/>
        </w:rPr>
      </w:pPr>
      <w:bookmarkStart w:name="_bookmark609" w:id="611"/>
      <w:bookmarkEnd w:id="611"/>
      <w:r>
        <w:rPr/>
      </w:r>
      <w:hyperlink w:history="true" w:anchor="_bookmark547">
        <w:r>
          <w:rPr>
            <w:color w:val="005DA1"/>
            <w:spacing w:val="-4"/>
            <w:position w:val="5"/>
            <w:sz w:val="14"/>
            <w:u w:val="single" w:color="005DA1"/>
          </w:rPr>
          <w:t>306</w:t>
        </w:r>
      </w:hyperlink>
      <w:r>
        <w:rPr>
          <w:spacing w:val="-4"/>
          <w:position w:val="5"/>
          <w:sz w:val="14"/>
        </w:rPr>
        <w:t>.</w:t>
      </w:r>
      <w:r>
        <w:rPr>
          <w:position w:val="5"/>
          <w:sz w:val="14"/>
        </w:rPr>
        <w:tab/>
      </w:r>
      <w:r>
        <w:rPr>
          <w:sz w:val="20"/>
        </w:rPr>
        <w:t>Above, para.2-</w:t>
      </w:r>
      <w:r>
        <w:rPr>
          <w:spacing w:val="-4"/>
          <w:sz w:val="20"/>
        </w:rPr>
        <w:t>047.</w:t>
      </w:r>
    </w:p>
    <w:p>
      <w:pPr>
        <w:pStyle w:val="BodyText"/>
        <w:spacing w:before="5"/>
      </w:pPr>
    </w:p>
    <w:p>
      <w:pPr>
        <w:tabs>
          <w:tab w:pos="705" w:val="left" w:leader="none"/>
        </w:tabs>
        <w:spacing w:before="0"/>
        <w:ind w:left="165" w:right="0" w:firstLine="0"/>
        <w:jc w:val="left"/>
        <w:rPr>
          <w:sz w:val="20"/>
        </w:rPr>
      </w:pPr>
      <w:bookmarkStart w:name="_bookmark610" w:id="612"/>
      <w:bookmarkEnd w:id="612"/>
      <w:r>
        <w:rPr/>
      </w:r>
      <w:hyperlink w:history="true" w:anchor="_bookmark548">
        <w:r>
          <w:rPr>
            <w:color w:val="005DA1"/>
            <w:spacing w:val="-4"/>
            <w:position w:val="5"/>
            <w:sz w:val="14"/>
            <w:u w:val="single" w:color="005DA1"/>
          </w:rPr>
          <w:t>307</w:t>
        </w:r>
      </w:hyperlink>
      <w:r>
        <w:rPr>
          <w:spacing w:val="-4"/>
          <w:position w:val="5"/>
          <w:sz w:val="14"/>
        </w:rPr>
        <w:t>.</w:t>
      </w:r>
      <w:r>
        <w:rPr>
          <w:position w:val="5"/>
          <w:sz w:val="14"/>
        </w:rPr>
        <w:tab/>
      </w:r>
      <w:r>
        <w:rPr>
          <w:sz w:val="20"/>
        </w:rPr>
        <w:t>Above, para.2-</w:t>
      </w:r>
      <w:r>
        <w:rPr>
          <w:spacing w:val="-4"/>
          <w:sz w:val="20"/>
        </w:rPr>
        <w:t>053.</w:t>
      </w:r>
    </w:p>
    <w:p>
      <w:pPr>
        <w:pStyle w:val="BodyText"/>
        <w:spacing w:before="9"/>
      </w:pPr>
    </w:p>
    <w:p>
      <w:pPr>
        <w:tabs>
          <w:tab w:pos="705" w:val="left" w:leader="none"/>
        </w:tabs>
        <w:spacing w:line="235" w:lineRule="auto" w:before="0"/>
        <w:ind w:left="705" w:right="168" w:hanging="541"/>
        <w:jc w:val="left"/>
        <w:rPr>
          <w:sz w:val="20"/>
        </w:rPr>
      </w:pPr>
      <w:bookmarkStart w:name="_bookmark611" w:id="613"/>
      <w:bookmarkEnd w:id="613"/>
      <w:r>
        <w:rPr/>
      </w:r>
      <w:hyperlink w:history="true" w:anchor="_bookmark549">
        <w:r>
          <w:rPr>
            <w:color w:val="005DA1"/>
            <w:spacing w:val="-4"/>
            <w:position w:val="5"/>
            <w:sz w:val="14"/>
            <w:u w:val="single" w:color="005DA1"/>
          </w:rPr>
          <w:t>308</w:t>
        </w:r>
      </w:hyperlink>
      <w:r>
        <w:rPr>
          <w:spacing w:val="-4"/>
          <w:position w:val="5"/>
          <w:sz w:val="14"/>
        </w:rPr>
        <w:t>.</w:t>
      </w:r>
      <w:r>
        <w:rPr>
          <w:position w:val="5"/>
          <w:sz w:val="14"/>
        </w:rPr>
        <w:tab/>
      </w:r>
      <w:r>
        <w:rPr>
          <w:sz w:val="20"/>
        </w:rPr>
        <w:t>For</w:t>
      </w:r>
      <w:r>
        <w:rPr>
          <w:spacing w:val="33"/>
          <w:sz w:val="20"/>
        </w:rPr>
        <w:t> </w:t>
      </w:r>
      <w:r>
        <w:rPr>
          <w:sz w:val="20"/>
        </w:rPr>
        <w:t>similar</w:t>
      </w:r>
      <w:r>
        <w:rPr>
          <w:spacing w:val="33"/>
          <w:sz w:val="20"/>
        </w:rPr>
        <w:t> </w:t>
      </w:r>
      <w:r>
        <w:rPr>
          <w:sz w:val="20"/>
        </w:rPr>
        <w:t>reasoning</w:t>
      </w:r>
      <w:r>
        <w:rPr>
          <w:spacing w:val="33"/>
          <w:sz w:val="20"/>
        </w:rPr>
        <w:t> </w:t>
      </w:r>
      <w:r>
        <w:rPr>
          <w:sz w:val="20"/>
        </w:rPr>
        <w:t>in</w:t>
      </w:r>
      <w:r>
        <w:rPr>
          <w:spacing w:val="33"/>
          <w:sz w:val="20"/>
        </w:rPr>
        <w:t> </w:t>
      </w:r>
      <w:r>
        <w:rPr>
          <w:sz w:val="20"/>
        </w:rPr>
        <w:t>the</w:t>
      </w:r>
      <w:r>
        <w:rPr>
          <w:spacing w:val="33"/>
          <w:sz w:val="20"/>
        </w:rPr>
        <w:t> </w:t>
      </w:r>
      <w:r>
        <w:rPr>
          <w:sz w:val="20"/>
        </w:rPr>
        <w:t>case</w:t>
      </w:r>
      <w:r>
        <w:rPr>
          <w:spacing w:val="33"/>
          <w:sz w:val="20"/>
        </w:rPr>
        <w:t> </w:t>
      </w:r>
      <w:r>
        <w:rPr>
          <w:sz w:val="20"/>
        </w:rPr>
        <w:t>of</w:t>
      </w:r>
      <w:r>
        <w:rPr>
          <w:spacing w:val="33"/>
          <w:sz w:val="20"/>
        </w:rPr>
        <w:t> </w:t>
      </w:r>
      <w:r>
        <w:rPr>
          <w:sz w:val="20"/>
        </w:rPr>
        <w:t>a</w:t>
      </w:r>
      <w:r>
        <w:rPr>
          <w:spacing w:val="33"/>
          <w:sz w:val="20"/>
        </w:rPr>
        <w:t> </w:t>
      </w:r>
      <w:r>
        <w:rPr>
          <w:sz w:val="20"/>
        </w:rPr>
        <w:t>misdirected</w:t>
      </w:r>
      <w:r>
        <w:rPr>
          <w:spacing w:val="33"/>
          <w:sz w:val="20"/>
        </w:rPr>
        <w:t> </w:t>
      </w:r>
      <w:r>
        <w:rPr>
          <w:sz w:val="20"/>
        </w:rPr>
        <w:t>acceptance</w:t>
      </w:r>
      <w:r>
        <w:rPr>
          <w:spacing w:val="33"/>
          <w:sz w:val="20"/>
        </w:rPr>
        <w:t> </w:t>
      </w:r>
      <w:r>
        <w:rPr>
          <w:sz w:val="20"/>
        </w:rPr>
        <w:t>(above,</w:t>
      </w:r>
      <w:r>
        <w:rPr>
          <w:spacing w:val="33"/>
          <w:sz w:val="20"/>
        </w:rPr>
        <w:t> </w:t>
      </w:r>
      <w:r>
        <w:rPr>
          <w:sz w:val="20"/>
        </w:rPr>
        <w:t>para.2-057)</w:t>
      </w:r>
      <w:r>
        <w:rPr>
          <w:spacing w:val="33"/>
          <w:sz w:val="20"/>
        </w:rPr>
        <w:t> </w:t>
      </w:r>
      <w:r>
        <w:rPr>
          <w:sz w:val="20"/>
        </w:rPr>
        <w:t>see</w:t>
      </w:r>
      <w:r>
        <w:rPr>
          <w:spacing w:val="32"/>
          <w:sz w:val="20"/>
        </w:rPr>
        <w:t> </w:t>
      </w:r>
      <w:r>
        <w:rPr>
          <w:rFonts w:ascii="Arial"/>
          <w:i/>
          <w:sz w:val="20"/>
        </w:rPr>
        <w:t>L.J. Korbetis v Transgrain Shipping BV [2005] EWHC 1345 (QB) </w:t>
      </w:r>
      <w:r>
        <w:rPr>
          <w:sz w:val="20"/>
        </w:rPr>
        <w:t>at [11].</w:t>
      </w:r>
    </w:p>
    <w:p>
      <w:pPr>
        <w:pStyle w:val="BodyText"/>
        <w:spacing w:before="5"/>
      </w:pPr>
    </w:p>
    <w:p>
      <w:pPr>
        <w:pStyle w:val="BodyText"/>
        <w:tabs>
          <w:tab w:pos="705" w:val="left" w:leader="none"/>
        </w:tabs>
        <w:spacing w:before="1"/>
        <w:ind w:left="165"/>
      </w:pPr>
      <w:bookmarkStart w:name="_bookmark612" w:id="614"/>
      <w:bookmarkEnd w:id="614"/>
      <w:r>
        <w:rPr/>
      </w:r>
      <w:hyperlink w:history="true" w:anchor="_bookmark550">
        <w:r>
          <w:rPr>
            <w:color w:val="005DA1"/>
            <w:spacing w:val="-4"/>
            <w:position w:val="5"/>
            <w:sz w:val="14"/>
            <w:u w:val="single" w:color="005DA1"/>
          </w:rPr>
          <w:t>309</w:t>
        </w:r>
      </w:hyperlink>
      <w:r>
        <w:rPr>
          <w:spacing w:val="-4"/>
          <w:position w:val="5"/>
          <w:sz w:val="14"/>
        </w:rPr>
        <w:t>.</w:t>
      </w:r>
      <w:r>
        <w:rPr>
          <w:position w:val="5"/>
          <w:sz w:val="14"/>
        </w:rPr>
        <w:tab/>
      </w:r>
      <w:r>
        <w:rPr/>
        <w:t>cf.</w:t>
      </w:r>
      <w:r>
        <w:rPr>
          <w:spacing w:val="-2"/>
        </w:rPr>
        <w:t> </w:t>
      </w:r>
      <w:r>
        <w:rPr/>
        <w:t>above, para.2-057. Contrast Hudson, above, </w:t>
      </w:r>
      <w:r>
        <w:rPr>
          <w:spacing w:val="-2"/>
        </w:rPr>
        <w:t>n.301.</w:t>
      </w:r>
    </w:p>
    <w:p>
      <w:pPr>
        <w:pStyle w:val="BodyText"/>
        <w:spacing w:before="4"/>
      </w:pPr>
    </w:p>
    <w:p>
      <w:pPr>
        <w:tabs>
          <w:tab w:pos="705" w:val="left" w:leader="none"/>
        </w:tabs>
        <w:spacing w:before="1"/>
        <w:ind w:left="165" w:right="0" w:firstLine="0"/>
        <w:jc w:val="left"/>
        <w:rPr>
          <w:sz w:val="20"/>
        </w:rPr>
      </w:pPr>
      <w:bookmarkStart w:name="_bookmark613" w:id="615"/>
      <w:bookmarkEnd w:id="615"/>
      <w:r>
        <w:rPr/>
      </w:r>
      <w:hyperlink w:history="true" w:anchor="_bookmark551">
        <w:r>
          <w:rPr>
            <w:color w:val="005DA1"/>
            <w:spacing w:val="-4"/>
            <w:position w:val="5"/>
            <w:sz w:val="14"/>
            <w:u w:val="single" w:color="005DA1"/>
          </w:rPr>
          <w:t>310</w:t>
        </w:r>
      </w:hyperlink>
      <w:r>
        <w:rPr>
          <w:spacing w:val="-4"/>
          <w:position w:val="5"/>
          <w:sz w:val="14"/>
        </w:rPr>
        <w:t>.</w:t>
      </w:r>
      <w:r>
        <w:rPr>
          <w:position w:val="5"/>
          <w:sz w:val="14"/>
        </w:rPr>
        <w:tab/>
      </w:r>
      <w:r>
        <w:rPr>
          <w:sz w:val="20"/>
        </w:rPr>
        <w:t>Below, para.24-</w:t>
      </w:r>
      <w:r>
        <w:rPr>
          <w:spacing w:val="-4"/>
          <w:sz w:val="20"/>
        </w:rPr>
        <w:t>001.</w:t>
      </w:r>
    </w:p>
    <w:p>
      <w:pPr>
        <w:pStyle w:val="BodyText"/>
        <w:spacing w:before="8"/>
      </w:pPr>
    </w:p>
    <w:p>
      <w:pPr>
        <w:spacing w:line="235" w:lineRule="auto" w:before="0"/>
        <w:ind w:left="705" w:right="167" w:hanging="541"/>
        <w:jc w:val="both"/>
        <w:rPr>
          <w:sz w:val="20"/>
        </w:rPr>
      </w:pPr>
      <w:bookmarkStart w:name="_bookmark614" w:id="616"/>
      <w:bookmarkEnd w:id="616"/>
      <w:r>
        <w:rPr/>
      </w:r>
      <w:hyperlink w:history="true" w:anchor="_bookmark552">
        <w:r>
          <w:rPr>
            <w:color w:val="005DA1"/>
            <w:position w:val="5"/>
            <w:sz w:val="14"/>
            <w:u w:val="single" w:color="005DA1"/>
          </w:rPr>
          <w:t>311</w:t>
        </w:r>
      </w:hyperlink>
      <w:r>
        <w:rPr>
          <w:position w:val="5"/>
          <w:sz w:val="14"/>
        </w:rPr>
        <w:t>.</w:t>
      </w:r>
      <w:r>
        <w:rPr>
          <w:spacing w:val="80"/>
          <w:position w:val="5"/>
          <w:sz w:val="14"/>
        </w:rPr>
        <w:t>  </w:t>
      </w:r>
      <w:r>
        <w:rPr>
          <w:sz w:val="20"/>
        </w:rPr>
        <w:t>cf. </w:t>
      </w:r>
      <w:r>
        <w:rPr>
          <w:rFonts w:ascii="Arial"/>
          <w:i/>
          <w:sz w:val="20"/>
        </w:rPr>
        <w:t>Kinch v Ballard [1999] 1 W.L.R. 423, 430 </w:t>
      </w:r>
      <w:r>
        <w:rPr>
          <w:sz w:val="20"/>
        </w:rPr>
        <w:t>(purported withdrawal by sender of a notice after it had taken effect ineffective against addressee (above, n.300) but said at 430-431 to </w:t>
      </w:r>
      <w:r>
        <w:rPr>
          <w:sz w:val="20"/>
        </w:rPr>
        <w:t>be</w:t>
      </w:r>
      <w:r>
        <w:rPr>
          <w:spacing w:val="40"/>
          <w:sz w:val="20"/>
        </w:rPr>
        <w:t> </w:t>
      </w:r>
      <w:r>
        <w:rPr>
          <w:sz w:val="20"/>
        </w:rPr>
        <w:t>effective against sender).</w:t>
      </w:r>
    </w:p>
    <w:p>
      <w:pPr>
        <w:pStyle w:val="BodyText"/>
        <w:spacing w:before="5"/>
      </w:pPr>
    </w:p>
    <w:p>
      <w:pPr>
        <w:pStyle w:val="BodyText"/>
        <w:tabs>
          <w:tab w:pos="705" w:val="left" w:leader="none"/>
        </w:tabs>
        <w:spacing w:before="1"/>
        <w:ind w:left="165"/>
      </w:pPr>
      <w:bookmarkStart w:name="_bookmark615" w:id="617"/>
      <w:bookmarkEnd w:id="617"/>
      <w:r>
        <w:rPr/>
      </w:r>
      <w:hyperlink w:history="true" w:anchor="_bookmark553">
        <w:r>
          <w:rPr>
            <w:color w:val="005DA1"/>
            <w:spacing w:val="-4"/>
            <w:position w:val="5"/>
            <w:sz w:val="14"/>
            <w:u w:val="single" w:color="005DA1"/>
          </w:rPr>
          <w:t>312</w:t>
        </w:r>
      </w:hyperlink>
      <w:r>
        <w:rPr>
          <w:spacing w:val="-4"/>
          <w:position w:val="5"/>
          <w:sz w:val="14"/>
        </w:rPr>
        <w:t>.</w:t>
      </w:r>
      <w:r>
        <w:rPr>
          <w:position w:val="5"/>
          <w:sz w:val="14"/>
        </w:rPr>
        <w:tab/>
      </w:r>
      <w:r>
        <w:rPr/>
        <w:t>Below,</w:t>
      </w:r>
      <w:r>
        <w:rPr>
          <w:spacing w:val="-2"/>
        </w:rPr>
        <w:t> </w:t>
      </w:r>
      <w:r>
        <w:rPr/>
        <w:t>Vol.II, para.44-</w:t>
      </w:r>
      <w:r>
        <w:rPr>
          <w:spacing w:val="-4"/>
        </w:rPr>
        <w:t>014.</w:t>
      </w:r>
    </w:p>
    <w:p>
      <w:pPr>
        <w:pStyle w:val="BodyText"/>
        <w:spacing w:before="4"/>
      </w:pPr>
    </w:p>
    <w:p>
      <w:pPr>
        <w:pStyle w:val="ListParagraph"/>
        <w:numPr>
          <w:ilvl w:val="0"/>
          <w:numId w:val="3"/>
        </w:numPr>
        <w:tabs>
          <w:tab w:pos="705" w:val="left" w:leader="none"/>
        </w:tabs>
        <w:spacing w:line="240" w:lineRule="auto" w:before="1" w:after="0"/>
        <w:ind w:left="705" w:right="0" w:hanging="540"/>
        <w:jc w:val="left"/>
        <w:rPr>
          <w:rFonts w:ascii="Arial MT"/>
          <w:sz w:val="20"/>
        </w:rPr>
      </w:pPr>
      <w:bookmarkStart w:name="_bookmark616" w:id="618"/>
      <w:bookmarkEnd w:id="618"/>
      <w:r>
        <w:rPr/>
      </w:r>
      <w:r>
        <w:rPr>
          <w:rFonts w:ascii="Arial MT"/>
          <w:spacing w:val="-2"/>
          <w:sz w:val="20"/>
        </w:rPr>
        <w:t>art.15(1).</w:t>
      </w:r>
    </w:p>
    <w:p>
      <w:pPr>
        <w:pStyle w:val="BodyText"/>
        <w:spacing w:before="4"/>
      </w:pPr>
    </w:p>
    <w:p>
      <w:pPr>
        <w:pStyle w:val="ListParagraph"/>
        <w:numPr>
          <w:ilvl w:val="0"/>
          <w:numId w:val="3"/>
        </w:numPr>
        <w:tabs>
          <w:tab w:pos="705" w:val="left" w:leader="none"/>
        </w:tabs>
        <w:spacing w:line="240" w:lineRule="auto" w:before="1" w:after="0"/>
        <w:ind w:left="705" w:right="0" w:hanging="540"/>
        <w:jc w:val="left"/>
        <w:rPr>
          <w:rFonts w:ascii="Arial MT"/>
          <w:sz w:val="20"/>
        </w:rPr>
      </w:pPr>
      <w:bookmarkStart w:name="_bookmark617" w:id="619"/>
      <w:bookmarkEnd w:id="619"/>
      <w:r>
        <w:rPr/>
      </w:r>
      <w:r>
        <w:rPr>
          <w:rFonts w:ascii="Arial MT"/>
          <w:spacing w:val="-2"/>
          <w:sz w:val="20"/>
        </w:rPr>
        <w:t>art.18(2).</w:t>
      </w:r>
    </w:p>
    <w:p>
      <w:pPr>
        <w:pStyle w:val="BodyText"/>
        <w:spacing w:before="5"/>
      </w:pPr>
    </w:p>
    <w:p>
      <w:pPr>
        <w:pStyle w:val="ListParagraph"/>
        <w:numPr>
          <w:ilvl w:val="0"/>
          <w:numId w:val="3"/>
        </w:numPr>
        <w:tabs>
          <w:tab w:pos="705" w:val="left" w:leader="none"/>
        </w:tabs>
        <w:spacing w:line="240" w:lineRule="auto" w:before="0" w:after="0"/>
        <w:ind w:left="705" w:right="0" w:hanging="540"/>
        <w:jc w:val="left"/>
        <w:rPr>
          <w:rFonts w:ascii="Arial MT"/>
          <w:sz w:val="20"/>
        </w:rPr>
      </w:pPr>
      <w:bookmarkStart w:name="_bookmark618" w:id="620"/>
      <w:bookmarkEnd w:id="620"/>
      <w:r>
        <w:rPr/>
      </w:r>
      <w:r>
        <w:rPr>
          <w:rFonts w:ascii="Arial MT"/>
          <w:spacing w:val="-2"/>
          <w:sz w:val="20"/>
        </w:rPr>
        <w:t>art.24.</w:t>
      </w:r>
    </w:p>
    <w:p>
      <w:pPr>
        <w:pStyle w:val="BodyText"/>
        <w:spacing w:before="5"/>
      </w:pPr>
    </w:p>
    <w:p>
      <w:pPr>
        <w:pStyle w:val="ListParagraph"/>
        <w:numPr>
          <w:ilvl w:val="0"/>
          <w:numId w:val="3"/>
        </w:numPr>
        <w:tabs>
          <w:tab w:pos="705" w:val="left" w:leader="none"/>
        </w:tabs>
        <w:spacing w:line="240" w:lineRule="auto" w:before="0" w:after="0"/>
        <w:ind w:left="705" w:right="0" w:hanging="540"/>
        <w:jc w:val="left"/>
        <w:rPr>
          <w:rFonts w:ascii="Arial MT"/>
          <w:sz w:val="20"/>
        </w:rPr>
      </w:pPr>
      <w:bookmarkStart w:name="_bookmark619" w:id="621"/>
      <w:bookmarkEnd w:id="621"/>
      <w:r>
        <w:rPr/>
      </w:r>
      <w:r>
        <w:rPr>
          <w:rFonts w:ascii="Arial MT"/>
          <w:spacing w:val="-2"/>
          <w:sz w:val="20"/>
        </w:rPr>
        <w:t>art.21(2).</w:t>
      </w:r>
    </w:p>
    <w:p>
      <w:pPr>
        <w:pStyle w:val="BodyText"/>
        <w:spacing w:before="5"/>
      </w:pPr>
    </w:p>
    <w:p>
      <w:pPr>
        <w:pStyle w:val="BodyText"/>
        <w:tabs>
          <w:tab w:pos="705" w:val="left" w:leader="none"/>
        </w:tabs>
        <w:ind w:left="165"/>
      </w:pPr>
      <w:bookmarkStart w:name="_bookmark620" w:id="622"/>
      <w:bookmarkEnd w:id="622"/>
      <w:r>
        <w:rPr/>
      </w:r>
      <w:hyperlink w:history="true" w:anchor="_bookmark558">
        <w:r>
          <w:rPr>
            <w:color w:val="005DA1"/>
            <w:spacing w:val="-4"/>
            <w:position w:val="5"/>
            <w:sz w:val="14"/>
            <w:u w:val="single" w:color="005DA1"/>
          </w:rPr>
          <w:t>317</w:t>
        </w:r>
      </w:hyperlink>
      <w:r>
        <w:rPr>
          <w:spacing w:val="-4"/>
          <w:position w:val="5"/>
          <w:sz w:val="14"/>
        </w:rPr>
        <w:t>.</w:t>
      </w:r>
      <w:r>
        <w:rPr>
          <w:position w:val="5"/>
          <w:sz w:val="14"/>
        </w:rPr>
        <w:tab/>
      </w:r>
      <w:r>
        <w:rPr/>
        <w:t>art.16(1); “dispatch” is not </w:t>
      </w:r>
      <w:r>
        <w:rPr>
          <w:spacing w:val="-2"/>
        </w:rPr>
        <w:t>defined.</w:t>
      </w:r>
    </w:p>
    <w:p>
      <w:pPr>
        <w:pStyle w:val="BodyText"/>
        <w:spacing w:before="5"/>
      </w:pPr>
    </w:p>
    <w:p>
      <w:pPr>
        <w:tabs>
          <w:tab w:pos="705" w:val="left" w:leader="none"/>
        </w:tabs>
        <w:spacing w:before="0"/>
        <w:ind w:left="165" w:right="0" w:firstLine="0"/>
        <w:jc w:val="left"/>
        <w:rPr>
          <w:sz w:val="20"/>
        </w:rPr>
      </w:pPr>
      <w:bookmarkStart w:name="_bookmark621" w:id="623"/>
      <w:bookmarkEnd w:id="623"/>
      <w:r>
        <w:rPr/>
      </w:r>
      <w:hyperlink w:history="true" w:anchor="_bookmark559">
        <w:r>
          <w:rPr>
            <w:color w:val="005DA1"/>
            <w:spacing w:val="-4"/>
            <w:position w:val="5"/>
            <w:sz w:val="14"/>
            <w:u w:val="single" w:color="005DA1"/>
          </w:rPr>
          <w:t>318</w:t>
        </w:r>
      </w:hyperlink>
      <w:r>
        <w:rPr>
          <w:spacing w:val="-4"/>
          <w:position w:val="5"/>
          <w:sz w:val="14"/>
        </w:rPr>
        <w:t>.</w:t>
      </w:r>
      <w:r>
        <w:rPr>
          <w:position w:val="5"/>
          <w:sz w:val="14"/>
        </w:rPr>
        <w:tab/>
      </w:r>
      <w:r>
        <w:rPr>
          <w:spacing w:val="-2"/>
          <w:sz w:val="20"/>
        </w:rPr>
        <w:t>art.22.</w:t>
      </w:r>
    </w:p>
    <w:p>
      <w:pPr>
        <w:pStyle w:val="BodyText"/>
        <w:spacing w:before="8"/>
      </w:pPr>
    </w:p>
    <w:p>
      <w:pPr>
        <w:pStyle w:val="BodyText"/>
        <w:spacing w:line="235" w:lineRule="auto" w:before="1"/>
        <w:ind w:left="705" w:right="167" w:hanging="541"/>
        <w:jc w:val="both"/>
      </w:pPr>
      <w:bookmarkStart w:name="_bookmark622" w:id="624"/>
      <w:bookmarkEnd w:id="624"/>
      <w:r>
        <w:rPr/>
      </w:r>
      <w:hyperlink w:history="true" w:anchor="_bookmark560">
        <w:r>
          <w:rPr>
            <w:color w:val="005DA1"/>
            <w:position w:val="5"/>
            <w:sz w:val="14"/>
            <w:u w:val="single" w:color="005DA1"/>
          </w:rPr>
          <w:t>319</w:t>
        </w:r>
      </w:hyperlink>
      <w:r>
        <w:rPr>
          <w:position w:val="5"/>
          <w:sz w:val="14"/>
        </w:rPr>
        <w:t>.</w:t>
      </w:r>
      <w:r>
        <w:rPr>
          <w:spacing w:val="80"/>
          <w:position w:val="5"/>
          <w:sz w:val="14"/>
        </w:rPr>
        <w:t> </w:t>
      </w:r>
      <w:r>
        <w:rPr/>
        <w:t>SI 2013/3134. These Regulations have replaced the Consumer Protection (Distance Selling) Regulations 2000 with effect from June 13, 2014. For amendments of the Consumer </w:t>
      </w:r>
      <w:r>
        <w:rPr/>
        <w:t>Protection from Unfair Trading Regulations 2008 (SI 2008/1277) see Consumer Protection Regulations 2014 (SI 2014/870) regs 2 to 4. For further discussion of the 2013 Regulations see below,</w:t>
      </w:r>
      <w:r>
        <w:rPr>
          <w:spacing w:val="40"/>
        </w:rPr>
        <w:t> </w:t>
      </w:r>
      <w:r>
        <w:rPr/>
        <w:t>paras 38-055—38-144.</w:t>
      </w:r>
    </w:p>
    <w:p>
      <w:pPr>
        <w:pStyle w:val="BodyText"/>
        <w:spacing w:before="4"/>
      </w:pPr>
    </w:p>
    <w:p>
      <w:pPr>
        <w:pStyle w:val="BodyText"/>
        <w:tabs>
          <w:tab w:pos="705" w:val="left" w:leader="none"/>
        </w:tabs>
        <w:ind w:left="165"/>
      </w:pPr>
      <w:bookmarkStart w:name="_bookmark623" w:id="625"/>
      <w:bookmarkEnd w:id="625"/>
      <w:r>
        <w:rPr/>
      </w:r>
      <w:hyperlink w:history="true" w:anchor="_bookmark560">
        <w:r>
          <w:rPr>
            <w:color w:val="005DA1"/>
            <w:spacing w:val="-4"/>
            <w:position w:val="5"/>
            <w:sz w:val="14"/>
            <w:u w:val="single" w:color="005DA1"/>
          </w:rPr>
          <w:t>320</w:t>
        </w:r>
      </w:hyperlink>
      <w:r>
        <w:rPr>
          <w:spacing w:val="-4"/>
          <w:position w:val="5"/>
          <w:sz w:val="14"/>
        </w:rPr>
        <w:t>.</w:t>
      </w:r>
      <w:r>
        <w:rPr>
          <w:position w:val="5"/>
          <w:sz w:val="14"/>
        </w:rPr>
        <w:tab/>
      </w:r>
      <w:r>
        <w:rPr/>
        <w:t>SI 2013/3134 reg.27; for definitions of these expressions see regs 4 and </w:t>
      </w:r>
      <w:r>
        <w:rPr>
          <w:spacing w:val="-5"/>
        </w:rPr>
        <w:t>5.</w:t>
      </w:r>
    </w:p>
    <w:p>
      <w:pPr>
        <w:pStyle w:val="BodyText"/>
        <w:spacing w:before="5"/>
      </w:pPr>
    </w:p>
    <w:p>
      <w:pPr>
        <w:pStyle w:val="BodyText"/>
        <w:tabs>
          <w:tab w:pos="705" w:val="left" w:leader="none"/>
        </w:tabs>
        <w:ind w:left="165"/>
      </w:pPr>
      <w:bookmarkStart w:name="_bookmark624" w:id="626"/>
      <w:bookmarkEnd w:id="626"/>
      <w:r>
        <w:rPr/>
      </w:r>
      <w:hyperlink w:history="true" w:anchor="_bookmark561">
        <w:r>
          <w:rPr>
            <w:color w:val="005DA1"/>
            <w:spacing w:val="-4"/>
            <w:position w:val="5"/>
            <w:sz w:val="14"/>
            <w:u w:val="single" w:color="005DA1"/>
          </w:rPr>
          <w:t>321</w:t>
        </w:r>
      </w:hyperlink>
      <w:r>
        <w:rPr>
          <w:spacing w:val="-4"/>
          <w:position w:val="5"/>
          <w:sz w:val="14"/>
        </w:rPr>
        <w:t>.</w:t>
      </w:r>
      <w:r>
        <w:rPr>
          <w:position w:val="5"/>
          <w:sz w:val="14"/>
        </w:rPr>
        <w:tab/>
      </w:r>
      <w:r>
        <w:rPr/>
        <w:t>SI 2013/3134 </w:t>
      </w:r>
      <w:r>
        <w:rPr>
          <w:spacing w:val="-2"/>
        </w:rPr>
        <w:t>reg.29.</w:t>
      </w:r>
    </w:p>
    <w:p>
      <w:pPr>
        <w:pStyle w:val="BodyText"/>
        <w:spacing w:before="5"/>
      </w:pPr>
    </w:p>
    <w:p>
      <w:pPr>
        <w:tabs>
          <w:tab w:pos="705" w:val="left" w:leader="none"/>
        </w:tabs>
        <w:spacing w:before="0"/>
        <w:ind w:left="165" w:right="0" w:firstLine="0"/>
        <w:jc w:val="left"/>
        <w:rPr>
          <w:sz w:val="20"/>
        </w:rPr>
      </w:pPr>
      <w:bookmarkStart w:name="_bookmark625" w:id="627"/>
      <w:bookmarkEnd w:id="627"/>
      <w:r>
        <w:rPr/>
      </w:r>
      <w:hyperlink w:history="true" w:anchor="_bookmark562">
        <w:r>
          <w:rPr>
            <w:color w:val="005DA1"/>
            <w:spacing w:val="-4"/>
            <w:position w:val="5"/>
            <w:sz w:val="14"/>
            <w:u w:val="single" w:color="005DA1"/>
          </w:rPr>
          <w:t>322</w:t>
        </w:r>
      </w:hyperlink>
      <w:r>
        <w:rPr>
          <w:spacing w:val="-4"/>
          <w:position w:val="5"/>
          <w:sz w:val="14"/>
        </w:rPr>
        <w:t>.</w:t>
      </w:r>
      <w:r>
        <w:rPr>
          <w:position w:val="5"/>
          <w:sz w:val="14"/>
        </w:rPr>
        <w:tab/>
      </w:r>
      <w:r>
        <w:rPr>
          <w:sz w:val="20"/>
        </w:rPr>
        <w:t>SI 2013/3134 </w:t>
      </w:r>
      <w:r>
        <w:rPr>
          <w:spacing w:val="-2"/>
          <w:sz w:val="20"/>
        </w:rPr>
        <w:t>reg.5.</w:t>
      </w:r>
    </w:p>
    <w:p>
      <w:pPr>
        <w:pStyle w:val="BodyText"/>
        <w:spacing w:before="9"/>
      </w:pPr>
    </w:p>
    <w:p>
      <w:pPr>
        <w:pStyle w:val="BodyText"/>
        <w:spacing w:line="235" w:lineRule="auto"/>
        <w:ind w:left="705" w:right="167" w:hanging="541"/>
        <w:jc w:val="both"/>
      </w:pPr>
      <w:bookmarkStart w:name="_bookmark626" w:id="628"/>
      <w:bookmarkEnd w:id="628"/>
      <w:r>
        <w:rPr/>
      </w:r>
      <w:hyperlink w:history="true" w:anchor="_bookmark563">
        <w:r>
          <w:rPr>
            <w:color w:val="005DA1"/>
            <w:position w:val="5"/>
            <w:sz w:val="14"/>
            <w:u w:val="single" w:color="005DA1"/>
          </w:rPr>
          <w:t>323</w:t>
        </w:r>
      </w:hyperlink>
      <w:r>
        <w:rPr>
          <w:position w:val="5"/>
          <w:sz w:val="14"/>
        </w:rPr>
        <w:t>.</w:t>
      </w:r>
      <w:r>
        <w:rPr>
          <w:spacing w:val="80"/>
          <w:w w:val="150"/>
          <w:position w:val="5"/>
          <w:sz w:val="14"/>
        </w:rPr>
        <w:t> </w:t>
      </w:r>
      <w:r>
        <w:rPr/>
        <w:t>This is also true of the Electronic Commerce (EC Directive) Regulations 2002 (SI </w:t>
      </w:r>
      <w:r>
        <w:rPr/>
        <w:t>2002/2013) (implementing Directive 2000/31/EC) which merely provide that in the case of, for example, a contract made on a website, “the order and the acknowledgement of receipt [of the order] will</w:t>
      </w:r>
      <w:r>
        <w:rPr>
          <w:spacing w:val="40"/>
        </w:rPr>
        <w:t> </w:t>
      </w:r>
      <w:r>
        <w:rPr/>
        <w:t>be deemed to be received when the parties to whom they are addressed are able to access them” (reg.11(2)(a)). The effect of acknowledgement of receipt of an order falls to be</w:t>
      </w:r>
      <w:r>
        <w:rPr>
          <w:spacing w:val="40"/>
        </w:rPr>
        <w:t> </w:t>
      </w:r>
      <w:r>
        <w:rPr/>
        <w:t>determined as a matter of common law: see the definition of acceptance in para.2-026 above. The</w:t>
      </w:r>
      <w:r>
        <w:rPr>
          <w:spacing w:val="34"/>
        </w:rPr>
        <w:t> </w:t>
      </w:r>
      <w:r>
        <w:rPr/>
        <w:t>provision</w:t>
      </w:r>
      <w:r>
        <w:rPr>
          <w:spacing w:val="35"/>
        </w:rPr>
        <w:t> </w:t>
      </w:r>
      <w:r>
        <w:rPr/>
        <w:t>of</w:t>
      </w:r>
      <w:r>
        <w:rPr>
          <w:spacing w:val="35"/>
        </w:rPr>
        <w:t> </w:t>
      </w:r>
      <w:r>
        <w:rPr/>
        <w:t>reg.11(2)(a)</w:t>
      </w:r>
      <w:r>
        <w:rPr>
          <w:spacing w:val="35"/>
        </w:rPr>
        <w:t> </w:t>
      </w:r>
      <w:r>
        <w:rPr/>
        <w:t>quoted</w:t>
      </w:r>
      <w:r>
        <w:rPr>
          <w:spacing w:val="35"/>
        </w:rPr>
        <w:t> </w:t>
      </w:r>
      <w:r>
        <w:rPr/>
        <w:t>in</w:t>
      </w:r>
      <w:r>
        <w:rPr>
          <w:spacing w:val="35"/>
        </w:rPr>
        <w:t> </w:t>
      </w:r>
      <w:r>
        <w:rPr/>
        <w:t>this</w:t>
      </w:r>
      <w:r>
        <w:rPr>
          <w:spacing w:val="35"/>
        </w:rPr>
        <w:t> </w:t>
      </w:r>
      <w:r>
        <w:rPr/>
        <w:t>note</w:t>
      </w:r>
      <w:r>
        <w:rPr>
          <w:spacing w:val="35"/>
        </w:rPr>
        <w:t> </w:t>
      </w:r>
      <w:r>
        <w:rPr/>
        <w:t>does</w:t>
      </w:r>
      <w:r>
        <w:rPr>
          <w:spacing w:val="35"/>
        </w:rPr>
        <w:t> </w:t>
      </w:r>
      <w:r>
        <w:rPr>
          <w:rFonts w:ascii="Arial" w:hAnsi="Arial"/>
          <w:i/>
        </w:rPr>
        <w:t>not</w:t>
      </w:r>
      <w:r>
        <w:rPr/>
        <w:t>,</w:t>
      </w:r>
      <w:r>
        <w:rPr>
          <w:spacing w:val="35"/>
        </w:rPr>
        <w:t> </w:t>
      </w:r>
      <w:r>
        <w:rPr/>
        <w:t>in</w:t>
      </w:r>
      <w:r>
        <w:rPr>
          <w:spacing w:val="35"/>
        </w:rPr>
        <w:t> </w:t>
      </w:r>
      <w:r>
        <w:rPr/>
        <w:t>any</w:t>
      </w:r>
      <w:r>
        <w:rPr>
          <w:spacing w:val="35"/>
        </w:rPr>
        <w:t> </w:t>
      </w:r>
      <w:r>
        <w:rPr/>
        <w:t>event</w:t>
      </w:r>
      <w:r>
        <w:rPr>
          <w:spacing w:val="35"/>
        </w:rPr>
        <w:t> </w:t>
      </w:r>
      <w:r>
        <w:rPr/>
        <w:t>apply</w:t>
      </w:r>
      <w:r>
        <w:rPr>
          <w:spacing w:val="35"/>
        </w:rPr>
        <w:t> </w:t>
      </w:r>
      <w:r>
        <w:rPr/>
        <w:t>to</w:t>
      </w:r>
      <w:r>
        <w:rPr>
          <w:spacing w:val="35"/>
        </w:rPr>
        <w:t> </w:t>
      </w:r>
      <w:r>
        <w:rPr>
          <w:spacing w:val="-2"/>
        </w:rPr>
        <w:t>“contracts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705"/>
      </w:pPr>
      <w:r>
        <w:rPr/>
        <w:t>concluded</w:t>
      </w:r>
      <w:r>
        <w:rPr>
          <w:spacing w:val="40"/>
        </w:rPr>
        <w:t>  </w:t>
      </w:r>
      <w:r>
        <w:rPr/>
        <w:t>exclusively</w:t>
      </w:r>
      <w:r>
        <w:rPr>
          <w:spacing w:val="40"/>
        </w:rPr>
        <w:t>  </w:t>
      </w:r>
      <w:r>
        <w:rPr/>
        <w:t>by</w:t>
      </w:r>
      <w:r>
        <w:rPr>
          <w:spacing w:val="40"/>
        </w:rPr>
        <w:t>  </w:t>
      </w:r>
      <w:r>
        <w:rPr/>
        <w:t>exchange</w:t>
      </w:r>
      <w:r>
        <w:rPr>
          <w:spacing w:val="40"/>
        </w:rPr>
        <w:t>  </w:t>
      </w:r>
      <w:r>
        <w:rPr/>
        <w:t>of</w:t>
      </w:r>
      <w:r>
        <w:rPr>
          <w:spacing w:val="40"/>
        </w:rPr>
        <w:t>  </w:t>
      </w:r>
      <w:r>
        <w:rPr/>
        <w:t>electronic</w:t>
      </w:r>
      <w:r>
        <w:rPr>
          <w:spacing w:val="40"/>
        </w:rPr>
        <w:t>  </w:t>
      </w:r>
      <w:r>
        <w:rPr/>
        <w:t>mail</w:t>
      </w:r>
      <w:r>
        <w:rPr>
          <w:spacing w:val="40"/>
        </w:rPr>
        <w:t>  </w:t>
      </w:r>
      <w:r>
        <w:rPr/>
        <w:t>or</w:t>
      </w:r>
      <w:r>
        <w:rPr>
          <w:spacing w:val="40"/>
        </w:rPr>
        <w:t>  </w:t>
      </w:r>
      <w:r>
        <w:rPr/>
        <w:t>by</w:t>
      </w:r>
      <w:r>
        <w:rPr>
          <w:spacing w:val="40"/>
        </w:rPr>
        <w:t>  </w:t>
      </w:r>
      <w:r>
        <w:rPr/>
        <w:t>equivalent</w:t>
      </w:r>
      <w:r>
        <w:rPr>
          <w:spacing w:val="40"/>
        </w:rPr>
        <w:t>  </w:t>
      </w:r>
      <w:r>
        <w:rPr/>
        <w:t>individual communications”: reg.11(3).</w:t>
      </w:r>
    </w:p>
    <w:p>
      <w:pPr>
        <w:pStyle w:val="BodyText"/>
        <w:spacing w:before="6"/>
      </w:pPr>
    </w:p>
    <w:p>
      <w:pPr>
        <w:pStyle w:val="BodyText"/>
        <w:tabs>
          <w:tab w:pos="705" w:val="left" w:leader="none"/>
        </w:tabs>
        <w:ind w:left="165"/>
      </w:pPr>
      <w:bookmarkStart w:name="_bookmark627" w:id="629"/>
      <w:bookmarkEnd w:id="629"/>
      <w:r>
        <w:rPr/>
      </w:r>
      <w:hyperlink w:history="true" w:anchor="_bookmark564">
        <w:r>
          <w:rPr>
            <w:color w:val="005DA1"/>
            <w:spacing w:val="-4"/>
            <w:position w:val="5"/>
            <w:sz w:val="14"/>
            <w:u w:val="single" w:color="005DA1"/>
          </w:rPr>
          <w:t>324</w:t>
        </w:r>
      </w:hyperlink>
      <w:r>
        <w:rPr>
          <w:spacing w:val="-4"/>
          <w:position w:val="5"/>
          <w:sz w:val="14"/>
        </w:rPr>
        <w:t>.</w:t>
      </w:r>
      <w:r>
        <w:rPr>
          <w:position w:val="5"/>
          <w:sz w:val="14"/>
        </w:rPr>
        <w:tab/>
      </w:r>
      <w:r>
        <w:rPr/>
        <w:t>SI 2013/3134 reg.29(1); for limits of the right to cancel, see </w:t>
      </w:r>
      <w:r>
        <w:rPr>
          <w:spacing w:val="-2"/>
        </w:rPr>
        <w:t>reg.28.</w:t>
      </w:r>
    </w:p>
    <w:p>
      <w:pPr>
        <w:pStyle w:val="BodyText"/>
        <w:spacing w:before="5"/>
      </w:pPr>
    </w:p>
    <w:p>
      <w:pPr>
        <w:pStyle w:val="BodyText"/>
        <w:tabs>
          <w:tab w:pos="705" w:val="left" w:leader="none"/>
        </w:tabs>
        <w:ind w:left="165"/>
      </w:pPr>
      <w:bookmarkStart w:name="_bookmark628" w:id="630"/>
      <w:bookmarkEnd w:id="630"/>
      <w:r>
        <w:rPr/>
      </w:r>
      <w:hyperlink w:history="true" w:anchor="_bookmark565">
        <w:r>
          <w:rPr>
            <w:color w:val="005DA1"/>
            <w:spacing w:val="-4"/>
            <w:position w:val="5"/>
            <w:sz w:val="14"/>
            <w:u w:val="single" w:color="005DA1"/>
          </w:rPr>
          <w:t>325</w:t>
        </w:r>
      </w:hyperlink>
      <w:r>
        <w:rPr>
          <w:spacing w:val="-4"/>
          <w:position w:val="5"/>
          <w:sz w:val="14"/>
        </w:rPr>
        <w:t>.</w:t>
      </w:r>
      <w:r>
        <w:rPr>
          <w:position w:val="5"/>
          <w:sz w:val="14"/>
        </w:rPr>
        <w:tab/>
      </w:r>
      <w:r>
        <w:rPr/>
        <w:t>SI 2013/3134 </w:t>
      </w:r>
      <w:r>
        <w:rPr>
          <w:spacing w:val="-2"/>
        </w:rPr>
        <w:t>reg.29(2).</w:t>
      </w:r>
    </w:p>
    <w:p>
      <w:pPr>
        <w:pStyle w:val="BodyText"/>
        <w:spacing w:before="5"/>
      </w:pPr>
    </w:p>
    <w:p>
      <w:pPr>
        <w:pStyle w:val="BodyText"/>
        <w:tabs>
          <w:tab w:pos="705" w:val="left" w:leader="none"/>
        </w:tabs>
        <w:ind w:left="165"/>
      </w:pPr>
      <w:bookmarkStart w:name="_bookmark629" w:id="631"/>
      <w:bookmarkEnd w:id="631"/>
      <w:r>
        <w:rPr/>
      </w:r>
      <w:hyperlink w:history="true" w:anchor="_bookmark566">
        <w:r>
          <w:rPr>
            <w:color w:val="005DA1"/>
            <w:spacing w:val="-4"/>
            <w:position w:val="5"/>
            <w:sz w:val="14"/>
            <w:u w:val="single" w:color="005DA1"/>
          </w:rPr>
          <w:t>326</w:t>
        </w:r>
      </w:hyperlink>
      <w:r>
        <w:rPr>
          <w:spacing w:val="-4"/>
          <w:position w:val="5"/>
          <w:sz w:val="14"/>
        </w:rPr>
        <w:t>.</w:t>
      </w:r>
      <w:r>
        <w:rPr>
          <w:position w:val="5"/>
          <w:sz w:val="14"/>
        </w:rPr>
        <w:tab/>
      </w:r>
      <w:r>
        <w:rPr/>
        <w:t>SI 2013/3134 </w:t>
      </w:r>
      <w:r>
        <w:rPr>
          <w:spacing w:val="-2"/>
        </w:rPr>
        <w:t>reg.30(3).</w:t>
      </w:r>
    </w:p>
    <w:p>
      <w:pPr>
        <w:pStyle w:val="BodyText"/>
        <w:spacing w:before="8"/>
      </w:pPr>
    </w:p>
    <w:p>
      <w:pPr>
        <w:pStyle w:val="BodyText"/>
        <w:spacing w:line="235" w:lineRule="auto" w:before="1"/>
        <w:ind w:left="705" w:right="167" w:hanging="541"/>
        <w:jc w:val="both"/>
      </w:pPr>
      <w:bookmarkStart w:name="_bookmark630" w:id="632"/>
      <w:bookmarkEnd w:id="632"/>
      <w:r>
        <w:rPr/>
      </w:r>
      <w:hyperlink w:history="true" w:anchor="_bookmark567">
        <w:r>
          <w:rPr>
            <w:color w:val="005DA1"/>
            <w:position w:val="5"/>
            <w:sz w:val="14"/>
            <w:u w:val="single" w:color="005DA1"/>
          </w:rPr>
          <w:t>327</w:t>
        </w:r>
      </w:hyperlink>
      <w:r>
        <w:rPr>
          <w:position w:val="5"/>
          <w:sz w:val="14"/>
        </w:rPr>
        <w:t>.</w:t>
      </w:r>
      <w:r>
        <w:rPr>
          <w:spacing w:val="80"/>
          <w:position w:val="5"/>
          <w:sz w:val="14"/>
        </w:rPr>
        <w:t> </w:t>
      </w:r>
      <w:r>
        <w:rPr/>
        <w:t>SI 2013/3134 reg.28(1)(a). Other transactions to which Pt 3 does not apply are listed </w:t>
      </w:r>
      <w:r>
        <w:rPr/>
        <w:t>in reg.28(1)(b)</w:t>
      </w:r>
      <w:r>
        <w:rPr>
          <w:spacing w:val="-1"/>
        </w:rPr>
        <w:t> </w:t>
      </w:r>
      <w:r>
        <w:rPr/>
        <w:t>to</w:t>
      </w:r>
      <w:r>
        <w:rPr>
          <w:spacing w:val="-1"/>
        </w:rPr>
        <w:t> </w:t>
      </w:r>
      <w:r>
        <w:rPr/>
        <w:t>(h);</w:t>
      </w:r>
      <w:r>
        <w:rPr>
          <w:spacing w:val="-1"/>
        </w:rPr>
        <w:t> </w:t>
      </w:r>
      <w:r>
        <w:rPr/>
        <w:t>the</w:t>
      </w:r>
      <w:r>
        <w:rPr>
          <w:spacing w:val="-1"/>
        </w:rPr>
        <w:t> </w:t>
      </w:r>
      <w:r>
        <w:rPr/>
        <w:t>operation</w:t>
      </w:r>
      <w:r>
        <w:rPr>
          <w:spacing w:val="-1"/>
        </w:rPr>
        <w:t> </w:t>
      </w:r>
      <w:r>
        <w:rPr/>
        <w:t>of</w:t>
      </w:r>
      <w:r>
        <w:rPr>
          <w:spacing w:val="-1"/>
        </w:rPr>
        <w:t> </w:t>
      </w:r>
      <w:r>
        <w:rPr/>
        <w:t>Pt</w:t>
      </w:r>
      <w:r>
        <w:rPr>
          <w:spacing w:val="-1"/>
        </w:rPr>
        <w:t> </w:t>
      </w:r>
      <w:r>
        <w:rPr/>
        <w:t>3</w:t>
      </w:r>
      <w:r>
        <w:rPr>
          <w:spacing w:val="-1"/>
        </w:rPr>
        <w:t> </w:t>
      </w:r>
      <w:r>
        <w:rPr/>
        <w:t>is</w:t>
      </w:r>
      <w:r>
        <w:rPr>
          <w:spacing w:val="-1"/>
        </w:rPr>
        <w:t> </w:t>
      </w:r>
      <w:r>
        <w:rPr/>
        <w:t>further</w:t>
      </w:r>
      <w:r>
        <w:rPr>
          <w:spacing w:val="-1"/>
        </w:rPr>
        <w:t> </w:t>
      </w:r>
      <w:r>
        <w:rPr/>
        <w:t>restricted</w:t>
      </w:r>
      <w:r>
        <w:rPr>
          <w:spacing w:val="-1"/>
        </w:rPr>
        <w:t> </w:t>
      </w:r>
      <w:r>
        <w:rPr/>
        <w:t>by</w:t>
      </w:r>
      <w:r>
        <w:rPr>
          <w:spacing w:val="-1"/>
        </w:rPr>
        <w:t> </w:t>
      </w:r>
      <w:r>
        <w:rPr/>
        <w:t>reg.28(2)</w:t>
      </w:r>
      <w:r>
        <w:rPr>
          <w:spacing w:val="-1"/>
        </w:rPr>
        <w:t> </w:t>
      </w:r>
      <w:r>
        <w:rPr/>
        <w:t>and</w:t>
      </w:r>
      <w:r>
        <w:rPr>
          <w:spacing w:val="-1"/>
        </w:rPr>
        <w:t> </w:t>
      </w:r>
      <w:r>
        <w:rPr/>
        <w:t>(3);</w:t>
      </w:r>
      <w:r>
        <w:rPr>
          <w:spacing w:val="-1"/>
        </w:rPr>
        <w:t> </w:t>
      </w:r>
      <w:r>
        <w:rPr/>
        <w:t>and</w:t>
      </w:r>
      <w:r>
        <w:rPr>
          <w:spacing w:val="-1"/>
        </w:rPr>
        <w:t> </w:t>
      </w:r>
      <w:r>
        <w:rPr/>
        <w:t>by</w:t>
      </w:r>
      <w:r>
        <w:rPr>
          <w:spacing w:val="-1"/>
        </w:rPr>
        <w:t> </w:t>
      </w:r>
      <w:r>
        <w:rPr/>
        <w:t>the</w:t>
      </w:r>
      <w:r>
        <w:rPr>
          <w:spacing w:val="-1"/>
        </w:rPr>
        <w:t> </w:t>
      </w:r>
      <w:r>
        <w:rPr/>
        <w:t>fact that the Regulations do not apply to a contract “to the extent that it is for” transactions of the kinds listed in reg.6(1) and 6(2), subject to reg.6(3).</w:t>
      </w:r>
    </w:p>
    <w:p>
      <w:pPr>
        <w:pStyle w:val="BodyText"/>
        <w:spacing w:before="4"/>
      </w:pPr>
    </w:p>
    <w:p>
      <w:pPr>
        <w:tabs>
          <w:tab w:pos="705" w:val="left" w:leader="none"/>
        </w:tabs>
        <w:spacing w:before="0"/>
        <w:ind w:left="165" w:right="0" w:firstLine="0"/>
        <w:jc w:val="left"/>
        <w:rPr>
          <w:sz w:val="20"/>
        </w:rPr>
      </w:pPr>
      <w:bookmarkStart w:name="_bookmark631" w:id="633"/>
      <w:bookmarkEnd w:id="633"/>
      <w:r>
        <w:rPr/>
      </w:r>
      <w:hyperlink w:history="true" w:anchor="_bookmark568">
        <w:r>
          <w:rPr>
            <w:color w:val="005DA1"/>
            <w:spacing w:val="-4"/>
            <w:position w:val="5"/>
            <w:sz w:val="14"/>
            <w:u w:val="single" w:color="005DA1"/>
          </w:rPr>
          <w:t>328</w:t>
        </w:r>
      </w:hyperlink>
      <w:r>
        <w:rPr>
          <w:spacing w:val="-4"/>
          <w:position w:val="5"/>
          <w:sz w:val="14"/>
        </w:rPr>
        <w:t>.</w:t>
      </w:r>
      <w:r>
        <w:rPr>
          <w:position w:val="5"/>
          <w:sz w:val="14"/>
        </w:rPr>
        <w:tab/>
      </w:r>
      <w:r>
        <w:rPr>
          <w:sz w:val="20"/>
        </w:rPr>
        <w:t>SI 2013/3134 </w:t>
      </w:r>
      <w:r>
        <w:rPr>
          <w:spacing w:val="-2"/>
          <w:sz w:val="20"/>
        </w:rPr>
        <w:t>reg.5.</w:t>
      </w:r>
    </w:p>
    <w:p>
      <w:pPr>
        <w:pStyle w:val="BodyText"/>
        <w:spacing w:before="9"/>
      </w:pPr>
    </w:p>
    <w:p>
      <w:pPr>
        <w:pStyle w:val="BodyText"/>
        <w:tabs>
          <w:tab w:pos="705" w:val="left" w:leader="none"/>
        </w:tabs>
        <w:spacing w:line="235" w:lineRule="auto"/>
        <w:ind w:left="705" w:right="168" w:hanging="541"/>
      </w:pPr>
      <w:bookmarkStart w:name="_bookmark632" w:id="634"/>
      <w:bookmarkEnd w:id="634"/>
      <w:r>
        <w:rPr/>
      </w:r>
      <w:hyperlink w:history="true" w:anchor="_bookmark569">
        <w:r>
          <w:rPr>
            <w:color w:val="005DA1"/>
            <w:spacing w:val="-4"/>
            <w:position w:val="5"/>
            <w:sz w:val="14"/>
            <w:u w:val="single" w:color="005DA1"/>
          </w:rPr>
          <w:t>329</w:t>
        </w:r>
      </w:hyperlink>
      <w:r>
        <w:rPr>
          <w:spacing w:val="-4"/>
          <w:position w:val="5"/>
          <w:sz w:val="14"/>
        </w:rPr>
        <w:t>.</w:t>
      </w:r>
      <w:r>
        <w:rPr>
          <w:position w:val="5"/>
          <w:sz w:val="14"/>
        </w:rPr>
        <w:tab/>
      </w:r>
      <w:r>
        <w:rPr/>
        <w:t>SI</w:t>
      </w:r>
      <w:r>
        <w:rPr>
          <w:spacing w:val="40"/>
        </w:rPr>
        <w:t> </w:t>
      </w:r>
      <w:r>
        <w:rPr/>
        <w:t>2013/3134</w:t>
      </w:r>
      <w:r>
        <w:rPr>
          <w:spacing w:val="40"/>
        </w:rPr>
        <w:t> </w:t>
      </w:r>
      <w:r>
        <w:rPr/>
        <w:t>reg.33(1)(a);</w:t>
      </w:r>
      <w:r>
        <w:rPr>
          <w:spacing w:val="40"/>
        </w:rPr>
        <w:t> </w:t>
      </w:r>
      <w:r>
        <w:rPr/>
        <w:t>“ancillary</w:t>
      </w:r>
      <w:r>
        <w:rPr>
          <w:spacing w:val="40"/>
        </w:rPr>
        <w:t> </w:t>
      </w:r>
      <w:r>
        <w:rPr/>
        <w:t>contracts”</w:t>
      </w:r>
      <w:r>
        <w:rPr>
          <w:spacing w:val="40"/>
        </w:rPr>
        <w:t> </w:t>
      </w:r>
      <w:r>
        <w:rPr/>
        <w:t>(as</w:t>
      </w:r>
      <w:r>
        <w:rPr>
          <w:spacing w:val="40"/>
        </w:rPr>
        <w:t> </w:t>
      </w:r>
      <w:r>
        <w:rPr/>
        <w:t>defined</w:t>
      </w:r>
      <w:r>
        <w:rPr>
          <w:spacing w:val="40"/>
        </w:rPr>
        <w:t> </w:t>
      </w:r>
      <w:r>
        <w:rPr/>
        <w:t>in</w:t>
      </w:r>
      <w:r>
        <w:rPr>
          <w:spacing w:val="40"/>
        </w:rPr>
        <w:t> </w:t>
      </w:r>
      <w:r>
        <w:rPr/>
        <w:t>reg.38(3))</w:t>
      </w:r>
      <w:r>
        <w:rPr>
          <w:spacing w:val="40"/>
        </w:rPr>
        <w:t> </w:t>
      </w:r>
      <w:r>
        <w:rPr/>
        <w:t>are</w:t>
      </w:r>
      <w:r>
        <w:rPr>
          <w:spacing w:val="40"/>
        </w:rPr>
        <w:t> </w:t>
      </w:r>
      <w:r>
        <w:rPr/>
        <w:t>“automatically </w:t>
      </w:r>
      <w:r>
        <w:rPr>
          <w:spacing w:val="-2"/>
        </w:rPr>
        <w:t>terminated”.</w:t>
      </w:r>
    </w:p>
    <w:p>
      <w:pPr>
        <w:pStyle w:val="BodyText"/>
        <w:spacing w:before="5"/>
      </w:pPr>
    </w:p>
    <w:p>
      <w:pPr>
        <w:pStyle w:val="BodyText"/>
        <w:tabs>
          <w:tab w:pos="705" w:val="left" w:leader="none"/>
        </w:tabs>
        <w:spacing w:before="1"/>
        <w:ind w:left="165"/>
      </w:pPr>
      <w:bookmarkStart w:name="_bookmark633" w:id="635"/>
      <w:bookmarkEnd w:id="635"/>
      <w:r>
        <w:rPr/>
      </w:r>
      <w:hyperlink w:history="true" w:anchor="_bookmark570">
        <w:r>
          <w:rPr>
            <w:color w:val="005DA1"/>
            <w:spacing w:val="-4"/>
            <w:position w:val="5"/>
            <w:sz w:val="14"/>
            <w:u w:val="single" w:color="005DA1"/>
          </w:rPr>
          <w:t>330</w:t>
        </w:r>
      </w:hyperlink>
      <w:r>
        <w:rPr>
          <w:spacing w:val="-4"/>
          <w:position w:val="5"/>
          <w:sz w:val="14"/>
        </w:rPr>
        <w:t>.</w:t>
      </w:r>
      <w:r>
        <w:rPr>
          <w:position w:val="5"/>
          <w:sz w:val="14"/>
        </w:rPr>
        <w:tab/>
      </w:r>
      <w:r>
        <w:rPr/>
        <w:t>SI 2013/3134 regs 33(1)(b) and 34-</w:t>
      </w:r>
      <w:r>
        <w:rPr>
          <w:spacing w:val="-5"/>
        </w:rPr>
        <w:t>36.</w:t>
      </w:r>
    </w:p>
    <w:p>
      <w:pPr>
        <w:pStyle w:val="BodyText"/>
        <w:spacing w:before="8"/>
      </w:pPr>
    </w:p>
    <w:p>
      <w:pPr>
        <w:pStyle w:val="BodyText"/>
        <w:tabs>
          <w:tab w:pos="705" w:val="left" w:leader="none"/>
        </w:tabs>
        <w:spacing w:line="235" w:lineRule="auto"/>
        <w:ind w:left="705" w:right="168" w:hanging="541"/>
      </w:pPr>
      <w:bookmarkStart w:name="_bookmark634" w:id="636"/>
      <w:bookmarkEnd w:id="636"/>
      <w:r>
        <w:rPr/>
      </w:r>
      <w:hyperlink w:history="true" w:anchor="_bookmark571">
        <w:r>
          <w:rPr>
            <w:color w:val="005DA1"/>
            <w:spacing w:val="-4"/>
            <w:position w:val="5"/>
            <w:sz w:val="14"/>
            <w:u w:val="single" w:color="005DA1"/>
          </w:rPr>
          <w:t>331</w:t>
        </w:r>
      </w:hyperlink>
      <w:r>
        <w:rPr>
          <w:spacing w:val="-4"/>
          <w:position w:val="5"/>
          <w:sz w:val="14"/>
        </w:rPr>
        <w:t>.</w:t>
      </w:r>
      <w:r>
        <w:rPr>
          <w:position w:val="5"/>
          <w:sz w:val="14"/>
        </w:rPr>
        <w:tab/>
      </w:r>
      <w:r>
        <w:rPr/>
        <w:t>Here, it is interesting to note that regs 33, 34 and 38 of the 2013 Regulations treat “withdrawal” of an offer (under Pt 3) and “cancellation” of a contract as distinct concepts.</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3. - The Acceptance</w:t>
      </w:r>
    </w:p>
    <w:p>
      <w:pPr>
        <w:pStyle w:val="ListParagraph"/>
        <w:numPr>
          <w:ilvl w:val="0"/>
          <w:numId w:val="1"/>
        </w:numPr>
        <w:tabs>
          <w:tab w:pos="2964" w:val="left" w:leader="none"/>
        </w:tabs>
        <w:spacing w:line="240" w:lineRule="auto" w:before="3" w:after="0"/>
        <w:ind w:left="2964" w:right="0" w:hanging="373"/>
        <w:jc w:val="left"/>
        <w:rPr>
          <w:b/>
          <w:sz w:val="24"/>
        </w:rPr>
      </w:pPr>
      <w:r>
        <w:rPr>
          <w:b/>
          <w:sz w:val="24"/>
        </w:rPr>
        <w:t>- Prescribed Mode of </w:t>
      </w:r>
      <w:r>
        <w:rPr>
          <w:b/>
          <w:spacing w:val="-2"/>
          <w:sz w:val="24"/>
        </w:rPr>
        <w:t>Acceptance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Method must generally be complied </w:t>
      </w:r>
      <w:r>
        <w:rPr>
          <w:rFonts w:ascii="Arial"/>
          <w:b/>
          <w:spacing w:val="-4"/>
          <w:sz w:val="18"/>
        </w:rPr>
        <w:t>with</w:t>
      </w:r>
    </w:p>
    <w:p>
      <w:pPr>
        <w:pStyle w:val="BodyText"/>
        <w:spacing w:before="41"/>
        <w:rPr>
          <w:rFonts w:ascii="Arial"/>
          <w:b/>
          <w:sz w:val="18"/>
        </w:rPr>
      </w:pPr>
    </w:p>
    <w:p>
      <w:pPr>
        <w:pStyle w:val="Heading2"/>
        <w:spacing w:before="1"/>
      </w:pPr>
      <w:r>
        <w:rPr/>
        <w:t>2-</w:t>
      </w:r>
      <w:r>
        <w:rPr>
          <w:spacing w:val="-5"/>
        </w:rPr>
        <w:t>063</w:t>
      </w:r>
    </w:p>
    <w:p>
      <w:pPr>
        <w:pStyle w:val="BodyText"/>
        <w:spacing w:line="235" w:lineRule="auto" w:before="202"/>
        <w:ind w:left="164" w:right="167"/>
        <w:jc w:val="both"/>
      </w:pPr>
      <w:bookmarkStart w:name="_bookmark635" w:id="637"/>
      <w:bookmarkEnd w:id="637"/>
      <w:r>
        <w:rPr/>
      </w:r>
      <w:bookmarkStart w:name="_bookmark636" w:id="638"/>
      <w:bookmarkEnd w:id="638"/>
      <w:r>
        <w:rPr/>
      </w:r>
      <w:r>
        <w:rPr/>
        <w:t>An offer which requires the acceptance to be expressed or communicated in a specified way </w:t>
      </w:r>
      <w:r>
        <w:rPr>
          <w:color w:val="005DA1"/>
          <w:u w:val="single" w:color="005DA1"/>
          <w:vertAlign w:val="superscript"/>
        </w:rPr>
        <w:t>332</w:t>
      </w:r>
      <w:r>
        <w:rPr>
          <w:color w:val="005DA1"/>
          <w:vertAlign w:val="baseline"/>
        </w:rPr>
        <w:t> </w:t>
      </w:r>
      <w:r>
        <w:rPr>
          <w:vertAlign w:val="baseline"/>
        </w:rPr>
        <w:t>can </w:t>
      </w:r>
      <w:bookmarkStart w:name="_bookmark637" w:id="639"/>
      <w:bookmarkEnd w:id="639"/>
      <w:r>
        <w:rPr>
          <w:vertAlign w:val="baseline"/>
        </w:rPr>
        <w:t>generally</w:t>
      </w:r>
      <w:r>
        <w:rPr>
          <w:vertAlign w:val="baseline"/>
        </w:rPr>
        <w:t> </w:t>
      </w:r>
      <w:r>
        <w:rPr>
          <w:color w:val="005DA1"/>
          <w:u w:val="single" w:color="005DA1"/>
          <w:vertAlign w:val="superscript"/>
        </w:rPr>
        <w:t>333</w:t>
      </w:r>
      <w:r>
        <w:rPr>
          <w:color w:val="005DA1"/>
          <w:vertAlign w:val="baseline"/>
        </w:rPr>
        <w:t> </w:t>
      </w:r>
      <w:r>
        <w:rPr>
          <w:vertAlign w:val="baseline"/>
        </w:rPr>
        <w:t>be accepted only in that way. Thus, if the offeror asks for the acceptance to be sent to </w:t>
      </w:r>
      <w:r>
        <w:rPr>
          <w:vertAlign w:val="baseline"/>
        </w:rPr>
        <w:t>a </w:t>
      </w:r>
      <w:bookmarkStart w:name="_bookmark638" w:id="640"/>
      <w:bookmarkEnd w:id="640"/>
      <w:r>
        <w:rPr>
          <w:vertAlign w:val="baseline"/>
        </w:rPr>
        <w:t>particular</w:t>
      </w:r>
      <w:r>
        <w:rPr>
          <w:spacing w:val="-3"/>
          <w:vertAlign w:val="baseline"/>
        </w:rPr>
        <w:t> </w:t>
      </w:r>
      <w:r>
        <w:rPr>
          <w:vertAlign w:val="baseline"/>
        </w:rPr>
        <w:t>place,</w:t>
      </w:r>
      <w:r>
        <w:rPr>
          <w:spacing w:val="-3"/>
          <w:vertAlign w:val="baseline"/>
        </w:rPr>
        <w:t> </w:t>
      </w:r>
      <w:r>
        <w:rPr>
          <w:vertAlign w:val="baseline"/>
        </w:rPr>
        <w:t>one</w:t>
      </w:r>
      <w:r>
        <w:rPr>
          <w:spacing w:val="-3"/>
          <w:vertAlign w:val="baseline"/>
        </w:rPr>
        <w:t> </w:t>
      </w:r>
      <w:r>
        <w:rPr>
          <w:vertAlign w:val="baseline"/>
        </w:rPr>
        <w:t>sent</w:t>
      </w:r>
      <w:r>
        <w:rPr>
          <w:spacing w:val="-3"/>
          <w:vertAlign w:val="baseline"/>
        </w:rPr>
        <w:t> </w:t>
      </w:r>
      <w:r>
        <w:rPr>
          <w:vertAlign w:val="baseline"/>
        </w:rPr>
        <w:t>elsewhere</w:t>
      </w:r>
      <w:r>
        <w:rPr>
          <w:spacing w:val="-3"/>
          <w:vertAlign w:val="baseline"/>
        </w:rPr>
        <w:t> </w:t>
      </w:r>
      <w:r>
        <w:rPr>
          <w:vertAlign w:val="baseline"/>
        </w:rPr>
        <w:t>will</w:t>
      </w:r>
      <w:r>
        <w:rPr>
          <w:spacing w:val="-3"/>
          <w:vertAlign w:val="baseline"/>
        </w:rPr>
        <w:t> </w:t>
      </w:r>
      <w:r>
        <w:rPr>
          <w:vertAlign w:val="baseline"/>
        </w:rPr>
        <w:t>not</w:t>
      </w:r>
      <w:r>
        <w:rPr>
          <w:spacing w:val="-3"/>
          <w:vertAlign w:val="baseline"/>
        </w:rPr>
        <w:t> </w:t>
      </w:r>
      <w:r>
        <w:rPr>
          <w:vertAlign w:val="baseline"/>
        </w:rPr>
        <w:t>bind</w:t>
      </w:r>
      <w:r>
        <w:rPr>
          <w:spacing w:val="-3"/>
          <w:vertAlign w:val="baseline"/>
        </w:rPr>
        <w:t> </w:t>
      </w:r>
      <w:r>
        <w:rPr>
          <w:vertAlign w:val="baseline"/>
        </w:rPr>
        <w:t>him</w:t>
      </w:r>
      <w:r>
        <w:rPr>
          <w:spacing w:val="-4"/>
          <w:vertAlign w:val="baseline"/>
        </w:rPr>
        <w:t> </w:t>
      </w:r>
      <w:r>
        <w:rPr>
          <w:color w:val="005DA1"/>
          <w:u w:val="single" w:color="005DA1"/>
          <w:vertAlign w:val="superscript"/>
        </w:rPr>
        <w:t>334</w:t>
      </w:r>
      <w:r>
        <w:rPr>
          <w:vertAlign w:val="baseline"/>
        </w:rPr>
        <w:t>;</w:t>
      </w:r>
      <w:r>
        <w:rPr>
          <w:spacing w:val="-3"/>
          <w:vertAlign w:val="baseline"/>
        </w:rPr>
        <w:t> </w:t>
      </w:r>
      <w:r>
        <w:rPr>
          <w:vertAlign w:val="baseline"/>
        </w:rPr>
        <w:t>nor</w:t>
      </w:r>
      <w:r>
        <w:rPr>
          <w:spacing w:val="-3"/>
          <w:vertAlign w:val="baseline"/>
        </w:rPr>
        <w:t> </w:t>
      </w:r>
      <w:r>
        <w:rPr>
          <w:vertAlign w:val="baseline"/>
        </w:rPr>
        <w:t>will</w:t>
      </w:r>
      <w:r>
        <w:rPr>
          <w:spacing w:val="-3"/>
          <w:vertAlign w:val="baseline"/>
        </w:rPr>
        <w:t> </w:t>
      </w:r>
      <w:r>
        <w:rPr>
          <w:vertAlign w:val="baseline"/>
        </w:rPr>
        <w:t>he</w:t>
      </w:r>
      <w:r>
        <w:rPr>
          <w:spacing w:val="-3"/>
          <w:vertAlign w:val="baseline"/>
        </w:rPr>
        <w:t> </w:t>
      </w:r>
      <w:r>
        <w:rPr>
          <w:vertAlign w:val="baseline"/>
        </w:rPr>
        <w:t>be</w:t>
      </w:r>
      <w:r>
        <w:rPr>
          <w:spacing w:val="-3"/>
          <w:vertAlign w:val="baseline"/>
        </w:rPr>
        <w:t> </w:t>
      </w:r>
      <w:r>
        <w:rPr>
          <w:vertAlign w:val="baseline"/>
        </w:rPr>
        <w:t>bound</w:t>
      </w:r>
      <w:r>
        <w:rPr>
          <w:spacing w:val="-3"/>
          <w:vertAlign w:val="baseline"/>
        </w:rPr>
        <w:t> </w:t>
      </w:r>
      <w:r>
        <w:rPr>
          <w:vertAlign w:val="baseline"/>
        </w:rPr>
        <w:t>by</w:t>
      </w:r>
      <w:r>
        <w:rPr>
          <w:spacing w:val="-3"/>
          <w:vertAlign w:val="baseline"/>
        </w:rPr>
        <w:t> </w:t>
      </w:r>
      <w:r>
        <w:rPr>
          <w:vertAlign w:val="baseline"/>
        </w:rPr>
        <w:t>an</w:t>
      </w:r>
      <w:r>
        <w:rPr>
          <w:spacing w:val="-3"/>
          <w:vertAlign w:val="baseline"/>
        </w:rPr>
        <w:t> </w:t>
      </w:r>
      <w:r>
        <w:rPr>
          <w:vertAlign w:val="baseline"/>
        </w:rPr>
        <w:t>oral</w:t>
      </w:r>
      <w:r>
        <w:rPr>
          <w:spacing w:val="-3"/>
          <w:vertAlign w:val="baseline"/>
        </w:rPr>
        <w:t> </w:t>
      </w:r>
      <w:r>
        <w:rPr>
          <w:vertAlign w:val="baseline"/>
        </w:rPr>
        <w:t>acceptance</w:t>
      </w:r>
      <w:r>
        <w:rPr>
          <w:spacing w:val="-3"/>
          <w:vertAlign w:val="baseline"/>
        </w:rPr>
        <w:t> </w:t>
      </w:r>
      <w:r>
        <w:rPr>
          <w:vertAlign w:val="baseline"/>
        </w:rPr>
        <w:t>if </w:t>
      </w:r>
      <w:bookmarkStart w:name="_bookmark639" w:id="641"/>
      <w:bookmarkEnd w:id="641"/>
      <w:r>
        <w:rPr>
          <w:vertAlign w:val="baseline"/>
        </w:rPr>
        <w:t>he</w:t>
      </w:r>
      <w:r>
        <w:rPr>
          <w:vertAlign w:val="baseline"/>
        </w:rPr>
        <w:t> has asked for one to be expressed in writing. </w:t>
      </w:r>
      <w:r>
        <w:rPr>
          <w:color w:val="005DA1"/>
          <w:u w:val="single" w:color="005DA1"/>
          <w:vertAlign w:val="superscript"/>
        </w:rPr>
        <w:t>335</w:t>
      </w:r>
      <w:r>
        <w:rPr>
          <w:color w:val="005DA1"/>
          <w:vertAlign w:val="baseline"/>
        </w:rPr>
        <w:t> </w:t>
      </w:r>
      <w:r>
        <w:rPr>
          <w:vertAlign w:val="baseline"/>
        </w:rPr>
        <w:t>This rule is particularly strict where the offer is contained in an option. </w:t>
      </w:r>
      <w:r>
        <w:rPr>
          <w:color w:val="005DA1"/>
          <w:u w:val="single" w:color="005DA1"/>
          <w:vertAlign w:val="superscript"/>
        </w:rPr>
        <w:t>336</w:t>
      </w:r>
    </w:p>
    <w:p>
      <w:pPr>
        <w:pStyle w:val="BodyText"/>
      </w:pPr>
    </w:p>
    <w:p>
      <w:pPr>
        <w:pStyle w:val="BodyText"/>
        <w:spacing w:before="37"/>
      </w:pPr>
    </w:p>
    <w:p>
      <w:pPr>
        <w:spacing w:before="0"/>
        <w:ind w:left="165" w:right="0" w:firstLine="0"/>
        <w:jc w:val="left"/>
        <w:rPr>
          <w:rFonts w:ascii="Arial"/>
          <w:b/>
          <w:sz w:val="18"/>
        </w:rPr>
      </w:pPr>
      <w:r>
        <w:rPr>
          <w:rFonts w:ascii="Arial"/>
          <w:b/>
          <w:sz w:val="18"/>
        </w:rPr>
        <w:t>Purported acceptance as counter-</w:t>
      </w:r>
      <w:r>
        <w:rPr>
          <w:rFonts w:ascii="Arial"/>
          <w:b/>
          <w:spacing w:val="-2"/>
          <w:sz w:val="18"/>
        </w:rPr>
        <w:t>offer</w:t>
      </w:r>
    </w:p>
    <w:p>
      <w:pPr>
        <w:pStyle w:val="BodyText"/>
        <w:spacing w:before="41"/>
        <w:rPr>
          <w:rFonts w:ascii="Arial"/>
          <w:b/>
          <w:sz w:val="18"/>
        </w:rPr>
      </w:pPr>
    </w:p>
    <w:p>
      <w:pPr>
        <w:pStyle w:val="Heading2"/>
      </w:pPr>
      <w:r>
        <w:rPr/>
        <w:t>2-</w:t>
      </w:r>
      <w:r>
        <w:rPr>
          <w:spacing w:val="-5"/>
        </w:rPr>
        <w:t>064</w:t>
      </w:r>
    </w:p>
    <w:p>
      <w:pPr>
        <w:pStyle w:val="BodyText"/>
        <w:spacing w:line="235" w:lineRule="auto" w:before="203"/>
        <w:ind w:left="165" w:right="167"/>
        <w:jc w:val="both"/>
      </w:pPr>
      <w:r>
        <w:rPr/>
        <w:t>It is sometimes possible for a purported acceptance which does not comply with the prescribed </w:t>
      </w:r>
      <w:bookmarkStart w:name="_bookmark640" w:id="642"/>
      <w:bookmarkEnd w:id="642"/>
      <w:r>
        <w:rPr/>
        <w:t>method</w:t>
      </w:r>
      <w:r>
        <w:rPr/>
        <w:t> to be regarded as a counter-offer and for a contract to come into existence when that</w:t>
      </w:r>
      <w:r>
        <w:rPr>
          <w:spacing w:val="80"/>
        </w:rPr>
        <w:t> </w:t>
      </w:r>
      <w:r>
        <w:rPr/>
        <w:t>counter-offer is in turn accepted. </w:t>
      </w:r>
      <w:r>
        <w:rPr>
          <w:color w:val="005DA1"/>
          <w:u w:val="single" w:color="005DA1"/>
          <w:vertAlign w:val="superscript"/>
        </w:rPr>
        <w:t>337</w:t>
      </w:r>
      <w:r>
        <w:rPr>
          <w:color w:val="005DA1"/>
          <w:vertAlign w:val="baseline"/>
        </w:rPr>
        <w:t> </w:t>
      </w:r>
      <w:r>
        <w:rPr>
          <w:vertAlign w:val="baseline"/>
        </w:rPr>
        <w:t>Since such acceptance may be effected by conduct, </w:t>
      </w:r>
      <w:r>
        <w:rPr>
          <w:color w:val="005DA1"/>
          <w:u w:val="single" w:color="005DA1"/>
          <w:vertAlign w:val="superscript"/>
        </w:rPr>
        <w:t>338</w:t>
      </w:r>
      <w:r>
        <w:rPr>
          <w:color w:val="005DA1"/>
          <w:vertAlign w:val="baseline"/>
        </w:rPr>
        <w:t> </w:t>
      </w:r>
      <w:r>
        <w:rPr>
          <w:vertAlign w:val="baseline"/>
        </w:rPr>
        <w:t>the contract may be concluded without any further communication between the parties after the original, ineffective, acceptance.</w:t>
      </w:r>
    </w:p>
    <w:p>
      <w:pPr>
        <w:pStyle w:val="BodyText"/>
      </w:pPr>
    </w:p>
    <w:p>
      <w:pPr>
        <w:pStyle w:val="BodyText"/>
        <w:spacing w:before="36"/>
      </w:pPr>
    </w:p>
    <w:p>
      <w:pPr>
        <w:spacing w:before="1"/>
        <w:ind w:left="165" w:right="0" w:firstLine="0"/>
        <w:jc w:val="left"/>
        <w:rPr>
          <w:rFonts w:ascii="Arial"/>
          <w:b/>
          <w:sz w:val="18"/>
        </w:rPr>
      </w:pPr>
      <w:r>
        <w:rPr>
          <w:rFonts w:ascii="Arial"/>
          <w:b/>
          <w:sz w:val="18"/>
        </w:rPr>
        <w:t>Other equally efficacious </w:t>
      </w:r>
      <w:r>
        <w:rPr>
          <w:rFonts w:ascii="Arial"/>
          <w:b/>
          <w:spacing w:val="-4"/>
          <w:sz w:val="18"/>
        </w:rPr>
        <w:t>mode</w:t>
      </w:r>
    </w:p>
    <w:p>
      <w:pPr>
        <w:pStyle w:val="BodyText"/>
        <w:spacing w:before="41"/>
        <w:rPr>
          <w:rFonts w:ascii="Arial"/>
          <w:b/>
          <w:sz w:val="18"/>
        </w:rPr>
      </w:pPr>
    </w:p>
    <w:p>
      <w:pPr>
        <w:pStyle w:val="Heading2"/>
      </w:pPr>
      <w:r>
        <w:rPr/>
        <w:t>2-</w:t>
      </w:r>
      <w:r>
        <w:rPr>
          <w:spacing w:val="-5"/>
        </w:rPr>
        <w:t>065</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46" name="Image 46"/>
            <wp:cNvGraphicFramePr>
              <a:graphicFrameLocks/>
            </wp:cNvGraphicFramePr>
            <a:graphic>
              <a:graphicData uri="http://schemas.openxmlformats.org/drawingml/2006/picture">
                <pic:pic>
                  <pic:nvPicPr>
                    <pic:cNvPr id="46" name="Image 46"/>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Stipulations as to the mode of acceptance are usually made by the offeror with some particular object in view, e.g. to obtain a speedy acceptance, or one expressed (for the sake of certainty) in a particular form. It seems that an acceptance which accomplishes that object just as well as, or better than, the stipulated method may bind the offeror. For this purpose, the court must first decide, as a matter</w:t>
      </w:r>
      <w:r>
        <w:rPr>
          <w:spacing w:val="-1"/>
        </w:rPr>
        <w:t> </w:t>
      </w:r>
      <w:r>
        <w:rPr/>
        <w:t>of</w:t>
      </w:r>
      <w:r>
        <w:rPr>
          <w:spacing w:val="-1"/>
        </w:rPr>
        <w:t> </w:t>
      </w:r>
      <w:r>
        <w:rPr/>
        <w:t>construction,</w:t>
      </w:r>
      <w:r>
        <w:rPr>
          <w:spacing w:val="-1"/>
        </w:rPr>
        <w:t> </w:t>
      </w:r>
      <w:r>
        <w:rPr/>
        <w:t>what</w:t>
      </w:r>
      <w:r>
        <w:rPr>
          <w:spacing w:val="-1"/>
        </w:rPr>
        <w:t> </w:t>
      </w:r>
      <w:r>
        <w:rPr/>
        <w:t>object</w:t>
      </w:r>
      <w:r>
        <w:rPr>
          <w:spacing w:val="-1"/>
        </w:rPr>
        <w:t> </w:t>
      </w:r>
      <w:r>
        <w:rPr/>
        <w:t>it</w:t>
      </w:r>
      <w:r>
        <w:rPr>
          <w:spacing w:val="-1"/>
        </w:rPr>
        <w:t> </w:t>
      </w:r>
      <w:r>
        <w:rPr/>
        <w:t>was</w:t>
      </w:r>
      <w:r>
        <w:rPr>
          <w:spacing w:val="-1"/>
        </w:rPr>
        <w:t> </w:t>
      </w:r>
      <w:r>
        <w:rPr/>
        <w:t>that</w:t>
      </w:r>
      <w:r>
        <w:rPr>
          <w:spacing w:val="-1"/>
        </w:rPr>
        <w:t> </w:t>
      </w:r>
      <w:r>
        <w:rPr/>
        <w:t>the</w:t>
      </w:r>
      <w:r>
        <w:rPr>
          <w:spacing w:val="-1"/>
        </w:rPr>
        <w:t> </w:t>
      </w:r>
      <w:r>
        <w:rPr/>
        <w:t>offeror</w:t>
      </w:r>
      <w:r>
        <w:rPr>
          <w:spacing w:val="-1"/>
        </w:rPr>
        <w:t> </w:t>
      </w:r>
      <w:r>
        <w:rPr/>
        <w:t>had</w:t>
      </w:r>
      <w:r>
        <w:rPr>
          <w:spacing w:val="-1"/>
        </w:rPr>
        <w:t> </w:t>
      </w:r>
      <w:r>
        <w:rPr/>
        <w:t>in</w:t>
      </w:r>
      <w:r>
        <w:rPr>
          <w:spacing w:val="-1"/>
        </w:rPr>
        <w:t> </w:t>
      </w:r>
      <w:r>
        <w:rPr/>
        <w:t>view.</w:t>
      </w:r>
      <w:r>
        <w:rPr>
          <w:spacing w:val="-1"/>
        </w:rPr>
        <w:t> </w:t>
      </w:r>
      <w:r>
        <w:rPr/>
        <w:t>For</w:t>
      </w:r>
      <w:r>
        <w:rPr>
          <w:spacing w:val="-1"/>
        </w:rPr>
        <w:t> </w:t>
      </w:r>
      <w:r>
        <w:rPr/>
        <w:t>example,</w:t>
      </w:r>
      <w:r>
        <w:rPr>
          <w:spacing w:val="-1"/>
        </w:rPr>
        <w:t> </w:t>
      </w:r>
      <w:r>
        <w:rPr/>
        <w:t>a</w:t>
      </w:r>
      <w:r>
        <w:rPr>
          <w:spacing w:val="-1"/>
        </w:rPr>
        <w:t> </w:t>
      </w:r>
      <w:r>
        <w:rPr/>
        <w:t>requirement</w:t>
      </w:r>
      <w:r>
        <w:rPr>
          <w:spacing w:val="-1"/>
        </w:rPr>
        <w:t> </w:t>
      </w:r>
      <w:r>
        <w:rPr/>
        <w:t>that </w:t>
      </w:r>
      <w:bookmarkStart w:name="_bookmark641" w:id="643"/>
      <w:bookmarkEnd w:id="643"/>
      <w:r>
        <w:rPr/>
        <w:t>the</w:t>
      </w:r>
      <w:r>
        <w:rPr>
          <w:spacing w:val="12"/>
        </w:rPr>
        <w:t> </w:t>
      </w:r>
      <w:r>
        <w:rPr/>
        <w:t>acceptance</w:t>
      </w:r>
      <w:r>
        <w:rPr>
          <w:spacing w:val="12"/>
        </w:rPr>
        <w:t> </w:t>
      </w:r>
      <w:r>
        <w:rPr/>
        <w:t>must</w:t>
      </w:r>
      <w:r>
        <w:rPr>
          <w:spacing w:val="12"/>
        </w:rPr>
        <w:t> </w:t>
      </w:r>
      <w:r>
        <w:rPr/>
        <w:t>be</w:t>
      </w:r>
      <w:r>
        <w:rPr>
          <w:spacing w:val="12"/>
        </w:rPr>
        <w:t> </w:t>
      </w:r>
      <w:r>
        <w:rPr/>
        <w:t>sent</w:t>
      </w:r>
      <w:r>
        <w:rPr>
          <w:spacing w:val="12"/>
        </w:rPr>
        <w:t> </w:t>
      </w:r>
      <w:r>
        <w:rPr/>
        <w:t>by</w:t>
      </w:r>
      <w:r>
        <w:rPr>
          <w:spacing w:val="12"/>
        </w:rPr>
        <w:t> </w:t>
      </w:r>
      <w:r>
        <w:rPr/>
        <w:t>letter</w:t>
      </w:r>
      <w:r>
        <w:rPr>
          <w:spacing w:val="12"/>
        </w:rPr>
        <w:t> </w:t>
      </w:r>
      <w:r>
        <w:rPr/>
        <w:t>by</w:t>
      </w:r>
      <w:r>
        <w:rPr>
          <w:spacing w:val="12"/>
        </w:rPr>
        <w:t> </w:t>
      </w:r>
      <w:r>
        <w:rPr/>
        <w:t>return</w:t>
      </w:r>
      <w:r>
        <w:rPr>
          <w:spacing w:val="12"/>
        </w:rPr>
        <w:t> </w:t>
      </w:r>
      <w:r>
        <w:rPr/>
        <w:t>of</w:t>
      </w:r>
      <w:r>
        <w:rPr>
          <w:spacing w:val="12"/>
        </w:rPr>
        <w:t> </w:t>
      </w:r>
      <w:r>
        <w:rPr/>
        <w:t>post</w:t>
      </w:r>
      <w:r>
        <w:rPr>
          <w:spacing w:val="12"/>
        </w:rPr>
        <w:t> </w:t>
      </w:r>
      <w:r>
        <w:rPr/>
        <w:t>may</w:t>
      </w:r>
      <w:r>
        <w:rPr>
          <w:spacing w:val="12"/>
        </w:rPr>
        <w:t> </w:t>
      </w:r>
      <w:r>
        <w:rPr/>
        <w:t>“fix</w:t>
      </w:r>
      <w:r>
        <w:rPr>
          <w:spacing w:val="12"/>
        </w:rPr>
        <w:t> </w:t>
      </w:r>
      <w:r>
        <w:rPr/>
        <w:t>the</w:t>
      </w:r>
      <w:r>
        <w:rPr>
          <w:spacing w:val="12"/>
        </w:rPr>
        <w:t> </w:t>
      </w:r>
      <w:r>
        <w:rPr/>
        <w:t>time</w:t>
      </w:r>
      <w:r>
        <w:rPr>
          <w:spacing w:val="12"/>
        </w:rPr>
        <w:t> </w:t>
      </w:r>
      <w:r>
        <w:rPr/>
        <w:t>for</w:t>
      </w:r>
      <w:r>
        <w:rPr>
          <w:spacing w:val="12"/>
        </w:rPr>
        <w:t> </w:t>
      </w:r>
      <w:r>
        <w:rPr/>
        <w:t>acceptance</w:t>
      </w:r>
      <w:r>
        <w:rPr>
          <w:spacing w:val="12"/>
        </w:rPr>
        <w:t> </w:t>
      </w:r>
      <w:r>
        <w:rPr/>
        <w:t>and</w:t>
      </w:r>
      <w:r>
        <w:rPr>
          <w:spacing w:val="12"/>
        </w:rPr>
        <w:t> </w:t>
      </w:r>
      <w:r>
        <w:rPr/>
        <w:t>not</w:t>
      </w:r>
      <w:r>
        <w:rPr>
          <w:spacing w:val="12"/>
        </w:rPr>
        <w:t> </w:t>
      </w:r>
      <w:r>
        <w:rPr>
          <w:spacing w:val="-5"/>
        </w:rPr>
        <w:t>the</w:t>
      </w:r>
    </w:p>
    <w:p>
      <w:pPr>
        <w:pStyle w:val="BodyText"/>
        <w:spacing w:line="235" w:lineRule="auto" w:before="118"/>
        <w:ind w:left="165" w:right="168"/>
        <w:jc w:val="both"/>
      </w:pPr>
      <w:r>
        <w:rPr/>
        <w:t>manner of accepting”. </w:t>
      </w:r>
      <w:r>
        <w:rPr>
          <w:color w:val="005DA1"/>
          <w:u w:val="single" w:color="005DA1"/>
          <w:vertAlign w:val="superscript"/>
        </w:rPr>
        <w:t>339</w:t>
      </w:r>
      <w:r>
        <w:rPr>
          <w:color w:val="005DA1"/>
          <w:spacing w:val="80"/>
          <w:w w:val="150"/>
          <w:vertAlign w:val="baseline"/>
        </w:rPr>
        <w:t> </w:t>
      </w:r>
      <w:r>
        <w:rPr>
          <w:color w:val="005DA1"/>
          <w:spacing w:val="-22"/>
          <w:position w:val="-2"/>
          <w:vertAlign w:val="baseline"/>
        </w:rPr>
        <w:drawing>
          <wp:inline distT="0" distB="0" distL="0" distR="0">
            <wp:extent cx="107988" cy="107988"/>
            <wp:effectExtent l="0" t="0" r="0" b="0"/>
            <wp:docPr id="47" name="Image 47"/>
            <wp:cNvGraphicFramePr>
              <a:graphicFrameLocks/>
            </wp:cNvGraphicFramePr>
            <a:graphic>
              <a:graphicData uri="http://schemas.openxmlformats.org/drawingml/2006/picture">
                <pic:pic>
                  <pic:nvPicPr>
                    <pic:cNvPr id="47" name="Image 4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40"/>
          <w:vertAlign w:val="baseline"/>
        </w:rPr>
        <w:t> </w:t>
      </w:r>
      <w:r>
        <w:rPr>
          <w:vertAlign w:val="baseline"/>
        </w:rPr>
        <w:t>An acceptance by telex could then suffice. But such an </w:t>
      </w:r>
      <w:r>
        <w:rPr>
          <w:vertAlign w:val="baseline"/>
        </w:rPr>
        <w:t>acceptance would not be effective if the offeror’s object (on the true construction of the offer) was to have a full, accurate and signed record of the acceptance.</w:t>
      </w:r>
    </w:p>
    <w:p>
      <w:pPr>
        <w:pStyle w:val="BodyText"/>
      </w:pPr>
    </w:p>
    <w:p>
      <w:pPr>
        <w:pStyle w:val="BodyText"/>
        <w:spacing w:before="38"/>
      </w:pPr>
    </w:p>
    <w:p>
      <w:pPr>
        <w:spacing w:before="0"/>
        <w:ind w:left="165" w:right="0" w:firstLine="0"/>
        <w:jc w:val="both"/>
        <w:rPr>
          <w:rFonts w:ascii="Arial"/>
          <w:b/>
          <w:sz w:val="18"/>
        </w:rPr>
      </w:pPr>
      <w:r>
        <w:rPr>
          <w:rFonts w:ascii="Arial"/>
          <w:b/>
          <w:sz w:val="18"/>
        </w:rPr>
        <w:t>Method of acceptance </w:t>
      </w:r>
      <w:r>
        <w:rPr>
          <w:rFonts w:ascii="Arial"/>
          <w:b/>
          <w:spacing w:val="-2"/>
          <w:sz w:val="18"/>
        </w:rPr>
        <w:t>waived</w:t>
      </w:r>
    </w:p>
    <w:p>
      <w:pPr>
        <w:pStyle w:val="BodyText"/>
        <w:spacing w:before="41"/>
        <w:rPr>
          <w:rFonts w:ascii="Arial"/>
          <w:b/>
          <w:sz w:val="18"/>
        </w:rPr>
      </w:pPr>
    </w:p>
    <w:p>
      <w:pPr>
        <w:pStyle w:val="Heading2"/>
      </w:pPr>
      <w:r>
        <w:rPr/>
        <w:t>2-</w:t>
      </w:r>
      <w:r>
        <w:rPr>
          <w:spacing w:val="-5"/>
        </w:rPr>
        <w:t>066</w:t>
      </w:r>
    </w:p>
    <w:p>
      <w:pPr>
        <w:pStyle w:val="Heading2"/>
        <w:spacing w:after="0"/>
        <w:sectPr>
          <w:headerReference w:type="default" r:id="rId12"/>
          <w:pgSz w:w="11900" w:h="16840"/>
          <w:pgMar w:header="971" w:footer="0" w:top="1300" w:bottom="280" w:left="1275" w:right="1275"/>
          <w:pgNumType w:start="1"/>
        </w:sectPr>
      </w:pPr>
    </w:p>
    <w:p>
      <w:pPr>
        <w:pStyle w:val="BodyText"/>
        <w:spacing w:before="96"/>
        <w:rPr>
          <w:rFonts w:ascii="Arial"/>
          <w:b/>
        </w:rPr>
      </w:pPr>
    </w:p>
    <w:p>
      <w:pPr>
        <w:pStyle w:val="BodyText"/>
        <w:ind w:left="165"/>
        <w:jc w:val="both"/>
      </w:pPr>
      <w:r>
        <w:rPr>
          <w:position w:val="-2"/>
        </w:rPr>
        <w:drawing>
          <wp:inline distT="0" distB="0" distL="0" distR="0">
            <wp:extent cx="107988" cy="107988"/>
            <wp:effectExtent l="0" t="0" r="0" b="0"/>
            <wp:docPr id="48" name="Image 48"/>
            <wp:cNvGraphicFramePr>
              <a:graphicFrameLocks/>
            </wp:cNvGraphicFramePr>
            <a:graphic>
              <a:graphicData uri="http://schemas.openxmlformats.org/drawingml/2006/picture">
                <pic:pic>
                  <pic:nvPicPr>
                    <pic:cNvPr id="48" name="Image 48"/>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spacing w:val="24"/>
        </w:rPr>
        <w:t> </w:t>
      </w:r>
      <w:bookmarkStart w:name="_bookmark642" w:id="644"/>
      <w:bookmarkEnd w:id="644"/>
      <w:r>
        <w:rPr>
          <w:rFonts w:ascii="Times New Roman"/>
          <w:spacing w:val="24"/>
        </w:rPr>
      </w:r>
      <w:r>
        <w:rPr/>
        <w:t>Even</w:t>
      </w:r>
      <w:r>
        <w:rPr>
          <w:spacing w:val="19"/>
        </w:rPr>
        <w:t> </w:t>
      </w:r>
      <w:r>
        <w:rPr/>
        <w:t>if</w:t>
      </w:r>
      <w:r>
        <w:rPr>
          <w:spacing w:val="19"/>
        </w:rPr>
        <w:t> </w:t>
      </w:r>
      <w:r>
        <w:rPr/>
        <w:t>the</w:t>
      </w:r>
      <w:r>
        <w:rPr>
          <w:spacing w:val="19"/>
        </w:rPr>
        <w:t> </w:t>
      </w:r>
      <w:r>
        <w:rPr/>
        <w:t>prescribed</w:t>
      </w:r>
      <w:r>
        <w:rPr>
          <w:spacing w:val="19"/>
        </w:rPr>
        <w:t> </w:t>
      </w:r>
      <w:r>
        <w:rPr/>
        <w:t>method</w:t>
      </w:r>
      <w:r>
        <w:rPr>
          <w:spacing w:val="19"/>
        </w:rPr>
        <w:t> </w:t>
      </w:r>
      <w:r>
        <w:rPr/>
        <w:t>of</w:t>
      </w:r>
      <w:r>
        <w:rPr>
          <w:spacing w:val="19"/>
        </w:rPr>
        <w:t> </w:t>
      </w:r>
      <w:r>
        <w:rPr/>
        <w:t>acceptance</w:t>
      </w:r>
      <w:r>
        <w:rPr>
          <w:spacing w:val="19"/>
        </w:rPr>
        <w:t> </w:t>
      </w:r>
      <w:r>
        <w:rPr/>
        <w:t>is</w:t>
      </w:r>
      <w:r>
        <w:rPr>
          <w:spacing w:val="19"/>
        </w:rPr>
        <w:t> </w:t>
      </w:r>
      <w:r>
        <w:rPr/>
        <w:t>not</w:t>
      </w:r>
      <w:r>
        <w:rPr>
          <w:spacing w:val="19"/>
        </w:rPr>
        <w:t> </w:t>
      </w:r>
      <w:r>
        <w:rPr/>
        <w:t>complied</w:t>
      </w:r>
      <w:r>
        <w:rPr>
          <w:spacing w:val="19"/>
        </w:rPr>
        <w:t> </w:t>
      </w:r>
      <w:r>
        <w:rPr/>
        <w:t>with,</w:t>
      </w:r>
      <w:r>
        <w:rPr>
          <w:spacing w:val="19"/>
        </w:rPr>
        <w:t> </w:t>
      </w:r>
      <w:r>
        <w:rPr/>
        <w:t>the</w:t>
      </w:r>
      <w:r>
        <w:rPr>
          <w:spacing w:val="19"/>
        </w:rPr>
        <w:t> </w:t>
      </w:r>
      <w:r>
        <w:rPr/>
        <w:t>offeror</w:t>
      </w:r>
      <w:r>
        <w:rPr>
          <w:spacing w:val="19"/>
        </w:rPr>
        <w:t> </w:t>
      </w:r>
      <w:r>
        <w:rPr/>
        <w:t>would</w:t>
      </w:r>
      <w:r>
        <w:rPr>
          <w:spacing w:val="19"/>
        </w:rPr>
        <w:t> </w:t>
      </w:r>
      <w:r>
        <w:rPr/>
        <w:t>no</w:t>
      </w:r>
      <w:r>
        <w:rPr>
          <w:spacing w:val="19"/>
        </w:rPr>
        <w:t> </w:t>
      </w:r>
      <w:r>
        <w:rPr/>
        <w:t>doubt</w:t>
      </w:r>
      <w:r>
        <w:rPr>
          <w:spacing w:val="19"/>
        </w:rPr>
        <w:t> </w:t>
      </w:r>
      <w:r>
        <w:rPr/>
        <w:t>be</w:t>
      </w:r>
    </w:p>
    <w:p>
      <w:pPr>
        <w:pStyle w:val="BodyText"/>
        <w:spacing w:line="235" w:lineRule="auto" w:before="119"/>
        <w:ind w:left="165" w:right="167"/>
        <w:jc w:val="both"/>
      </w:pPr>
      <w:bookmarkStart w:name="_bookmark643" w:id="645"/>
      <w:bookmarkEnd w:id="645"/>
      <w:r>
        <w:rPr/>
      </w:r>
      <w:r>
        <w:rPr/>
        <w:t>bound by,</w:t>
      </w:r>
      <w:r>
        <w:rPr>
          <w:spacing w:val="-1"/>
        </w:rPr>
        <w:t> </w:t>
      </w:r>
      <w:r>
        <w:rPr>
          <w:color w:val="005DA1"/>
          <w:u w:val="single" w:color="005DA1"/>
          <w:vertAlign w:val="superscript"/>
        </w:rPr>
        <w:t>340</w:t>
      </w:r>
      <w:r>
        <w:rPr>
          <w:color w:val="005DA1"/>
          <w:spacing w:val="80"/>
          <w:vertAlign w:val="baseline"/>
        </w:rPr>
        <w:t> </w:t>
      </w:r>
      <w:r>
        <w:rPr>
          <w:color w:val="005DA1"/>
          <w:spacing w:val="9"/>
          <w:position w:val="-2"/>
          <w:vertAlign w:val="baseline"/>
        </w:rPr>
        <w:drawing>
          <wp:inline distT="0" distB="0" distL="0" distR="0">
            <wp:extent cx="107988" cy="107988"/>
            <wp:effectExtent l="0" t="0" r="0" b="0"/>
            <wp:docPr id="49" name="Image 49"/>
            <wp:cNvGraphicFramePr>
              <a:graphicFrameLocks/>
            </wp:cNvGraphicFramePr>
            <a:graphic>
              <a:graphicData uri="http://schemas.openxmlformats.org/drawingml/2006/picture">
                <pic:pic>
                  <pic:nvPicPr>
                    <pic:cNvPr id="49" name="Image 4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9"/>
          <w:position w:val="-2"/>
          <w:vertAlign w:val="baseline"/>
        </w:rPr>
      </w:r>
      <w:r>
        <w:rPr>
          <w:rFonts w:ascii="Times New Roman"/>
          <w:color w:val="005DA1"/>
          <w:spacing w:val="-4"/>
          <w:vertAlign w:val="baseline"/>
        </w:rPr>
        <w:t> </w:t>
      </w:r>
      <w:r>
        <w:rPr>
          <w:vertAlign w:val="baseline"/>
        </w:rPr>
        <w:t>and apparently entitled to enforce,</w:t>
      </w:r>
      <w:r>
        <w:rPr>
          <w:spacing w:val="-1"/>
          <w:vertAlign w:val="baseline"/>
        </w:rPr>
        <w:t> </w:t>
      </w:r>
      <w:r>
        <w:rPr>
          <w:color w:val="005DA1"/>
          <w:u w:val="single" w:color="005DA1"/>
          <w:vertAlign w:val="superscript"/>
        </w:rPr>
        <w:t>341</w:t>
      </w:r>
      <w:r>
        <w:rPr>
          <w:color w:val="005DA1"/>
          <w:vertAlign w:val="baseline"/>
        </w:rPr>
        <w:t> </w:t>
      </w:r>
      <w:r>
        <w:rPr>
          <w:vertAlign w:val="baseline"/>
        </w:rPr>
        <w:t>the contract if he had acquiesced in a different mode of acceptance and had so waived the stipulated mode. But a waiver by the offeror alone of </w:t>
      </w:r>
      <w:r>
        <w:rPr>
          <w:vertAlign w:val="baseline"/>
        </w:rPr>
        <w:t>a </w:t>
      </w:r>
      <w:bookmarkStart w:name="_bookmark644" w:id="646"/>
      <w:bookmarkEnd w:id="646"/>
      <w:r>
        <w:rPr>
          <w:vertAlign w:val="baseline"/>
        </w:rPr>
        <w:t>stipulation</w:t>
      </w:r>
      <w:r>
        <w:rPr>
          <w:vertAlign w:val="baseline"/>
        </w:rPr>
        <w:t> as to the method of acceptance would not entitle him to enforce the contract if the stipulation was, on its true construction, one for the benefit of both parties. </w:t>
      </w:r>
      <w:r>
        <w:rPr>
          <w:color w:val="005DA1"/>
          <w:u w:val="single" w:color="005DA1"/>
          <w:vertAlign w:val="superscript"/>
        </w:rPr>
        <w:t>342</w:t>
      </w:r>
    </w:p>
    <w:p>
      <w:pPr>
        <w:pStyle w:val="BodyText"/>
      </w:pPr>
    </w:p>
    <w:p>
      <w:pPr>
        <w:pStyle w:val="BodyText"/>
        <w:spacing w:before="37"/>
      </w:pPr>
    </w:p>
    <w:p>
      <w:pPr>
        <w:spacing w:before="0"/>
        <w:ind w:left="165" w:right="0" w:firstLine="0"/>
        <w:jc w:val="both"/>
        <w:rPr>
          <w:rFonts w:ascii="Arial"/>
          <w:b/>
          <w:sz w:val="18"/>
        </w:rPr>
      </w:pPr>
      <w:r>
        <w:rPr>
          <w:rFonts w:ascii="Arial"/>
          <w:b/>
          <w:sz w:val="18"/>
        </w:rPr>
        <w:t>Terms of offer drawn up by </w:t>
      </w:r>
      <w:r>
        <w:rPr>
          <w:rFonts w:ascii="Arial"/>
          <w:b/>
          <w:spacing w:val="-2"/>
          <w:sz w:val="18"/>
        </w:rPr>
        <w:t>offeree</w:t>
      </w:r>
    </w:p>
    <w:p>
      <w:pPr>
        <w:pStyle w:val="BodyText"/>
        <w:spacing w:before="42"/>
        <w:rPr>
          <w:rFonts w:ascii="Arial"/>
          <w:b/>
          <w:sz w:val="18"/>
        </w:rPr>
      </w:pPr>
    </w:p>
    <w:p>
      <w:pPr>
        <w:pStyle w:val="Heading2"/>
      </w:pPr>
      <w:r>
        <w:rPr/>
        <w:t>2-</w:t>
      </w:r>
      <w:r>
        <w:rPr>
          <w:spacing w:val="-5"/>
        </w:rPr>
        <w:t>067</w:t>
      </w:r>
    </w:p>
    <w:p>
      <w:pPr>
        <w:pStyle w:val="BodyText"/>
        <w:spacing w:before="92"/>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50" name="Image 50"/>
            <wp:cNvGraphicFramePr>
              <a:graphicFrameLocks/>
            </wp:cNvGraphicFramePr>
            <a:graphic>
              <a:graphicData uri="http://schemas.openxmlformats.org/drawingml/2006/picture">
                <pic:pic>
                  <pic:nvPicPr>
                    <pic:cNvPr id="50" name="Image 5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The rules relating to failure to use a prescribed mode of acceptance are traditionally based on two assumptions: that the offer was drawn up by the offeror; and that stipulations as to the mode </w:t>
      </w:r>
      <w:r>
        <w:rPr/>
        <w:t>of acceptance were made by him for his own benefit. It is, however, also possible for the offer to be made on a form drawn up by the offeree: e.g. where a customer submits to a finance company a proposal to enter into a hire-purchase agreement; or where an offer is made by tender on a form of tender issued by the offeree. Stipulations as to the mode of acceptance in such documents are</w:t>
      </w:r>
      <w:r>
        <w:rPr>
          <w:spacing w:val="40"/>
        </w:rPr>
        <w:t> </w:t>
      </w:r>
      <w:r>
        <w:rPr/>
        <w:t>usually</w:t>
      </w:r>
      <w:r>
        <w:rPr>
          <w:spacing w:val="-1"/>
        </w:rPr>
        <w:t> </w:t>
      </w:r>
      <w:r>
        <w:rPr/>
        <w:t>intended</w:t>
      </w:r>
      <w:r>
        <w:rPr>
          <w:spacing w:val="-1"/>
        </w:rPr>
        <w:t> </w:t>
      </w:r>
      <w:r>
        <w:rPr/>
        <w:t>for</w:t>
      </w:r>
      <w:r>
        <w:rPr>
          <w:spacing w:val="-1"/>
        </w:rPr>
        <w:t> </w:t>
      </w:r>
      <w:r>
        <w:rPr/>
        <w:t>the</w:t>
      </w:r>
      <w:r>
        <w:rPr>
          <w:spacing w:val="-1"/>
        </w:rPr>
        <w:t> </w:t>
      </w:r>
      <w:r>
        <w:rPr/>
        <w:t>benefit</w:t>
      </w:r>
      <w:r>
        <w:rPr>
          <w:spacing w:val="-1"/>
        </w:rPr>
        <w:t> </w:t>
      </w:r>
      <w:r>
        <w:rPr/>
        <w:t>and</w:t>
      </w:r>
      <w:r>
        <w:rPr>
          <w:spacing w:val="-1"/>
        </w:rPr>
        <w:t> </w:t>
      </w:r>
      <w:r>
        <w:rPr/>
        <w:t>protection</w:t>
      </w:r>
      <w:r>
        <w:rPr>
          <w:spacing w:val="-1"/>
        </w:rPr>
        <w:t> </w:t>
      </w:r>
      <w:r>
        <w:rPr/>
        <w:t>of</w:t>
      </w:r>
      <w:r>
        <w:rPr>
          <w:spacing w:val="-1"/>
        </w:rPr>
        <w:t> </w:t>
      </w:r>
      <w:r>
        <w:rPr/>
        <w:t>the</w:t>
      </w:r>
      <w:r>
        <w:rPr>
          <w:spacing w:val="-2"/>
        </w:rPr>
        <w:t> </w:t>
      </w:r>
      <w:r>
        <w:rPr>
          <w:rFonts w:ascii="Arial"/>
          <w:i/>
        </w:rPr>
        <w:t>offeree</w:t>
      </w:r>
      <w:r>
        <w:rPr/>
        <w:t>.</w:t>
      </w:r>
      <w:r>
        <w:rPr>
          <w:spacing w:val="-1"/>
        </w:rPr>
        <w:t> </w:t>
      </w:r>
      <w:r>
        <w:rPr/>
        <w:t>If</w:t>
      </w:r>
      <w:r>
        <w:rPr>
          <w:spacing w:val="-1"/>
        </w:rPr>
        <w:t> </w:t>
      </w:r>
      <w:r>
        <w:rPr/>
        <w:t>the</w:t>
      </w:r>
      <w:r>
        <w:rPr>
          <w:spacing w:val="-1"/>
        </w:rPr>
        <w:t> </w:t>
      </w:r>
      <w:r>
        <w:rPr/>
        <w:t>offeree</w:t>
      </w:r>
      <w:r>
        <w:rPr>
          <w:spacing w:val="-1"/>
        </w:rPr>
        <w:t> </w:t>
      </w:r>
      <w:r>
        <w:rPr/>
        <w:t>accepts</w:t>
      </w:r>
      <w:r>
        <w:rPr>
          <w:spacing w:val="-1"/>
        </w:rPr>
        <w:t> </w:t>
      </w:r>
      <w:r>
        <w:rPr/>
        <w:t>in</w:t>
      </w:r>
      <w:r>
        <w:rPr>
          <w:spacing w:val="-1"/>
        </w:rPr>
        <w:t> </w:t>
      </w:r>
      <w:r>
        <w:rPr/>
        <w:t>some</w:t>
      </w:r>
      <w:r>
        <w:rPr>
          <w:spacing w:val="-1"/>
        </w:rPr>
        <w:t> </w:t>
      </w:r>
      <w:r>
        <w:rPr/>
        <w:t>other</w:t>
      </w:r>
      <w:r>
        <w:rPr>
          <w:spacing w:val="-1"/>
        </w:rPr>
        <w:t> </w:t>
      </w:r>
      <w:r>
        <w:rPr/>
        <w:t>way, this will often be evidence that he has waived the stipulation; and it is submitted that the acceptance </w:t>
      </w:r>
      <w:bookmarkStart w:name="_bookmark645" w:id="647"/>
      <w:bookmarkEnd w:id="647"/>
      <w:r>
        <w:rPr/>
        <w:t>should</w:t>
      </w:r>
      <w:r>
        <w:rPr/>
        <w:t> be treated as effective unless it can be shown that failure to use the stipulated mode has prejudiced the offeror. </w:t>
      </w:r>
      <w:r>
        <w:rPr>
          <w:color w:val="005DA1"/>
          <w:u w:val="single" w:color="005DA1"/>
          <w:vertAlign w:val="superscript"/>
        </w:rPr>
        <w:t>343</w:t>
      </w:r>
      <w:r>
        <w:rPr>
          <w:color w:val="005DA1"/>
          <w:vertAlign w:val="baseline"/>
        </w:rPr>
        <w:t> </w:t>
      </w:r>
      <w:r>
        <w:rPr>
          <w:vertAlign w:val="baseline"/>
        </w:rPr>
        <w:t>In one case, </w:t>
      </w:r>
      <w:r>
        <w:rPr>
          <w:color w:val="005DA1"/>
          <w:u w:val="single" w:color="005DA1"/>
          <w:vertAlign w:val="superscript"/>
        </w:rPr>
        <w:t>344</w:t>
      </w:r>
      <w:r>
        <w:rPr>
          <w:color w:val="005DA1"/>
          <w:vertAlign w:val="baseline"/>
        </w:rPr>
        <w:t> </w:t>
      </w:r>
      <w:r>
        <w:rPr>
          <w:vertAlign w:val="baseline"/>
        </w:rPr>
        <w:t>for example, an offer to enter into a conditional sale agreement was made by the buyer on a form provided by the offeree (a finance company). It was</w:t>
      </w:r>
      <w:r>
        <w:rPr>
          <w:spacing w:val="80"/>
          <w:vertAlign w:val="baseline"/>
        </w:rPr>
        <w:t> </w:t>
      </w:r>
      <w:r>
        <w:rPr>
          <w:vertAlign w:val="baseline"/>
        </w:rPr>
        <w:t>held that the offer had been accepted by delivery of the subject-matter in spite of a provision in the </w:t>
      </w:r>
      <w:bookmarkStart w:name="_bookmark646" w:id="648"/>
      <w:bookmarkEnd w:id="648"/>
      <w:r>
        <w:rPr>
          <w:vertAlign w:val="baseline"/>
        </w:rPr>
        <w:t>offer</w:t>
      </w:r>
      <w:r>
        <w:rPr>
          <w:spacing w:val="4"/>
          <w:vertAlign w:val="baseline"/>
        </w:rPr>
        <w:t> </w:t>
      </w:r>
      <w:r>
        <w:rPr>
          <w:vertAlign w:val="baseline"/>
        </w:rPr>
        <w:t>to</w:t>
      </w:r>
      <w:r>
        <w:rPr>
          <w:spacing w:val="4"/>
          <w:vertAlign w:val="baseline"/>
        </w:rPr>
        <w:t> </w:t>
      </w:r>
      <w:r>
        <w:rPr>
          <w:vertAlign w:val="baseline"/>
        </w:rPr>
        <w:t>the</w:t>
      </w:r>
      <w:r>
        <w:rPr>
          <w:spacing w:val="4"/>
          <w:vertAlign w:val="baseline"/>
        </w:rPr>
        <w:t> </w:t>
      </w:r>
      <w:r>
        <w:rPr>
          <w:vertAlign w:val="baseline"/>
        </w:rPr>
        <w:t>effect</w:t>
      </w:r>
      <w:r>
        <w:rPr>
          <w:spacing w:val="4"/>
          <w:vertAlign w:val="baseline"/>
        </w:rPr>
        <w:t> </w:t>
      </w:r>
      <w:r>
        <w:rPr>
          <w:vertAlign w:val="baseline"/>
        </w:rPr>
        <w:t>that</w:t>
      </w:r>
      <w:r>
        <w:rPr>
          <w:spacing w:val="4"/>
          <w:vertAlign w:val="baseline"/>
        </w:rPr>
        <w:t> </w:t>
      </w:r>
      <w:r>
        <w:rPr>
          <w:vertAlign w:val="baseline"/>
        </w:rPr>
        <w:t>this</w:t>
      </w:r>
      <w:r>
        <w:rPr>
          <w:spacing w:val="4"/>
          <w:vertAlign w:val="baseline"/>
        </w:rPr>
        <w:t> </w:t>
      </w:r>
      <w:r>
        <w:rPr>
          <w:vertAlign w:val="baseline"/>
        </w:rPr>
        <w:t>was</w:t>
      </w:r>
      <w:r>
        <w:rPr>
          <w:spacing w:val="4"/>
          <w:vertAlign w:val="baseline"/>
        </w:rPr>
        <w:t> </w:t>
      </w:r>
      <w:r>
        <w:rPr>
          <w:rFonts w:ascii="Arial"/>
          <w:i/>
          <w:vertAlign w:val="baseline"/>
        </w:rPr>
        <w:t>not</w:t>
      </w:r>
      <w:r>
        <w:rPr>
          <w:rFonts w:ascii="Arial"/>
          <w:i/>
          <w:spacing w:val="4"/>
          <w:vertAlign w:val="baseline"/>
        </w:rPr>
        <w:t> </w:t>
      </w:r>
      <w:r>
        <w:rPr>
          <w:vertAlign w:val="baseline"/>
        </w:rPr>
        <w:t>to</w:t>
      </w:r>
      <w:r>
        <w:rPr>
          <w:spacing w:val="4"/>
          <w:vertAlign w:val="baseline"/>
        </w:rPr>
        <w:t> </w:t>
      </w:r>
      <w:r>
        <w:rPr>
          <w:vertAlign w:val="baseline"/>
        </w:rPr>
        <w:t>constitute</w:t>
      </w:r>
      <w:r>
        <w:rPr>
          <w:spacing w:val="4"/>
          <w:vertAlign w:val="baseline"/>
        </w:rPr>
        <w:t> </w:t>
      </w:r>
      <w:r>
        <w:rPr>
          <w:vertAlign w:val="baseline"/>
        </w:rPr>
        <w:t>acceptance,</w:t>
      </w:r>
      <w:r>
        <w:rPr>
          <w:spacing w:val="4"/>
          <w:vertAlign w:val="baseline"/>
        </w:rPr>
        <w:t> </w:t>
      </w:r>
      <w:r>
        <w:rPr>
          <w:vertAlign w:val="baseline"/>
        </w:rPr>
        <w:t>that</w:t>
      </w:r>
      <w:r>
        <w:rPr>
          <w:spacing w:val="4"/>
          <w:vertAlign w:val="baseline"/>
        </w:rPr>
        <w:t> </w:t>
      </w:r>
      <w:r>
        <w:rPr>
          <w:vertAlign w:val="baseline"/>
        </w:rPr>
        <w:t>provision</w:t>
      </w:r>
      <w:r>
        <w:rPr>
          <w:spacing w:val="4"/>
          <w:vertAlign w:val="baseline"/>
        </w:rPr>
        <w:t> </w:t>
      </w:r>
      <w:r>
        <w:rPr>
          <w:vertAlign w:val="baseline"/>
        </w:rPr>
        <w:t>having</w:t>
      </w:r>
      <w:r>
        <w:rPr>
          <w:spacing w:val="4"/>
          <w:vertAlign w:val="baseline"/>
        </w:rPr>
        <w:t> </w:t>
      </w:r>
      <w:r>
        <w:rPr>
          <w:vertAlign w:val="baseline"/>
        </w:rPr>
        <w:t>been</w:t>
      </w:r>
      <w:r>
        <w:rPr>
          <w:spacing w:val="4"/>
          <w:vertAlign w:val="baseline"/>
        </w:rPr>
        <w:t> </w:t>
      </w:r>
      <w:r>
        <w:rPr>
          <w:vertAlign w:val="baseline"/>
        </w:rPr>
        <w:t>waived</w:t>
      </w:r>
      <w:r>
        <w:rPr>
          <w:spacing w:val="4"/>
          <w:vertAlign w:val="baseline"/>
        </w:rPr>
        <w:t> </w:t>
      </w:r>
      <w:r>
        <w:rPr>
          <w:vertAlign w:val="baseline"/>
        </w:rPr>
        <w:t>by</w:t>
      </w:r>
      <w:r>
        <w:rPr>
          <w:spacing w:val="4"/>
          <w:vertAlign w:val="baseline"/>
        </w:rPr>
        <w:t> </w:t>
      </w:r>
      <w:r>
        <w:rPr>
          <w:spacing w:val="-5"/>
          <w:vertAlign w:val="baseline"/>
        </w:rPr>
        <w:t>the</w:t>
      </w:r>
    </w:p>
    <w:p>
      <w:pPr>
        <w:pStyle w:val="BodyText"/>
        <w:spacing w:line="360" w:lineRule="auto" w:before="112"/>
        <w:ind w:left="165" w:right="167"/>
        <w:jc w:val="both"/>
      </w:pPr>
      <w:bookmarkStart w:name="_bookmark647" w:id="649"/>
      <w:bookmarkEnd w:id="649"/>
      <w:r>
        <w:rPr/>
      </w:r>
      <w:r>
        <w:rPr/>
        <w:t>offeree. In another case, </w:t>
      </w:r>
      <w:r>
        <w:rPr>
          <w:color w:val="005DA1"/>
          <w:u w:val="single" w:color="005DA1"/>
          <w:vertAlign w:val="superscript"/>
        </w:rPr>
        <w:t>345</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51" name="Image 51"/>
            <wp:cNvGraphicFramePr>
              <a:graphicFrameLocks/>
            </wp:cNvGraphicFramePr>
            <a:graphic>
              <a:graphicData uri="http://schemas.openxmlformats.org/drawingml/2006/picture">
                <pic:pic>
                  <pic:nvPicPr>
                    <pic:cNvPr id="51" name="Image 5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rFonts w:ascii="Times New Roman"/>
          <w:color w:val="005DA1"/>
          <w:spacing w:val="-11"/>
          <w:vertAlign w:val="baseline"/>
        </w:rPr>
        <w:t> </w:t>
      </w:r>
      <w:r>
        <w:rPr>
          <w:vertAlign w:val="baseline"/>
        </w:rPr>
        <w:t>the Court of Appeal, approving this and the previous paragraphs, set </w:t>
      </w:r>
      <w:bookmarkStart w:name="_bookmark648" w:id="650"/>
      <w:bookmarkEnd w:id="650"/>
      <w:r>
        <w:rPr>
          <w:vertAlign w:val="baseline"/>
        </w:rPr>
        <w:t>out</w:t>
      </w:r>
      <w:r>
        <w:rPr>
          <w:spacing w:val="34"/>
          <w:vertAlign w:val="baseline"/>
        </w:rPr>
        <w:t> </w:t>
      </w:r>
      <w:r>
        <w:rPr>
          <w:vertAlign w:val="baseline"/>
        </w:rPr>
        <w:t>the</w:t>
      </w:r>
      <w:r>
        <w:rPr>
          <w:spacing w:val="34"/>
          <w:vertAlign w:val="baseline"/>
        </w:rPr>
        <w:t> </w:t>
      </w:r>
      <w:r>
        <w:rPr>
          <w:vertAlign w:val="baseline"/>
        </w:rPr>
        <w:t>rules</w:t>
      </w:r>
      <w:r>
        <w:rPr>
          <w:spacing w:val="34"/>
          <w:vertAlign w:val="baseline"/>
        </w:rPr>
        <w:t> </w:t>
      </w:r>
      <w:r>
        <w:rPr>
          <w:vertAlign w:val="baseline"/>
        </w:rPr>
        <w:t>in</w:t>
      </w:r>
      <w:r>
        <w:rPr>
          <w:spacing w:val="34"/>
          <w:vertAlign w:val="baseline"/>
        </w:rPr>
        <w:t> </w:t>
      </w:r>
      <w:r>
        <w:rPr>
          <w:vertAlign w:val="baseline"/>
        </w:rPr>
        <w:t>play</w:t>
      </w:r>
      <w:r>
        <w:rPr>
          <w:spacing w:val="34"/>
          <w:vertAlign w:val="baseline"/>
        </w:rPr>
        <w:t> </w:t>
      </w:r>
      <w:r>
        <w:rPr>
          <w:vertAlign w:val="baseline"/>
        </w:rPr>
        <w:t>here</w:t>
      </w:r>
      <w:r>
        <w:rPr>
          <w:spacing w:val="34"/>
          <w:vertAlign w:val="baseline"/>
        </w:rPr>
        <w:t> </w:t>
      </w:r>
      <w:r>
        <w:rPr>
          <w:color w:val="005DA1"/>
          <w:u w:val="single" w:color="005DA1"/>
          <w:vertAlign w:val="superscript"/>
        </w:rPr>
        <w:t>346</w:t>
      </w:r>
      <w:r>
        <w:rPr>
          <w:color w:val="005DA1"/>
          <w:spacing w:val="52"/>
          <w:w w:val="150"/>
          <w:vertAlign w:val="baseline"/>
        </w:rPr>
        <w:t>  </w:t>
      </w:r>
      <w:r>
        <w:rPr>
          <w:color w:val="005DA1"/>
          <w:spacing w:val="-3"/>
          <w:position w:val="-2"/>
          <w:vertAlign w:val="baseline"/>
        </w:rPr>
        <w:drawing>
          <wp:inline distT="0" distB="0" distL="0" distR="0">
            <wp:extent cx="107988" cy="107988"/>
            <wp:effectExtent l="0" t="0" r="0" b="0"/>
            <wp:docPr id="52" name="Image 52"/>
            <wp:cNvGraphicFramePr>
              <a:graphicFrameLocks/>
            </wp:cNvGraphicFramePr>
            <a:graphic>
              <a:graphicData uri="http://schemas.openxmlformats.org/drawingml/2006/picture">
                <pic:pic>
                  <pic:nvPicPr>
                    <pic:cNvPr id="52" name="Image 5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color w:val="005DA1"/>
          <w:spacing w:val="44"/>
          <w:vertAlign w:val="baseline"/>
        </w:rPr>
        <w:t> </w:t>
      </w:r>
      <w:r>
        <w:rPr>
          <w:vertAlign w:val="baseline"/>
        </w:rPr>
        <w:t>and</w:t>
      </w:r>
      <w:r>
        <w:rPr>
          <w:spacing w:val="34"/>
          <w:vertAlign w:val="baseline"/>
        </w:rPr>
        <w:t> </w:t>
      </w:r>
      <w:r>
        <w:rPr>
          <w:vertAlign w:val="baseline"/>
        </w:rPr>
        <w:t>found</w:t>
      </w:r>
      <w:r>
        <w:rPr>
          <w:spacing w:val="34"/>
          <w:vertAlign w:val="baseline"/>
        </w:rPr>
        <w:t> </w:t>
      </w:r>
      <w:r>
        <w:rPr>
          <w:vertAlign w:val="baseline"/>
        </w:rPr>
        <w:t>a</w:t>
      </w:r>
      <w:r>
        <w:rPr>
          <w:spacing w:val="34"/>
          <w:vertAlign w:val="baseline"/>
        </w:rPr>
        <w:t> </w:t>
      </w:r>
      <w:r>
        <w:rPr>
          <w:vertAlign w:val="baseline"/>
        </w:rPr>
        <w:t>concluded</w:t>
      </w:r>
      <w:r>
        <w:rPr>
          <w:spacing w:val="34"/>
          <w:vertAlign w:val="baseline"/>
        </w:rPr>
        <w:t> </w:t>
      </w:r>
      <w:r>
        <w:rPr>
          <w:vertAlign w:val="baseline"/>
        </w:rPr>
        <w:t>contract</w:t>
      </w:r>
      <w:r>
        <w:rPr>
          <w:spacing w:val="34"/>
          <w:vertAlign w:val="baseline"/>
        </w:rPr>
        <w:t> </w:t>
      </w:r>
      <w:r>
        <w:rPr>
          <w:vertAlign w:val="baseline"/>
        </w:rPr>
        <w:t>despite</w:t>
      </w:r>
      <w:r>
        <w:rPr>
          <w:spacing w:val="34"/>
          <w:vertAlign w:val="baseline"/>
        </w:rPr>
        <w:t> </w:t>
      </w:r>
      <w:r>
        <w:rPr>
          <w:vertAlign w:val="baseline"/>
        </w:rPr>
        <w:t>the</w:t>
      </w:r>
      <w:r>
        <w:rPr>
          <w:spacing w:val="34"/>
          <w:vertAlign w:val="baseline"/>
        </w:rPr>
        <w:t> </w:t>
      </w:r>
      <w:r>
        <w:rPr>
          <w:vertAlign w:val="baseline"/>
        </w:rPr>
        <w:t>contract</w:t>
      </w:r>
      <w:r>
        <w:rPr>
          <w:spacing w:val="34"/>
          <w:vertAlign w:val="baseline"/>
        </w:rPr>
        <w:t> </w:t>
      </w:r>
      <w:r>
        <w:rPr>
          <w:spacing w:val="-2"/>
          <w:vertAlign w:val="baseline"/>
        </w:rPr>
        <w:t>document</w:t>
      </w:r>
    </w:p>
    <w:p>
      <w:pPr>
        <w:pStyle w:val="BodyText"/>
        <w:spacing w:line="235" w:lineRule="auto" w:before="3"/>
        <w:ind w:left="165" w:right="167"/>
        <w:jc w:val="both"/>
      </w:pPr>
      <w:r>
        <w:rPr/>
        <w:t>remaining unsigned by the offeree as required by the contract, because </w:t>
      </w:r>
      <w:r>
        <w:rPr>
          <w:color w:val="005DA1"/>
          <w:u w:val="single" w:color="005DA1"/>
          <w:vertAlign w:val="superscript"/>
        </w:rPr>
        <w:t>347</w:t>
      </w:r>
      <w:r>
        <w:rPr>
          <w:color w:val="005DA1"/>
          <w:spacing w:val="80"/>
          <w:w w:val="150"/>
          <w:vertAlign w:val="baseline"/>
        </w:rPr>
        <w:t> </w:t>
      </w:r>
      <w:r>
        <w:rPr>
          <w:color w:val="005DA1"/>
          <w:spacing w:val="-12"/>
          <w:position w:val="-2"/>
          <w:vertAlign w:val="baseline"/>
        </w:rPr>
        <w:drawing>
          <wp:inline distT="0" distB="0" distL="0" distR="0">
            <wp:extent cx="107988" cy="107988"/>
            <wp:effectExtent l="0" t="0" r="0" b="0"/>
            <wp:docPr id="53" name="Image 53"/>
            <wp:cNvGraphicFramePr>
              <a:graphicFrameLocks/>
            </wp:cNvGraphicFramePr>
            <a:graphic>
              <a:graphicData uri="http://schemas.openxmlformats.org/drawingml/2006/picture">
                <pic:pic>
                  <pic:nvPicPr>
                    <pic:cNvPr id="53" name="Image 5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2"/>
          <w:position w:val="-2"/>
          <w:vertAlign w:val="baseline"/>
        </w:rPr>
      </w:r>
      <w:r>
        <w:rPr>
          <w:vertAlign w:val="baseline"/>
        </w:rPr>
        <w:t>: the contract was on the offeree’s standard form and the signature requirement was for its benefit; the requirement </w:t>
      </w:r>
      <w:r>
        <w:rPr>
          <w:vertAlign w:val="baseline"/>
        </w:rPr>
        <w:t>was waived by the offeree performing the contract as contemplated; there was no prejudice to the offeror, who had benefitted from and had actively facilitated the offeree’s performance; subsequent conduct on</w:t>
      </w:r>
      <w:r>
        <w:rPr>
          <w:spacing w:val="-1"/>
          <w:vertAlign w:val="baseline"/>
        </w:rPr>
        <w:t> </w:t>
      </w:r>
      <w:r>
        <w:rPr>
          <w:vertAlign w:val="baseline"/>
        </w:rPr>
        <w:t>both</w:t>
      </w:r>
      <w:r>
        <w:rPr>
          <w:spacing w:val="-1"/>
          <w:vertAlign w:val="baseline"/>
        </w:rPr>
        <w:t> </w:t>
      </w:r>
      <w:r>
        <w:rPr>
          <w:vertAlign w:val="baseline"/>
        </w:rPr>
        <w:t>sides</w:t>
      </w:r>
      <w:r>
        <w:rPr>
          <w:spacing w:val="-1"/>
          <w:vertAlign w:val="baseline"/>
        </w:rPr>
        <w:t> </w:t>
      </w:r>
      <w:r>
        <w:rPr>
          <w:vertAlign w:val="baseline"/>
        </w:rPr>
        <w:t>confirmed</w:t>
      </w:r>
      <w:r>
        <w:rPr>
          <w:spacing w:val="-2"/>
          <w:vertAlign w:val="baseline"/>
        </w:rPr>
        <w:t> </w:t>
      </w:r>
      <w:r>
        <w:rPr>
          <w:vertAlign w:val="baseline"/>
        </w:rPr>
        <w:t>the</w:t>
      </w:r>
      <w:r>
        <w:rPr>
          <w:spacing w:val="-1"/>
          <w:vertAlign w:val="baseline"/>
        </w:rPr>
        <w:t> </w:t>
      </w:r>
      <w:r>
        <w:rPr>
          <w:vertAlign w:val="baseline"/>
        </w:rPr>
        <w:t>existence</w:t>
      </w:r>
      <w:r>
        <w:rPr>
          <w:spacing w:val="-1"/>
          <w:vertAlign w:val="baseline"/>
        </w:rPr>
        <w:t> </w:t>
      </w:r>
      <w:r>
        <w:rPr>
          <w:vertAlign w:val="baseline"/>
        </w:rPr>
        <w:t>of</w:t>
      </w:r>
      <w:r>
        <w:rPr>
          <w:spacing w:val="-1"/>
          <w:vertAlign w:val="baseline"/>
        </w:rPr>
        <w:t> </w:t>
      </w:r>
      <w:r>
        <w:rPr>
          <w:vertAlign w:val="baseline"/>
        </w:rPr>
        <w:t>the</w:t>
      </w:r>
      <w:r>
        <w:rPr>
          <w:spacing w:val="-2"/>
          <w:vertAlign w:val="baseline"/>
        </w:rPr>
        <w:t> </w:t>
      </w:r>
      <w:r>
        <w:rPr>
          <w:vertAlign w:val="baseline"/>
        </w:rPr>
        <w:t>contract;</w:t>
      </w:r>
      <w:r>
        <w:rPr>
          <w:spacing w:val="-1"/>
          <w:vertAlign w:val="baseline"/>
        </w:rPr>
        <w:t> </w:t>
      </w:r>
      <w:r>
        <w:rPr>
          <w:vertAlign w:val="baseline"/>
        </w:rPr>
        <w:t>and</w:t>
      </w:r>
      <w:r>
        <w:rPr>
          <w:spacing w:val="-1"/>
          <w:vertAlign w:val="baseline"/>
        </w:rPr>
        <w:t> </w:t>
      </w:r>
      <w:r>
        <w:rPr>
          <w:vertAlign w:val="baseline"/>
        </w:rPr>
        <w:t>finding</w:t>
      </w:r>
      <w:r>
        <w:rPr>
          <w:spacing w:val="-1"/>
          <w:vertAlign w:val="baseline"/>
        </w:rPr>
        <w:t> </w:t>
      </w:r>
      <w:r>
        <w:rPr>
          <w:vertAlign w:val="baseline"/>
        </w:rPr>
        <w:t>a</w:t>
      </w:r>
      <w:r>
        <w:rPr>
          <w:spacing w:val="-2"/>
          <w:vertAlign w:val="baseline"/>
        </w:rPr>
        <w:t> </w:t>
      </w:r>
      <w:r>
        <w:rPr>
          <w:vertAlign w:val="baseline"/>
        </w:rPr>
        <w:t>contract</w:t>
      </w:r>
      <w:r>
        <w:rPr>
          <w:spacing w:val="-1"/>
          <w:vertAlign w:val="baseline"/>
        </w:rPr>
        <w:t> </w:t>
      </w:r>
      <w:r>
        <w:rPr>
          <w:vertAlign w:val="baseline"/>
        </w:rPr>
        <w:t>“accords</w:t>
      </w:r>
      <w:r>
        <w:rPr>
          <w:spacing w:val="-1"/>
          <w:vertAlign w:val="baseline"/>
        </w:rPr>
        <w:t> </w:t>
      </w:r>
      <w:r>
        <w:rPr>
          <w:vertAlign w:val="baseline"/>
        </w:rPr>
        <w:t>with</w:t>
      </w:r>
      <w:r>
        <w:rPr>
          <w:spacing w:val="-1"/>
          <w:vertAlign w:val="baseline"/>
        </w:rPr>
        <w:t> </w:t>
      </w:r>
      <w:r>
        <w:rPr>
          <w:vertAlign w:val="baseline"/>
        </w:rPr>
        <w:t>what</w:t>
      </w:r>
      <w:r>
        <w:rPr>
          <w:spacing w:val="-2"/>
          <w:vertAlign w:val="baseline"/>
        </w:rPr>
        <w:t> </w:t>
      </w:r>
      <w:r>
        <w:rPr>
          <w:vertAlign w:val="baseline"/>
        </w:rPr>
        <w:t>would be the reasonable expectations of Lord Steyn’s honest, sensible business people”. Nevertheless, the </w:t>
      </w:r>
      <w:bookmarkStart w:name="_bookmark649" w:id="651"/>
      <w:bookmarkEnd w:id="651"/>
      <w:r>
        <w:rPr>
          <w:vertAlign w:val="baseline"/>
        </w:rPr>
        <w:t>Court</w:t>
      </w:r>
      <w:r>
        <w:rPr>
          <w:spacing w:val="43"/>
          <w:vertAlign w:val="baseline"/>
        </w:rPr>
        <w:t> </w:t>
      </w:r>
      <w:r>
        <w:rPr>
          <w:vertAlign w:val="baseline"/>
        </w:rPr>
        <w:t>acknowledged</w:t>
      </w:r>
      <w:r>
        <w:rPr>
          <w:spacing w:val="43"/>
          <w:vertAlign w:val="baseline"/>
        </w:rPr>
        <w:t> </w:t>
      </w:r>
      <w:r>
        <w:rPr>
          <w:vertAlign w:val="baseline"/>
        </w:rPr>
        <w:t>that</w:t>
      </w:r>
      <w:r>
        <w:rPr>
          <w:spacing w:val="43"/>
          <w:vertAlign w:val="baseline"/>
        </w:rPr>
        <w:t> </w:t>
      </w:r>
      <w:r>
        <w:rPr>
          <w:vertAlign w:val="baseline"/>
        </w:rPr>
        <w:t>the</w:t>
      </w:r>
      <w:r>
        <w:rPr>
          <w:spacing w:val="43"/>
          <w:vertAlign w:val="baseline"/>
        </w:rPr>
        <w:t> </w:t>
      </w:r>
      <w:r>
        <w:rPr>
          <w:vertAlign w:val="baseline"/>
        </w:rPr>
        <w:t>offeree’s</w:t>
      </w:r>
      <w:r>
        <w:rPr>
          <w:spacing w:val="43"/>
          <w:vertAlign w:val="baseline"/>
        </w:rPr>
        <w:t> </w:t>
      </w:r>
      <w:r>
        <w:rPr>
          <w:vertAlign w:val="baseline"/>
        </w:rPr>
        <w:t>failure</w:t>
      </w:r>
      <w:r>
        <w:rPr>
          <w:spacing w:val="43"/>
          <w:vertAlign w:val="baseline"/>
        </w:rPr>
        <w:t> </w:t>
      </w:r>
      <w:r>
        <w:rPr>
          <w:vertAlign w:val="baseline"/>
        </w:rPr>
        <w:t>to</w:t>
      </w:r>
      <w:r>
        <w:rPr>
          <w:spacing w:val="43"/>
          <w:vertAlign w:val="baseline"/>
        </w:rPr>
        <w:t> </w:t>
      </w:r>
      <w:r>
        <w:rPr>
          <w:vertAlign w:val="baseline"/>
        </w:rPr>
        <w:t>sign</w:t>
      </w:r>
      <w:r>
        <w:rPr>
          <w:spacing w:val="43"/>
          <w:vertAlign w:val="baseline"/>
        </w:rPr>
        <w:t> </w:t>
      </w:r>
      <w:r>
        <w:rPr>
          <w:vertAlign w:val="baseline"/>
        </w:rPr>
        <w:t>“was</w:t>
      </w:r>
      <w:r>
        <w:rPr>
          <w:spacing w:val="43"/>
          <w:vertAlign w:val="baseline"/>
        </w:rPr>
        <w:t> </w:t>
      </w:r>
      <w:r>
        <w:rPr>
          <w:vertAlign w:val="baseline"/>
        </w:rPr>
        <w:t>at</w:t>
      </w:r>
      <w:r>
        <w:rPr>
          <w:spacing w:val="43"/>
          <w:vertAlign w:val="baseline"/>
        </w:rPr>
        <w:t> </w:t>
      </w:r>
      <w:r>
        <w:rPr>
          <w:vertAlign w:val="baseline"/>
        </w:rPr>
        <w:t>the</w:t>
      </w:r>
      <w:r>
        <w:rPr>
          <w:spacing w:val="43"/>
          <w:vertAlign w:val="baseline"/>
        </w:rPr>
        <w:t> </w:t>
      </w:r>
      <w:r>
        <w:rPr>
          <w:vertAlign w:val="baseline"/>
        </w:rPr>
        <w:t>expense</w:t>
      </w:r>
      <w:r>
        <w:rPr>
          <w:spacing w:val="43"/>
          <w:vertAlign w:val="baseline"/>
        </w:rPr>
        <w:t> </w:t>
      </w:r>
      <w:r>
        <w:rPr>
          <w:vertAlign w:val="baseline"/>
        </w:rPr>
        <w:t>of</w:t>
      </w:r>
      <w:r>
        <w:rPr>
          <w:spacing w:val="43"/>
          <w:vertAlign w:val="baseline"/>
        </w:rPr>
        <w:t> </w:t>
      </w:r>
      <w:r>
        <w:rPr>
          <w:vertAlign w:val="baseline"/>
        </w:rPr>
        <w:t>certainty</w:t>
      </w:r>
      <w:r>
        <w:rPr>
          <w:spacing w:val="43"/>
          <w:vertAlign w:val="baseline"/>
        </w:rPr>
        <w:t> </w:t>
      </w:r>
      <w:r>
        <w:rPr>
          <w:vertAlign w:val="baseline"/>
        </w:rPr>
        <w:t>as</w:t>
      </w:r>
      <w:r>
        <w:rPr>
          <w:spacing w:val="43"/>
          <w:vertAlign w:val="baseline"/>
        </w:rPr>
        <w:t> </w:t>
      </w:r>
      <w:r>
        <w:rPr>
          <w:vertAlign w:val="baseline"/>
        </w:rPr>
        <w:t>to</w:t>
      </w:r>
      <w:r>
        <w:rPr>
          <w:spacing w:val="43"/>
          <w:vertAlign w:val="baseline"/>
        </w:rPr>
        <w:t> </w:t>
      </w:r>
      <w:r>
        <w:rPr>
          <w:spacing w:val="-5"/>
          <w:vertAlign w:val="baseline"/>
        </w:rPr>
        <w:t>the</w:t>
      </w:r>
    </w:p>
    <w:p>
      <w:pPr>
        <w:pStyle w:val="BodyText"/>
        <w:spacing w:before="114"/>
        <w:ind w:left="165"/>
        <w:jc w:val="both"/>
        <w:rPr>
          <w:position w:val="-2"/>
        </w:rPr>
      </w:pPr>
      <w:r>
        <w:rPr/>
        <w:t>precise date the contract was formed”, although this was not significant on the facts. </w:t>
      </w:r>
      <w:r>
        <w:rPr>
          <w:color w:val="005DA1"/>
          <w:u w:val="single" w:color="005DA1"/>
          <w:vertAlign w:val="superscript"/>
        </w:rPr>
        <w:t>348</w:t>
      </w:r>
      <w:r>
        <w:rPr>
          <w:color w:val="005DA1"/>
          <w:spacing w:val="80"/>
          <w:w w:val="150"/>
          <w:vertAlign w:val="baseline"/>
        </w:rPr>
        <w:t> </w:t>
      </w:r>
      <w:r>
        <w:rPr>
          <w:color w:val="005DA1"/>
          <w:position w:val="-2"/>
          <w:vertAlign w:val="baseline"/>
        </w:rPr>
        <w:drawing>
          <wp:inline distT="0" distB="0" distL="0" distR="0">
            <wp:extent cx="107988" cy="107988"/>
            <wp:effectExtent l="0" t="0" r="0" b="0"/>
            <wp:docPr id="54" name="Image 54"/>
            <wp:cNvGraphicFramePr>
              <a:graphicFrameLocks/>
            </wp:cNvGraphicFramePr>
            <a:graphic>
              <a:graphicData uri="http://schemas.openxmlformats.org/drawingml/2006/picture">
                <pic:pic>
                  <pic:nvPicPr>
                    <pic:cNvPr id="54" name="Image 5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02688">
                <wp:simplePos x="0" y="0"/>
                <wp:positionH relativeFrom="page">
                  <wp:posOffset>914400</wp:posOffset>
                </wp:positionH>
                <wp:positionV relativeFrom="paragraph">
                  <wp:posOffset>186046</wp:posOffset>
                </wp:positionV>
                <wp:extent cx="5724525" cy="1270"/>
                <wp:effectExtent l="0" t="0" r="0" b="0"/>
                <wp:wrapTopAndBottom/>
                <wp:docPr id="55" name="Graphic 55"/>
                <wp:cNvGraphicFramePr>
                  <a:graphicFrameLocks/>
                </wp:cNvGraphicFramePr>
                <a:graphic>
                  <a:graphicData uri="http://schemas.microsoft.com/office/word/2010/wordprocessingShape">
                    <wps:wsp>
                      <wps:cNvPr id="55" name="Graphic 5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49304pt;width:450.75pt;height:.1pt;mso-position-horizontal-relative:page;mso-position-vertical-relative:paragraph;z-index:-15713792;mso-wrap-distance-left:0;mso-wrap-distance-right:0" id="docshape14" coordorigin="1440,293" coordsize="9015,0" path="m1440,293l10454,293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650" w:id="652"/>
      <w:bookmarkEnd w:id="652"/>
      <w:r>
        <w:rPr/>
      </w:r>
      <w:hyperlink w:history="true" w:anchor="_bookmark635">
        <w:r>
          <w:rPr>
            <w:color w:val="005DA1"/>
            <w:position w:val="5"/>
            <w:sz w:val="14"/>
            <w:u w:val="single" w:color="005DA1"/>
          </w:rPr>
          <w:t>332</w:t>
        </w:r>
      </w:hyperlink>
      <w:r>
        <w:rPr>
          <w:position w:val="5"/>
          <w:sz w:val="14"/>
        </w:rPr>
        <w:t>.</w:t>
      </w:r>
      <w:r>
        <w:rPr>
          <w:spacing w:val="80"/>
          <w:position w:val="5"/>
          <w:sz w:val="14"/>
        </w:rPr>
        <w:t> </w:t>
      </w:r>
      <w:r>
        <w:rPr>
          <w:sz w:val="20"/>
        </w:rPr>
        <w:t>There is no “prescribed” mode of acceptance in the sense under consideration here </w:t>
      </w:r>
      <w:r>
        <w:rPr>
          <w:sz w:val="20"/>
        </w:rPr>
        <w:t>merely because “the agreement envisages a signature [by each party] and leaves a space for these signatures”: </w:t>
      </w:r>
      <w:r>
        <w:rPr>
          <w:rFonts w:ascii="Arial" w:hAnsi="Arial"/>
          <w:i/>
          <w:sz w:val="20"/>
        </w:rPr>
        <w:t>Maple Leaf Macro Volatility Master Fund v Rouvroy [2009] EWCA Civ 1334, [2010] 2 All E.R. (Comm) 788 </w:t>
      </w:r>
      <w:r>
        <w:rPr>
          <w:sz w:val="20"/>
        </w:rPr>
        <w:t>at [16]. Even if the offer expressly refers to a method of acceptance (such as signature by the offeree) that method need only be complied with if, on the true construction of the offer, it is intended to be the </w:t>
      </w:r>
      <w:r>
        <w:rPr>
          <w:rFonts w:ascii="Arial" w:hAnsi="Arial"/>
          <w:i/>
          <w:sz w:val="20"/>
        </w:rPr>
        <w:t>only </w:t>
      </w:r>
      <w:r>
        <w:rPr>
          <w:sz w:val="20"/>
        </w:rPr>
        <w:t>method of acceptance: </w:t>
      </w:r>
      <w:r>
        <w:rPr>
          <w:rFonts w:ascii="Arial" w:hAnsi="Arial"/>
          <w:i/>
          <w:sz w:val="20"/>
        </w:rPr>
        <w:t>Mulcaire v News Group Newspapers Ltd [2011] EWHC 3469 (Ch), [2012] Ch. 435 </w:t>
      </w:r>
      <w:r>
        <w:rPr>
          <w:sz w:val="20"/>
        </w:rPr>
        <w:t>at [11].</w:t>
      </w:r>
    </w:p>
    <w:p>
      <w:pPr>
        <w:pStyle w:val="BodyText"/>
        <w:spacing w:before="3"/>
      </w:pPr>
    </w:p>
    <w:p>
      <w:pPr>
        <w:pStyle w:val="BodyText"/>
        <w:tabs>
          <w:tab w:pos="705" w:val="left" w:leader="none"/>
        </w:tabs>
        <w:ind w:left="165"/>
      </w:pPr>
      <w:bookmarkStart w:name="_bookmark651" w:id="653"/>
      <w:bookmarkEnd w:id="653"/>
      <w:r>
        <w:rPr/>
      </w:r>
      <w:hyperlink w:history="true" w:anchor="_bookmark636">
        <w:r>
          <w:rPr>
            <w:color w:val="005DA1"/>
            <w:spacing w:val="-4"/>
            <w:position w:val="5"/>
            <w:sz w:val="14"/>
            <w:u w:val="single" w:color="005DA1"/>
          </w:rPr>
          <w:t>333</w:t>
        </w:r>
      </w:hyperlink>
      <w:r>
        <w:rPr>
          <w:spacing w:val="-4"/>
          <w:position w:val="5"/>
          <w:sz w:val="14"/>
        </w:rPr>
        <w:t>.</w:t>
      </w:r>
      <w:r>
        <w:rPr>
          <w:position w:val="5"/>
          <w:sz w:val="14"/>
        </w:rPr>
        <w:tab/>
      </w:r>
      <w:r>
        <w:rPr/>
        <w:t>See qualifications in para.2-065 </w:t>
      </w:r>
      <w:r>
        <w:rPr>
          <w:spacing w:val="-2"/>
        </w:rPr>
        <w:t>below.</w:t>
      </w:r>
    </w:p>
    <w:p>
      <w:pPr>
        <w:pStyle w:val="BodyText"/>
        <w:spacing w:before="5"/>
      </w:pPr>
    </w:p>
    <w:p>
      <w:pPr>
        <w:tabs>
          <w:tab w:pos="705" w:val="left" w:leader="none"/>
        </w:tabs>
        <w:spacing w:line="227" w:lineRule="exact" w:before="1"/>
        <w:ind w:left="165" w:right="0" w:firstLine="0"/>
        <w:jc w:val="left"/>
        <w:rPr>
          <w:rFonts w:ascii="Arial"/>
          <w:i/>
          <w:sz w:val="20"/>
        </w:rPr>
      </w:pPr>
      <w:bookmarkStart w:name="_bookmark652" w:id="654"/>
      <w:bookmarkEnd w:id="654"/>
      <w:r>
        <w:rPr/>
      </w:r>
      <w:hyperlink w:history="true" w:anchor="_bookmark637">
        <w:r>
          <w:rPr>
            <w:color w:val="005DA1"/>
            <w:spacing w:val="-4"/>
            <w:position w:val="5"/>
            <w:sz w:val="14"/>
            <w:u w:val="single" w:color="005DA1"/>
          </w:rPr>
          <w:t>334</w:t>
        </w:r>
      </w:hyperlink>
      <w:r>
        <w:rPr>
          <w:spacing w:val="-4"/>
          <w:position w:val="5"/>
          <w:sz w:val="14"/>
        </w:rPr>
        <w:t>.</w:t>
      </w:r>
      <w:r>
        <w:rPr>
          <w:position w:val="5"/>
          <w:sz w:val="14"/>
        </w:rPr>
        <w:tab/>
      </w:r>
      <w:r>
        <w:rPr>
          <w:rFonts w:ascii="Arial"/>
          <w:i/>
          <w:sz w:val="20"/>
        </w:rPr>
        <w:t>Frank</w:t>
      </w:r>
      <w:r>
        <w:rPr>
          <w:rFonts w:ascii="Arial"/>
          <w:i/>
          <w:spacing w:val="4"/>
          <w:sz w:val="20"/>
        </w:rPr>
        <w:t> </w:t>
      </w:r>
      <w:r>
        <w:rPr>
          <w:rFonts w:ascii="Arial"/>
          <w:i/>
          <w:sz w:val="20"/>
        </w:rPr>
        <w:t>v</w:t>
      </w:r>
      <w:r>
        <w:rPr>
          <w:rFonts w:ascii="Arial"/>
          <w:i/>
          <w:spacing w:val="5"/>
          <w:sz w:val="20"/>
        </w:rPr>
        <w:t> </w:t>
      </w:r>
      <w:r>
        <w:rPr>
          <w:rFonts w:ascii="Arial"/>
          <w:i/>
          <w:sz w:val="20"/>
        </w:rPr>
        <w:t>Knight</w:t>
      </w:r>
      <w:r>
        <w:rPr>
          <w:rFonts w:ascii="Arial"/>
          <w:i/>
          <w:spacing w:val="5"/>
          <w:sz w:val="20"/>
        </w:rPr>
        <w:t> </w:t>
      </w:r>
      <w:r>
        <w:rPr>
          <w:rFonts w:ascii="Arial"/>
          <w:i/>
          <w:sz w:val="20"/>
        </w:rPr>
        <w:t>(1937)</w:t>
      </w:r>
      <w:r>
        <w:rPr>
          <w:rFonts w:ascii="Arial"/>
          <w:i/>
          <w:spacing w:val="5"/>
          <w:sz w:val="20"/>
        </w:rPr>
        <w:t> </w:t>
      </w:r>
      <w:r>
        <w:rPr>
          <w:rFonts w:ascii="Arial"/>
          <w:i/>
          <w:sz w:val="20"/>
        </w:rPr>
        <w:t>O.P.D.</w:t>
      </w:r>
      <w:r>
        <w:rPr>
          <w:rFonts w:ascii="Arial"/>
          <w:i/>
          <w:spacing w:val="5"/>
          <w:sz w:val="20"/>
        </w:rPr>
        <w:t> </w:t>
      </w:r>
      <w:r>
        <w:rPr>
          <w:rFonts w:ascii="Arial"/>
          <w:i/>
          <w:sz w:val="20"/>
        </w:rPr>
        <w:t>113</w:t>
      </w:r>
      <w:r>
        <w:rPr>
          <w:sz w:val="20"/>
        </w:rPr>
        <w:t>;</w:t>
      </w:r>
      <w:r>
        <w:rPr>
          <w:spacing w:val="5"/>
          <w:sz w:val="20"/>
        </w:rPr>
        <w:t> </w:t>
      </w:r>
      <w:r>
        <w:rPr>
          <w:sz w:val="20"/>
        </w:rPr>
        <w:t>cf.</w:t>
      </w:r>
      <w:r>
        <w:rPr>
          <w:spacing w:val="5"/>
          <w:sz w:val="20"/>
        </w:rPr>
        <w:t> </w:t>
      </w:r>
      <w:r>
        <w:rPr>
          <w:rFonts w:ascii="Arial"/>
          <w:i/>
          <w:sz w:val="20"/>
        </w:rPr>
        <w:t>Eliason</w:t>
      </w:r>
      <w:r>
        <w:rPr>
          <w:rFonts w:ascii="Arial"/>
          <w:i/>
          <w:spacing w:val="5"/>
          <w:sz w:val="20"/>
        </w:rPr>
        <w:t> </w:t>
      </w:r>
      <w:r>
        <w:rPr>
          <w:rFonts w:ascii="Arial"/>
          <w:i/>
          <w:sz w:val="20"/>
        </w:rPr>
        <w:t>v</w:t>
      </w:r>
      <w:r>
        <w:rPr>
          <w:rFonts w:ascii="Arial"/>
          <w:i/>
          <w:spacing w:val="4"/>
          <w:sz w:val="20"/>
        </w:rPr>
        <w:t> </w:t>
      </w:r>
      <w:r>
        <w:rPr>
          <w:rFonts w:ascii="Arial"/>
          <w:i/>
          <w:sz w:val="20"/>
        </w:rPr>
        <w:t>Henshaw</w:t>
      </w:r>
      <w:r>
        <w:rPr>
          <w:rFonts w:ascii="Arial"/>
          <w:i/>
          <w:spacing w:val="5"/>
          <w:sz w:val="20"/>
        </w:rPr>
        <w:t> </w:t>
      </w:r>
      <w:r>
        <w:rPr>
          <w:rFonts w:ascii="Arial"/>
          <w:i/>
          <w:sz w:val="20"/>
        </w:rPr>
        <w:t>4</w:t>
      </w:r>
      <w:r>
        <w:rPr>
          <w:rFonts w:ascii="Arial"/>
          <w:i/>
          <w:spacing w:val="5"/>
          <w:sz w:val="20"/>
        </w:rPr>
        <w:t> </w:t>
      </w:r>
      <w:r>
        <w:rPr>
          <w:rFonts w:ascii="Arial"/>
          <w:i/>
          <w:sz w:val="20"/>
        </w:rPr>
        <w:t>Wheat.</w:t>
      </w:r>
      <w:r>
        <w:rPr>
          <w:rFonts w:ascii="Arial"/>
          <w:i/>
          <w:spacing w:val="5"/>
          <w:sz w:val="20"/>
        </w:rPr>
        <w:t> </w:t>
      </w:r>
      <w:r>
        <w:rPr>
          <w:rFonts w:ascii="Arial"/>
          <w:i/>
          <w:sz w:val="20"/>
        </w:rPr>
        <w:t>225</w:t>
      </w:r>
      <w:r>
        <w:rPr>
          <w:rFonts w:ascii="Arial"/>
          <w:i/>
          <w:spacing w:val="5"/>
          <w:sz w:val="20"/>
        </w:rPr>
        <w:t> </w:t>
      </w:r>
      <w:r>
        <w:rPr>
          <w:rFonts w:ascii="Arial"/>
          <w:i/>
          <w:sz w:val="20"/>
        </w:rPr>
        <w:t>(1819)</w:t>
      </w:r>
      <w:r>
        <w:rPr>
          <w:sz w:val="20"/>
        </w:rPr>
        <w:t>;</w:t>
      </w:r>
      <w:r>
        <w:rPr>
          <w:spacing w:val="5"/>
          <w:sz w:val="20"/>
        </w:rPr>
        <w:t> </w:t>
      </w:r>
      <w:r>
        <w:rPr>
          <w:rFonts w:ascii="Arial"/>
          <w:i/>
          <w:sz w:val="20"/>
        </w:rPr>
        <w:t>Walker</w:t>
      </w:r>
      <w:r>
        <w:rPr>
          <w:rFonts w:ascii="Arial"/>
          <w:i/>
          <w:spacing w:val="5"/>
          <w:sz w:val="20"/>
        </w:rPr>
        <w:t> </w:t>
      </w:r>
      <w:r>
        <w:rPr>
          <w:rFonts w:ascii="Arial"/>
          <w:i/>
          <w:sz w:val="20"/>
        </w:rPr>
        <w:t>v</w:t>
      </w:r>
      <w:r>
        <w:rPr>
          <w:rFonts w:ascii="Arial"/>
          <w:i/>
          <w:spacing w:val="5"/>
          <w:sz w:val="20"/>
        </w:rPr>
        <w:t> </w:t>
      </w:r>
      <w:r>
        <w:rPr>
          <w:rFonts w:ascii="Arial"/>
          <w:i/>
          <w:spacing w:val="-2"/>
          <w:sz w:val="20"/>
        </w:rPr>
        <w:t>Glass</w:t>
      </w:r>
    </w:p>
    <w:p>
      <w:pPr>
        <w:spacing w:line="227" w:lineRule="exact" w:before="0"/>
        <w:ind w:left="705" w:right="0" w:firstLine="0"/>
        <w:jc w:val="left"/>
        <w:rPr>
          <w:sz w:val="20"/>
        </w:rPr>
      </w:pPr>
      <w:r>
        <w:rPr>
          <w:rFonts w:ascii="Arial"/>
          <w:i/>
          <w:sz w:val="20"/>
        </w:rPr>
        <w:t>[1979] N.I. </w:t>
      </w:r>
      <w:r>
        <w:rPr>
          <w:rFonts w:ascii="Arial"/>
          <w:i/>
          <w:spacing w:val="-4"/>
          <w:sz w:val="20"/>
        </w:rPr>
        <w:t>129</w:t>
      </w:r>
      <w:r>
        <w:rPr>
          <w:spacing w:val="-4"/>
          <w:sz w:val="20"/>
        </w:rPr>
        <w:t>.</w:t>
      </w:r>
    </w:p>
    <w:p>
      <w:pPr>
        <w:pStyle w:val="BodyText"/>
        <w:spacing w:before="8"/>
      </w:pPr>
    </w:p>
    <w:p>
      <w:pPr>
        <w:spacing w:line="235" w:lineRule="auto" w:before="0"/>
        <w:ind w:left="705" w:right="168" w:hanging="541"/>
        <w:jc w:val="both"/>
        <w:rPr>
          <w:sz w:val="20"/>
        </w:rPr>
      </w:pPr>
      <w:bookmarkStart w:name="_bookmark653" w:id="655"/>
      <w:bookmarkEnd w:id="655"/>
      <w:r>
        <w:rPr/>
      </w:r>
      <w:hyperlink w:history="true" w:anchor="_bookmark638">
        <w:r>
          <w:rPr>
            <w:color w:val="005DA1"/>
            <w:position w:val="5"/>
            <w:sz w:val="14"/>
            <w:u w:val="single" w:color="005DA1"/>
          </w:rPr>
          <w:t>335</w:t>
        </w:r>
      </w:hyperlink>
      <w:r>
        <w:rPr>
          <w:position w:val="5"/>
          <w:sz w:val="14"/>
        </w:rPr>
        <w:t>.</w:t>
      </w:r>
      <w:r>
        <w:rPr>
          <w:spacing w:val="40"/>
          <w:position w:val="5"/>
          <w:sz w:val="14"/>
        </w:rPr>
        <w:t>  </w:t>
      </w:r>
      <w:r>
        <w:rPr>
          <w:rFonts w:ascii="Arial"/>
          <w:i/>
          <w:sz w:val="20"/>
        </w:rPr>
        <w:t>Financings Ltd v Stimson [1962] 1 W.L.R. 1184, 1186</w:t>
      </w:r>
      <w:r>
        <w:rPr>
          <w:sz w:val="20"/>
        </w:rPr>
        <w:t>. Contrast </w:t>
      </w:r>
      <w:r>
        <w:rPr>
          <w:rFonts w:ascii="Arial"/>
          <w:i/>
          <w:sz w:val="20"/>
        </w:rPr>
        <w:t>Hitchens v General Guarantee Corp [2001] EWCA Civ 359, The Times, March 13, 2001 </w:t>
      </w:r>
      <w:r>
        <w:rPr>
          <w:sz w:val="20"/>
        </w:rPr>
        <w:t>(where there was </w:t>
      </w:r>
      <w:r>
        <w:rPr>
          <w:rFonts w:ascii="Arial"/>
          <w:i/>
          <w:sz w:val="20"/>
        </w:rPr>
        <w:t>no </w:t>
      </w:r>
      <w:r>
        <w:rPr>
          <w:sz w:val="20"/>
        </w:rPr>
        <w:t>requirement that the acceptance must be in writing).</w:t>
      </w:r>
    </w:p>
    <w:p>
      <w:pPr>
        <w:pStyle w:val="BodyText"/>
        <w:spacing w:before="5"/>
      </w:pPr>
    </w:p>
    <w:p>
      <w:pPr>
        <w:tabs>
          <w:tab w:pos="705" w:val="left" w:leader="none"/>
        </w:tabs>
        <w:spacing w:before="0"/>
        <w:ind w:left="165" w:right="0" w:firstLine="0"/>
        <w:jc w:val="left"/>
        <w:rPr>
          <w:sz w:val="20"/>
        </w:rPr>
      </w:pPr>
      <w:bookmarkStart w:name="_bookmark654" w:id="656"/>
      <w:bookmarkEnd w:id="656"/>
      <w:r>
        <w:rPr/>
      </w:r>
      <w:hyperlink w:history="true" w:anchor="_bookmark639">
        <w:r>
          <w:rPr>
            <w:color w:val="005DA1"/>
            <w:spacing w:val="-4"/>
            <w:position w:val="5"/>
            <w:sz w:val="14"/>
            <w:u w:val="single" w:color="005DA1"/>
          </w:rPr>
          <w:t>336</w:t>
        </w:r>
      </w:hyperlink>
      <w:r>
        <w:rPr>
          <w:spacing w:val="-4"/>
          <w:position w:val="5"/>
          <w:sz w:val="14"/>
        </w:rPr>
        <w:t>.</w:t>
      </w:r>
      <w:r>
        <w:rPr>
          <w:position w:val="5"/>
          <w:sz w:val="14"/>
        </w:rPr>
        <w:tab/>
      </w:r>
      <w:r>
        <w:rPr>
          <w:rFonts w:ascii="Arial"/>
          <w:i/>
          <w:sz w:val="20"/>
        </w:rPr>
        <w:t>Holwell Securities Ltd v Hughes [1974] 1 W.L.R. </w:t>
      </w:r>
      <w:r>
        <w:rPr>
          <w:rFonts w:ascii="Arial"/>
          <w:i/>
          <w:spacing w:val="-4"/>
          <w:sz w:val="20"/>
        </w:rPr>
        <w:t>157</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640">
        <w:r>
          <w:rPr>
            <w:color w:val="005DA1"/>
            <w:spacing w:val="-4"/>
            <w:position w:val="5"/>
            <w:sz w:val="14"/>
            <w:u w:val="single" w:color="005DA1"/>
          </w:rPr>
          <w:t>337</w:t>
        </w:r>
      </w:hyperlink>
      <w:r>
        <w:rPr>
          <w:spacing w:val="-4"/>
          <w:position w:val="5"/>
          <w:sz w:val="14"/>
        </w:rPr>
        <w:t>.</w:t>
      </w:r>
      <w:r>
        <w:rPr>
          <w:position w:val="5"/>
          <w:sz w:val="14"/>
        </w:rPr>
        <w:tab/>
      </w:r>
      <w:r>
        <w:rPr>
          <w:rFonts w:ascii="Arial"/>
          <w:i/>
          <w:sz w:val="20"/>
        </w:rPr>
        <w:t>Wettern Electricity Ltd v Welsh Development Agency [1983] Q.B. </w:t>
      </w:r>
      <w:r>
        <w:rPr>
          <w:rFonts w:ascii="Arial"/>
          <w:i/>
          <w:spacing w:val="-4"/>
          <w:sz w:val="20"/>
        </w:rPr>
        <w:t>796</w:t>
      </w:r>
      <w:r>
        <w:rPr>
          <w:spacing w:val="-4"/>
          <w:sz w:val="20"/>
        </w:rPr>
        <w:t>.</w:t>
      </w:r>
    </w:p>
    <w:p>
      <w:pPr>
        <w:pStyle w:val="BodyText"/>
        <w:spacing w:before="9"/>
      </w:pPr>
    </w:p>
    <w:p>
      <w:pPr>
        <w:spacing w:line="235" w:lineRule="auto" w:before="0"/>
        <w:ind w:left="705" w:right="167" w:hanging="541"/>
        <w:jc w:val="both"/>
        <w:rPr>
          <w:sz w:val="20"/>
        </w:rPr>
      </w:pPr>
      <w:bookmarkStart w:name="_bookmark655" w:id="657"/>
      <w:bookmarkEnd w:id="657"/>
      <w:r>
        <w:rPr/>
      </w:r>
      <w:hyperlink w:history="true" w:anchor="_bookmark640">
        <w:r>
          <w:rPr>
            <w:color w:val="005DA1"/>
            <w:position w:val="5"/>
            <w:sz w:val="14"/>
            <w:u w:val="single" w:color="005DA1"/>
          </w:rPr>
          <w:t>338</w:t>
        </w:r>
      </w:hyperlink>
      <w:r>
        <w:rPr>
          <w:position w:val="5"/>
          <w:sz w:val="14"/>
        </w:rPr>
        <w:t>.</w:t>
      </w:r>
      <w:r>
        <w:rPr>
          <w:spacing w:val="80"/>
          <w:position w:val="5"/>
          <w:sz w:val="14"/>
        </w:rPr>
        <w:t>  </w:t>
      </w:r>
      <w:r>
        <w:rPr>
          <w:sz w:val="20"/>
        </w:rPr>
        <w:t>As</w:t>
      </w:r>
      <w:r>
        <w:rPr>
          <w:spacing w:val="-1"/>
          <w:sz w:val="20"/>
        </w:rPr>
        <w:t> </w:t>
      </w:r>
      <w:r>
        <w:rPr>
          <w:sz w:val="20"/>
        </w:rPr>
        <w:t>in</w:t>
      </w:r>
      <w:r>
        <w:rPr>
          <w:spacing w:val="-1"/>
          <w:sz w:val="20"/>
        </w:rPr>
        <w:t> </w:t>
      </w:r>
      <w:r>
        <w:rPr>
          <w:sz w:val="20"/>
        </w:rPr>
        <w:t>the</w:t>
      </w:r>
      <w:r>
        <w:rPr>
          <w:spacing w:val="-1"/>
          <w:sz w:val="20"/>
        </w:rPr>
        <w:t> </w:t>
      </w:r>
      <w:r>
        <w:rPr>
          <w:rFonts w:ascii="Arial"/>
          <w:i/>
          <w:sz w:val="20"/>
        </w:rPr>
        <w:t>Wettern</w:t>
      </w:r>
      <w:r>
        <w:rPr>
          <w:rFonts w:ascii="Arial"/>
          <w:i/>
          <w:spacing w:val="-1"/>
          <w:sz w:val="20"/>
        </w:rPr>
        <w:t> </w:t>
      </w:r>
      <w:r>
        <w:rPr>
          <w:rFonts w:ascii="Arial"/>
          <w:i/>
          <w:sz w:val="20"/>
        </w:rPr>
        <w:t>Electricity</w:t>
      </w:r>
      <w:r>
        <w:rPr>
          <w:rFonts w:ascii="Arial"/>
          <w:i/>
          <w:spacing w:val="-1"/>
          <w:sz w:val="20"/>
        </w:rPr>
        <w:t> </w:t>
      </w:r>
      <w:r>
        <w:rPr>
          <w:sz w:val="20"/>
        </w:rPr>
        <w:t>case,</w:t>
      </w:r>
      <w:r>
        <w:rPr>
          <w:spacing w:val="-1"/>
          <w:sz w:val="20"/>
        </w:rPr>
        <w:t> </w:t>
      </w:r>
      <w:r>
        <w:rPr>
          <w:sz w:val="20"/>
        </w:rPr>
        <w:t>above;</w:t>
      </w:r>
      <w:r>
        <w:rPr>
          <w:spacing w:val="-1"/>
          <w:sz w:val="20"/>
        </w:rPr>
        <w:t> </w:t>
      </w:r>
      <w:r>
        <w:rPr>
          <w:sz w:val="20"/>
        </w:rPr>
        <w:t>provided,</w:t>
      </w:r>
      <w:r>
        <w:rPr>
          <w:spacing w:val="-1"/>
          <w:sz w:val="20"/>
        </w:rPr>
        <w:t> </w:t>
      </w:r>
      <w:r>
        <w:rPr>
          <w:sz w:val="20"/>
        </w:rPr>
        <w:t>however,</w:t>
      </w:r>
      <w:r>
        <w:rPr>
          <w:spacing w:val="-1"/>
          <w:sz w:val="20"/>
        </w:rPr>
        <w:t> </w:t>
      </w:r>
      <w:r>
        <w:rPr>
          <w:sz w:val="20"/>
        </w:rPr>
        <w:t>that</w:t>
      </w:r>
      <w:r>
        <w:rPr>
          <w:spacing w:val="-1"/>
          <w:sz w:val="20"/>
        </w:rPr>
        <w:t> </w:t>
      </w:r>
      <w:r>
        <w:rPr>
          <w:sz w:val="20"/>
        </w:rPr>
        <w:t>such</w:t>
      </w:r>
      <w:r>
        <w:rPr>
          <w:spacing w:val="-1"/>
          <w:sz w:val="20"/>
        </w:rPr>
        <w:t> </w:t>
      </w:r>
      <w:r>
        <w:rPr>
          <w:sz w:val="20"/>
        </w:rPr>
        <w:t>conduct</w:t>
      </w:r>
      <w:r>
        <w:rPr>
          <w:spacing w:val="-1"/>
          <w:sz w:val="20"/>
        </w:rPr>
        <w:t> </w:t>
      </w:r>
      <w:r>
        <w:rPr>
          <w:sz w:val="20"/>
        </w:rPr>
        <w:t>is</w:t>
      </w:r>
      <w:r>
        <w:rPr>
          <w:spacing w:val="-1"/>
          <w:sz w:val="20"/>
        </w:rPr>
        <w:t> </w:t>
      </w:r>
      <w:r>
        <w:rPr>
          <w:sz w:val="20"/>
        </w:rPr>
        <w:t>accompanied by the requisite contractual intention: see </w:t>
      </w:r>
      <w:r>
        <w:rPr>
          <w:rFonts w:ascii="Arial"/>
          <w:i/>
          <w:sz w:val="20"/>
        </w:rPr>
        <w:t>Harvela Investments Ltd v Royal Trust Co of Canada (C.I.) Ltd [1986] A.C. 207 </w:t>
      </w:r>
      <w:r>
        <w:rPr>
          <w:sz w:val="20"/>
        </w:rPr>
        <w:t>and below, para.2-168; for counter-offers, see above para.2-031; below, para.2-097.</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bookmarkStart w:name="_bookmark656" w:id="658"/>
      <w:bookmarkEnd w:id="658"/>
      <w:r>
        <w:rPr/>
      </w:r>
      <w:hyperlink w:history="true" w:anchor="_bookmark641">
        <w:r>
          <w:rPr>
            <w:color w:val="005DA1"/>
            <w:spacing w:val="-4"/>
            <w:sz w:val="14"/>
            <w:u w:val="single" w:color="005DA1"/>
          </w:rPr>
          <w:t>339</w:t>
        </w:r>
      </w:hyperlink>
      <w:r>
        <w:rPr>
          <w:spacing w:val="-4"/>
          <w:sz w:val="14"/>
        </w:rPr>
        <w:t>.</w:t>
      </w:r>
    </w:p>
    <w:p>
      <w:pPr>
        <w:spacing w:line="235" w:lineRule="auto" w:before="212"/>
        <w:ind w:left="165" w:right="0" w:firstLine="170"/>
        <w:jc w:val="left"/>
        <w:rPr>
          <w:rFonts w:ascii="Arial"/>
          <w:i/>
          <w:sz w:val="20"/>
        </w:rPr>
      </w:pPr>
      <w:r>
        <w:rPr/>
        <w:br w:type="column"/>
      </w:r>
      <w:r>
        <w:rPr>
          <w:rFonts w:ascii="Arial"/>
          <w:i/>
          <w:sz w:val="20"/>
        </w:rPr>
        <w:t>Tinn</w:t>
      </w:r>
      <w:r>
        <w:rPr>
          <w:rFonts w:ascii="Arial"/>
          <w:i/>
          <w:spacing w:val="40"/>
          <w:sz w:val="20"/>
        </w:rPr>
        <w:t> </w:t>
      </w:r>
      <w:r>
        <w:rPr>
          <w:rFonts w:ascii="Arial"/>
          <w:i/>
          <w:sz w:val="20"/>
        </w:rPr>
        <w:t>v</w:t>
      </w:r>
      <w:r>
        <w:rPr>
          <w:rFonts w:ascii="Arial"/>
          <w:i/>
          <w:spacing w:val="40"/>
          <w:sz w:val="20"/>
        </w:rPr>
        <w:t> </w:t>
      </w:r>
      <w:r>
        <w:rPr>
          <w:rFonts w:ascii="Arial"/>
          <w:i/>
          <w:sz w:val="20"/>
        </w:rPr>
        <w:t>Hoffmann</w:t>
      </w:r>
      <w:r>
        <w:rPr>
          <w:rFonts w:ascii="Arial"/>
          <w:i/>
          <w:spacing w:val="40"/>
          <w:sz w:val="20"/>
        </w:rPr>
        <w:t> </w:t>
      </w:r>
      <w:r>
        <w:rPr>
          <w:rFonts w:ascii="Arial"/>
          <w:i/>
          <w:sz w:val="20"/>
        </w:rPr>
        <w:t>&amp;</w:t>
      </w:r>
      <w:r>
        <w:rPr>
          <w:rFonts w:ascii="Arial"/>
          <w:i/>
          <w:spacing w:val="40"/>
          <w:sz w:val="20"/>
        </w:rPr>
        <w:t> </w:t>
      </w:r>
      <w:r>
        <w:rPr>
          <w:rFonts w:ascii="Arial"/>
          <w:i/>
          <w:sz w:val="20"/>
        </w:rPr>
        <w:t>Co</w:t>
      </w:r>
      <w:r>
        <w:rPr>
          <w:rFonts w:ascii="Arial"/>
          <w:i/>
          <w:spacing w:val="40"/>
          <w:sz w:val="20"/>
        </w:rPr>
        <w:t> </w:t>
      </w:r>
      <w:r>
        <w:rPr>
          <w:rFonts w:ascii="Arial"/>
          <w:i/>
          <w:sz w:val="20"/>
        </w:rPr>
        <w:t>(1873)</w:t>
      </w:r>
      <w:r>
        <w:rPr>
          <w:rFonts w:ascii="Arial"/>
          <w:i/>
          <w:spacing w:val="40"/>
          <w:sz w:val="20"/>
        </w:rPr>
        <w:t> </w:t>
      </w:r>
      <w:r>
        <w:rPr>
          <w:rFonts w:ascii="Arial"/>
          <w:i/>
          <w:sz w:val="20"/>
        </w:rPr>
        <w:t>29</w:t>
      </w:r>
      <w:r>
        <w:rPr>
          <w:rFonts w:ascii="Arial"/>
          <w:i/>
          <w:spacing w:val="40"/>
          <w:sz w:val="20"/>
        </w:rPr>
        <w:t> </w:t>
      </w:r>
      <w:r>
        <w:rPr>
          <w:rFonts w:ascii="Arial"/>
          <w:i/>
          <w:sz w:val="20"/>
        </w:rPr>
        <w:t>L.T.</w:t>
      </w:r>
      <w:r>
        <w:rPr>
          <w:rFonts w:ascii="Arial"/>
          <w:i/>
          <w:spacing w:val="40"/>
          <w:sz w:val="20"/>
        </w:rPr>
        <w:t> </w:t>
      </w:r>
      <w:r>
        <w:rPr>
          <w:rFonts w:ascii="Arial"/>
          <w:i/>
          <w:sz w:val="20"/>
        </w:rPr>
        <w:t>271,</w:t>
      </w:r>
      <w:r>
        <w:rPr>
          <w:rFonts w:ascii="Arial"/>
          <w:i/>
          <w:spacing w:val="40"/>
          <w:sz w:val="20"/>
        </w:rPr>
        <w:t> </w:t>
      </w:r>
      <w:r>
        <w:rPr>
          <w:rFonts w:ascii="Arial"/>
          <w:i/>
          <w:sz w:val="20"/>
        </w:rPr>
        <w:t>278</w:t>
      </w:r>
      <w:r>
        <w:rPr>
          <w:sz w:val="20"/>
        </w:rPr>
        <w:t>;</w:t>
      </w:r>
      <w:r>
        <w:rPr>
          <w:spacing w:val="40"/>
          <w:sz w:val="20"/>
        </w:rPr>
        <w:t> </w:t>
      </w:r>
      <w:r>
        <w:rPr>
          <w:sz w:val="20"/>
        </w:rPr>
        <w:t>cf.</w:t>
      </w:r>
      <w:r>
        <w:rPr>
          <w:spacing w:val="40"/>
          <w:sz w:val="20"/>
        </w:rPr>
        <w:t> </w:t>
      </w:r>
      <w:r>
        <w:rPr>
          <w:rFonts w:ascii="Arial"/>
          <w:i/>
          <w:sz w:val="20"/>
        </w:rPr>
        <w:t>Manchester</w:t>
      </w:r>
      <w:r>
        <w:rPr>
          <w:rFonts w:ascii="Arial"/>
          <w:i/>
          <w:spacing w:val="40"/>
          <w:sz w:val="20"/>
        </w:rPr>
        <w:t> </w:t>
      </w:r>
      <w:r>
        <w:rPr>
          <w:rFonts w:ascii="Arial"/>
          <w:i/>
          <w:sz w:val="20"/>
        </w:rPr>
        <w:t>Diocesan</w:t>
      </w:r>
      <w:r>
        <w:rPr>
          <w:rFonts w:ascii="Arial"/>
          <w:i/>
          <w:spacing w:val="40"/>
          <w:sz w:val="20"/>
        </w:rPr>
        <w:t> </w:t>
      </w:r>
      <w:r>
        <w:rPr>
          <w:rFonts w:ascii="Arial"/>
          <w:i/>
          <w:sz w:val="20"/>
        </w:rPr>
        <w:t>Council</w:t>
      </w:r>
      <w:r>
        <w:rPr>
          <w:rFonts w:ascii="Arial"/>
          <w:i/>
          <w:spacing w:val="40"/>
          <w:sz w:val="20"/>
        </w:rPr>
        <w:t> </w:t>
      </w:r>
      <w:r>
        <w:rPr>
          <w:rFonts w:ascii="Arial"/>
          <w:i/>
          <w:sz w:val="20"/>
        </w:rPr>
        <w:t>for</w:t>
      </w:r>
      <w:r>
        <w:rPr>
          <w:rFonts w:ascii="Arial"/>
          <w:i/>
          <w:spacing w:val="80"/>
          <w:sz w:val="20"/>
        </w:rPr>
        <w:t> </w:t>
      </w:r>
      <w:r>
        <w:rPr>
          <w:rFonts w:ascii="Arial"/>
          <w:i/>
          <w:sz w:val="20"/>
        </w:rPr>
        <w:t>Education</w:t>
      </w:r>
      <w:r>
        <w:rPr>
          <w:rFonts w:ascii="Arial"/>
          <w:i/>
          <w:spacing w:val="24"/>
          <w:sz w:val="20"/>
        </w:rPr>
        <w:t> </w:t>
      </w:r>
      <w:r>
        <w:rPr>
          <w:rFonts w:ascii="Arial"/>
          <w:i/>
          <w:sz w:val="20"/>
        </w:rPr>
        <w:t>v</w:t>
      </w:r>
      <w:r>
        <w:rPr>
          <w:rFonts w:ascii="Arial"/>
          <w:i/>
          <w:spacing w:val="27"/>
          <w:sz w:val="20"/>
        </w:rPr>
        <w:t> </w:t>
      </w:r>
      <w:r>
        <w:rPr>
          <w:rFonts w:ascii="Arial"/>
          <w:i/>
          <w:sz w:val="20"/>
        </w:rPr>
        <w:t>Commercial</w:t>
      </w:r>
      <w:r>
        <w:rPr>
          <w:rFonts w:ascii="Arial"/>
          <w:i/>
          <w:spacing w:val="27"/>
          <w:sz w:val="20"/>
        </w:rPr>
        <w:t> </w:t>
      </w:r>
      <w:r>
        <w:rPr>
          <w:rFonts w:ascii="Arial"/>
          <w:i/>
          <w:sz w:val="20"/>
        </w:rPr>
        <w:t>&amp;</w:t>
      </w:r>
      <w:r>
        <w:rPr>
          <w:rFonts w:ascii="Arial"/>
          <w:i/>
          <w:spacing w:val="27"/>
          <w:sz w:val="20"/>
        </w:rPr>
        <w:t> </w:t>
      </w:r>
      <w:r>
        <w:rPr>
          <w:rFonts w:ascii="Arial"/>
          <w:i/>
          <w:sz w:val="20"/>
        </w:rPr>
        <w:t>General</w:t>
      </w:r>
      <w:r>
        <w:rPr>
          <w:rFonts w:ascii="Arial"/>
          <w:i/>
          <w:spacing w:val="27"/>
          <w:sz w:val="20"/>
        </w:rPr>
        <w:t> </w:t>
      </w:r>
      <w:r>
        <w:rPr>
          <w:rFonts w:ascii="Arial"/>
          <w:i/>
          <w:sz w:val="20"/>
        </w:rPr>
        <w:t>Investments</w:t>
      </w:r>
      <w:r>
        <w:rPr>
          <w:rFonts w:ascii="Arial"/>
          <w:i/>
          <w:spacing w:val="27"/>
          <w:sz w:val="20"/>
        </w:rPr>
        <w:t> </w:t>
      </w:r>
      <w:r>
        <w:rPr>
          <w:rFonts w:ascii="Arial"/>
          <w:i/>
          <w:sz w:val="20"/>
        </w:rPr>
        <w:t>Ltd</w:t>
      </w:r>
      <w:r>
        <w:rPr>
          <w:rFonts w:ascii="Arial"/>
          <w:i/>
          <w:spacing w:val="27"/>
          <w:sz w:val="20"/>
        </w:rPr>
        <w:t> </w:t>
      </w:r>
      <w:r>
        <w:rPr>
          <w:rFonts w:ascii="Arial"/>
          <w:i/>
          <w:sz w:val="20"/>
        </w:rPr>
        <w:t>[1970]</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242</w:t>
      </w:r>
      <w:r>
        <w:rPr>
          <w:sz w:val="20"/>
        </w:rPr>
        <w:t>;</w:t>
      </w:r>
      <w:r>
        <w:rPr>
          <w:spacing w:val="27"/>
          <w:sz w:val="20"/>
        </w:rPr>
        <w:t> </w:t>
      </w:r>
      <w:r>
        <w:rPr>
          <w:rFonts w:ascii="Arial"/>
          <w:i/>
          <w:sz w:val="20"/>
        </w:rPr>
        <w:t>Edmund</w:t>
      </w:r>
      <w:r>
        <w:rPr>
          <w:rFonts w:ascii="Arial"/>
          <w:i/>
          <w:spacing w:val="27"/>
          <w:sz w:val="20"/>
        </w:rPr>
        <w:t> </w:t>
      </w:r>
      <w:r>
        <w:rPr>
          <w:rFonts w:ascii="Arial"/>
          <w:i/>
          <w:sz w:val="20"/>
        </w:rPr>
        <w:t>Murray</w:t>
      </w:r>
      <w:r>
        <w:rPr>
          <w:rFonts w:ascii="Arial"/>
          <w:i/>
          <w:spacing w:val="27"/>
          <w:sz w:val="20"/>
        </w:rPr>
        <w:t> </w:t>
      </w:r>
      <w:r>
        <w:rPr>
          <w:rFonts w:ascii="Arial"/>
          <w:i/>
          <w:spacing w:val="-10"/>
          <w:sz w:val="20"/>
        </w:rPr>
        <w:t>v</w:t>
      </w:r>
    </w:p>
    <w:p>
      <w:pPr>
        <w:spacing w:line="235" w:lineRule="auto" w:before="0"/>
        <w:ind w:left="165" w:right="0" w:firstLine="0"/>
        <w:jc w:val="left"/>
        <w:rPr>
          <w:sz w:val="20"/>
        </w:rPr>
      </w:pPr>
      <w:r>
        <w:rPr>
          <w:sz w:val="20"/>
        </w:rPr>
        <w:drawing>
          <wp:anchor distT="0" distB="0" distL="0" distR="0" allowOverlap="1" layoutInCell="1" locked="0" behindDoc="0" simplePos="0" relativeHeight="15744000">
            <wp:simplePos x="0" y="0"/>
            <wp:positionH relativeFrom="page">
              <wp:posOffset>1257846</wp:posOffset>
            </wp:positionH>
            <wp:positionV relativeFrom="paragraph">
              <wp:posOffset>-260643</wp:posOffset>
            </wp:positionV>
            <wp:extent cx="107988" cy="107988"/>
            <wp:effectExtent l="0" t="0" r="0" b="0"/>
            <wp:wrapNone/>
            <wp:docPr id="56" name="Image 56"/>
            <wp:cNvGraphicFramePr>
              <a:graphicFrameLocks/>
            </wp:cNvGraphicFramePr>
            <a:graphic>
              <a:graphicData uri="http://schemas.openxmlformats.org/drawingml/2006/picture">
                <pic:pic>
                  <pic:nvPicPr>
                    <pic:cNvPr id="56" name="Image 56"/>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B.S.P.</w:t>
      </w:r>
      <w:r>
        <w:rPr>
          <w:rFonts w:ascii="Arial"/>
          <w:i/>
          <w:spacing w:val="40"/>
          <w:sz w:val="20"/>
        </w:rPr>
        <w:t> </w:t>
      </w:r>
      <w:r>
        <w:rPr>
          <w:rFonts w:ascii="Arial"/>
          <w:i/>
          <w:sz w:val="20"/>
        </w:rPr>
        <w:t>International</w:t>
      </w:r>
      <w:r>
        <w:rPr>
          <w:rFonts w:ascii="Arial"/>
          <w:i/>
          <w:spacing w:val="40"/>
          <w:sz w:val="20"/>
        </w:rPr>
        <w:t> </w:t>
      </w:r>
      <w:r>
        <w:rPr>
          <w:rFonts w:ascii="Arial"/>
          <w:i/>
          <w:sz w:val="20"/>
        </w:rPr>
        <w:t>Foundations</w:t>
      </w:r>
      <w:r>
        <w:rPr>
          <w:rFonts w:ascii="Arial"/>
          <w:i/>
          <w:spacing w:val="40"/>
          <w:sz w:val="20"/>
        </w:rPr>
        <w:t> </w:t>
      </w:r>
      <w:r>
        <w:rPr>
          <w:rFonts w:ascii="Arial"/>
          <w:i/>
          <w:sz w:val="20"/>
        </w:rPr>
        <w:t>(1994)</w:t>
      </w:r>
      <w:r>
        <w:rPr>
          <w:rFonts w:ascii="Arial"/>
          <w:i/>
          <w:spacing w:val="40"/>
          <w:sz w:val="20"/>
        </w:rPr>
        <w:t> </w:t>
      </w:r>
      <w:r>
        <w:rPr>
          <w:rFonts w:ascii="Arial"/>
          <w:i/>
          <w:sz w:val="20"/>
        </w:rPr>
        <w:t>33</w:t>
      </w:r>
      <w:r>
        <w:rPr>
          <w:rFonts w:ascii="Arial"/>
          <w:i/>
          <w:spacing w:val="40"/>
          <w:sz w:val="20"/>
        </w:rPr>
        <w:t> </w:t>
      </w:r>
      <w:r>
        <w:rPr>
          <w:rFonts w:ascii="Arial"/>
          <w:i/>
          <w:sz w:val="20"/>
        </w:rPr>
        <w:t>Con.</w:t>
      </w:r>
      <w:r>
        <w:rPr>
          <w:rFonts w:ascii="Arial"/>
          <w:i/>
          <w:spacing w:val="40"/>
          <w:sz w:val="20"/>
        </w:rPr>
        <w:t> </w:t>
      </w:r>
      <w:r>
        <w:rPr>
          <w:rFonts w:ascii="Arial"/>
          <w:i/>
          <w:sz w:val="20"/>
        </w:rPr>
        <w:t>L.R.</w:t>
      </w:r>
      <w:r>
        <w:rPr>
          <w:rFonts w:ascii="Arial"/>
          <w:i/>
          <w:spacing w:val="40"/>
          <w:sz w:val="20"/>
        </w:rPr>
        <w:t> </w:t>
      </w:r>
      <w:r>
        <w:rPr>
          <w:rFonts w:ascii="Arial"/>
          <w:i/>
          <w:sz w:val="20"/>
        </w:rPr>
        <w:t>1</w:t>
      </w:r>
      <w:r>
        <w:rPr>
          <w:sz w:val="20"/>
        </w:rPr>
        <w:t>;</w:t>
      </w:r>
      <w:r>
        <w:rPr>
          <w:spacing w:val="40"/>
          <w:sz w:val="20"/>
        </w:rPr>
        <w:t> </w:t>
      </w:r>
      <w:r>
        <w:rPr>
          <w:rFonts w:ascii="Arial"/>
          <w:i/>
          <w:sz w:val="20"/>
        </w:rPr>
        <w:t>A</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B</w:t>
      </w:r>
      <w:r>
        <w:rPr>
          <w:rFonts w:ascii="Arial"/>
          <w:i/>
          <w:spacing w:val="40"/>
          <w:sz w:val="20"/>
        </w:rPr>
        <w:t> </w:t>
      </w:r>
      <w:r>
        <w:rPr>
          <w:rFonts w:ascii="Arial"/>
          <w:i/>
          <w:sz w:val="20"/>
        </w:rPr>
        <w:t>Ltd</w:t>
      </w:r>
      <w:r>
        <w:rPr>
          <w:rFonts w:ascii="Arial"/>
          <w:i/>
          <w:spacing w:val="40"/>
          <w:sz w:val="20"/>
        </w:rPr>
        <w:t> </w:t>
      </w:r>
      <w:r>
        <w:rPr>
          <w:rFonts w:ascii="Arial"/>
          <w:i/>
          <w:sz w:val="20"/>
        </w:rPr>
        <w:t>[2015]</w:t>
      </w:r>
      <w:r>
        <w:rPr>
          <w:rFonts w:ascii="Arial"/>
          <w:i/>
          <w:spacing w:val="40"/>
          <w:sz w:val="20"/>
        </w:rPr>
        <w:t> </w:t>
      </w:r>
      <w:r>
        <w:rPr>
          <w:rFonts w:ascii="Arial"/>
          <w:i/>
          <w:sz w:val="20"/>
        </w:rPr>
        <w:t>EWHC</w:t>
      </w:r>
      <w:r>
        <w:rPr>
          <w:rFonts w:ascii="Arial"/>
          <w:i/>
          <w:spacing w:val="40"/>
          <w:sz w:val="20"/>
        </w:rPr>
        <w:t> </w:t>
      </w:r>
      <w:r>
        <w:rPr>
          <w:rFonts w:ascii="Arial"/>
          <w:i/>
          <w:sz w:val="20"/>
        </w:rPr>
        <w:t>137 </w:t>
      </w:r>
      <w:r>
        <w:rPr>
          <w:rFonts w:ascii="Arial"/>
          <w:i/>
          <w:spacing w:val="-2"/>
          <w:sz w:val="20"/>
        </w:rPr>
        <w:t>(Comm)</w:t>
      </w:r>
      <w:r>
        <w:rPr>
          <w:spacing w:val="-2"/>
          <w:sz w:val="20"/>
        </w:rPr>
        <w:t>.</w:t>
      </w:r>
    </w:p>
    <w:p>
      <w:pPr>
        <w:spacing w:after="0" w:line="235" w:lineRule="auto"/>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657" w:id="659"/>
      <w:bookmarkEnd w:id="659"/>
      <w:r>
        <w:rPr/>
      </w:r>
      <w:hyperlink w:history="true" w:anchor="_bookmark642">
        <w:r>
          <w:rPr>
            <w:color w:val="005DA1"/>
            <w:spacing w:val="-4"/>
            <w:sz w:val="14"/>
            <w:u w:val="single" w:color="005DA1"/>
          </w:rPr>
          <w:t>340</w:t>
        </w:r>
      </w:hyperlink>
      <w:r>
        <w:rPr>
          <w:spacing w:val="-4"/>
          <w:sz w:val="14"/>
        </w:rPr>
        <w:t>.</w:t>
      </w:r>
    </w:p>
    <w:p>
      <w:pPr>
        <w:spacing w:before="208"/>
        <w:ind w:left="335" w:right="0" w:firstLine="0"/>
        <w:jc w:val="left"/>
        <w:rPr>
          <w:sz w:val="20"/>
        </w:rPr>
      </w:pPr>
      <w:r>
        <w:rPr/>
        <w:br w:type="column"/>
      </w:r>
      <w:r>
        <w:rPr>
          <w:rFonts w:ascii="Arial"/>
          <w:i/>
          <w:sz w:val="20"/>
        </w:rPr>
        <w:t>A Ltd v B Ltd [2015] EWHC 137 </w:t>
      </w:r>
      <w:r>
        <w:rPr>
          <w:rFonts w:ascii="Arial"/>
          <w:i/>
          <w:spacing w:val="-2"/>
          <w:sz w:val="20"/>
        </w:rPr>
        <w:t>(Comm)</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tabs>
          <w:tab w:pos="705" w:val="left" w:leader="none"/>
        </w:tabs>
        <w:spacing w:line="235" w:lineRule="auto" w:before="0"/>
        <w:ind w:left="705" w:right="168" w:hanging="541"/>
        <w:jc w:val="left"/>
        <w:rPr>
          <w:sz w:val="20"/>
        </w:rPr>
      </w:pPr>
      <w:r>
        <w:rPr>
          <w:sz w:val="20"/>
        </w:rPr>
        <w:drawing>
          <wp:anchor distT="0" distB="0" distL="0" distR="0" allowOverlap="1" layoutInCell="1" locked="0" behindDoc="0" simplePos="0" relativeHeight="15744512">
            <wp:simplePos x="0" y="0"/>
            <wp:positionH relativeFrom="page">
              <wp:posOffset>1257846</wp:posOffset>
            </wp:positionH>
            <wp:positionV relativeFrom="paragraph">
              <wp:posOffset>-269349</wp:posOffset>
            </wp:positionV>
            <wp:extent cx="107988" cy="107988"/>
            <wp:effectExtent l="0" t="0" r="0" b="0"/>
            <wp:wrapNone/>
            <wp:docPr id="57" name="Image 57"/>
            <wp:cNvGraphicFramePr>
              <a:graphicFrameLocks/>
            </wp:cNvGraphicFramePr>
            <a:graphic>
              <a:graphicData uri="http://schemas.openxmlformats.org/drawingml/2006/picture">
                <pic:pic>
                  <pic:nvPicPr>
                    <pic:cNvPr id="57" name="Image 57"/>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58" w:id="660"/>
      <w:bookmarkEnd w:id="660"/>
      <w:r>
        <w:rPr/>
      </w:r>
      <w:hyperlink w:history="true" w:anchor="_bookmark643">
        <w:r>
          <w:rPr>
            <w:color w:val="005DA1"/>
            <w:spacing w:val="-4"/>
            <w:position w:val="5"/>
            <w:sz w:val="14"/>
            <w:u w:val="single" w:color="005DA1"/>
          </w:rPr>
          <w:t>341</w:t>
        </w:r>
      </w:hyperlink>
      <w:r>
        <w:rPr>
          <w:spacing w:val="-4"/>
          <w:position w:val="5"/>
          <w:sz w:val="14"/>
        </w:rPr>
        <w:t>.</w:t>
      </w:r>
      <w:r>
        <w:rPr>
          <w:position w:val="5"/>
          <w:sz w:val="14"/>
        </w:rPr>
        <w:tab/>
      </w:r>
      <w:r>
        <w:rPr>
          <w:sz w:val="20"/>
        </w:rPr>
        <w:t>On the analogy of the reasoning of </w:t>
      </w:r>
      <w:r>
        <w:rPr>
          <w:rFonts w:ascii="Arial"/>
          <w:i/>
          <w:sz w:val="20"/>
        </w:rPr>
        <w:t>Oceanografia SA de CV v DSND Subsea AS (The Botnica) [2006] EWHC 1300 (Comm), [2007] 1 All E.R. (Comm) 28</w:t>
      </w:r>
      <w:r>
        <w:rPr>
          <w:sz w:val="20"/>
        </w:rPr>
        <w:t>, below paras 2-123, 4-082.</w:t>
      </w:r>
    </w:p>
    <w:p>
      <w:pPr>
        <w:pStyle w:val="BodyText"/>
        <w:spacing w:before="6"/>
      </w:pPr>
    </w:p>
    <w:p>
      <w:pPr>
        <w:tabs>
          <w:tab w:pos="705" w:val="left" w:leader="none"/>
        </w:tabs>
        <w:spacing w:before="0"/>
        <w:ind w:left="165" w:right="0" w:firstLine="0"/>
        <w:jc w:val="left"/>
        <w:rPr>
          <w:sz w:val="20"/>
        </w:rPr>
      </w:pPr>
      <w:bookmarkStart w:name="_bookmark659" w:id="661"/>
      <w:bookmarkEnd w:id="661"/>
      <w:r>
        <w:rPr/>
      </w:r>
      <w:hyperlink w:history="true" w:anchor="_bookmark644">
        <w:r>
          <w:rPr>
            <w:color w:val="005DA1"/>
            <w:spacing w:val="-4"/>
            <w:position w:val="5"/>
            <w:sz w:val="14"/>
            <w:u w:val="single" w:color="005DA1"/>
          </w:rPr>
          <w:t>342</w:t>
        </w:r>
      </w:hyperlink>
      <w:r>
        <w:rPr>
          <w:spacing w:val="-4"/>
          <w:position w:val="5"/>
          <w:sz w:val="14"/>
        </w:rPr>
        <w:t>.</w:t>
      </w:r>
      <w:r>
        <w:rPr>
          <w:position w:val="5"/>
          <w:sz w:val="14"/>
        </w:rPr>
        <w:tab/>
      </w:r>
      <w:r>
        <w:rPr>
          <w:rFonts w:ascii="Arial"/>
          <w:i/>
          <w:sz w:val="20"/>
        </w:rPr>
        <w:t>MSM Consulting Ltd v Tanzania [2009] EWHC 121 (QB), 123 Con. L.R. 154</w:t>
      </w:r>
      <w:r>
        <w:rPr>
          <w:rFonts w:ascii="Arial"/>
          <w:i/>
          <w:spacing w:val="-1"/>
          <w:sz w:val="20"/>
        </w:rPr>
        <w:t> </w:t>
      </w:r>
      <w:r>
        <w:rPr>
          <w:sz w:val="20"/>
        </w:rPr>
        <w:t>at </w:t>
      </w:r>
      <w:r>
        <w:rPr>
          <w:spacing w:val="-2"/>
          <w:sz w:val="20"/>
        </w:rPr>
        <w:t>[120].</w:t>
      </w:r>
    </w:p>
    <w:p>
      <w:pPr>
        <w:pStyle w:val="BodyText"/>
        <w:spacing w:before="8"/>
      </w:pPr>
    </w:p>
    <w:p>
      <w:pPr>
        <w:spacing w:line="235" w:lineRule="auto" w:before="1"/>
        <w:ind w:left="705" w:right="167" w:hanging="541"/>
        <w:jc w:val="both"/>
        <w:rPr>
          <w:sz w:val="20"/>
        </w:rPr>
      </w:pPr>
      <w:bookmarkStart w:name="_bookmark660" w:id="662"/>
      <w:bookmarkEnd w:id="662"/>
      <w:r>
        <w:rPr/>
      </w:r>
      <w:hyperlink w:history="true" w:anchor="_bookmark645">
        <w:r>
          <w:rPr>
            <w:color w:val="005DA1"/>
            <w:position w:val="5"/>
            <w:sz w:val="14"/>
            <w:u w:val="single" w:color="005DA1"/>
          </w:rPr>
          <w:t>343</w:t>
        </w:r>
      </w:hyperlink>
      <w:r>
        <w:rPr>
          <w:position w:val="5"/>
          <w:sz w:val="14"/>
        </w:rPr>
        <w:t>.</w:t>
      </w:r>
      <w:r>
        <w:rPr>
          <w:spacing w:val="40"/>
          <w:position w:val="5"/>
          <w:sz w:val="14"/>
        </w:rPr>
        <w:t>  </w:t>
      </w:r>
      <w:r>
        <w:rPr>
          <w:sz w:val="20"/>
        </w:rPr>
        <w:t>See</w:t>
      </w:r>
      <w:r>
        <w:rPr>
          <w:spacing w:val="-1"/>
          <w:sz w:val="20"/>
        </w:rPr>
        <w:t> </w:t>
      </w:r>
      <w:r>
        <w:rPr>
          <w:rFonts w:ascii="Arial"/>
          <w:i/>
          <w:sz w:val="20"/>
        </w:rPr>
        <w:t>Robophone</w:t>
      </w:r>
      <w:r>
        <w:rPr>
          <w:rFonts w:ascii="Arial"/>
          <w:i/>
          <w:spacing w:val="-1"/>
          <w:sz w:val="20"/>
        </w:rPr>
        <w:t> </w:t>
      </w:r>
      <w:r>
        <w:rPr>
          <w:rFonts w:ascii="Arial"/>
          <w:i/>
          <w:sz w:val="20"/>
        </w:rPr>
        <w:t>Facilities</w:t>
      </w:r>
      <w:r>
        <w:rPr>
          <w:rFonts w:ascii="Arial"/>
          <w:i/>
          <w:spacing w:val="-1"/>
          <w:sz w:val="20"/>
        </w:rPr>
        <w:t> </w:t>
      </w:r>
      <w:r>
        <w:rPr>
          <w:rFonts w:ascii="Arial"/>
          <w:i/>
          <w:sz w:val="20"/>
        </w:rPr>
        <w:t>v</w:t>
      </w:r>
      <w:r>
        <w:rPr>
          <w:rFonts w:ascii="Arial"/>
          <w:i/>
          <w:spacing w:val="-1"/>
          <w:sz w:val="20"/>
        </w:rPr>
        <w:t> </w:t>
      </w:r>
      <w:r>
        <w:rPr>
          <w:rFonts w:ascii="Arial"/>
          <w:i/>
          <w:sz w:val="20"/>
        </w:rPr>
        <w:t>Blank</w:t>
      </w:r>
      <w:r>
        <w:rPr>
          <w:rFonts w:ascii="Arial"/>
          <w:i/>
          <w:spacing w:val="-1"/>
          <w:sz w:val="20"/>
        </w:rPr>
        <w:t> </w:t>
      </w:r>
      <w:r>
        <w:rPr>
          <w:rFonts w:ascii="Arial"/>
          <w:i/>
          <w:sz w:val="20"/>
        </w:rPr>
        <w:t>[1966]</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1428</w:t>
      </w:r>
      <w:r>
        <w:rPr>
          <w:rFonts w:ascii="Arial"/>
          <w:i/>
          <w:spacing w:val="-1"/>
          <w:sz w:val="20"/>
        </w:rPr>
        <w:t> </w:t>
      </w:r>
      <w:r>
        <w:rPr>
          <w:sz w:val="20"/>
        </w:rPr>
        <w:t>and</w:t>
      </w:r>
      <w:r>
        <w:rPr>
          <w:spacing w:val="-1"/>
          <w:sz w:val="20"/>
        </w:rPr>
        <w:t> </w:t>
      </w:r>
      <w:r>
        <w:rPr>
          <w:sz w:val="20"/>
        </w:rPr>
        <w:t>cf.</w:t>
      </w:r>
      <w:r>
        <w:rPr>
          <w:spacing w:val="-1"/>
          <w:sz w:val="20"/>
        </w:rPr>
        <w:t> </w:t>
      </w:r>
      <w:r>
        <w:rPr>
          <w:sz w:val="20"/>
        </w:rPr>
        <w:t>the</w:t>
      </w:r>
      <w:r>
        <w:rPr>
          <w:spacing w:val="-1"/>
          <w:sz w:val="20"/>
        </w:rPr>
        <w:t> </w:t>
      </w:r>
      <w:r>
        <w:rPr>
          <w:rFonts w:ascii="Arial"/>
          <w:i/>
          <w:sz w:val="20"/>
        </w:rPr>
        <w:t>Manchester</w:t>
      </w:r>
      <w:r>
        <w:rPr>
          <w:rFonts w:ascii="Arial"/>
          <w:i/>
          <w:spacing w:val="-1"/>
          <w:sz w:val="20"/>
        </w:rPr>
        <w:t> </w:t>
      </w:r>
      <w:r>
        <w:rPr>
          <w:rFonts w:ascii="Arial"/>
          <w:i/>
          <w:sz w:val="20"/>
        </w:rPr>
        <w:t>Diocesan</w:t>
      </w:r>
      <w:r>
        <w:rPr>
          <w:rFonts w:ascii="Arial"/>
          <w:i/>
          <w:spacing w:val="-1"/>
          <w:sz w:val="20"/>
        </w:rPr>
        <w:t> </w:t>
      </w:r>
      <w:r>
        <w:rPr>
          <w:sz w:val="20"/>
        </w:rPr>
        <w:t>case, above, n.335; from this point of view these cases are, it is submitted, to be preferred </w:t>
      </w:r>
      <w:r>
        <w:rPr>
          <w:sz w:val="20"/>
        </w:rPr>
        <w:t>to </w:t>
      </w:r>
      <w:r>
        <w:rPr>
          <w:rFonts w:ascii="Arial"/>
          <w:i/>
          <w:sz w:val="20"/>
        </w:rPr>
        <w:t>Financings Ltd v Stimson [1962] 1 W.L.R. 1184</w:t>
      </w:r>
      <w:r>
        <w:rPr>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661" w:id="663"/>
      <w:bookmarkEnd w:id="663"/>
      <w:r>
        <w:rPr/>
      </w:r>
      <w:hyperlink w:history="true" w:anchor="_bookmark645">
        <w:r>
          <w:rPr>
            <w:color w:val="005DA1"/>
            <w:spacing w:val="-4"/>
            <w:position w:val="5"/>
            <w:sz w:val="14"/>
            <w:u w:val="single" w:color="005DA1"/>
          </w:rPr>
          <w:t>344</w:t>
        </w:r>
      </w:hyperlink>
      <w:r>
        <w:rPr>
          <w:spacing w:val="-4"/>
          <w:position w:val="5"/>
          <w:sz w:val="14"/>
        </w:rPr>
        <w:t>.</w:t>
      </w:r>
      <w:r>
        <w:rPr>
          <w:position w:val="5"/>
          <w:sz w:val="14"/>
        </w:rPr>
        <w:tab/>
      </w:r>
      <w:r>
        <w:rPr>
          <w:rFonts w:ascii="Arial"/>
          <w:i/>
          <w:sz w:val="20"/>
        </w:rPr>
        <w:t>Carlyle Finance Ltd v Pallas Industrial Finance Ltd [1999] All E.R. (Comm) 659</w:t>
      </w:r>
      <w:r>
        <w:rPr>
          <w:sz w:val="20"/>
        </w:rPr>
        <w:t>, approving the reasoning now contained in para.2-067 above.</w:t>
      </w:r>
    </w:p>
    <w:p>
      <w:pPr>
        <w:pStyle w:val="BodyText"/>
        <w:spacing w:before="10"/>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662" w:id="664"/>
      <w:bookmarkEnd w:id="664"/>
      <w:r>
        <w:rPr/>
      </w:r>
      <w:hyperlink w:history="true" w:anchor="_bookmark646">
        <w:r>
          <w:rPr>
            <w:color w:val="005DA1"/>
            <w:spacing w:val="-4"/>
            <w:sz w:val="14"/>
            <w:u w:val="single" w:color="005DA1"/>
          </w:rPr>
          <w:t>345</w:t>
        </w:r>
      </w:hyperlink>
      <w:r>
        <w:rPr>
          <w:spacing w:val="-4"/>
          <w:sz w:val="14"/>
        </w:rPr>
        <w:t>.</w:t>
      </w:r>
    </w:p>
    <w:p>
      <w:pPr>
        <w:spacing w:before="208"/>
        <w:ind w:left="335" w:right="0" w:firstLine="0"/>
        <w:jc w:val="left"/>
        <w:rPr>
          <w:sz w:val="20"/>
        </w:rPr>
      </w:pPr>
      <w:r>
        <w:rPr/>
        <w:br w:type="column"/>
      </w:r>
      <w:r>
        <w:rPr>
          <w:rFonts w:ascii="Arial"/>
          <w:i/>
          <w:sz w:val="20"/>
        </w:rPr>
        <w:t>Reveille Independent LLC v Anotech International (UK) Ltd [2016] EWCA Civ </w:t>
      </w:r>
      <w:r>
        <w:rPr>
          <w:rFonts w:ascii="Arial"/>
          <w:i/>
          <w:spacing w:val="-4"/>
          <w:sz w:val="20"/>
        </w:rPr>
        <w:t>443</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024">
            <wp:simplePos x="0" y="0"/>
            <wp:positionH relativeFrom="page">
              <wp:posOffset>1257846</wp:posOffset>
            </wp:positionH>
            <wp:positionV relativeFrom="paragraph">
              <wp:posOffset>-211275</wp:posOffset>
            </wp:positionV>
            <wp:extent cx="107988" cy="107988"/>
            <wp:effectExtent l="0" t="0" r="0" b="0"/>
            <wp:wrapNone/>
            <wp:docPr id="58" name="Image 58"/>
            <wp:cNvGraphicFramePr>
              <a:graphicFrameLocks/>
            </wp:cNvGraphicFramePr>
            <a:graphic>
              <a:graphicData uri="http://schemas.openxmlformats.org/drawingml/2006/picture">
                <pic:pic>
                  <pic:nvPicPr>
                    <pic:cNvPr id="58" name="Image 5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63" w:id="665"/>
      <w:bookmarkEnd w:id="665"/>
      <w:r>
        <w:rPr/>
      </w:r>
      <w:hyperlink w:history="true" w:anchor="_bookmark647">
        <w:r>
          <w:rPr>
            <w:color w:val="005DA1"/>
            <w:spacing w:val="-4"/>
            <w:sz w:val="14"/>
            <w:u w:val="single" w:color="005DA1"/>
          </w:rPr>
          <w:t>346</w:t>
        </w:r>
      </w:hyperlink>
      <w:r>
        <w:rPr>
          <w:spacing w:val="-4"/>
          <w:sz w:val="14"/>
        </w:rPr>
        <w:t>.</w:t>
      </w:r>
    </w:p>
    <w:p>
      <w:pPr>
        <w:spacing w:before="208"/>
        <w:ind w:left="335" w:right="0" w:firstLine="0"/>
        <w:jc w:val="left"/>
        <w:rPr>
          <w:sz w:val="20"/>
        </w:rPr>
      </w:pPr>
      <w:r>
        <w:rPr/>
        <w:br w:type="column"/>
      </w:r>
      <w:r>
        <w:rPr>
          <w:rFonts w:ascii="Arial" w:hAnsi="Arial"/>
          <w:i/>
          <w:sz w:val="20"/>
        </w:rPr>
        <w:t>[2016] EWCA Civ 443</w:t>
      </w:r>
      <w:r>
        <w:rPr>
          <w:rFonts w:ascii="Arial" w:hAnsi="Arial"/>
          <w:i/>
          <w:spacing w:val="-1"/>
          <w:sz w:val="20"/>
        </w:rPr>
        <w:t> </w:t>
      </w:r>
      <w:r>
        <w:rPr>
          <w:sz w:val="20"/>
        </w:rPr>
        <w:t>at </w:t>
      </w:r>
      <w:r>
        <w:rPr>
          <w:spacing w:val="-2"/>
          <w:sz w:val="20"/>
        </w:rPr>
        <w:t>[40]–[41].</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5536">
            <wp:simplePos x="0" y="0"/>
            <wp:positionH relativeFrom="page">
              <wp:posOffset>1257846</wp:posOffset>
            </wp:positionH>
            <wp:positionV relativeFrom="paragraph">
              <wp:posOffset>-211255</wp:posOffset>
            </wp:positionV>
            <wp:extent cx="107988" cy="107988"/>
            <wp:effectExtent l="0" t="0" r="0" b="0"/>
            <wp:wrapNone/>
            <wp:docPr id="59" name="Image 59"/>
            <wp:cNvGraphicFramePr>
              <a:graphicFrameLocks/>
            </wp:cNvGraphicFramePr>
            <a:graphic>
              <a:graphicData uri="http://schemas.openxmlformats.org/drawingml/2006/picture">
                <pic:pic>
                  <pic:nvPicPr>
                    <pic:cNvPr id="59" name="Image 59"/>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64" w:id="666"/>
      <w:bookmarkEnd w:id="666"/>
      <w:r>
        <w:rPr/>
      </w:r>
      <w:hyperlink w:history="true" w:anchor="_bookmark648">
        <w:r>
          <w:rPr>
            <w:color w:val="005DA1"/>
            <w:spacing w:val="-4"/>
            <w:sz w:val="14"/>
            <w:u w:val="single" w:color="005DA1"/>
          </w:rPr>
          <w:t>347</w:t>
        </w:r>
      </w:hyperlink>
      <w:r>
        <w:rPr>
          <w:spacing w:val="-4"/>
          <w:sz w:val="14"/>
        </w:rPr>
        <w:t>.</w:t>
      </w:r>
    </w:p>
    <w:p>
      <w:pPr>
        <w:spacing w:before="208"/>
        <w:ind w:left="335" w:right="0" w:firstLine="0"/>
        <w:jc w:val="left"/>
        <w:rPr>
          <w:sz w:val="20"/>
        </w:rPr>
      </w:pPr>
      <w:r>
        <w:rPr/>
        <w:br w:type="column"/>
      </w:r>
      <w:r>
        <w:rPr>
          <w:rFonts w:ascii="Arial"/>
          <w:i/>
          <w:sz w:val="20"/>
        </w:rPr>
        <w:t>[2016] EWCA Civ 443</w:t>
      </w:r>
      <w:r>
        <w:rPr>
          <w:rFonts w:ascii="Arial"/>
          <w:i/>
          <w:spacing w:val="-1"/>
          <w:sz w:val="20"/>
        </w:rPr>
        <w:t> </w:t>
      </w:r>
      <w:r>
        <w:rPr>
          <w:sz w:val="20"/>
        </w:rPr>
        <w:t>at </w:t>
      </w:r>
      <w:r>
        <w:rPr>
          <w:spacing w:val="-2"/>
          <w:sz w:val="20"/>
        </w:rPr>
        <w:t>[53].</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46048">
            <wp:simplePos x="0" y="0"/>
            <wp:positionH relativeFrom="page">
              <wp:posOffset>1257846</wp:posOffset>
            </wp:positionH>
            <wp:positionV relativeFrom="paragraph">
              <wp:posOffset>-211235</wp:posOffset>
            </wp:positionV>
            <wp:extent cx="107988" cy="107988"/>
            <wp:effectExtent l="0" t="0" r="0" b="0"/>
            <wp:wrapNone/>
            <wp:docPr id="60" name="Image 60"/>
            <wp:cNvGraphicFramePr>
              <a:graphicFrameLocks/>
            </wp:cNvGraphicFramePr>
            <a:graphic>
              <a:graphicData uri="http://schemas.openxmlformats.org/drawingml/2006/picture">
                <pic:pic>
                  <pic:nvPicPr>
                    <pic:cNvPr id="60" name="Image 60"/>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46560">
            <wp:simplePos x="0" y="0"/>
            <wp:positionH relativeFrom="page">
              <wp:posOffset>1257846</wp:posOffset>
            </wp:positionH>
            <wp:positionV relativeFrom="paragraph">
              <wp:posOffset>160239</wp:posOffset>
            </wp:positionV>
            <wp:extent cx="107988" cy="107988"/>
            <wp:effectExtent l="0" t="0" r="0" b="0"/>
            <wp:wrapNone/>
            <wp:docPr id="61" name="Image 61"/>
            <wp:cNvGraphicFramePr>
              <a:graphicFrameLocks/>
            </wp:cNvGraphicFramePr>
            <a:graphic>
              <a:graphicData uri="http://schemas.openxmlformats.org/drawingml/2006/picture">
                <pic:pic>
                  <pic:nvPicPr>
                    <pic:cNvPr id="61" name="Image 6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665" w:id="667"/>
      <w:bookmarkEnd w:id="667"/>
      <w:r>
        <w:rPr/>
      </w:r>
      <w:hyperlink w:history="true" w:anchor="_bookmark649">
        <w:r>
          <w:rPr>
            <w:color w:val="005DA1"/>
            <w:spacing w:val="-4"/>
            <w:sz w:val="14"/>
            <w:u w:val="single" w:color="005DA1"/>
          </w:rPr>
          <w:t>348</w:t>
        </w:r>
      </w:hyperlink>
      <w:r>
        <w:rPr>
          <w:spacing w:val="-4"/>
          <w:sz w:val="14"/>
        </w:rPr>
        <w:t>.</w:t>
      </w:r>
    </w:p>
    <w:p>
      <w:pPr>
        <w:spacing w:before="208"/>
        <w:ind w:left="335" w:right="0" w:firstLine="0"/>
        <w:jc w:val="left"/>
        <w:rPr>
          <w:sz w:val="20"/>
        </w:rPr>
      </w:pPr>
      <w:r>
        <w:rPr/>
        <w:br w:type="column"/>
      </w:r>
      <w:r>
        <w:rPr>
          <w:rFonts w:ascii="Arial"/>
          <w:i/>
          <w:sz w:val="20"/>
        </w:rPr>
        <w:t>[2016] EWCA Civ 443</w:t>
      </w:r>
      <w:r>
        <w:rPr>
          <w:rFonts w:ascii="Arial"/>
          <w:i/>
          <w:spacing w:val="-1"/>
          <w:sz w:val="20"/>
        </w:rPr>
        <w:t> </w:t>
      </w:r>
      <w:r>
        <w:rPr>
          <w:sz w:val="20"/>
        </w:rPr>
        <w:t>at </w:t>
      </w:r>
      <w:r>
        <w:rPr>
          <w:spacing w:val="-2"/>
          <w:sz w:val="20"/>
        </w:rPr>
        <w:t>[53].</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3. - The Acceptance</w:t>
      </w:r>
    </w:p>
    <w:p>
      <w:pPr>
        <w:pStyle w:val="ListParagraph"/>
        <w:numPr>
          <w:ilvl w:val="0"/>
          <w:numId w:val="1"/>
        </w:numPr>
        <w:tabs>
          <w:tab w:pos="4358" w:val="left" w:leader="none"/>
        </w:tabs>
        <w:spacing w:line="240" w:lineRule="auto" w:before="3" w:after="0"/>
        <w:ind w:left="4358" w:right="0" w:hanging="360"/>
        <w:jc w:val="left"/>
        <w:rPr>
          <w:b/>
          <w:sz w:val="24"/>
        </w:rPr>
      </w:pPr>
      <w:r>
        <w:rPr>
          <w:b/>
          <w:sz w:val="24"/>
        </w:rPr>
        <w:t>- </w:t>
      </w:r>
      <w:r>
        <w:rPr>
          <w:b/>
          <w:spacing w:val="-2"/>
          <w:sz w:val="24"/>
        </w:rPr>
        <w:t>Silence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Offeree generally not </w:t>
      </w:r>
      <w:r>
        <w:rPr>
          <w:rFonts w:ascii="Arial"/>
          <w:b/>
          <w:spacing w:val="-2"/>
          <w:sz w:val="18"/>
        </w:rPr>
        <w:t>bound</w:t>
      </w:r>
    </w:p>
    <w:p>
      <w:pPr>
        <w:pStyle w:val="BodyText"/>
        <w:spacing w:before="41"/>
        <w:rPr>
          <w:rFonts w:ascii="Arial"/>
          <w:b/>
          <w:sz w:val="18"/>
        </w:rPr>
      </w:pPr>
    </w:p>
    <w:p>
      <w:pPr>
        <w:pStyle w:val="Heading2"/>
        <w:spacing w:before="1"/>
      </w:pPr>
      <w:r>
        <w:rPr/>
        <w:t>2-</w:t>
      </w:r>
      <w:r>
        <w:rPr>
          <w:spacing w:val="-5"/>
        </w:rPr>
        <w:t>068</w:t>
      </w:r>
    </w:p>
    <w:p>
      <w:pPr>
        <w:pStyle w:val="BodyText"/>
        <w:spacing w:line="235" w:lineRule="auto" w:before="202"/>
        <w:ind w:left="165" w:right="167"/>
        <w:jc w:val="both"/>
      </w:pPr>
      <w:bookmarkStart w:name="_bookmark666" w:id="668"/>
      <w:bookmarkEnd w:id="668"/>
      <w:r>
        <w:rPr/>
      </w:r>
      <w:r>
        <w:rPr/>
        <w:t>As a general rule, an offeree who does nothing in response to an offer is not bound by its terms. This is</w:t>
      </w:r>
      <w:r>
        <w:rPr>
          <w:spacing w:val="-3"/>
        </w:rPr>
        <w:t> </w:t>
      </w:r>
      <w:r>
        <w:rPr/>
        <w:t>so</w:t>
      </w:r>
      <w:r>
        <w:rPr>
          <w:spacing w:val="-3"/>
        </w:rPr>
        <w:t> </w:t>
      </w:r>
      <w:r>
        <w:rPr/>
        <w:t>even</w:t>
      </w:r>
      <w:r>
        <w:rPr>
          <w:spacing w:val="-3"/>
        </w:rPr>
        <w:t> </w:t>
      </w:r>
      <w:r>
        <w:rPr/>
        <w:t>though</w:t>
      </w:r>
      <w:r>
        <w:rPr>
          <w:spacing w:val="-3"/>
        </w:rPr>
        <w:t> </w:t>
      </w:r>
      <w:r>
        <w:rPr/>
        <w:t>the</w:t>
      </w:r>
      <w:r>
        <w:rPr>
          <w:spacing w:val="-3"/>
        </w:rPr>
        <w:t> </w:t>
      </w:r>
      <w:r>
        <w:rPr/>
        <w:t>offer</w:t>
      </w:r>
      <w:r>
        <w:rPr>
          <w:spacing w:val="-3"/>
        </w:rPr>
        <w:t> </w:t>
      </w:r>
      <w:r>
        <w:rPr/>
        <w:t>provides</w:t>
      </w:r>
      <w:r>
        <w:rPr>
          <w:spacing w:val="-3"/>
        </w:rPr>
        <w:t> </w:t>
      </w:r>
      <w:r>
        <w:rPr/>
        <w:t>that</w:t>
      </w:r>
      <w:r>
        <w:rPr>
          <w:spacing w:val="-3"/>
        </w:rPr>
        <w:t> </w:t>
      </w:r>
      <w:r>
        <w:rPr/>
        <w:t>it</w:t>
      </w:r>
      <w:r>
        <w:rPr>
          <w:spacing w:val="-3"/>
        </w:rPr>
        <w:t> </w:t>
      </w:r>
      <w:r>
        <w:rPr/>
        <w:t>can</w:t>
      </w:r>
      <w:r>
        <w:rPr>
          <w:spacing w:val="-3"/>
        </w:rPr>
        <w:t> </w:t>
      </w:r>
      <w:r>
        <w:rPr/>
        <w:t>be</w:t>
      </w:r>
      <w:r>
        <w:rPr>
          <w:spacing w:val="-3"/>
        </w:rPr>
        <w:t> </w:t>
      </w:r>
      <w:r>
        <w:rPr/>
        <w:t>accepted</w:t>
      </w:r>
      <w:r>
        <w:rPr>
          <w:spacing w:val="-3"/>
        </w:rPr>
        <w:t> </w:t>
      </w:r>
      <w:r>
        <w:rPr/>
        <w:t>by</w:t>
      </w:r>
      <w:r>
        <w:rPr>
          <w:spacing w:val="-3"/>
        </w:rPr>
        <w:t> </w:t>
      </w:r>
      <w:r>
        <w:rPr/>
        <w:t>silence.</w:t>
      </w:r>
      <w:r>
        <w:rPr>
          <w:spacing w:val="-3"/>
        </w:rPr>
        <w:t> </w:t>
      </w:r>
      <w:r>
        <w:rPr/>
        <w:t>Thus</w:t>
      </w:r>
      <w:r>
        <w:rPr>
          <w:spacing w:val="-3"/>
        </w:rPr>
        <w:t> </w:t>
      </w:r>
      <w:r>
        <w:rPr/>
        <w:t>in</w:t>
      </w:r>
      <w:r>
        <w:rPr>
          <w:spacing w:val="-4"/>
        </w:rPr>
        <w:t> </w:t>
      </w:r>
      <w:r>
        <w:rPr>
          <w:rFonts w:ascii="Arial" w:hAnsi="Arial"/>
          <w:i/>
        </w:rPr>
        <w:t>Felthouse</w:t>
      </w:r>
      <w:r>
        <w:rPr>
          <w:rFonts w:ascii="Arial" w:hAnsi="Arial"/>
          <w:i/>
          <w:spacing w:val="-3"/>
        </w:rPr>
        <w:t> </w:t>
      </w:r>
      <w:r>
        <w:rPr>
          <w:rFonts w:ascii="Arial" w:hAnsi="Arial"/>
          <w:i/>
        </w:rPr>
        <w:t>v</w:t>
      </w:r>
      <w:r>
        <w:rPr>
          <w:rFonts w:ascii="Arial" w:hAnsi="Arial"/>
          <w:i/>
          <w:spacing w:val="-3"/>
        </w:rPr>
        <w:t> </w:t>
      </w:r>
      <w:r>
        <w:rPr>
          <w:rFonts w:ascii="Arial" w:hAnsi="Arial"/>
          <w:i/>
        </w:rPr>
        <w:t>Bindley</w:t>
      </w:r>
      <w:r>
        <w:rPr>
          <w:rFonts w:ascii="Arial" w:hAnsi="Arial"/>
          <w:i/>
          <w:spacing w:val="-3"/>
        </w:rPr>
        <w:t> </w:t>
      </w:r>
      <w:r>
        <w:rPr>
          <w:color w:val="005DA1"/>
          <w:u w:val="single" w:color="005DA1"/>
          <w:vertAlign w:val="superscript"/>
        </w:rPr>
        <w:t>349</w:t>
      </w:r>
      <w:r>
        <w:rPr>
          <w:color w:val="005DA1"/>
          <w:vertAlign w:val="baseline"/>
        </w:rPr>
        <w:t> </w:t>
      </w:r>
      <w:r>
        <w:rPr>
          <w:vertAlign w:val="baseline"/>
        </w:rPr>
        <w:t>an uncle offered to buy a horse from his nephew for £30 15s., adding “If I hear no more about him </w:t>
      </w:r>
      <w:r>
        <w:rPr>
          <w:vertAlign w:val="baseline"/>
        </w:rPr>
        <w:t>I shall consider the horse is mine at £30 15s”. The uncle brought an action for conversion against an auctioneer</w:t>
      </w:r>
      <w:r>
        <w:rPr>
          <w:spacing w:val="-2"/>
          <w:vertAlign w:val="baseline"/>
        </w:rPr>
        <w:t> </w:t>
      </w:r>
      <w:r>
        <w:rPr>
          <w:vertAlign w:val="baseline"/>
        </w:rPr>
        <w:t>who</w:t>
      </w:r>
      <w:r>
        <w:rPr>
          <w:spacing w:val="-2"/>
          <w:vertAlign w:val="baseline"/>
        </w:rPr>
        <w:t> </w:t>
      </w:r>
      <w:r>
        <w:rPr>
          <w:vertAlign w:val="baseline"/>
        </w:rPr>
        <w:t>had</w:t>
      </w:r>
      <w:r>
        <w:rPr>
          <w:spacing w:val="-2"/>
          <w:vertAlign w:val="baseline"/>
        </w:rPr>
        <w:t> </w:t>
      </w:r>
      <w:r>
        <w:rPr>
          <w:vertAlign w:val="baseline"/>
        </w:rPr>
        <w:t>by</w:t>
      </w:r>
      <w:r>
        <w:rPr>
          <w:spacing w:val="-2"/>
          <w:vertAlign w:val="baseline"/>
        </w:rPr>
        <w:t> </w:t>
      </w:r>
      <w:r>
        <w:rPr>
          <w:vertAlign w:val="baseline"/>
        </w:rPr>
        <w:t>mistake</w:t>
      </w:r>
      <w:r>
        <w:rPr>
          <w:spacing w:val="-2"/>
          <w:vertAlign w:val="baseline"/>
        </w:rPr>
        <w:t> </w:t>
      </w:r>
      <w:r>
        <w:rPr>
          <w:vertAlign w:val="baseline"/>
        </w:rPr>
        <w:t>included</w:t>
      </w:r>
      <w:r>
        <w:rPr>
          <w:spacing w:val="-2"/>
          <w:vertAlign w:val="baseline"/>
        </w:rPr>
        <w:t> </w:t>
      </w:r>
      <w:r>
        <w:rPr>
          <w:vertAlign w:val="baseline"/>
        </w:rPr>
        <w:t>the</w:t>
      </w:r>
      <w:r>
        <w:rPr>
          <w:spacing w:val="-2"/>
          <w:vertAlign w:val="baseline"/>
        </w:rPr>
        <w:t> </w:t>
      </w:r>
      <w:r>
        <w:rPr>
          <w:vertAlign w:val="baseline"/>
        </w:rPr>
        <w:t>horse</w:t>
      </w:r>
      <w:r>
        <w:rPr>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sale</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nephew’s</w:t>
      </w:r>
      <w:r>
        <w:rPr>
          <w:spacing w:val="-2"/>
          <w:vertAlign w:val="baseline"/>
        </w:rPr>
        <w:t> </w:t>
      </w:r>
      <w:r>
        <w:rPr>
          <w:vertAlign w:val="baseline"/>
        </w:rPr>
        <w:t>property.</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 the auctioneer was not liable because:</w:t>
      </w:r>
    </w:p>
    <w:p>
      <w:pPr>
        <w:pStyle w:val="BodyText"/>
      </w:pPr>
    </w:p>
    <w:p>
      <w:pPr>
        <w:pStyle w:val="BodyText"/>
        <w:spacing w:before="124"/>
      </w:pPr>
    </w:p>
    <w:p>
      <w:pPr>
        <w:pStyle w:val="BodyText"/>
        <w:spacing w:line="235" w:lineRule="auto" w:before="1"/>
        <w:ind w:left="1245"/>
      </w:pPr>
      <w:bookmarkStart w:name="_bookmark667" w:id="669"/>
      <w:bookmarkEnd w:id="669"/>
      <w:r>
        <w:rPr/>
      </w:r>
      <w:r>
        <w:rPr/>
        <w:t>“The</w:t>
      </w:r>
      <w:r>
        <w:rPr>
          <w:spacing w:val="18"/>
        </w:rPr>
        <w:t> </w:t>
      </w:r>
      <w:r>
        <w:rPr/>
        <w:t>uncle</w:t>
      </w:r>
      <w:r>
        <w:rPr>
          <w:spacing w:val="18"/>
        </w:rPr>
        <w:t> </w:t>
      </w:r>
      <w:r>
        <w:rPr/>
        <w:t>had</w:t>
      </w:r>
      <w:r>
        <w:rPr>
          <w:spacing w:val="18"/>
        </w:rPr>
        <w:t> </w:t>
      </w:r>
      <w:r>
        <w:rPr/>
        <w:t>no</w:t>
      </w:r>
      <w:r>
        <w:rPr>
          <w:spacing w:val="18"/>
        </w:rPr>
        <w:t> </w:t>
      </w:r>
      <w:r>
        <w:rPr/>
        <w:t>right</w:t>
      </w:r>
      <w:r>
        <w:rPr>
          <w:spacing w:val="18"/>
        </w:rPr>
        <w:t> </w:t>
      </w:r>
      <w:r>
        <w:rPr/>
        <w:t>to</w:t>
      </w:r>
      <w:r>
        <w:rPr>
          <w:spacing w:val="18"/>
        </w:rPr>
        <w:t> </w:t>
      </w:r>
      <w:r>
        <w:rPr/>
        <w:t>impose</w:t>
      </w:r>
      <w:r>
        <w:rPr>
          <w:spacing w:val="18"/>
        </w:rPr>
        <w:t> </w:t>
      </w:r>
      <w:r>
        <w:rPr/>
        <w:t>upon</w:t>
      </w:r>
      <w:r>
        <w:rPr>
          <w:spacing w:val="18"/>
        </w:rPr>
        <w:t> </w:t>
      </w:r>
      <w:r>
        <w:rPr/>
        <w:t>the</w:t>
      </w:r>
      <w:r>
        <w:rPr>
          <w:spacing w:val="18"/>
        </w:rPr>
        <w:t> </w:t>
      </w:r>
      <w:r>
        <w:rPr/>
        <w:t>nephew</w:t>
      </w:r>
      <w:r>
        <w:rPr>
          <w:spacing w:val="18"/>
        </w:rPr>
        <w:t> </w:t>
      </w:r>
      <w:r>
        <w:rPr/>
        <w:t>the</w:t>
      </w:r>
      <w:r>
        <w:rPr>
          <w:spacing w:val="18"/>
        </w:rPr>
        <w:t> </w:t>
      </w:r>
      <w:r>
        <w:rPr/>
        <w:t>sale</w:t>
      </w:r>
      <w:r>
        <w:rPr>
          <w:spacing w:val="18"/>
        </w:rPr>
        <w:t> </w:t>
      </w:r>
      <w:r>
        <w:rPr/>
        <w:t>of</w:t>
      </w:r>
      <w:r>
        <w:rPr>
          <w:spacing w:val="18"/>
        </w:rPr>
        <w:t> </w:t>
      </w:r>
      <w:r>
        <w:rPr/>
        <w:t>his</w:t>
      </w:r>
      <w:r>
        <w:rPr>
          <w:spacing w:val="18"/>
        </w:rPr>
        <w:t> </w:t>
      </w:r>
      <w:r>
        <w:rPr/>
        <w:t>horse</w:t>
      </w:r>
      <w:r>
        <w:rPr>
          <w:spacing w:val="18"/>
        </w:rPr>
        <w:t> </w:t>
      </w:r>
      <w:r>
        <w:rPr/>
        <w:t>…</w:t>
      </w:r>
      <w:r>
        <w:rPr>
          <w:spacing w:val="18"/>
        </w:rPr>
        <w:t> </w:t>
      </w:r>
      <w:r>
        <w:rPr/>
        <w:t>unless</w:t>
      </w:r>
      <w:r>
        <w:rPr>
          <w:spacing w:val="18"/>
        </w:rPr>
        <w:t> </w:t>
      </w:r>
      <w:r>
        <w:rPr/>
        <w:t>he chose to comply with the condition of writing to repudiate the offer ….” </w:t>
      </w:r>
      <w:r>
        <w:rPr>
          <w:color w:val="005DA1"/>
          <w:u w:val="single" w:color="005DA1"/>
          <w:vertAlign w:val="superscript"/>
        </w:rPr>
        <w:t>350</w:t>
      </w:r>
    </w:p>
    <w:p>
      <w:pPr>
        <w:pStyle w:val="BodyText"/>
      </w:pPr>
    </w:p>
    <w:p>
      <w:pPr>
        <w:pStyle w:val="BodyText"/>
        <w:spacing w:before="205"/>
      </w:pPr>
    </w:p>
    <w:p>
      <w:pPr>
        <w:pStyle w:val="BodyText"/>
        <w:spacing w:line="235" w:lineRule="auto" w:before="1"/>
        <w:ind w:left="165" w:right="167"/>
        <w:jc w:val="both"/>
      </w:pPr>
      <w:r>
        <w:rPr/>
        <w:t>The reason for the rule is that it is, in general, undesirable to impose on an offeree the trouble </w:t>
      </w:r>
      <w:r>
        <w:rPr/>
        <w:t>and expense of rejecting an offer which he does not wish to accept. But in </w:t>
      </w:r>
      <w:r>
        <w:rPr>
          <w:rFonts w:ascii="Arial" w:hAnsi="Arial"/>
          <w:i/>
        </w:rPr>
        <w:t>Felthouse v Bindley </w:t>
      </w:r>
      <w:r>
        <w:rPr/>
        <w:t>this was</w:t>
      </w:r>
      <w:r>
        <w:rPr>
          <w:spacing w:val="40"/>
        </w:rPr>
        <w:t> </w:t>
      </w:r>
      <w:r>
        <w:rPr/>
        <w:t>not</w:t>
      </w:r>
      <w:r>
        <w:rPr>
          <w:spacing w:val="-2"/>
        </w:rPr>
        <w:t> </w:t>
      </w:r>
      <w:r>
        <w:rPr/>
        <w:t>the</w:t>
      </w:r>
      <w:r>
        <w:rPr>
          <w:spacing w:val="-2"/>
        </w:rPr>
        <w:t> </w:t>
      </w:r>
      <w:r>
        <w:rPr/>
        <w:t>position.</w:t>
      </w:r>
      <w:r>
        <w:rPr>
          <w:spacing w:val="-2"/>
        </w:rPr>
        <w:t> </w:t>
      </w:r>
      <w:r>
        <w:rPr/>
        <w:t>The</w:t>
      </w:r>
      <w:r>
        <w:rPr>
          <w:spacing w:val="-2"/>
        </w:rPr>
        <w:t> </w:t>
      </w:r>
      <w:r>
        <w:rPr/>
        <w:t>nephew</w:t>
      </w:r>
      <w:r>
        <w:rPr>
          <w:spacing w:val="-2"/>
        </w:rPr>
        <w:t> </w:t>
      </w:r>
      <w:r>
        <w:rPr/>
        <w:t>had,</w:t>
      </w:r>
      <w:r>
        <w:rPr>
          <w:spacing w:val="-2"/>
        </w:rPr>
        <w:t> </w:t>
      </w:r>
      <w:r>
        <w:rPr/>
        <w:t>before</w:t>
      </w:r>
      <w:r>
        <w:rPr>
          <w:spacing w:val="-2"/>
        </w:rPr>
        <w:t> </w:t>
      </w:r>
      <w:r>
        <w:rPr/>
        <w:t>the</w:t>
      </w:r>
      <w:r>
        <w:rPr>
          <w:spacing w:val="-2"/>
        </w:rPr>
        <w:t> </w:t>
      </w:r>
      <w:r>
        <w:rPr/>
        <w:t>auction,</w:t>
      </w:r>
      <w:r>
        <w:rPr>
          <w:spacing w:val="-2"/>
        </w:rPr>
        <w:t> </w:t>
      </w:r>
      <w:r>
        <w:rPr/>
        <w:t>told</w:t>
      </w:r>
      <w:r>
        <w:rPr>
          <w:spacing w:val="-2"/>
        </w:rPr>
        <w:t> </w:t>
      </w:r>
      <w:r>
        <w:rPr/>
        <w:t>the</w:t>
      </w:r>
      <w:r>
        <w:rPr>
          <w:spacing w:val="-2"/>
        </w:rPr>
        <w:t> </w:t>
      </w:r>
      <w:r>
        <w:rPr/>
        <w:t>auctioneer</w:t>
      </w:r>
      <w:r>
        <w:rPr>
          <w:spacing w:val="-2"/>
        </w:rPr>
        <w:t> </w:t>
      </w:r>
      <w:r>
        <w:rPr/>
        <w:t>that</w:t>
      </w:r>
      <w:r>
        <w:rPr>
          <w:spacing w:val="-2"/>
        </w:rPr>
        <w:t> </w:t>
      </w:r>
      <w:r>
        <w:rPr/>
        <w:t>he</w:t>
      </w:r>
      <w:r>
        <w:rPr>
          <w:spacing w:val="-2"/>
        </w:rPr>
        <w:t> </w:t>
      </w:r>
      <w:r>
        <w:rPr/>
        <w:t>“intended</w:t>
      </w:r>
      <w:r>
        <w:rPr>
          <w:spacing w:val="-2"/>
        </w:rPr>
        <w:t> </w:t>
      </w:r>
      <w:r>
        <w:rPr/>
        <w:t>to</w:t>
      </w:r>
      <w:r>
        <w:rPr>
          <w:spacing w:val="-2"/>
        </w:rPr>
        <w:t> </w:t>
      </w:r>
      <w:r>
        <w:rPr/>
        <w:t>reserve” the horse for his uncle, and later correspondence showed that the nephew did at the time of the </w:t>
      </w:r>
      <w:bookmarkStart w:name="_bookmark668" w:id="670"/>
      <w:bookmarkEnd w:id="670"/>
      <w:r>
        <w:rPr/>
        <w:t>auction</w:t>
      </w:r>
      <w:r>
        <w:rPr/>
        <w:t> intend to sell the horse to the uncle. In spite of this, it was held that there was no contract </w:t>
      </w:r>
      <w:bookmarkStart w:name="_bookmark669" w:id="671"/>
      <w:bookmarkEnd w:id="671"/>
      <w:r>
        <w:rPr/>
        <w:t>because</w:t>
      </w:r>
      <w:r>
        <w:rPr/>
        <w:t> the nephew “had not communicated his intention to the uncle”. </w:t>
      </w:r>
      <w:r>
        <w:rPr>
          <w:color w:val="005DA1"/>
          <w:u w:val="single" w:color="005DA1"/>
          <w:vertAlign w:val="superscript"/>
        </w:rPr>
        <w:t>351</w:t>
      </w:r>
      <w:r>
        <w:rPr>
          <w:color w:val="005DA1"/>
          <w:vertAlign w:val="baseline"/>
        </w:rPr>
        <w:t> </w:t>
      </w:r>
      <w:r>
        <w:rPr>
          <w:vertAlign w:val="baseline"/>
        </w:rPr>
        <w:t>But the need to communicate an acceptance can be waived by the terms of the offer </w:t>
      </w:r>
      <w:r>
        <w:rPr>
          <w:color w:val="005DA1"/>
          <w:u w:val="single" w:color="005DA1"/>
          <w:vertAlign w:val="superscript"/>
        </w:rPr>
        <w:t>352</w:t>
      </w:r>
      <w:r>
        <w:rPr>
          <w:color w:val="005DA1"/>
          <w:vertAlign w:val="baseline"/>
        </w:rPr>
        <w:t> </w:t>
      </w:r>
      <w:r>
        <w:rPr>
          <w:vertAlign w:val="baseline"/>
        </w:rPr>
        <w:t>and it seems clear that the uncle’s letter did waive that need. The actual decision is, in view of these facts, hard to support, but this is no criticism of the general rule laid down in the case.</w:t>
      </w:r>
    </w:p>
    <w:p>
      <w:pPr>
        <w:pStyle w:val="BodyText"/>
      </w:pPr>
    </w:p>
    <w:p>
      <w:pPr>
        <w:pStyle w:val="BodyText"/>
        <w:spacing w:before="35"/>
      </w:pPr>
    </w:p>
    <w:p>
      <w:pPr>
        <w:spacing w:before="0"/>
        <w:ind w:left="165" w:right="0" w:firstLine="0"/>
        <w:jc w:val="both"/>
        <w:rPr>
          <w:rFonts w:ascii="Arial"/>
          <w:b/>
          <w:sz w:val="18"/>
        </w:rPr>
      </w:pPr>
      <w:r>
        <w:rPr>
          <w:rFonts w:ascii="Arial"/>
          <w:b/>
          <w:sz w:val="18"/>
        </w:rPr>
        <w:t>Silence generally </w:t>
      </w:r>
      <w:r>
        <w:rPr>
          <w:rFonts w:ascii="Arial"/>
          <w:b/>
          <w:spacing w:val="-2"/>
          <w:sz w:val="18"/>
        </w:rPr>
        <w:t>equivocal</w:t>
      </w:r>
    </w:p>
    <w:p>
      <w:pPr>
        <w:pStyle w:val="BodyText"/>
        <w:spacing w:before="41"/>
        <w:rPr>
          <w:rFonts w:ascii="Arial"/>
          <w:b/>
          <w:sz w:val="18"/>
        </w:rPr>
      </w:pPr>
    </w:p>
    <w:p>
      <w:pPr>
        <w:pStyle w:val="Heading2"/>
      </w:pPr>
      <w:r>
        <w:rPr/>
        <w:t>2-</w:t>
      </w:r>
      <w:r>
        <w:rPr>
          <w:spacing w:val="-5"/>
        </w:rPr>
        <w:t>069</w:t>
      </w:r>
    </w:p>
    <w:p>
      <w:pPr>
        <w:pStyle w:val="BodyText"/>
        <w:spacing w:line="235" w:lineRule="auto" w:before="203"/>
        <w:ind w:left="164" w:right="167"/>
        <w:jc w:val="both"/>
      </w:pPr>
      <w:r>
        <w:rPr/>
        <w:t>The</w:t>
      </w:r>
      <w:r>
        <w:rPr>
          <w:spacing w:val="-1"/>
        </w:rPr>
        <w:t> </w:t>
      </w:r>
      <w:r>
        <w:rPr/>
        <w:t>question</w:t>
      </w:r>
      <w:r>
        <w:rPr>
          <w:spacing w:val="-1"/>
        </w:rPr>
        <w:t> </w:t>
      </w:r>
      <w:r>
        <w:rPr/>
        <w:t>whether</w:t>
      </w:r>
      <w:r>
        <w:rPr>
          <w:spacing w:val="-1"/>
        </w:rPr>
        <w:t> </w:t>
      </w:r>
      <w:r>
        <w:rPr/>
        <w:t>silence</w:t>
      </w:r>
      <w:r>
        <w:rPr>
          <w:spacing w:val="-1"/>
        </w:rPr>
        <w:t> </w:t>
      </w:r>
      <w:r>
        <w:rPr/>
        <w:t>may</w:t>
      </w:r>
      <w:r>
        <w:rPr>
          <w:spacing w:val="-1"/>
        </w:rPr>
        <w:t> </w:t>
      </w:r>
      <w:r>
        <w:rPr/>
        <w:t>amount</w:t>
      </w:r>
      <w:r>
        <w:rPr>
          <w:spacing w:val="-1"/>
        </w:rPr>
        <w:t> </w:t>
      </w:r>
      <w:r>
        <w:rPr/>
        <w:t>to</w:t>
      </w:r>
      <w:r>
        <w:rPr>
          <w:spacing w:val="-1"/>
        </w:rPr>
        <w:t> </w:t>
      </w:r>
      <w:r>
        <w:rPr/>
        <w:t>an</w:t>
      </w:r>
      <w:r>
        <w:rPr>
          <w:spacing w:val="-1"/>
        </w:rPr>
        <w:t> </w:t>
      </w:r>
      <w:r>
        <w:rPr/>
        <w:t>acceptance</w:t>
      </w:r>
      <w:r>
        <w:rPr>
          <w:spacing w:val="-1"/>
        </w:rPr>
        <w:t> </w:t>
      </w:r>
      <w:r>
        <w:rPr/>
        <w:t>binding</w:t>
      </w:r>
      <w:r>
        <w:rPr>
          <w:spacing w:val="-1"/>
        </w:rPr>
        <w:t> </w:t>
      </w:r>
      <w:r>
        <w:rPr/>
        <w:t>the</w:t>
      </w:r>
      <w:r>
        <w:rPr>
          <w:spacing w:val="-1"/>
        </w:rPr>
        <w:t> </w:t>
      </w:r>
      <w:r>
        <w:rPr/>
        <w:t>offeree</w:t>
      </w:r>
      <w:r>
        <w:rPr>
          <w:spacing w:val="-1"/>
        </w:rPr>
        <w:t> </w:t>
      </w:r>
      <w:r>
        <w:rPr/>
        <w:t>has</w:t>
      </w:r>
      <w:r>
        <w:rPr>
          <w:spacing w:val="-1"/>
        </w:rPr>
        <w:t> </w:t>
      </w:r>
      <w:r>
        <w:rPr/>
        <w:t>also</w:t>
      </w:r>
      <w:r>
        <w:rPr>
          <w:spacing w:val="-1"/>
        </w:rPr>
        <w:t> </w:t>
      </w:r>
      <w:r>
        <w:rPr/>
        <w:t>arisen</w:t>
      </w:r>
      <w:r>
        <w:rPr>
          <w:spacing w:val="-1"/>
        </w:rPr>
        <w:t> </w:t>
      </w:r>
      <w:r>
        <w:rPr/>
        <w:t>in</w:t>
      </w:r>
      <w:r>
        <w:rPr>
          <w:spacing w:val="-1"/>
        </w:rPr>
        <w:t> </w:t>
      </w:r>
      <w:r>
        <w:rPr/>
        <w:t>the arbitration cases (discussed in para.2-006 above) in which the issue was whether an agreement to abandon an earlier agreement to submit a claim to arbitration could be inferred from inactivity in the </w:t>
      </w:r>
      <w:bookmarkStart w:name="_bookmark670" w:id="672"/>
      <w:bookmarkEnd w:id="672"/>
      <w:r>
        <w:rPr/>
        <w:t>form</w:t>
      </w:r>
      <w:r>
        <w:rPr/>
        <w:t> of long delay in prosecuting the claim. Such a delay is now in certain circumstances a statutory </w:t>
      </w:r>
      <w:bookmarkStart w:name="_bookmark671" w:id="673"/>
      <w:bookmarkEnd w:id="673"/>
      <w:r>
        <w:rPr/>
        <w:t>ground</w:t>
      </w:r>
      <w:r>
        <w:rPr/>
        <w:t> for dismissing the claim for want of prosecution </w:t>
      </w:r>
      <w:r>
        <w:rPr>
          <w:color w:val="005DA1"/>
          <w:u w:val="single" w:color="005DA1"/>
          <w:vertAlign w:val="superscript"/>
        </w:rPr>
        <w:t>353</w:t>
      </w:r>
      <w:r>
        <w:rPr>
          <w:vertAlign w:val="baseline"/>
        </w:rPr>
        <w:t>; but the statutory power to dismiss claims on this ground can be excluded by contrary agreement </w:t>
      </w:r>
      <w:r>
        <w:rPr>
          <w:color w:val="005DA1"/>
          <w:u w:val="single" w:color="005DA1"/>
          <w:vertAlign w:val="superscript"/>
        </w:rPr>
        <w:t>354</w:t>
      </w:r>
      <w:r>
        <w:rPr>
          <w:vertAlign w:val="baseline"/>
        </w:rPr>
        <w:t>; and similar questions of agreement to abandon </w:t>
      </w:r>
      <w:r>
        <w:rPr>
          <w:rFonts w:ascii="Arial" w:hAnsi="Arial"/>
          <w:i/>
          <w:vertAlign w:val="baseline"/>
        </w:rPr>
        <w:t>other </w:t>
      </w:r>
      <w:r>
        <w:rPr>
          <w:vertAlign w:val="baseline"/>
        </w:rPr>
        <w:t>types of claim could still be governed by the common law principles developed in the </w:t>
      </w:r>
      <w:bookmarkStart w:name="_bookmark672" w:id="674"/>
      <w:bookmarkEnd w:id="674"/>
      <w:r>
        <w:rPr>
          <w:vertAlign w:val="baseline"/>
        </w:rPr>
        <w:t>arbitration</w:t>
      </w:r>
      <w:r>
        <w:rPr>
          <w:vertAlign w:val="baseline"/>
        </w:rPr>
        <w:t> cases. In these cases, it had been held that, even if one party’s inactivity could be</w:t>
      </w:r>
      <w:r>
        <w:rPr>
          <w:spacing w:val="80"/>
          <w:vertAlign w:val="baseline"/>
        </w:rPr>
        <w:t> </w:t>
      </w:r>
      <w:bookmarkStart w:name="_bookmark673" w:id="675"/>
      <w:bookmarkEnd w:id="675"/>
      <w:r>
        <w:rPr>
          <w:vertAlign w:val="baseline"/>
        </w:rPr>
        <w:t>regarded</w:t>
      </w:r>
      <w:r>
        <w:rPr>
          <w:vertAlign w:val="baseline"/>
        </w:rPr>
        <w:t> as an offer to abandon the arbitration, </w:t>
      </w:r>
      <w:r>
        <w:rPr>
          <w:color w:val="005DA1"/>
          <w:u w:val="single" w:color="005DA1"/>
          <w:vertAlign w:val="superscript"/>
        </w:rPr>
        <w:t>355</w:t>
      </w:r>
      <w:r>
        <w:rPr>
          <w:vertAlign w:val="baseline"/>
        </w:rPr>
        <w:t>. the mere silence or inactivity of the other did not </w:t>
      </w:r>
      <w:bookmarkStart w:name="_bookmark674" w:id="676"/>
      <w:bookmarkEnd w:id="676"/>
      <w:r>
        <w:rPr>
          <w:vertAlign w:val="baseline"/>
        </w:rPr>
        <w:t>normally</w:t>
      </w:r>
      <w:r>
        <w:rPr>
          <w:vertAlign w:val="baseline"/>
        </w:rPr>
        <w:t> amount to an acceptance. For one thing, such inactivity was often </w:t>
      </w:r>
      <w:r>
        <w:rPr>
          <w:color w:val="005DA1"/>
          <w:u w:val="single" w:color="005DA1"/>
          <w:vertAlign w:val="superscript"/>
        </w:rPr>
        <w:t>356</w:t>
      </w:r>
      <w:r>
        <w:rPr>
          <w:color w:val="005DA1"/>
          <w:vertAlign w:val="baseline"/>
        </w:rPr>
        <w:t> </w:t>
      </w:r>
      <w:r>
        <w:rPr>
          <w:vertAlign w:val="baseline"/>
        </w:rPr>
        <w:t>equivocal, </w:t>
      </w:r>
      <w:r>
        <w:rPr>
          <w:color w:val="005DA1"/>
          <w:u w:val="single" w:color="005DA1"/>
          <w:vertAlign w:val="superscript"/>
        </w:rPr>
        <w:t>357</w:t>
      </w:r>
      <w:r>
        <w:rPr>
          <w:color w:val="005DA1"/>
          <w:vertAlign w:val="baseline"/>
        </w:rPr>
        <w:t> </w:t>
      </w:r>
      <w:r>
        <w:rPr>
          <w:vertAlign w:val="baseline"/>
        </w:rPr>
        <w:t>being explicable</w:t>
      </w:r>
      <w:r>
        <w:rPr>
          <w:spacing w:val="11"/>
          <w:vertAlign w:val="baseline"/>
        </w:rPr>
        <w:t> </w:t>
      </w:r>
      <w:r>
        <w:rPr>
          <w:vertAlign w:val="baseline"/>
        </w:rPr>
        <w:t>on</w:t>
      </w:r>
      <w:r>
        <w:rPr>
          <w:spacing w:val="11"/>
          <w:vertAlign w:val="baseline"/>
        </w:rPr>
        <w:t> </w:t>
      </w:r>
      <w:r>
        <w:rPr>
          <w:vertAlign w:val="baseline"/>
        </w:rPr>
        <w:t>other</w:t>
      </w:r>
      <w:r>
        <w:rPr>
          <w:spacing w:val="11"/>
          <w:vertAlign w:val="baseline"/>
        </w:rPr>
        <w:t> </w:t>
      </w:r>
      <w:r>
        <w:rPr>
          <w:vertAlign w:val="baseline"/>
        </w:rPr>
        <w:t>grounds</w:t>
      </w:r>
      <w:r>
        <w:rPr>
          <w:spacing w:val="11"/>
          <w:vertAlign w:val="baseline"/>
        </w:rPr>
        <w:t> </w:t>
      </w:r>
      <w:r>
        <w:rPr>
          <w:vertAlign w:val="baseline"/>
        </w:rPr>
        <w:t>(such</w:t>
      </w:r>
      <w:r>
        <w:rPr>
          <w:spacing w:val="11"/>
          <w:vertAlign w:val="baseline"/>
        </w:rPr>
        <w:t> </w:t>
      </w:r>
      <w:r>
        <w:rPr>
          <w:vertAlign w:val="baseline"/>
        </w:rPr>
        <w:t>as</w:t>
      </w:r>
      <w:r>
        <w:rPr>
          <w:spacing w:val="11"/>
          <w:vertAlign w:val="baseline"/>
        </w:rPr>
        <w:t> </w:t>
      </w:r>
      <w:r>
        <w:rPr>
          <w:vertAlign w:val="baseline"/>
        </w:rPr>
        <w:t>forgetfulness</w:t>
      </w:r>
      <w:r>
        <w:rPr>
          <w:spacing w:val="11"/>
          <w:vertAlign w:val="baseline"/>
        </w:rPr>
        <w:t> </w:t>
      </w:r>
      <w:r>
        <w:rPr>
          <w:vertAlign w:val="baseline"/>
        </w:rPr>
        <w:t>or</w:t>
      </w:r>
      <w:r>
        <w:rPr>
          <w:spacing w:val="11"/>
          <w:vertAlign w:val="baseline"/>
        </w:rPr>
        <w:t> </w:t>
      </w:r>
      <w:r>
        <w:rPr>
          <w:vertAlign w:val="baseline"/>
        </w:rPr>
        <w:t>delay</w:t>
      </w:r>
      <w:r>
        <w:rPr>
          <w:spacing w:val="11"/>
          <w:vertAlign w:val="baseline"/>
        </w:rPr>
        <w:t> </w:t>
      </w:r>
      <w:r>
        <w:rPr>
          <w:vertAlign w:val="baseline"/>
        </w:rPr>
        <w:t>on</w:t>
      </w:r>
      <w:r>
        <w:rPr>
          <w:spacing w:val="11"/>
          <w:vertAlign w:val="baseline"/>
        </w:rPr>
        <w:t> </w:t>
      </w:r>
      <w:r>
        <w:rPr>
          <w:vertAlign w:val="baseline"/>
        </w:rPr>
        <w:t>the</w:t>
      </w:r>
      <w:r>
        <w:rPr>
          <w:spacing w:val="11"/>
          <w:vertAlign w:val="baseline"/>
        </w:rPr>
        <w:t> </w:t>
      </w:r>
      <w:r>
        <w:rPr>
          <w:vertAlign w:val="baseline"/>
        </w:rPr>
        <w:t>part</w:t>
      </w:r>
      <w:r>
        <w:rPr>
          <w:spacing w:val="11"/>
          <w:vertAlign w:val="baseline"/>
        </w:rPr>
        <w:t> </w:t>
      </w:r>
      <w:r>
        <w:rPr>
          <w:vertAlign w:val="baseline"/>
        </w:rPr>
        <w:t>of</w:t>
      </w:r>
      <w:r>
        <w:rPr>
          <w:spacing w:val="11"/>
          <w:vertAlign w:val="baseline"/>
        </w:rPr>
        <w:t> </w:t>
      </w:r>
      <w:r>
        <w:rPr>
          <w:vertAlign w:val="baseline"/>
        </w:rPr>
        <w:t>the</w:t>
      </w:r>
      <w:r>
        <w:rPr>
          <w:spacing w:val="11"/>
          <w:vertAlign w:val="baseline"/>
        </w:rPr>
        <w:t> </w:t>
      </w:r>
      <w:r>
        <w:rPr>
          <w:vertAlign w:val="baseline"/>
        </w:rPr>
        <w:t>offeree’s</w:t>
      </w:r>
      <w:r>
        <w:rPr>
          <w:spacing w:val="11"/>
          <w:vertAlign w:val="baseline"/>
        </w:rPr>
        <w:t> </w:t>
      </w:r>
      <w:r>
        <w:rPr>
          <w:vertAlign w:val="baseline"/>
        </w:rPr>
        <w:t>solicitors).</w:t>
      </w:r>
      <w:r>
        <w:rPr>
          <w:spacing w:val="9"/>
          <w:vertAlign w:val="baseline"/>
        </w:rPr>
        <w:t> </w:t>
      </w:r>
      <w:r>
        <w:rPr>
          <w:color w:val="005DA1"/>
          <w:spacing w:val="-8"/>
          <w:u w:val="single" w:color="005DA1"/>
          <w:vertAlign w:val="superscript"/>
        </w:rPr>
        <w:t>358</w:t>
      </w:r>
    </w:p>
    <w:p>
      <w:pPr>
        <w:pStyle w:val="BodyText"/>
        <w:spacing w:after="0" w:line="235" w:lineRule="auto"/>
        <w:jc w:val="both"/>
        <w:sectPr>
          <w:headerReference w:type="default" r:id="rId13"/>
          <w:pgSz w:w="11900" w:h="16840"/>
          <w:pgMar w:header="971" w:footer="0" w:top="1300" w:bottom="280" w:left="1275" w:right="1275"/>
          <w:pgNumType w:start="1"/>
        </w:sectPr>
      </w:pPr>
    </w:p>
    <w:p>
      <w:pPr>
        <w:pStyle w:val="BodyText"/>
        <w:spacing w:line="235" w:lineRule="auto" w:before="110"/>
        <w:ind w:left="164" w:right="168"/>
        <w:jc w:val="both"/>
      </w:pPr>
      <w:bookmarkStart w:name="_bookmark675" w:id="677"/>
      <w:bookmarkEnd w:id="677"/>
      <w:r>
        <w:rPr/>
      </w:r>
      <w:bookmarkStart w:name="_bookmark676" w:id="678"/>
      <w:bookmarkEnd w:id="678"/>
      <w:r>
        <w:rPr/>
      </w:r>
      <w:r>
        <w:rPr/>
        <w:t>For another, acceptance could not, as a matter of law, be inferred from silence alone </w:t>
      </w:r>
      <w:r>
        <w:rPr>
          <w:color w:val="005DA1"/>
          <w:u w:val="single" w:color="005DA1"/>
          <w:vertAlign w:val="superscript"/>
        </w:rPr>
        <w:t>359</w:t>
      </w:r>
      <w:r>
        <w:rPr>
          <w:color w:val="005DA1"/>
          <w:vertAlign w:val="baseline"/>
        </w:rPr>
        <w:t> </w:t>
      </w:r>
      <w:r>
        <w:rPr>
          <w:vertAlign w:val="baseline"/>
        </w:rPr>
        <w:t>“save in </w:t>
      </w:r>
      <w:r>
        <w:rPr>
          <w:vertAlign w:val="baseline"/>
        </w:rPr>
        <w:t>the most exceptional circumstances”. </w:t>
      </w:r>
      <w:r>
        <w:rPr>
          <w:color w:val="005DA1"/>
          <w:u w:val="single" w:color="005DA1"/>
          <w:vertAlign w:val="superscript"/>
        </w:rPr>
        <w:t>360</w:t>
      </w:r>
    </w:p>
    <w:p>
      <w:pPr>
        <w:pStyle w:val="BodyText"/>
      </w:pPr>
    </w:p>
    <w:p>
      <w:pPr>
        <w:pStyle w:val="BodyText"/>
        <w:spacing w:before="38"/>
      </w:pPr>
    </w:p>
    <w:p>
      <w:pPr>
        <w:spacing w:before="0"/>
        <w:ind w:left="165" w:right="0" w:firstLine="0"/>
        <w:jc w:val="both"/>
        <w:rPr>
          <w:rFonts w:ascii="Arial"/>
          <w:b/>
          <w:sz w:val="18"/>
        </w:rPr>
      </w:pPr>
      <w:r>
        <w:rPr>
          <w:rFonts w:ascii="Arial"/>
          <w:b/>
          <w:sz w:val="18"/>
        </w:rPr>
        <w:t>Can offeree exceptionally be </w:t>
      </w:r>
      <w:r>
        <w:rPr>
          <w:rFonts w:ascii="Arial"/>
          <w:b/>
          <w:spacing w:val="-2"/>
          <w:sz w:val="18"/>
        </w:rPr>
        <w:t>bound?</w:t>
      </w:r>
    </w:p>
    <w:p>
      <w:pPr>
        <w:pStyle w:val="BodyText"/>
        <w:spacing w:before="41"/>
        <w:rPr>
          <w:rFonts w:ascii="Arial"/>
          <w:b/>
          <w:sz w:val="18"/>
        </w:rPr>
      </w:pPr>
    </w:p>
    <w:p>
      <w:pPr>
        <w:pStyle w:val="Heading2"/>
      </w:pPr>
      <w:r>
        <w:rPr/>
        <w:t>2-</w:t>
      </w:r>
      <w:r>
        <w:rPr>
          <w:spacing w:val="-5"/>
        </w:rPr>
        <w:t>070</w:t>
      </w:r>
    </w:p>
    <w:p>
      <w:pPr>
        <w:pStyle w:val="BodyText"/>
        <w:spacing w:line="235" w:lineRule="auto" w:before="203"/>
        <w:ind w:left="164" w:right="167"/>
        <w:jc w:val="both"/>
      </w:pPr>
      <w:r>
        <w:rPr/>
        <w:t>As the above reference to “exceptional circumstances” suggests, there may be exceptions to </w:t>
      </w:r>
      <w:r>
        <w:rPr/>
        <w:t>the </w:t>
      </w:r>
      <w:bookmarkStart w:name="_bookmark677" w:id="679"/>
      <w:bookmarkEnd w:id="679"/>
      <w:r>
        <w:rPr/>
        <w:t>general</w:t>
      </w:r>
      <w:r>
        <w:rPr>
          <w:spacing w:val="-1"/>
        </w:rPr>
        <w:t> </w:t>
      </w:r>
      <w:r>
        <w:rPr/>
        <w:t>rule</w:t>
      </w:r>
      <w:r>
        <w:rPr>
          <w:spacing w:val="-1"/>
        </w:rPr>
        <w:t> </w:t>
      </w:r>
      <w:r>
        <w:rPr/>
        <w:t>that</w:t>
      </w:r>
      <w:r>
        <w:rPr>
          <w:spacing w:val="-1"/>
        </w:rPr>
        <w:t> </w:t>
      </w:r>
      <w:r>
        <w:rPr/>
        <w:t>an</w:t>
      </w:r>
      <w:r>
        <w:rPr>
          <w:spacing w:val="-1"/>
        </w:rPr>
        <w:t> </w:t>
      </w:r>
      <w:r>
        <w:rPr/>
        <w:t>offeree</w:t>
      </w:r>
      <w:r>
        <w:rPr>
          <w:spacing w:val="-1"/>
        </w:rPr>
        <w:t> </w:t>
      </w:r>
      <w:r>
        <w:rPr/>
        <w:t>is</w:t>
      </w:r>
      <w:r>
        <w:rPr>
          <w:spacing w:val="-1"/>
        </w:rPr>
        <w:t> </w:t>
      </w:r>
      <w:r>
        <w:rPr/>
        <w:t>not</w:t>
      </w:r>
      <w:r>
        <w:rPr>
          <w:spacing w:val="-1"/>
        </w:rPr>
        <w:t> </w:t>
      </w:r>
      <w:r>
        <w:rPr/>
        <w:t>bound</w:t>
      </w:r>
      <w:r>
        <w:rPr>
          <w:spacing w:val="-1"/>
        </w:rPr>
        <w:t> </w:t>
      </w:r>
      <w:r>
        <w:rPr/>
        <w:t>by</w:t>
      </w:r>
      <w:r>
        <w:rPr>
          <w:spacing w:val="-1"/>
        </w:rPr>
        <w:t> </w:t>
      </w:r>
      <w:r>
        <w:rPr/>
        <w:t>silence.</w:t>
      </w:r>
      <w:r>
        <w:rPr>
          <w:spacing w:val="-1"/>
        </w:rPr>
        <w:t> </w:t>
      </w:r>
      <w:r>
        <w:rPr/>
        <w:t>First,</w:t>
      </w:r>
      <w:r>
        <w:rPr>
          <w:spacing w:val="-1"/>
        </w:rPr>
        <w:t> </w:t>
      </w:r>
      <w:r>
        <w:rPr/>
        <w:t>if</w:t>
      </w:r>
      <w:r>
        <w:rPr>
          <w:spacing w:val="-1"/>
        </w:rPr>
        <w:t> </w:t>
      </w:r>
      <w:r>
        <w:rPr/>
        <w:t>the</w:t>
      </w:r>
      <w:r>
        <w:rPr>
          <w:spacing w:val="-1"/>
        </w:rPr>
        <w:t> </w:t>
      </w:r>
      <w:r>
        <w:rPr/>
        <w:t>offer</w:t>
      </w:r>
      <w:r>
        <w:rPr>
          <w:spacing w:val="-1"/>
        </w:rPr>
        <w:t> </w:t>
      </w:r>
      <w:r>
        <w:rPr/>
        <w:t>has</w:t>
      </w:r>
      <w:r>
        <w:rPr>
          <w:spacing w:val="-1"/>
        </w:rPr>
        <w:t> </w:t>
      </w:r>
      <w:r>
        <w:rPr/>
        <w:t>been</w:t>
      </w:r>
      <w:r>
        <w:rPr>
          <w:spacing w:val="-1"/>
        </w:rPr>
        <w:t> </w:t>
      </w:r>
      <w:r>
        <w:rPr/>
        <w:t>solicited</w:t>
      </w:r>
      <w:r>
        <w:rPr>
          <w:spacing w:val="-1"/>
        </w:rPr>
        <w:t> </w:t>
      </w:r>
      <w:r>
        <w:rPr/>
        <w:t>by</w:t>
      </w:r>
      <w:r>
        <w:rPr>
          <w:spacing w:val="-1"/>
        </w:rPr>
        <w:t> </w:t>
      </w:r>
      <w:r>
        <w:rPr/>
        <w:t>the</w:t>
      </w:r>
      <w:r>
        <w:rPr>
          <w:spacing w:val="-1"/>
        </w:rPr>
        <w:t> </w:t>
      </w:r>
      <w:r>
        <w:rPr/>
        <w:t>offeree, </w:t>
      </w:r>
      <w:bookmarkStart w:name="_bookmark678" w:id="680"/>
      <w:bookmarkEnd w:id="680"/>
      <w:r>
        <w:rPr/>
        <w:t>the</w:t>
      </w:r>
      <w:r>
        <w:rPr/>
        <w:t> argument that he should not be put to the trouble of rejecting it </w:t>
      </w:r>
      <w:r>
        <w:rPr>
          <w:color w:val="005DA1"/>
          <w:u w:val="single" w:color="005DA1"/>
          <w:vertAlign w:val="superscript"/>
        </w:rPr>
        <w:t>361</w:t>
      </w:r>
      <w:r>
        <w:rPr>
          <w:color w:val="005DA1"/>
          <w:vertAlign w:val="baseline"/>
        </w:rPr>
        <w:t> </w:t>
      </w:r>
      <w:r>
        <w:rPr>
          <w:vertAlign w:val="baseline"/>
        </w:rPr>
        <w:t>loses much of its force, </w:t>
      </w:r>
      <w:r>
        <w:rPr>
          <w:color w:val="005DA1"/>
          <w:u w:val="single" w:color="005DA1"/>
          <w:vertAlign w:val="superscript"/>
        </w:rPr>
        <w:t>362</w:t>
      </w:r>
      <w:r>
        <w:rPr>
          <w:color w:val="005DA1"/>
          <w:vertAlign w:val="baseline"/>
        </w:rPr>
        <w:t> </w:t>
      </w:r>
      <w:bookmarkStart w:name="_bookmark679" w:id="681"/>
      <w:bookmarkEnd w:id="681"/>
      <w:r>
        <w:rPr>
          <w:color w:val="005DA1"/>
          <w:w w:val="92"/>
          <w:vertAlign w:val="baseline"/>
        </w:rPr>
      </w:r>
      <w:r>
        <w:rPr>
          <w:vertAlign w:val="baseline"/>
        </w:rPr>
        <w:t>especially if the offer is made on a form provided by the offeree </w:t>
      </w:r>
      <w:r>
        <w:rPr>
          <w:color w:val="005DA1"/>
          <w:u w:val="single" w:color="005DA1"/>
          <w:vertAlign w:val="superscript"/>
        </w:rPr>
        <w:t>363</w:t>
      </w:r>
      <w:r>
        <w:rPr>
          <w:color w:val="005DA1"/>
          <w:vertAlign w:val="baseline"/>
        </w:rPr>
        <w:t> </w:t>
      </w:r>
      <w:r>
        <w:rPr>
          <w:vertAlign w:val="baseline"/>
        </w:rPr>
        <w:t>and that form stipulates that</w:t>
      </w:r>
      <w:r>
        <w:rPr>
          <w:spacing w:val="40"/>
          <w:vertAlign w:val="baseline"/>
        </w:rPr>
        <w:t> </w:t>
      </w:r>
      <w:r>
        <w:rPr>
          <w:vertAlign w:val="baseline"/>
        </w:rPr>
        <w:t>silence may amount to acceptance. </w:t>
      </w:r>
      <w:r>
        <w:rPr>
          <w:color w:val="005DA1"/>
          <w:u w:val="single" w:color="005DA1"/>
          <w:vertAlign w:val="superscript"/>
        </w:rPr>
        <w:t>364</w:t>
      </w:r>
      <w:r>
        <w:rPr>
          <w:color w:val="005DA1"/>
          <w:vertAlign w:val="baseline"/>
        </w:rPr>
        <w:t> </w:t>
      </w:r>
      <w:r>
        <w:rPr>
          <w:vertAlign w:val="baseline"/>
        </w:rPr>
        <w:t>Secondly, if there is a course of dealing between the parties, the offeror may be led to suppose that silence amounts to acceptance: e.g. where his offers to buy </w:t>
      </w:r>
      <w:bookmarkStart w:name="_bookmark680" w:id="682"/>
      <w:bookmarkEnd w:id="682"/>
      <w:r>
        <w:rPr>
          <w:vertAlign w:val="baseline"/>
        </w:rPr>
        <w:t>goods</w:t>
      </w:r>
      <w:r>
        <w:rPr>
          <w:vertAlign w:val="baseline"/>
        </w:rPr>
        <w:t> have in the past been accepted as a matter of course by the despatch of the goods in</w:t>
      </w:r>
      <w:r>
        <w:rPr>
          <w:spacing w:val="80"/>
          <w:vertAlign w:val="baseline"/>
        </w:rPr>
        <w:t> </w:t>
      </w:r>
      <w:r>
        <w:rPr>
          <w:vertAlign w:val="baseline"/>
        </w:rPr>
        <w:t>question. </w:t>
      </w:r>
      <w:r>
        <w:rPr>
          <w:color w:val="005DA1"/>
          <w:u w:val="single" w:color="005DA1"/>
          <w:vertAlign w:val="superscript"/>
        </w:rPr>
        <w:t>365</w:t>
      </w:r>
      <w:r>
        <w:rPr>
          <w:color w:val="005DA1"/>
          <w:vertAlign w:val="baseline"/>
        </w:rPr>
        <w:t> </w:t>
      </w:r>
      <w:r>
        <w:rPr>
          <w:vertAlign w:val="baseline"/>
        </w:rPr>
        <w:t>In such a case it may not be unreasonable to impose on the offeree an obligation to give notice of his rejection of the offer, especially if the offeror, in reliance on his belief that the goods</w:t>
      </w:r>
      <w:r>
        <w:rPr>
          <w:spacing w:val="40"/>
          <w:vertAlign w:val="baseline"/>
        </w:rPr>
        <w:t> </w:t>
      </w:r>
      <w:r>
        <w:rPr>
          <w:vertAlign w:val="baseline"/>
        </w:rPr>
        <w:t>would be delivered in the usual way, had forborne from seeking an alternative supply. It has been</w:t>
      </w:r>
      <w:r>
        <w:rPr>
          <w:spacing w:val="40"/>
          <w:vertAlign w:val="baseline"/>
        </w:rPr>
        <w:t> </w:t>
      </w:r>
      <w:r>
        <w:rPr>
          <w:vertAlign w:val="baseline"/>
        </w:rPr>
        <w:t>held that one party’s wrongful repudiation of a contract may be accepted by the other party’s failure to </w:t>
      </w:r>
      <w:bookmarkStart w:name="_bookmark681" w:id="683"/>
      <w:bookmarkEnd w:id="683"/>
      <w:r>
        <w:rPr>
          <w:vertAlign w:val="baseline"/>
        </w:rPr>
        <w:t>take</w:t>
      </w:r>
      <w:r>
        <w:rPr>
          <w:vertAlign w:val="baseline"/>
        </w:rPr>
        <w:t> such further steps in the performance of that contract as he would have been expected to take, if </w:t>
      </w:r>
      <w:bookmarkStart w:name="_bookmark682" w:id="684"/>
      <w:bookmarkEnd w:id="684"/>
      <w:r>
        <w:rPr>
          <w:vertAlign w:val="baseline"/>
        </w:rPr>
        <w:t>he</w:t>
      </w:r>
      <w:r>
        <w:rPr>
          <w:vertAlign w:val="baseline"/>
        </w:rPr>
        <w:t> were treating the contract as still in force </w:t>
      </w:r>
      <w:r>
        <w:rPr>
          <w:color w:val="005DA1"/>
          <w:u w:val="single" w:color="005DA1"/>
          <w:vertAlign w:val="superscript"/>
        </w:rPr>
        <w:t>366</w:t>
      </w:r>
      <w:r>
        <w:rPr>
          <w:vertAlign w:val="baseline"/>
        </w:rPr>
        <w:t>; and similar reasoning might be applied in the present context. Thirdly, there may also be “an express undertaking or implied obligation to speak” </w:t>
      </w:r>
      <w:r>
        <w:rPr>
          <w:color w:val="005DA1"/>
          <w:u w:val="single" w:color="005DA1"/>
          <w:vertAlign w:val="superscript"/>
        </w:rPr>
        <w:t>367</w:t>
      </w:r>
      <w:r>
        <w:rPr>
          <w:color w:val="005DA1"/>
          <w:vertAlign w:val="baseline"/>
        </w:rPr>
        <w:t> </w:t>
      </w:r>
      <w:r>
        <w:rPr>
          <w:vertAlign w:val="baseline"/>
        </w:rPr>
        <w:t>arising </w:t>
      </w:r>
      <w:bookmarkStart w:name="_bookmark683" w:id="685"/>
      <w:bookmarkEnd w:id="685"/>
      <w:r>
        <w:rPr>
          <w:vertAlign w:val="baseline"/>
        </w:rPr>
        <w:t>out</w:t>
      </w:r>
      <w:r>
        <w:rPr>
          <w:vertAlign w:val="baseline"/>
        </w:rPr>
        <w:t> of the course of negotiations between the parties, e.g. “where the offeree himself indicates that an offer is to be taken as accepted if he does not indicate the contrary by an ascertainable time.” </w:t>
      </w:r>
      <w:r>
        <w:rPr>
          <w:color w:val="005DA1"/>
          <w:u w:val="single" w:color="005DA1"/>
          <w:vertAlign w:val="superscript"/>
        </w:rPr>
        <w:t>368</w:t>
      </w:r>
      <w:r>
        <w:rPr>
          <w:color w:val="005DA1"/>
          <w:vertAlign w:val="baseline"/>
        </w:rPr>
        <w:t> </w:t>
      </w:r>
      <w:r>
        <w:rPr>
          <w:vertAlign w:val="baseline"/>
        </w:rPr>
        <w:t>The offeree’s failure to perform such an “obligation to speak” could thus be treated by the </w:t>
      </w:r>
      <w:r>
        <w:rPr>
          <w:rFonts w:ascii="Arial" w:hAnsi="Arial"/>
          <w:i/>
          <w:vertAlign w:val="baseline"/>
        </w:rPr>
        <w:t>offeror </w:t>
      </w:r>
      <w:r>
        <w:rPr>
          <w:vertAlign w:val="baseline"/>
        </w:rPr>
        <w:t>as an </w:t>
      </w:r>
      <w:bookmarkStart w:name="_bookmark684" w:id="686"/>
      <w:bookmarkEnd w:id="686"/>
      <w:r>
        <w:rPr>
          <w:vertAlign w:val="baseline"/>
        </w:rPr>
        <w:t>acceptance</w:t>
      </w:r>
      <w:r>
        <w:rPr>
          <w:vertAlign w:val="baseline"/>
        </w:rPr>
        <w:t> by silence. But it is not normally open to the</w:t>
      </w:r>
      <w:r>
        <w:rPr>
          <w:spacing w:val="-1"/>
          <w:vertAlign w:val="baseline"/>
        </w:rPr>
        <w:t> </w:t>
      </w:r>
      <w:r>
        <w:rPr>
          <w:rFonts w:ascii="Arial" w:hAnsi="Arial"/>
          <w:i/>
          <w:vertAlign w:val="baseline"/>
        </w:rPr>
        <w:t>offeree </w:t>
      </w:r>
      <w:r>
        <w:rPr>
          <w:vertAlign w:val="baseline"/>
        </w:rPr>
        <w:t>in such cases to treat his own silence </w:t>
      </w:r>
      <w:bookmarkStart w:name="_bookmark685" w:id="687"/>
      <w:bookmarkEnd w:id="687"/>
      <w:r>
        <w:rPr>
          <w:vertAlign w:val="baseline"/>
        </w:rPr>
        <w:t>(in</w:t>
      </w:r>
      <w:r>
        <w:rPr>
          <w:vertAlign w:val="baseline"/>
        </w:rPr>
        <w:t> breach of his duty to speak) as an acceptance. </w:t>
      </w:r>
      <w:r>
        <w:rPr>
          <w:color w:val="005DA1"/>
          <w:u w:val="single" w:color="005DA1"/>
          <w:vertAlign w:val="superscript"/>
        </w:rPr>
        <w:t>369</w:t>
      </w:r>
      <w:r>
        <w:rPr>
          <w:color w:val="005DA1"/>
          <w:vertAlign w:val="baseline"/>
        </w:rPr>
        <w:t> </w:t>
      </w:r>
      <w:r>
        <w:rPr>
          <w:vertAlign w:val="baseline"/>
        </w:rPr>
        <w:t>This course would be open to him only in situations such as that in </w:t>
      </w:r>
      <w:r>
        <w:rPr>
          <w:rFonts w:ascii="Arial" w:hAnsi="Arial"/>
          <w:i/>
          <w:vertAlign w:val="baseline"/>
        </w:rPr>
        <w:t>Felthouse v Bindley</w:t>
      </w:r>
      <w:r>
        <w:rPr>
          <w:vertAlign w:val="baseline"/>
        </w:rPr>
        <w:t>, </w:t>
      </w:r>
      <w:r>
        <w:rPr>
          <w:color w:val="005DA1"/>
          <w:u w:val="single" w:color="005DA1"/>
          <w:vertAlign w:val="superscript"/>
        </w:rPr>
        <w:t>370</w:t>
      </w:r>
      <w:r>
        <w:rPr>
          <w:color w:val="005DA1"/>
          <w:vertAlign w:val="baseline"/>
        </w:rPr>
        <w:t> </w:t>
      </w:r>
      <w:r>
        <w:rPr>
          <w:vertAlign w:val="baseline"/>
        </w:rPr>
        <w:t>in which the offeror had indicated (usually in the </w:t>
      </w:r>
      <w:bookmarkStart w:name="_bookmark686" w:id="688"/>
      <w:bookmarkEnd w:id="688"/>
      <w:r>
        <w:rPr>
          <w:vertAlign w:val="baseline"/>
        </w:rPr>
        <w:t>terms</w:t>
      </w:r>
      <w:r>
        <w:rPr>
          <w:vertAlign w:val="baseline"/>
        </w:rPr>
        <w:t> of the offer) that he would treat silence as an acceptance. Fourthly, it is also possible that silence may constitute an acceptance by virtue of a custom of the trade or business in question. </w:t>
      </w:r>
      <w:r>
        <w:rPr>
          <w:color w:val="005DA1"/>
          <w:u w:val="single" w:color="005DA1"/>
          <w:vertAlign w:val="superscript"/>
        </w:rPr>
        <w:t>371</w:t>
      </w:r>
      <w:r>
        <w:rPr>
          <w:color w:val="005DA1"/>
          <w:vertAlign w:val="baseline"/>
        </w:rPr>
        <w:t> </w:t>
      </w:r>
      <w:r>
        <w:rPr>
          <w:vertAlign w:val="baseline"/>
        </w:rPr>
        <w:t>Fifthly,</w:t>
      </w:r>
      <w:r>
        <w:rPr>
          <w:spacing w:val="-1"/>
          <w:vertAlign w:val="baseline"/>
        </w:rPr>
        <w:t> </w:t>
      </w:r>
      <w:r>
        <w:rPr>
          <w:vertAlign w:val="baseline"/>
        </w:rPr>
        <w:t>parties</w:t>
      </w:r>
      <w:r>
        <w:rPr>
          <w:spacing w:val="-1"/>
          <w:vertAlign w:val="baseline"/>
        </w:rPr>
        <w:t> </w:t>
      </w:r>
      <w:r>
        <w:rPr>
          <w:vertAlign w:val="baseline"/>
        </w:rPr>
        <w:t>may</w:t>
      </w:r>
      <w:r>
        <w:rPr>
          <w:spacing w:val="-1"/>
          <w:vertAlign w:val="baseline"/>
        </w:rPr>
        <w:t> </w:t>
      </w:r>
      <w:r>
        <w:rPr>
          <w:vertAlign w:val="baseline"/>
        </w:rPr>
        <w:t>have</w:t>
      </w:r>
      <w:r>
        <w:rPr>
          <w:spacing w:val="-1"/>
          <w:vertAlign w:val="baseline"/>
        </w:rPr>
        <w:t> </w:t>
      </w:r>
      <w:r>
        <w:rPr>
          <w:vertAlign w:val="baseline"/>
        </w:rPr>
        <w:t>entered</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binding</w:t>
      </w:r>
      <w:r>
        <w:rPr>
          <w:spacing w:val="-1"/>
          <w:vertAlign w:val="baseline"/>
        </w:rPr>
        <w:t> </w:t>
      </w:r>
      <w:r>
        <w:rPr>
          <w:vertAlign w:val="baseline"/>
        </w:rPr>
        <w:t>contract</w:t>
      </w:r>
      <w:r>
        <w:rPr>
          <w:spacing w:val="-1"/>
          <w:vertAlign w:val="baseline"/>
        </w:rPr>
        <w:t> </w:t>
      </w:r>
      <w:r>
        <w:rPr>
          <w:vertAlign w:val="baseline"/>
        </w:rPr>
        <w:t>but</w:t>
      </w:r>
      <w:r>
        <w:rPr>
          <w:spacing w:val="-1"/>
          <w:vertAlign w:val="baseline"/>
        </w:rPr>
        <w:t> </w:t>
      </w:r>
      <w:r>
        <w:rPr>
          <w:vertAlign w:val="baseline"/>
        </w:rPr>
        <w:t>have</w:t>
      </w:r>
      <w:r>
        <w:rPr>
          <w:spacing w:val="-1"/>
          <w:vertAlign w:val="baseline"/>
        </w:rPr>
        <w:t> </w:t>
      </w:r>
      <w:r>
        <w:rPr>
          <w:vertAlign w:val="baseline"/>
        </w:rPr>
        <w:t>left</w:t>
      </w:r>
      <w:r>
        <w:rPr>
          <w:spacing w:val="-1"/>
          <w:vertAlign w:val="baseline"/>
        </w:rPr>
        <w:t> </w:t>
      </w:r>
      <w:r>
        <w:rPr>
          <w:vertAlign w:val="baseline"/>
        </w:rPr>
        <w:t>some</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terms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settled</w:t>
      </w:r>
      <w:r>
        <w:rPr>
          <w:spacing w:val="-1"/>
          <w:vertAlign w:val="baseline"/>
        </w:rPr>
        <w:t> </w:t>
      </w:r>
      <w:r>
        <w:rPr>
          <w:vertAlign w:val="baseline"/>
        </w:rPr>
        <w:t>in </w:t>
      </w:r>
      <w:bookmarkStart w:name="_bookmark687" w:id="689"/>
      <w:bookmarkEnd w:id="689"/>
      <w:r>
        <w:rPr>
          <w:vertAlign w:val="baseline"/>
        </w:rPr>
        <w:t>later</w:t>
      </w:r>
      <w:r>
        <w:rPr>
          <w:vertAlign w:val="baseline"/>
        </w:rPr>
        <w:t> negotiations; where one party then made a proposal as to the contents of such a term or terms,</w:t>
      </w:r>
      <w:r>
        <w:rPr>
          <w:spacing w:val="80"/>
          <w:vertAlign w:val="baseline"/>
        </w:rPr>
        <w:t> </w:t>
      </w:r>
      <w:bookmarkStart w:name="_bookmark688" w:id="690"/>
      <w:bookmarkEnd w:id="690"/>
      <w:r>
        <w:rPr>
          <w:vertAlign w:val="baseline"/>
        </w:rPr>
        <w:t>it</w:t>
      </w:r>
      <w:r>
        <w:rPr>
          <w:vertAlign w:val="baseline"/>
        </w:rPr>
        <w:t> was held that “lack of objection to those terms is to be regarded as an acceptance of them”. </w:t>
      </w:r>
      <w:r>
        <w:rPr>
          <w:color w:val="005DA1"/>
          <w:u w:val="single" w:color="005DA1"/>
          <w:vertAlign w:val="superscript"/>
        </w:rPr>
        <w:t>372</w:t>
      </w:r>
      <w:r>
        <w:rPr>
          <w:color w:val="005DA1"/>
          <w:vertAlign w:val="baseline"/>
        </w:rPr>
        <w:t> </w:t>
      </w:r>
      <w:r>
        <w:rPr>
          <w:vertAlign w:val="baseline"/>
        </w:rPr>
        <w:t>An “implied obligation to speak” </w:t>
      </w:r>
      <w:r>
        <w:rPr>
          <w:color w:val="005DA1"/>
          <w:u w:val="single" w:color="005DA1"/>
          <w:vertAlign w:val="superscript"/>
        </w:rPr>
        <w:t>373</w:t>
      </w:r>
      <w:r>
        <w:rPr>
          <w:color w:val="005DA1"/>
          <w:vertAlign w:val="baseline"/>
        </w:rPr>
        <w:t> </w:t>
      </w:r>
      <w:r>
        <w:rPr>
          <w:vertAlign w:val="baseline"/>
        </w:rPr>
        <w:t>could in such a case be said to have arisen out of the antecedent </w:t>
      </w:r>
      <w:bookmarkStart w:name="_bookmark689" w:id="691"/>
      <w:bookmarkEnd w:id="691"/>
      <w:r>
        <w:rPr>
          <w:vertAlign w:val="baseline"/>
        </w:rPr>
        <w:t>negotiations</w:t>
      </w:r>
      <w:r>
        <w:rPr>
          <w:vertAlign w:val="baseline"/>
        </w:rPr>
        <w:t> between the parties. Lastly, the offeree can accept by conduct, which can, in principle, take the form of a forbearance. </w:t>
      </w:r>
      <w:r>
        <w:rPr>
          <w:color w:val="005DA1"/>
          <w:u w:val="single" w:color="005DA1"/>
          <w:vertAlign w:val="superscript"/>
        </w:rPr>
        <w:t>374</w:t>
      </w:r>
    </w:p>
    <w:p>
      <w:pPr>
        <w:pStyle w:val="BodyText"/>
      </w:pPr>
    </w:p>
    <w:p>
      <w:pPr>
        <w:pStyle w:val="BodyText"/>
        <w:spacing w:before="28"/>
      </w:pPr>
    </w:p>
    <w:p>
      <w:pPr>
        <w:spacing w:before="0"/>
        <w:ind w:left="165" w:right="0" w:firstLine="0"/>
        <w:jc w:val="left"/>
        <w:rPr>
          <w:rFonts w:ascii="Arial"/>
          <w:b/>
          <w:sz w:val="18"/>
        </w:rPr>
      </w:pPr>
      <w:r>
        <w:rPr>
          <w:rFonts w:ascii="Arial"/>
          <w:b/>
          <w:sz w:val="18"/>
        </w:rPr>
        <w:t>Liability of offeree based on </w:t>
      </w:r>
      <w:r>
        <w:rPr>
          <w:rFonts w:ascii="Arial"/>
          <w:b/>
          <w:spacing w:val="-2"/>
          <w:sz w:val="18"/>
        </w:rPr>
        <w:t>estoppel?</w:t>
      </w:r>
    </w:p>
    <w:p>
      <w:pPr>
        <w:pStyle w:val="BodyText"/>
        <w:spacing w:before="41"/>
        <w:rPr>
          <w:rFonts w:ascii="Arial"/>
          <w:b/>
          <w:sz w:val="18"/>
        </w:rPr>
      </w:pPr>
    </w:p>
    <w:p>
      <w:pPr>
        <w:pStyle w:val="Heading2"/>
      </w:pPr>
      <w:r>
        <w:rPr/>
        <w:t>2-</w:t>
      </w:r>
      <w:r>
        <w:rPr>
          <w:spacing w:val="-5"/>
        </w:rPr>
        <w:t>071</w:t>
      </w:r>
    </w:p>
    <w:p>
      <w:pPr>
        <w:pStyle w:val="BodyText"/>
        <w:spacing w:line="235" w:lineRule="auto" w:before="203"/>
        <w:ind w:left="165" w:right="167"/>
        <w:jc w:val="both"/>
      </w:pPr>
      <w:r>
        <w:rPr/>
        <w:t>Even where silence of the offeree does not amount to an acceptance, it is arguable that he might be liable on a different basis. In </w:t>
      </w:r>
      <w:r>
        <w:rPr>
          <w:rFonts w:ascii="Arial"/>
          <w:i/>
        </w:rPr>
        <w:t>Spiro v Lintern </w:t>
      </w:r>
      <w:r>
        <w:rPr/>
        <w:t>it was said that:</w:t>
      </w:r>
    </w:p>
    <w:p>
      <w:pPr>
        <w:pStyle w:val="BodyText"/>
      </w:pPr>
    </w:p>
    <w:p>
      <w:pPr>
        <w:pStyle w:val="BodyText"/>
        <w:spacing w:before="126"/>
      </w:pPr>
    </w:p>
    <w:p>
      <w:pPr>
        <w:pStyle w:val="BodyText"/>
        <w:spacing w:line="235" w:lineRule="auto"/>
        <w:ind w:left="1245" w:right="167"/>
        <w:jc w:val="both"/>
      </w:pPr>
      <w:r>
        <w:rPr/>
        <w:t>“If A sees B acting in the mistaken belief that A is under some binding obligation to </w:t>
      </w:r>
      <w:r>
        <w:rPr/>
        <w:t>him and in a manner consistent only with such an obligation, which would be to B’s </w:t>
      </w:r>
      <w:bookmarkStart w:name="_bookmark690" w:id="692"/>
      <w:bookmarkEnd w:id="692"/>
      <w:r>
        <w:rPr/>
        <w:t>disadvantage</w:t>
      </w:r>
      <w:r>
        <w:rPr>
          <w:spacing w:val="-2"/>
        </w:rPr>
        <w:t> </w:t>
      </w:r>
      <w:r>
        <w:rPr/>
        <w:t>if</w:t>
      </w:r>
      <w:r>
        <w:rPr>
          <w:spacing w:val="-2"/>
        </w:rPr>
        <w:t> </w:t>
      </w:r>
      <w:r>
        <w:rPr/>
        <w:t>A</w:t>
      </w:r>
      <w:r>
        <w:rPr>
          <w:spacing w:val="-2"/>
        </w:rPr>
        <w:t> </w:t>
      </w:r>
      <w:r>
        <w:rPr/>
        <w:t>were</w:t>
      </w:r>
      <w:r>
        <w:rPr>
          <w:spacing w:val="-2"/>
        </w:rPr>
        <w:t> </w:t>
      </w:r>
      <w:r>
        <w:rPr/>
        <w:t>thereafter</w:t>
      </w:r>
      <w:r>
        <w:rPr>
          <w:spacing w:val="-2"/>
        </w:rPr>
        <w:t> </w:t>
      </w:r>
      <w:r>
        <w:rPr/>
        <w:t>to</w:t>
      </w:r>
      <w:r>
        <w:rPr>
          <w:spacing w:val="-2"/>
        </w:rPr>
        <w:t> </w:t>
      </w:r>
      <w:r>
        <w:rPr/>
        <w:t>deny</w:t>
      </w:r>
      <w:r>
        <w:rPr>
          <w:spacing w:val="-2"/>
        </w:rPr>
        <w:t> </w:t>
      </w:r>
      <w:r>
        <w:rPr/>
        <w:t>the</w:t>
      </w:r>
      <w:r>
        <w:rPr>
          <w:spacing w:val="-2"/>
        </w:rPr>
        <w:t> </w:t>
      </w:r>
      <w:r>
        <w:rPr/>
        <w:t>obligation,</w:t>
      </w:r>
      <w:r>
        <w:rPr>
          <w:spacing w:val="-2"/>
        </w:rPr>
        <w:t> </w:t>
      </w:r>
      <w:r>
        <w:rPr/>
        <w:t>A</w:t>
      </w:r>
      <w:r>
        <w:rPr>
          <w:spacing w:val="-2"/>
        </w:rPr>
        <w:t> </w:t>
      </w:r>
      <w:r>
        <w:rPr/>
        <w:t>is</w:t>
      </w:r>
      <w:r>
        <w:rPr>
          <w:spacing w:val="-2"/>
        </w:rPr>
        <w:t> </w:t>
      </w:r>
      <w:r>
        <w:rPr/>
        <w:t>under</w:t>
      </w:r>
      <w:r>
        <w:rPr>
          <w:spacing w:val="-2"/>
        </w:rPr>
        <w:t> </w:t>
      </w:r>
      <w:r>
        <w:rPr/>
        <w:t>a</w:t>
      </w:r>
      <w:r>
        <w:rPr>
          <w:spacing w:val="-2"/>
        </w:rPr>
        <w:t> </w:t>
      </w:r>
      <w:r>
        <w:rPr/>
        <w:t>duty</w:t>
      </w:r>
      <w:r>
        <w:rPr>
          <w:spacing w:val="-2"/>
        </w:rPr>
        <w:t> </w:t>
      </w:r>
      <w:r>
        <w:rPr/>
        <w:t>to</w:t>
      </w:r>
      <w:r>
        <w:rPr>
          <w:spacing w:val="-2"/>
        </w:rPr>
        <w:t> </w:t>
      </w:r>
      <w:r>
        <w:rPr/>
        <w:t>B</w:t>
      </w:r>
      <w:r>
        <w:rPr>
          <w:spacing w:val="-2"/>
        </w:rPr>
        <w:t> </w:t>
      </w:r>
      <w:r>
        <w:rPr/>
        <w:t>to</w:t>
      </w:r>
      <w:r>
        <w:rPr>
          <w:spacing w:val="-2"/>
        </w:rPr>
        <w:t> </w:t>
      </w:r>
      <w:r>
        <w:rPr/>
        <w:t>disclose the non-existence of the supposed obligation.” </w:t>
      </w:r>
      <w:r>
        <w:rPr>
          <w:color w:val="005DA1"/>
          <w:u w:val="single" w:color="005DA1"/>
          <w:vertAlign w:val="superscript"/>
        </w:rPr>
        <w:t>375</w:t>
      </w:r>
    </w:p>
    <w:p>
      <w:pPr>
        <w:pStyle w:val="BodyText"/>
      </w:pPr>
    </w:p>
    <w:p>
      <w:pPr>
        <w:pStyle w:val="BodyText"/>
        <w:spacing w:before="205"/>
      </w:pPr>
    </w:p>
    <w:p>
      <w:pPr>
        <w:pStyle w:val="BodyText"/>
        <w:spacing w:line="235" w:lineRule="auto"/>
        <w:ind w:left="165" w:right="167"/>
        <w:jc w:val="both"/>
      </w:pPr>
      <w:bookmarkStart w:name="_bookmark691" w:id="693"/>
      <w:bookmarkEnd w:id="693"/>
      <w:r>
        <w:rPr/>
      </w:r>
      <w:r>
        <w:rPr/>
        <w:t>Although this statement was made with reference to wholly different circumstances, it could also </w:t>
      </w:r>
      <w:r>
        <w:rPr/>
        <w:t>be applied to certain cases in which an offeror had, to the offeree’s knowledge, </w:t>
      </w:r>
      <w:r>
        <w:rPr>
          <w:color w:val="005DA1"/>
          <w:u w:val="single" w:color="005DA1"/>
          <w:vertAlign w:val="superscript"/>
        </w:rPr>
        <w:t>376</w:t>
      </w:r>
      <w:r>
        <w:rPr>
          <w:color w:val="005DA1"/>
          <w:vertAlign w:val="baseline"/>
        </w:rPr>
        <w:t> </w:t>
      </w:r>
      <w:r>
        <w:rPr>
          <w:vertAlign w:val="baseline"/>
        </w:rPr>
        <w:t>acted in reliance on </w:t>
      </w:r>
      <w:bookmarkStart w:name="_bookmark692" w:id="694"/>
      <w:bookmarkEnd w:id="694"/>
      <w:r>
        <w:rPr>
          <w:vertAlign w:val="baseline"/>
        </w:rPr>
        <w:t>the</w:t>
      </w:r>
      <w:r>
        <w:rPr>
          <w:vertAlign w:val="baseline"/>
        </w:rPr>
        <w:t> belief that his offer had been accepted by silence. The liability of the offeree would then be based </w:t>
      </w:r>
      <w:bookmarkStart w:name="_bookmark693" w:id="695"/>
      <w:bookmarkEnd w:id="695"/>
      <w:r>
        <w:rPr>
          <w:vertAlign w:val="baseline"/>
        </w:rPr>
        <w:t>on</w:t>
      </w:r>
      <w:r>
        <w:rPr>
          <w:vertAlign w:val="baseline"/>
        </w:rPr>
        <w:t> a kind of estoppel.</w:t>
      </w:r>
      <w:r>
        <w:rPr>
          <w:spacing w:val="-1"/>
          <w:vertAlign w:val="baseline"/>
        </w:rPr>
        <w:t> </w:t>
      </w:r>
      <w:r>
        <w:rPr>
          <w:color w:val="005DA1"/>
          <w:u w:val="single" w:color="005DA1"/>
          <w:vertAlign w:val="superscript"/>
        </w:rPr>
        <w:t>377</w:t>
      </w:r>
      <w:r>
        <w:rPr>
          <w:color w:val="005DA1"/>
          <w:spacing w:val="-1"/>
          <w:vertAlign w:val="baseline"/>
        </w:rPr>
        <w:t> </w:t>
      </w:r>
      <w:r>
        <w:rPr>
          <w:vertAlign w:val="baseline"/>
        </w:rPr>
        <w:t>But the application of this doctrine to cases of alleged acceptance by silence </w:t>
      </w:r>
      <w:bookmarkStart w:name="_bookmark694" w:id="696"/>
      <w:bookmarkEnd w:id="696"/>
      <w:r>
        <w:rPr>
          <w:vertAlign w:val="baseline"/>
        </w:rPr>
        <w:t>gives</w:t>
      </w:r>
      <w:r>
        <w:rPr>
          <w:vertAlign w:val="baseline"/>
        </w:rPr>
        <w:t> rise to the difficulty that such an estoppel can arise only out of a “clear and unequivocal” </w:t>
      </w:r>
      <w:r>
        <w:rPr>
          <w:color w:val="005DA1"/>
          <w:u w:val="single" w:color="005DA1"/>
          <w:vertAlign w:val="superscript"/>
        </w:rPr>
        <w:t>378</w:t>
      </w:r>
      <w:r>
        <w:rPr>
          <w:color w:val="005DA1"/>
          <w:vertAlign w:val="baseline"/>
        </w:rPr>
        <w:t> </w:t>
      </w:r>
      <w:r>
        <w:rPr>
          <w:vertAlign w:val="baseline"/>
        </w:rPr>
        <w:t>representation. For this purpose, mere inactivity is not generally sufficient, </w:t>
      </w:r>
      <w:r>
        <w:rPr>
          <w:color w:val="005DA1"/>
          <w:u w:val="single" w:color="005DA1"/>
          <w:vertAlign w:val="superscript"/>
        </w:rPr>
        <w:t>379</w:t>
      </w:r>
      <w:r>
        <w:rPr>
          <w:color w:val="005DA1"/>
          <w:vertAlign w:val="baseline"/>
        </w:rPr>
        <w:t> </w:t>
      </w:r>
      <w:r>
        <w:rPr>
          <w:vertAlign w:val="baseline"/>
        </w:rPr>
        <w:t>so that silence in response</w:t>
      </w:r>
      <w:r>
        <w:rPr>
          <w:spacing w:val="8"/>
          <w:vertAlign w:val="baseline"/>
        </w:rPr>
        <w:t> </w:t>
      </w:r>
      <w:r>
        <w:rPr>
          <w:vertAlign w:val="baseline"/>
        </w:rPr>
        <w:t>to</w:t>
      </w:r>
      <w:r>
        <w:rPr>
          <w:spacing w:val="8"/>
          <w:vertAlign w:val="baseline"/>
        </w:rPr>
        <w:t> </w:t>
      </w:r>
      <w:r>
        <w:rPr>
          <w:vertAlign w:val="baseline"/>
        </w:rPr>
        <w:t>an</w:t>
      </w:r>
      <w:r>
        <w:rPr>
          <w:spacing w:val="8"/>
          <w:vertAlign w:val="baseline"/>
        </w:rPr>
        <w:t> </w:t>
      </w:r>
      <w:r>
        <w:rPr>
          <w:vertAlign w:val="baseline"/>
        </w:rPr>
        <w:t>offer</w:t>
      </w:r>
      <w:r>
        <w:rPr>
          <w:spacing w:val="8"/>
          <w:vertAlign w:val="baseline"/>
        </w:rPr>
        <w:t> </w:t>
      </w:r>
      <w:r>
        <w:rPr>
          <w:vertAlign w:val="baseline"/>
        </w:rPr>
        <w:t>will</w:t>
      </w:r>
      <w:r>
        <w:rPr>
          <w:spacing w:val="8"/>
          <w:vertAlign w:val="baseline"/>
        </w:rPr>
        <w:t> </w:t>
      </w:r>
      <w:r>
        <w:rPr>
          <w:vertAlign w:val="baseline"/>
        </w:rPr>
        <w:t>not</w:t>
      </w:r>
      <w:r>
        <w:rPr>
          <w:spacing w:val="8"/>
          <w:vertAlign w:val="baseline"/>
        </w:rPr>
        <w:t> </w:t>
      </w:r>
      <w:r>
        <w:rPr>
          <w:vertAlign w:val="baseline"/>
        </w:rPr>
        <w:t>normally</w:t>
      </w:r>
      <w:r>
        <w:rPr>
          <w:spacing w:val="8"/>
          <w:vertAlign w:val="baseline"/>
        </w:rPr>
        <w:t> </w:t>
      </w:r>
      <w:r>
        <w:rPr>
          <w:vertAlign w:val="baseline"/>
        </w:rPr>
        <w:t>give</w:t>
      </w:r>
      <w:r>
        <w:rPr>
          <w:spacing w:val="8"/>
          <w:vertAlign w:val="baseline"/>
        </w:rPr>
        <w:t> </w:t>
      </w:r>
      <w:r>
        <w:rPr>
          <w:vertAlign w:val="baseline"/>
        </w:rPr>
        <w:t>rise</w:t>
      </w:r>
      <w:r>
        <w:rPr>
          <w:spacing w:val="8"/>
          <w:vertAlign w:val="baseline"/>
        </w:rPr>
        <w:t> </w:t>
      </w:r>
      <w:r>
        <w:rPr>
          <w:vertAlign w:val="baseline"/>
        </w:rPr>
        <w:t>to</w:t>
      </w:r>
      <w:r>
        <w:rPr>
          <w:spacing w:val="8"/>
          <w:vertAlign w:val="baseline"/>
        </w:rPr>
        <w:t> </w:t>
      </w:r>
      <w:r>
        <w:rPr>
          <w:vertAlign w:val="baseline"/>
        </w:rPr>
        <w:t>an</w:t>
      </w:r>
      <w:r>
        <w:rPr>
          <w:spacing w:val="8"/>
          <w:vertAlign w:val="baseline"/>
        </w:rPr>
        <w:t> </w:t>
      </w:r>
      <w:r>
        <w:rPr>
          <w:vertAlign w:val="baseline"/>
        </w:rPr>
        <w:t>estoppel.</w:t>
      </w:r>
      <w:r>
        <w:rPr>
          <w:spacing w:val="8"/>
          <w:vertAlign w:val="baseline"/>
        </w:rPr>
        <w:t> </w:t>
      </w:r>
      <w:r>
        <w:rPr>
          <w:vertAlign w:val="baseline"/>
        </w:rPr>
        <w:t>It</w:t>
      </w:r>
      <w:r>
        <w:rPr>
          <w:spacing w:val="8"/>
          <w:vertAlign w:val="baseline"/>
        </w:rPr>
        <w:t> </w:t>
      </w:r>
      <w:r>
        <w:rPr>
          <w:vertAlign w:val="baseline"/>
        </w:rPr>
        <w:t>is</w:t>
      </w:r>
      <w:r>
        <w:rPr>
          <w:spacing w:val="8"/>
          <w:vertAlign w:val="baseline"/>
        </w:rPr>
        <w:t> </w:t>
      </w:r>
      <w:r>
        <w:rPr>
          <w:vertAlign w:val="baseline"/>
        </w:rPr>
        <w:t>likely</w:t>
      </w:r>
      <w:r>
        <w:rPr>
          <w:spacing w:val="8"/>
          <w:vertAlign w:val="baseline"/>
        </w:rPr>
        <w:t> </w:t>
      </w:r>
      <w:r>
        <w:rPr>
          <w:vertAlign w:val="baseline"/>
        </w:rPr>
        <w:t>to</w:t>
      </w:r>
      <w:r>
        <w:rPr>
          <w:spacing w:val="8"/>
          <w:vertAlign w:val="baseline"/>
        </w:rPr>
        <w:t> </w:t>
      </w:r>
      <w:r>
        <w:rPr>
          <w:vertAlign w:val="baseline"/>
        </w:rPr>
        <w:t>do</w:t>
      </w:r>
      <w:r>
        <w:rPr>
          <w:spacing w:val="8"/>
          <w:vertAlign w:val="baseline"/>
        </w:rPr>
        <w:t> </w:t>
      </w:r>
      <w:r>
        <w:rPr>
          <w:vertAlign w:val="baseline"/>
        </w:rPr>
        <w:t>so</w:t>
      </w:r>
      <w:r>
        <w:rPr>
          <w:spacing w:val="8"/>
          <w:vertAlign w:val="baseline"/>
        </w:rPr>
        <w:t> </w:t>
      </w:r>
      <w:r>
        <w:rPr>
          <w:vertAlign w:val="baseline"/>
        </w:rPr>
        <w:t>only</w:t>
      </w:r>
      <w:r>
        <w:rPr>
          <w:spacing w:val="8"/>
          <w:vertAlign w:val="baseline"/>
        </w:rPr>
        <w:t> </w:t>
      </w:r>
      <w:r>
        <w:rPr>
          <w:vertAlign w:val="baseline"/>
        </w:rPr>
        <w:t>in</w:t>
      </w:r>
      <w:r>
        <w:rPr>
          <w:spacing w:val="8"/>
          <w:vertAlign w:val="baseline"/>
        </w:rPr>
        <w:t> </w:t>
      </w:r>
      <w:r>
        <w:rPr>
          <w:vertAlign w:val="baseline"/>
        </w:rPr>
        <w:t>cases</w:t>
      </w:r>
      <w:r>
        <w:rPr>
          <w:spacing w:val="8"/>
          <w:vertAlign w:val="baseline"/>
        </w:rPr>
        <w:t> </w:t>
      </w:r>
      <w:r>
        <w:rPr>
          <w:vertAlign w:val="baseline"/>
        </w:rPr>
        <w:t>of</w:t>
      </w:r>
      <w:r>
        <w:rPr>
          <w:spacing w:val="8"/>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165" w:right="167"/>
        <w:jc w:val="both"/>
      </w:pPr>
      <w:bookmarkStart w:name="_bookmark695" w:id="697"/>
      <w:bookmarkEnd w:id="697"/>
      <w:r>
        <w:rPr/>
      </w:r>
      <w:r>
        <w:rPr/>
        <w:t>kind discussed above, </w:t>
      </w:r>
      <w:r>
        <w:rPr>
          <w:color w:val="005DA1"/>
          <w:u w:val="single" w:color="005DA1"/>
          <w:vertAlign w:val="superscript"/>
        </w:rPr>
        <w:t>380</w:t>
      </w:r>
      <w:r>
        <w:rPr>
          <w:color w:val="005DA1"/>
          <w:vertAlign w:val="baseline"/>
        </w:rPr>
        <w:t> </w:t>
      </w:r>
      <w:r>
        <w:rPr>
          <w:vertAlign w:val="baseline"/>
        </w:rPr>
        <w:t>in which there are special circumstances which give rise to a “duty </w:t>
      </w:r>
      <w:r>
        <w:rPr>
          <w:vertAlign w:val="baseline"/>
        </w:rPr>
        <w:t>to </w:t>
      </w:r>
      <w:bookmarkStart w:name="_bookmark696" w:id="698"/>
      <w:bookmarkEnd w:id="698"/>
      <w:r>
        <w:rPr>
          <w:vertAlign w:val="baseline"/>
        </w:rPr>
        <w:t>speak,”</w:t>
      </w:r>
      <w:r>
        <w:rPr>
          <w:vertAlign w:val="baseline"/>
        </w:rPr>
        <w:t> and in which it would be unconscionable for the party under that duty to deny that a contract had come into existence. </w:t>
      </w:r>
      <w:r>
        <w:rPr>
          <w:color w:val="005DA1"/>
          <w:u w:val="single" w:color="005DA1"/>
          <w:vertAlign w:val="superscript"/>
        </w:rPr>
        <w:t>381</w:t>
      </w:r>
    </w:p>
    <w:p>
      <w:pPr>
        <w:pStyle w:val="BodyText"/>
      </w:pPr>
    </w:p>
    <w:p>
      <w:pPr>
        <w:pStyle w:val="BodyText"/>
        <w:spacing w:before="38"/>
      </w:pPr>
    </w:p>
    <w:p>
      <w:pPr>
        <w:spacing w:before="0"/>
        <w:ind w:left="164" w:right="0" w:firstLine="0"/>
        <w:jc w:val="left"/>
        <w:rPr>
          <w:rFonts w:ascii="Arial"/>
          <w:b/>
          <w:sz w:val="18"/>
        </w:rPr>
      </w:pPr>
      <w:r>
        <w:rPr>
          <w:rFonts w:ascii="Arial"/>
          <w:b/>
          <w:sz w:val="18"/>
        </w:rPr>
        <w:t>Performance by offeror benefiting </w:t>
      </w:r>
      <w:r>
        <w:rPr>
          <w:rFonts w:ascii="Arial"/>
          <w:b/>
          <w:spacing w:val="-2"/>
          <w:sz w:val="18"/>
        </w:rPr>
        <w:t>offeree</w:t>
      </w:r>
    </w:p>
    <w:p>
      <w:pPr>
        <w:pStyle w:val="BodyText"/>
        <w:spacing w:before="41"/>
        <w:rPr>
          <w:rFonts w:ascii="Arial"/>
          <w:b/>
          <w:sz w:val="18"/>
        </w:rPr>
      </w:pPr>
    </w:p>
    <w:p>
      <w:pPr>
        <w:pStyle w:val="Heading2"/>
        <w:ind w:left="164"/>
      </w:pPr>
      <w:r>
        <w:rPr/>
        <w:t>2-</w:t>
      </w:r>
      <w:r>
        <w:rPr>
          <w:spacing w:val="-5"/>
        </w:rPr>
        <w:t>072</w:t>
      </w:r>
    </w:p>
    <w:p>
      <w:pPr>
        <w:pStyle w:val="BodyText"/>
        <w:spacing w:line="235" w:lineRule="auto" w:before="203"/>
        <w:ind w:left="164" w:right="167"/>
        <w:jc w:val="both"/>
      </w:pPr>
      <w:r>
        <w:rPr/>
        <w:t>It is finally possible that the offeree may be bound by silence if the offeror to the offeree’s </w:t>
      </w:r>
      <w:r>
        <w:rPr/>
        <w:t>knowledge actually performs in accordance with his offer and so confers a benefit on the offeree; though the </w:t>
      </w:r>
      <w:bookmarkStart w:name="_bookmark697" w:id="699"/>
      <w:bookmarkEnd w:id="699"/>
      <w:r>
        <w:rPr/>
        <w:t>better</w:t>
      </w:r>
      <w:r>
        <w:rPr/>
        <w:t> solution in this type of case would be to make the offeree restore the benefit or be subject to a claim</w:t>
      </w:r>
      <w:r>
        <w:rPr>
          <w:spacing w:val="-3"/>
        </w:rPr>
        <w:t> </w:t>
      </w:r>
      <w:r>
        <w:rPr/>
        <w:t>for</w:t>
      </w:r>
      <w:r>
        <w:rPr>
          <w:spacing w:val="-3"/>
        </w:rPr>
        <w:t> </w:t>
      </w:r>
      <w:r>
        <w:rPr/>
        <w:t>unjust</w:t>
      </w:r>
      <w:r>
        <w:rPr>
          <w:spacing w:val="-3"/>
        </w:rPr>
        <w:t> </w:t>
      </w:r>
      <w:r>
        <w:rPr/>
        <w:t>enrichment,</w:t>
      </w:r>
      <w:r>
        <w:rPr>
          <w:spacing w:val="-3"/>
        </w:rPr>
        <w:t> </w:t>
      </w:r>
      <w:r>
        <w:rPr>
          <w:color w:val="005DA1"/>
          <w:u w:val="single" w:color="005DA1"/>
          <w:vertAlign w:val="superscript"/>
        </w:rPr>
        <w:t>382</w:t>
      </w:r>
      <w:r>
        <w:rPr>
          <w:color w:val="005DA1"/>
          <w:spacing w:val="-3"/>
          <w:vertAlign w:val="baseline"/>
        </w:rPr>
        <w:t> </w:t>
      </w:r>
      <w:r>
        <w:rPr>
          <w:vertAlign w:val="baseline"/>
        </w:rPr>
        <w:t>rather</w:t>
      </w:r>
      <w:r>
        <w:rPr>
          <w:spacing w:val="-3"/>
          <w:vertAlign w:val="baseline"/>
        </w:rPr>
        <w:t> </w:t>
      </w:r>
      <w:r>
        <w:rPr>
          <w:vertAlign w:val="baseline"/>
        </w:rPr>
        <w:t>than</w:t>
      </w:r>
      <w:r>
        <w:rPr>
          <w:spacing w:val="-3"/>
          <w:vertAlign w:val="baseline"/>
        </w:rPr>
        <w:t> </w:t>
      </w:r>
      <w:r>
        <w:rPr>
          <w:vertAlign w:val="baseline"/>
        </w:rPr>
        <w:t>to</w:t>
      </w:r>
      <w:r>
        <w:rPr>
          <w:spacing w:val="-3"/>
          <w:vertAlign w:val="baseline"/>
        </w:rPr>
        <w:t> </w:t>
      </w:r>
      <w:r>
        <w:rPr>
          <w:vertAlign w:val="baseline"/>
        </w:rPr>
        <w:t>hold</w:t>
      </w:r>
      <w:r>
        <w:rPr>
          <w:spacing w:val="-3"/>
          <w:vertAlign w:val="baseline"/>
        </w:rPr>
        <w:t> </w:t>
      </w:r>
      <w:r>
        <w:rPr>
          <w:vertAlign w:val="baseline"/>
        </w:rPr>
        <w:t>him</w:t>
      </w:r>
      <w:r>
        <w:rPr>
          <w:spacing w:val="-3"/>
          <w:vertAlign w:val="baseline"/>
        </w:rPr>
        <w:t> </w:t>
      </w:r>
      <w:r>
        <w:rPr>
          <w:vertAlign w:val="baseline"/>
        </w:rPr>
        <w:t>to</w:t>
      </w:r>
      <w:r>
        <w:rPr>
          <w:spacing w:val="-3"/>
          <w:vertAlign w:val="baseline"/>
        </w:rPr>
        <w:t> </w:t>
      </w:r>
      <w:r>
        <w:rPr>
          <w:vertAlign w:val="baseline"/>
        </w:rPr>
        <w:t>an</w:t>
      </w:r>
      <w:r>
        <w:rPr>
          <w:spacing w:val="-3"/>
          <w:vertAlign w:val="baseline"/>
        </w:rPr>
        <w:t> </w:t>
      </w:r>
      <w:r>
        <w:rPr>
          <w:vertAlign w:val="baseline"/>
        </w:rPr>
        <w:t>obligation</w:t>
      </w:r>
      <w:r>
        <w:rPr>
          <w:spacing w:val="-3"/>
          <w:vertAlign w:val="baseline"/>
        </w:rPr>
        <w:t> </w:t>
      </w:r>
      <w:r>
        <w:rPr>
          <w:vertAlign w:val="baseline"/>
        </w:rPr>
        <w:t>to</w:t>
      </w:r>
      <w:r>
        <w:rPr>
          <w:spacing w:val="-3"/>
          <w:vertAlign w:val="baseline"/>
        </w:rPr>
        <w:t> </w:t>
      </w:r>
      <w:r>
        <w:rPr>
          <w:vertAlign w:val="baseline"/>
        </w:rPr>
        <w:t>perform</w:t>
      </w:r>
      <w:r>
        <w:rPr>
          <w:spacing w:val="-3"/>
          <w:vertAlign w:val="baseline"/>
        </w:rPr>
        <w:t> </w:t>
      </w:r>
      <w:r>
        <w:rPr>
          <w:vertAlign w:val="baseline"/>
        </w:rPr>
        <w:t>his</w:t>
      </w:r>
      <w:r>
        <w:rPr>
          <w:spacing w:val="-3"/>
          <w:vertAlign w:val="baseline"/>
        </w:rPr>
        <w:t> </w:t>
      </w:r>
      <w:r>
        <w:rPr>
          <w:vertAlign w:val="baseline"/>
        </w:rPr>
        <w:t>part</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contract to which he had never agreed.</w:t>
      </w:r>
    </w:p>
    <w:p>
      <w:pPr>
        <w:pStyle w:val="BodyText"/>
      </w:pPr>
    </w:p>
    <w:p>
      <w:pPr>
        <w:pStyle w:val="BodyText"/>
        <w:spacing w:before="36"/>
      </w:pPr>
    </w:p>
    <w:p>
      <w:pPr>
        <w:spacing w:before="0"/>
        <w:ind w:left="165" w:right="0" w:firstLine="0"/>
        <w:jc w:val="left"/>
        <w:rPr>
          <w:rFonts w:ascii="Arial"/>
          <w:b/>
          <w:sz w:val="18"/>
        </w:rPr>
      </w:pPr>
      <w:r>
        <w:rPr>
          <w:rFonts w:ascii="Arial"/>
          <w:b/>
          <w:sz w:val="18"/>
        </w:rPr>
        <w:t>Can offeror be </w:t>
      </w:r>
      <w:r>
        <w:rPr>
          <w:rFonts w:ascii="Arial"/>
          <w:b/>
          <w:spacing w:val="-2"/>
          <w:sz w:val="18"/>
        </w:rPr>
        <w:t>bound?</w:t>
      </w:r>
    </w:p>
    <w:p>
      <w:pPr>
        <w:pStyle w:val="BodyText"/>
        <w:spacing w:before="42"/>
        <w:rPr>
          <w:rFonts w:ascii="Arial"/>
          <w:b/>
          <w:sz w:val="18"/>
        </w:rPr>
      </w:pPr>
    </w:p>
    <w:p>
      <w:pPr>
        <w:pStyle w:val="Heading2"/>
      </w:pPr>
      <w:r>
        <w:rPr/>
        <w:t>2-</w:t>
      </w:r>
      <w:r>
        <w:rPr>
          <w:spacing w:val="-5"/>
        </w:rPr>
        <w:t>073</w:t>
      </w:r>
    </w:p>
    <w:p>
      <w:pPr>
        <w:pStyle w:val="BodyText"/>
        <w:spacing w:line="235" w:lineRule="auto" w:before="202"/>
        <w:ind w:left="165" w:right="167"/>
        <w:jc w:val="both"/>
      </w:pPr>
      <w:bookmarkStart w:name="_bookmark698" w:id="700"/>
      <w:bookmarkEnd w:id="700"/>
      <w:r>
        <w:rPr/>
      </w:r>
      <w:r>
        <w:rPr/>
        <w:t>There is some authority for saying that the offeror cannot, any more than the offeree, be bound where </w:t>
      </w:r>
      <w:bookmarkStart w:name="_bookmark699" w:id="701"/>
      <w:bookmarkEnd w:id="701"/>
      <w:r>
        <w:rPr/>
        <w:t>the</w:t>
      </w:r>
      <w:r>
        <w:rPr>
          <w:spacing w:val="-1"/>
        </w:rPr>
        <w:t> </w:t>
      </w:r>
      <w:r>
        <w:rPr/>
        <w:t>offeree</w:t>
      </w:r>
      <w:r>
        <w:rPr>
          <w:spacing w:val="-1"/>
        </w:rPr>
        <w:t> </w:t>
      </w:r>
      <w:r>
        <w:rPr/>
        <w:t>simply</w:t>
      </w:r>
      <w:r>
        <w:rPr>
          <w:spacing w:val="-1"/>
        </w:rPr>
        <w:t> </w:t>
      </w:r>
      <w:r>
        <w:rPr/>
        <w:t>remains</w:t>
      </w:r>
      <w:r>
        <w:rPr>
          <w:spacing w:val="-1"/>
        </w:rPr>
        <w:t> </w:t>
      </w:r>
      <w:r>
        <w:rPr/>
        <w:t>silent</w:t>
      </w:r>
      <w:r>
        <w:rPr>
          <w:spacing w:val="-1"/>
        </w:rPr>
        <w:t> </w:t>
      </w:r>
      <w:r>
        <w:rPr/>
        <w:t>in</w:t>
      </w:r>
      <w:r>
        <w:rPr>
          <w:spacing w:val="-1"/>
        </w:rPr>
        <w:t> </w:t>
      </w:r>
      <w:r>
        <w:rPr/>
        <w:t>response</w:t>
      </w:r>
      <w:r>
        <w:rPr>
          <w:spacing w:val="-1"/>
        </w:rPr>
        <w:t> </w:t>
      </w:r>
      <w:r>
        <w:rPr/>
        <w:t>to</w:t>
      </w:r>
      <w:r>
        <w:rPr>
          <w:spacing w:val="-1"/>
        </w:rPr>
        <w:t> </w:t>
      </w:r>
      <w:r>
        <w:rPr/>
        <w:t>an</w:t>
      </w:r>
      <w:r>
        <w:rPr>
          <w:spacing w:val="-1"/>
        </w:rPr>
        <w:t> </w:t>
      </w:r>
      <w:r>
        <w:rPr/>
        <w:t>offer,</w:t>
      </w:r>
      <w:r>
        <w:rPr>
          <w:spacing w:val="-2"/>
        </w:rPr>
        <w:t> </w:t>
      </w:r>
      <w:r>
        <w:rPr>
          <w:color w:val="005DA1"/>
          <w:u w:val="single" w:color="005DA1"/>
          <w:vertAlign w:val="superscript"/>
        </w:rPr>
        <w:t>383</w:t>
      </w:r>
      <w:r>
        <w:rPr>
          <w:color w:val="005DA1"/>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is</w:t>
      </w:r>
      <w:r>
        <w:rPr>
          <w:spacing w:val="-1"/>
          <w:vertAlign w:val="baseline"/>
        </w:rPr>
        <w:t> </w:t>
      </w:r>
      <w:r>
        <w:rPr>
          <w:vertAlign w:val="baseline"/>
        </w:rPr>
        <w:t>not</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exceptional </w:t>
      </w:r>
      <w:bookmarkStart w:name="_bookmark700" w:id="702"/>
      <w:bookmarkEnd w:id="702"/>
      <w:r>
        <w:rPr>
          <w:vertAlign w:val="baseline"/>
        </w:rPr>
        <w:t>ones,</w:t>
      </w:r>
      <w:r>
        <w:rPr>
          <w:vertAlign w:val="baseline"/>
        </w:rPr>
        <w:t> discussed in para.2-070 above, in which an offer can be accepted by silence. </w:t>
      </w:r>
      <w:r>
        <w:rPr>
          <w:color w:val="005DA1"/>
          <w:u w:val="single" w:color="005DA1"/>
          <w:vertAlign w:val="superscript"/>
        </w:rPr>
        <w:t>384</w:t>
      </w:r>
      <w:r>
        <w:rPr>
          <w:color w:val="005DA1"/>
          <w:vertAlign w:val="baseline"/>
        </w:rPr>
        <w:t> </w:t>
      </w:r>
      <w:r>
        <w:rPr>
          <w:vertAlign w:val="baseline"/>
        </w:rPr>
        <w:t>But it is submitted that the general rule in </w:t>
      </w:r>
      <w:r>
        <w:rPr>
          <w:rFonts w:ascii="Arial"/>
          <w:i/>
          <w:vertAlign w:val="baseline"/>
        </w:rPr>
        <w:t>Felthouse v Bindley </w:t>
      </w:r>
      <w:r>
        <w:rPr>
          <w:color w:val="005DA1"/>
          <w:u w:val="single" w:color="005DA1"/>
          <w:vertAlign w:val="superscript"/>
        </w:rPr>
        <w:t>385</w:t>
      </w:r>
      <w:r>
        <w:rPr>
          <w:color w:val="005DA1"/>
          <w:vertAlign w:val="baseline"/>
        </w:rPr>
        <w:t> </w:t>
      </w:r>
      <w:r>
        <w:rPr>
          <w:vertAlign w:val="baseline"/>
        </w:rPr>
        <w:t>does not lead invariably to such a conclusion. For the object of this rule is to protect the </w:t>
      </w:r>
      <w:r>
        <w:rPr>
          <w:rFonts w:ascii="Arial"/>
          <w:i/>
          <w:vertAlign w:val="baseline"/>
        </w:rPr>
        <w:t>offeree </w:t>
      </w:r>
      <w:r>
        <w:rPr>
          <w:vertAlign w:val="baseline"/>
        </w:rPr>
        <w:t>from having to incur the trouble and expense of rejecting the offer so as to avoid being bound. No similar argument can be advanced for protecting the offeror. He may, indeed, be left in doubt on the point whether his offer has been </w:t>
      </w:r>
      <w:bookmarkStart w:name="_bookmark701" w:id="703"/>
      <w:bookmarkEnd w:id="703"/>
      <w:r>
        <w:rPr>
          <w:vertAlign w:val="baseline"/>
        </w:rPr>
        <w:t>accepted;</w:t>
      </w:r>
      <w:r>
        <w:rPr>
          <w:vertAlign w:val="baseline"/>
        </w:rPr>
        <w:t> but this is a matter about which he cannot legitimately complain where he has drawn his offer so as to permit (and even to encourage) acceptance by silence. </w:t>
      </w:r>
      <w:r>
        <w:rPr>
          <w:color w:val="005DA1"/>
          <w:u w:val="single" w:color="005DA1"/>
          <w:vertAlign w:val="superscript"/>
        </w:rPr>
        <w:t>386</w:t>
      </w:r>
      <w:r>
        <w:rPr>
          <w:color w:val="005DA1"/>
          <w:vertAlign w:val="baseline"/>
        </w:rPr>
        <w:t> </w:t>
      </w:r>
      <w:r>
        <w:rPr>
          <w:vertAlign w:val="baseline"/>
        </w:rPr>
        <w:t>Thus, it is submitted that the uncle in </w:t>
      </w:r>
      <w:r>
        <w:rPr>
          <w:rFonts w:ascii="Arial"/>
          <w:i/>
          <w:vertAlign w:val="baseline"/>
        </w:rPr>
        <w:t>Felthouse v Bindley </w:t>
      </w:r>
      <w:r>
        <w:rPr>
          <w:vertAlign w:val="baseline"/>
        </w:rPr>
        <w:t>might have been bound if the nephew had resolved to accept the offer </w:t>
      </w:r>
      <w:bookmarkStart w:name="_bookmark702" w:id="704"/>
      <w:bookmarkEnd w:id="704"/>
      <w:r>
        <w:rPr>
          <w:vertAlign w:val="baseline"/>
        </w:rPr>
        <w:t>and</w:t>
      </w:r>
      <w:r>
        <w:rPr>
          <w:vertAlign w:val="baseline"/>
        </w:rPr>
        <w:t> had, in reliance on its terms, forborne from attempting to dispose of the horse elsewhere. This possibility has, indeed, been doubted </w:t>
      </w:r>
      <w:r>
        <w:rPr>
          <w:color w:val="005DA1"/>
          <w:u w:val="single" w:color="005DA1"/>
          <w:vertAlign w:val="superscript"/>
        </w:rPr>
        <w:t>387</w:t>
      </w:r>
      <w:r>
        <w:rPr>
          <w:vertAlign w:val="baseline"/>
        </w:rPr>
        <w:t>; but in the case in which the doubt was expressed there was no express stipulation in the offer that silence would be regarded as acceptance. Where the offer</w:t>
      </w:r>
      <w:r>
        <w:rPr>
          <w:spacing w:val="40"/>
          <w:vertAlign w:val="baseline"/>
        </w:rPr>
        <w:t> </w:t>
      </w:r>
      <w:r>
        <w:rPr>
          <w:vertAlign w:val="baseline"/>
        </w:rPr>
        <w:t>does contain such a stipulation, it is submitted that silence in response to it by the offeree should be capable of binding the offeror.</w:t>
      </w:r>
    </w:p>
    <w:p>
      <w:pPr>
        <w:pStyle w:val="BodyText"/>
      </w:pPr>
    </w:p>
    <w:p>
      <w:pPr>
        <w:pStyle w:val="BodyText"/>
        <w:spacing w:before="33"/>
      </w:pPr>
    </w:p>
    <w:p>
      <w:pPr>
        <w:spacing w:before="0"/>
        <w:ind w:left="165" w:right="0" w:firstLine="0"/>
        <w:jc w:val="left"/>
        <w:rPr>
          <w:rFonts w:ascii="Arial"/>
          <w:b/>
          <w:sz w:val="18"/>
        </w:rPr>
      </w:pPr>
      <w:r>
        <w:rPr>
          <w:rFonts w:ascii="Arial"/>
          <w:b/>
          <w:sz w:val="18"/>
        </w:rPr>
        <w:t>Silence and </w:t>
      </w:r>
      <w:r>
        <w:rPr>
          <w:rFonts w:ascii="Arial"/>
          <w:b/>
          <w:spacing w:val="-2"/>
          <w:sz w:val="18"/>
        </w:rPr>
        <w:t>conduct</w:t>
      </w:r>
    </w:p>
    <w:p>
      <w:pPr>
        <w:pStyle w:val="BodyText"/>
        <w:spacing w:before="41"/>
        <w:rPr>
          <w:rFonts w:ascii="Arial"/>
          <w:b/>
          <w:sz w:val="18"/>
        </w:rPr>
      </w:pPr>
    </w:p>
    <w:p>
      <w:pPr>
        <w:pStyle w:val="Heading2"/>
        <w:spacing w:before="1"/>
      </w:pPr>
      <w:r>
        <w:rPr/>
        <w:t>2-</w:t>
      </w:r>
      <w:r>
        <w:rPr>
          <w:spacing w:val="-5"/>
        </w:rPr>
        <w:t>074</w:t>
      </w:r>
    </w:p>
    <w:p>
      <w:pPr>
        <w:pStyle w:val="BodyText"/>
        <w:spacing w:line="235" w:lineRule="auto" w:before="202"/>
        <w:ind w:left="164" w:right="167"/>
        <w:jc w:val="both"/>
      </w:pPr>
      <w:r>
        <w:rPr/>
        <w:t>The general rule that there can be no acceptance by silence does not mean that an acceptance </w:t>
      </w:r>
      <w:bookmarkStart w:name="_bookmark703" w:id="705"/>
      <w:bookmarkEnd w:id="705"/>
      <w:r>
        <w:rPr/>
        <w:t>always</w:t>
      </w:r>
      <w:r>
        <w:rPr/>
        <w:t> has to be given in so many words. An offer can be accepted by conduct; and this is never </w:t>
      </w:r>
      <w:bookmarkStart w:name="_bookmark704" w:id="706"/>
      <w:bookmarkEnd w:id="706"/>
      <w:r>
        <w:rPr/>
        <w:t>thought</w:t>
      </w:r>
      <w:r>
        <w:rPr/>
        <w:t> to give rise to any difficulty where the conduct takes the form of a positive act. </w:t>
      </w:r>
      <w:r>
        <w:rPr>
          <w:color w:val="005DA1"/>
          <w:u w:val="single" w:color="005DA1"/>
          <w:vertAlign w:val="superscript"/>
        </w:rPr>
        <w:t>388</w:t>
      </w:r>
      <w:r>
        <w:rPr>
          <w:color w:val="005DA1"/>
          <w:vertAlign w:val="baseline"/>
        </w:rPr>
        <w:t> </w:t>
      </w:r>
      <w:r>
        <w:rPr>
          <w:vertAlign w:val="baseline"/>
        </w:rPr>
        <w:t>In </w:t>
      </w:r>
      <w:r>
        <w:rPr>
          <w:vertAlign w:val="baseline"/>
        </w:rPr>
        <w:t>principle, </w:t>
      </w:r>
      <w:bookmarkStart w:name="_bookmark705" w:id="707"/>
      <w:bookmarkEnd w:id="707"/>
      <w:r>
        <w:rPr>
          <w:vertAlign w:val="baseline"/>
        </w:rPr>
        <w:t>conduct</w:t>
      </w:r>
      <w:r>
        <w:rPr>
          <w:vertAlign w:val="baseline"/>
        </w:rPr>
        <w:t> can also take the form of a forbearance </w:t>
      </w:r>
      <w:r>
        <w:rPr>
          <w:color w:val="005DA1"/>
          <w:u w:val="single" w:color="005DA1"/>
          <w:vertAlign w:val="superscript"/>
        </w:rPr>
        <w:t>389</w:t>
      </w:r>
      <w:r>
        <w:rPr>
          <w:vertAlign w:val="baseline"/>
        </w:rPr>
        <w:t>: for example, a debtor’s offer to give additional security for a debt can be accepted by the creditor’s forbearing to sue for the debt. </w:t>
      </w:r>
      <w:r>
        <w:rPr>
          <w:color w:val="005DA1"/>
          <w:u w:val="single" w:color="005DA1"/>
          <w:vertAlign w:val="superscript"/>
        </w:rPr>
        <w:t>390</w:t>
      </w:r>
      <w:r>
        <w:rPr>
          <w:color w:val="005DA1"/>
          <w:vertAlign w:val="baseline"/>
        </w:rPr>
        <w:t> </w:t>
      </w:r>
      <w:r>
        <w:rPr>
          <w:vertAlign w:val="baseline"/>
        </w:rPr>
        <w:t>Similarly, a </w:t>
      </w:r>
      <w:bookmarkStart w:name="_bookmark706" w:id="708"/>
      <w:bookmarkEnd w:id="708"/>
      <w:r>
        <w:rPr>
          <w:vertAlign w:val="baseline"/>
        </w:rPr>
        <w:t>tenant</w:t>
      </w:r>
      <w:r>
        <w:rPr>
          <w:vertAlign w:val="baseline"/>
        </w:rPr>
        <w:t> can accept an offer of a new tenancy by simply not vacating the premises. In one such case it </w:t>
      </w:r>
      <w:bookmarkStart w:name="_bookmark707" w:id="709"/>
      <w:bookmarkEnd w:id="709"/>
      <w:r>
        <w:rPr>
          <w:vertAlign w:val="baseline"/>
        </w:rPr>
        <w:t>was</w:t>
      </w:r>
      <w:r>
        <w:rPr>
          <w:vertAlign w:val="baseline"/>
        </w:rPr>
        <w:t> said that the offer had been accepted by “silence” </w:t>
      </w:r>
      <w:r>
        <w:rPr>
          <w:color w:val="005DA1"/>
          <w:u w:val="single" w:color="005DA1"/>
          <w:vertAlign w:val="superscript"/>
        </w:rPr>
        <w:t>391</w:t>
      </w:r>
      <w:r>
        <w:rPr>
          <w:vertAlign w:val="baseline"/>
        </w:rPr>
        <w:t>; but it seems better to say that it was accepted by conduct </w:t>
      </w:r>
      <w:r>
        <w:rPr>
          <w:color w:val="005DA1"/>
          <w:u w:val="single" w:color="005DA1"/>
          <w:vertAlign w:val="superscript"/>
        </w:rPr>
        <w:t>392</w:t>
      </w:r>
      <w:r>
        <w:rPr>
          <w:color w:val="005DA1"/>
          <w:vertAlign w:val="baseline"/>
        </w:rPr>
        <w:t> </w:t>
      </w:r>
      <w:r>
        <w:rPr>
          <w:vertAlign w:val="baseline"/>
        </w:rPr>
        <w:t>and that the landlord had waived notice of acceptance. Similarly an offer </w:t>
      </w:r>
      <w:bookmarkStart w:name="_bookmark708" w:id="710"/>
      <w:bookmarkEnd w:id="710"/>
      <w:r>
        <w:rPr>
          <w:vertAlign w:val="baseline"/>
        </w:rPr>
        <w:t>made</w:t>
      </w:r>
      <w:r>
        <w:rPr>
          <w:vertAlign w:val="baseline"/>
        </w:rPr>
        <w:t> </w:t>
      </w:r>
      <w:r>
        <w:rPr>
          <w:rFonts w:ascii="Arial" w:hAnsi="Arial"/>
          <w:i/>
          <w:vertAlign w:val="baseline"/>
        </w:rPr>
        <w:t>to </w:t>
      </w:r>
      <w:r>
        <w:rPr>
          <w:vertAlign w:val="baseline"/>
        </w:rPr>
        <w:t>a landowner to occupy land under a licence containing specified terms may be accepted by the landowner’s permitting the offeror to occupy the land. </w:t>
      </w:r>
      <w:r>
        <w:rPr>
          <w:color w:val="005DA1"/>
          <w:u w:val="single" w:color="005DA1"/>
          <w:vertAlign w:val="superscript"/>
        </w:rPr>
        <w:t>393</w:t>
      </w:r>
      <w:r>
        <w:rPr>
          <w:color w:val="005DA1"/>
          <w:vertAlign w:val="baseline"/>
        </w:rPr>
        <w:t> </w:t>
      </w:r>
      <w:r>
        <w:rPr>
          <w:vertAlign w:val="baseline"/>
        </w:rPr>
        <w:t>An offer by a contractor to carry out </w:t>
      </w:r>
      <w:bookmarkStart w:name="_bookmark709" w:id="711"/>
      <w:bookmarkEnd w:id="711"/>
      <w:r>
        <w:rPr>
          <w:vertAlign w:val="baseline"/>
        </w:rPr>
        <w:t>building</w:t>
      </w:r>
      <w:r>
        <w:rPr>
          <w:vertAlign w:val="baseline"/>
        </w:rPr>
        <w:t> work on the offeree’s land may also sometimes be accepted by the offeree’s allowing the work to proceed. </w:t>
      </w:r>
      <w:r>
        <w:rPr>
          <w:color w:val="005DA1"/>
          <w:u w:val="single" w:color="005DA1"/>
          <w:vertAlign w:val="superscript"/>
        </w:rPr>
        <w:t>394</w:t>
      </w:r>
      <w:r>
        <w:rPr>
          <w:color w:val="005DA1"/>
          <w:vertAlign w:val="baseline"/>
        </w:rPr>
        <w:t> </w:t>
      </w:r>
      <w:r>
        <w:rPr>
          <w:vertAlign w:val="baseline"/>
        </w:rPr>
        <w:t>The possibility of acceptance by conduct is, yet again, illustrated by the</w:t>
      </w:r>
      <w:r>
        <w:rPr>
          <w:spacing w:val="40"/>
          <w:vertAlign w:val="baseline"/>
        </w:rPr>
        <w:t> </w:t>
      </w:r>
      <w:r>
        <w:rPr>
          <w:vertAlign w:val="baseline"/>
        </w:rPr>
        <w:t>arbitration cases already mentioned, in which an agreement to abandon the proceedings was alleged </w:t>
      </w:r>
      <w:bookmarkStart w:name="_bookmark710" w:id="712"/>
      <w:bookmarkEnd w:id="712"/>
      <w:r>
        <w:rPr>
          <w:vertAlign w:val="baseline"/>
        </w:rPr>
        <w:t>to</w:t>
      </w:r>
      <w:r>
        <w:rPr>
          <w:vertAlign w:val="baseline"/>
        </w:rPr>
        <w:t> have arisen from delay in prosecuting them. As already noted, legislation has now dealt with the practical problems which used to arise from delay in the pursuit of arbitration claims, </w:t>
      </w:r>
      <w:r>
        <w:rPr>
          <w:color w:val="005DA1"/>
          <w:u w:val="single" w:color="005DA1"/>
          <w:vertAlign w:val="superscript"/>
        </w:rPr>
        <w:t>395</w:t>
      </w:r>
      <w:r>
        <w:rPr>
          <w:color w:val="005DA1"/>
          <w:vertAlign w:val="baseline"/>
        </w:rPr>
        <w:t> </w:t>
      </w:r>
      <w:r>
        <w:rPr>
          <w:vertAlign w:val="baseline"/>
        </w:rPr>
        <w:t>but the </w:t>
      </w:r>
      <w:bookmarkStart w:name="_bookmark711" w:id="713"/>
      <w:bookmarkEnd w:id="713"/>
      <w:r>
        <w:rPr>
          <w:vertAlign w:val="baseline"/>
        </w:rPr>
        <w:t>reasoning</w:t>
      </w:r>
      <w:r>
        <w:rPr>
          <w:vertAlign w:val="baseline"/>
        </w:rPr>
        <w:t> of the arbitration cases could still apply where the legislative provisions have been</w:t>
      </w:r>
      <w:r>
        <w:rPr>
          <w:spacing w:val="40"/>
          <w:vertAlign w:val="baseline"/>
        </w:rPr>
        <w:t> </w:t>
      </w:r>
      <w:r>
        <w:rPr>
          <w:vertAlign w:val="baseline"/>
        </w:rPr>
        <w:t>excluded by agreement </w:t>
      </w:r>
      <w:r>
        <w:rPr>
          <w:color w:val="005DA1"/>
          <w:u w:val="single" w:color="005DA1"/>
          <w:vertAlign w:val="superscript"/>
        </w:rPr>
        <w:t>396</w:t>
      </w:r>
      <w:r>
        <w:rPr>
          <w:color w:val="005DA1"/>
          <w:vertAlign w:val="baseline"/>
        </w:rPr>
        <w:t> </w:t>
      </w:r>
      <w:r>
        <w:rPr>
          <w:vertAlign w:val="baseline"/>
        </w:rPr>
        <w:t>or where it was alleged that some other type of claim or remedy had been </w:t>
      </w:r>
      <w:bookmarkStart w:name="_bookmark712" w:id="714"/>
      <w:bookmarkEnd w:id="714"/>
      <w:r>
        <w:rPr>
          <w:vertAlign w:val="baseline"/>
        </w:rPr>
        <w:t>abandoned</w:t>
      </w:r>
      <w:r>
        <w:rPr>
          <w:vertAlign w:val="baseline"/>
        </w:rPr>
        <w:t> by tacit agreement. According to those cases, an offer of abandonment can be accepted by</w:t>
      </w:r>
      <w:r>
        <w:rPr>
          <w:spacing w:val="30"/>
          <w:vertAlign w:val="baseline"/>
        </w:rPr>
        <w:t> </w:t>
      </w:r>
      <w:r>
        <w:rPr>
          <w:vertAlign w:val="baseline"/>
        </w:rPr>
        <w:t>reacting</w:t>
      </w:r>
      <w:r>
        <w:rPr>
          <w:spacing w:val="30"/>
          <w:vertAlign w:val="baseline"/>
        </w:rPr>
        <w:t> </w:t>
      </w:r>
      <w:r>
        <w:rPr>
          <w:vertAlign w:val="baseline"/>
        </w:rPr>
        <w:t>to</w:t>
      </w:r>
      <w:r>
        <w:rPr>
          <w:spacing w:val="30"/>
          <w:vertAlign w:val="baseline"/>
        </w:rPr>
        <w:t> </w:t>
      </w:r>
      <w:r>
        <w:rPr>
          <w:vertAlign w:val="baseline"/>
        </w:rPr>
        <w:t>it,</w:t>
      </w:r>
      <w:r>
        <w:rPr>
          <w:spacing w:val="30"/>
          <w:vertAlign w:val="baseline"/>
        </w:rPr>
        <w:t> </w:t>
      </w:r>
      <w:r>
        <w:rPr>
          <w:vertAlign w:val="baseline"/>
        </w:rPr>
        <w:t>not</w:t>
      </w:r>
      <w:r>
        <w:rPr>
          <w:spacing w:val="30"/>
          <w:vertAlign w:val="baseline"/>
        </w:rPr>
        <w:t> </w:t>
      </w:r>
      <w:r>
        <w:rPr>
          <w:vertAlign w:val="baseline"/>
        </w:rPr>
        <w:t>merely</w:t>
      </w:r>
      <w:r>
        <w:rPr>
          <w:spacing w:val="30"/>
          <w:vertAlign w:val="baseline"/>
        </w:rPr>
        <w:t> </w:t>
      </w:r>
      <w:r>
        <w:rPr>
          <w:vertAlign w:val="baseline"/>
        </w:rPr>
        <w:t>by</w:t>
      </w:r>
      <w:r>
        <w:rPr>
          <w:spacing w:val="30"/>
          <w:vertAlign w:val="baseline"/>
        </w:rPr>
        <w:t> </w:t>
      </w:r>
      <w:r>
        <w:rPr>
          <w:vertAlign w:val="baseline"/>
        </w:rPr>
        <w:t>inactivity,</w:t>
      </w:r>
      <w:r>
        <w:rPr>
          <w:spacing w:val="30"/>
          <w:vertAlign w:val="baseline"/>
        </w:rPr>
        <w:t> </w:t>
      </w:r>
      <w:r>
        <w:rPr>
          <w:color w:val="005DA1"/>
          <w:u w:val="single" w:color="005DA1"/>
          <w:vertAlign w:val="superscript"/>
        </w:rPr>
        <w:t>397</w:t>
      </w:r>
      <w:r>
        <w:rPr>
          <w:color w:val="005DA1"/>
          <w:spacing w:val="30"/>
          <w:vertAlign w:val="baseline"/>
        </w:rPr>
        <w:t> </w:t>
      </w:r>
      <w:r>
        <w:rPr>
          <w:vertAlign w:val="baseline"/>
        </w:rPr>
        <w:t>but</w:t>
      </w:r>
      <w:r>
        <w:rPr>
          <w:spacing w:val="30"/>
          <w:vertAlign w:val="baseline"/>
        </w:rPr>
        <w:t> </w:t>
      </w:r>
      <w:r>
        <w:rPr>
          <w:vertAlign w:val="baseline"/>
        </w:rPr>
        <w:t>also</w:t>
      </w:r>
      <w:r>
        <w:rPr>
          <w:spacing w:val="30"/>
          <w:vertAlign w:val="baseline"/>
        </w:rPr>
        <w:t> </w:t>
      </w:r>
      <w:r>
        <w:rPr>
          <w:vertAlign w:val="baseline"/>
        </w:rPr>
        <w:t>by</w:t>
      </w:r>
      <w:r>
        <w:rPr>
          <w:spacing w:val="30"/>
          <w:vertAlign w:val="baseline"/>
        </w:rPr>
        <w:t> </w:t>
      </w:r>
      <w:r>
        <w:rPr>
          <w:vertAlign w:val="baseline"/>
        </w:rPr>
        <w:t>some</w:t>
      </w:r>
      <w:r>
        <w:rPr>
          <w:spacing w:val="30"/>
          <w:vertAlign w:val="baseline"/>
        </w:rPr>
        <w:t> </w:t>
      </w:r>
      <w:r>
        <w:rPr>
          <w:vertAlign w:val="baseline"/>
        </w:rPr>
        <w:t>further</w:t>
      </w:r>
      <w:r>
        <w:rPr>
          <w:spacing w:val="30"/>
          <w:vertAlign w:val="baseline"/>
        </w:rPr>
        <w:t> </w:t>
      </w:r>
      <w:r>
        <w:rPr>
          <w:vertAlign w:val="baseline"/>
        </w:rPr>
        <w:t>conduct:</w:t>
      </w:r>
      <w:r>
        <w:rPr>
          <w:spacing w:val="30"/>
          <w:vertAlign w:val="baseline"/>
        </w:rPr>
        <w:t> </w:t>
      </w:r>
      <w:r>
        <w:rPr>
          <w:vertAlign w:val="baseline"/>
        </w:rPr>
        <w:t>e.g.</w:t>
      </w:r>
      <w:r>
        <w:rPr>
          <w:spacing w:val="30"/>
          <w:vertAlign w:val="baseline"/>
        </w:rPr>
        <w:t> </w:t>
      </w:r>
      <w:r>
        <w:rPr>
          <w:vertAlign w:val="baseline"/>
        </w:rPr>
        <w:t>by</w:t>
      </w:r>
      <w:r>
        <w:rPr>
          <w:spacing w:val="30"/>
          <w:vertAlign w:val="baseline"/>
        </w:rPr>
        <w:t> </w:t>
      </w:r>
      <w:r>
        <w:rPr>
          <w:vertAlign w:val="baseline"/>
        </w:rPr>
        <w:t>closing,</w:t>
      </w:r>
      <w:r>
        <w:rPr>
          <w:spacing w:val="30"/>
          <w:vertAlign w:val="baseline"/>
        </w:rPr>
        <w:t> </w:t>
      </w:r>
      <w:r>
        <w:rPr>
          <w:spacing w:val="-5"/>
          <w:vertAlign w:val="baseline"/>
        </w:rPr>
        <w:t>or</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bookmarkStart w:name="_bookmark713" w:id="715"/>
      <w:bookmarkEnd w:id="715"/>
      <w:r>
        <w:rPr/>
      </w:r>
      <w:r>
        <w:rPr/>
        <w:t>disposing of, the relevant files. </w:t>
      </w:r>
      <w:r>
        <w:rPr>
          <w:color w:val="005DA1"/>
          <w:u w:val="single" w:color="005DA1"/>
          <w:vertAlign w:val="superscript"/>
        </w:rPr>
        <w:t>398</w:t>
      </w:r>
      <w:r>
        <w:rPr>
          <w:color w:val="005DA1"/>
          <w:vertAlign w:val="baseline"/>
        </w:rPr>
        <w:t> </w:t>
      </w:r>
      <w:r>
        <w:rPr>
          <w:vertAlign w:val="baseline"/>
        </w:rPr>
        <w:t>On the same principle, the wrongful repudiation of an </w:t>
      </w:r>
      <w:r>
        <w:rPr>
          <w:vertAlign w:val="baseline"/>
        </w:rPr>
        <w:t>arbitration </w:t>
      </w:r>
      <w:bookmarkStart w:name="_bookmark714" w:id="716"/>
      <w:bookmarkEnd w:id="716"/>
      <w:r>
        <w:rPr>
          <w:vertAlign w:val="baseline"/>
        </w:rPr>
        <w:t>agreement</w:t>
      </w:r>
      <w:r>
        <w:rPr>
          <w:vertAlign w:val="baseline"/>
        </w:rPr>
        <w:t> (by repeatedly denying its existence) can be accepted by starting court proceedings to enforce the injured party’s substantive claim. </w:t>
      </w:r>
      <w:r>
        <w:rPr>
          <w:color w:val="005DA1"/>
          <w:u w:val="single" w:color="005DA1"/>
          <w:vertAlign w:val="superscript"/>
        </w:rPr>
        <w:t>399</w:t>
      </w:r>
    </w:p>
    <w:p>
      <w:pPr>
        <w:pStyle w:val="BodyText"/>
        <w:spacing w:before="80"/>
      </w:pPr>
    </w:p>
    <w:p>
      <w:pPr>
        <w:pStyle w:val="Heading2"/>
        <w:spacing w:before="1"/>
        <w:ind w:left="164"/>
      </w:pPr>
      <w:r>
        <w:rPr/>
        <w:t>2-</w:t>
      </w:r>
      <w:r>
        <w:rPr>
          <w:spacing w:val="-5"/>
        </w:rPr>
        <w:t>075</w:t>
      </w:r>
    </w:p>
    <w:p>
      <w:pPr>
        <w:pStyle w:val="BodyText"/>
        <w:spacing w:line="235" w:lineRule="auto" w:before="202"/>
        <w:ind w:left="164" w:right="167"/>
        <w:jc w:val="both"/>
      </w:pPr>
      <w:bookmarkStart w:name="_bookmark715" w:id="717"/>
      <w:bookmarkEnd w:id="717"/>
      <w:r>
        <w:rPr/>
      </w:r>
      <w:r>
        <w:rPr/>
        <w:t>In </w:t>
      </w:r>
      <w:r>
        <w:rPr>
          <w:rFonts w:ascii="Arial" w:hAnsi="Arial"/>
          <w:i/>
        </w:rPr>
        <w:t>Rust v Abbey Life Ins Co </w:t>
      </w:r>
      <w:r>
        <w:rPr>
          <w:color w:val="005DA1"/>
          <w:u w:val="single" w:color="005DA1"/>
          <w:vertAlign w:val="superscript"/>
        </w:rPr>
        <w:t>400</w:t>
      </w:r>
      <w:r>
        <w:rPr>
          <w:color w:val="005DA1"/>
          <w:vertAlign w:val="baseline"/>
        </w:rPr>
        <w:t> </w:t>
      </w:r>
      <w:r>
        <w:rPr>
          <w:vertAlign w:val="baseline"/>
        </w:rPr>
        <w:t>the plaintiff applied and paid for a “property bond” which was </w:t>
      </w:r>
      <w:r>
        <w:rPr>
          <w:vertAlign w:val="baseline"/>
        </w:rPr>
        <w:t>allocated to her on the terms of the defendants’ usual policy of insurance. After having retained this document for some seven months, she claimed the return of her payment, alleging that no contract had been </w:t>
      </w:r>
      <w:bookmarkStart w:name="_bookmark716" w:id="718"/>
      <w:bookmarkEnd w:id="718"/>
      <w:r>
        <w:rPr>
          <w:vertAlign w:val="baseline"/>
        </w:rPr>
        <w:t>concluded.</w:t>
      </w:r>
      <w:r>
        <w:rPr>
          <w:vertAlign w:val="baseline"/>
        </w:rPr>
        <w:t> The claim was rejected on the ground that her application was an offer which had been accepted by issue of the policy. </w:t>
      </w:r>
      <w:r>
        <w:rPr>
          <w:color w:val="005DA1"/>
          <w:u w:val="single" w:color="005DA1"/>
          <w:vertAlign w:val="superscript"/>
        </w:rPr>
        <w:t>401</w:t>
      </w:r>
      <w:r>
        <w:rPr>
          <w:color w:val="005DA1"/>
          <w:vertAlign w:val="baseline"/>
        </w:rPr>
        <w:t> </w:t>
      </w:r>
      <w:r>
        <w:rPr>
          <w:vertAlign w:val="baseline"/>
        </w:rPr>
        <w:t>But it was further held that, even if the policy constituted a</w:t>
      </w:r>
      <w:r>
        <w:rPr>
          <w:spacing w:val="80"/>
          <w:vertAlign w:val="baseline"/>
        </w:rPr>
        <w:t> </w:t>
      </w:r>
      <w:bookmarkStart w:name="_bookmark717" w:id="719"/>
      <w:bookmarkEnd w:id="719"/>
      <w:r>
        <w:rPr>
          <w:vertAlign w:val="baseline"/>
        </w:rPr>
        <w:t>counter</w:t>
      </w:r>
      <w:r>
        <w:rPr>
          <w:vertAlign w:val="baseline"/>
        </w:rPr>
        <w:t>-offer, that counter-offer had been accepted by “the conduct of the plaintiff in doing and saying nothing for seven months …”. </w:t>
      </w:r>
      <w:r>
        <w:rPr>
          <w:color w:val="005DA1"/>
          <w:u w:val="single" w:color="005DA1"/>
          <w:vertAlign w:val="superscript"/>
        </w:rPr>
        <w:t>402</w:t>
      </w:r>
      <w:r>
        <w:rPr>
          <w:color w:val="005DA1"/>
          <w:vertAlign w:val="baseline"/>
        </w:rPr>
        <w:t> </w:t>
      </w:r>
      <w:r>
        <w:rPr>
          <w:vertAlign w:val="baseline"/>
        </w:rPr>
        <w:t>Thus, mere inaction was said to be sufficient to constitute </w:t>
      </w:r>
      <w:bookmarkStart w:name="_bookmark718" w:id="720"/>
      <w:bookmarkEnd w:id="720"/>
      <w:r>
        <w:rPr>
          <w:vertAlign w:val="baseline"/>
        </w:rPr>
        <w:t>acceptance;</w:t>
      </w:r>
      <w:r>
        <w:rPr>
          <w:vertAlign w:val="baseline"/>
        </w:rPr>
        <w:t> but it is submitted that this conclusion may be justified by reference to the special circumstances of the case. The negotiations had been started by the plaintiff (the counter-offeree) </w:t>
      </w:r>
      <w:r>
        <w:rPr>
          <w:color w:val="005DA1"/>
          <w:u w:val="single" w:color="005DA1"/>
          <w:vertAlign w:val="superscript"/>
        </w:rPr>
        <w:t>403</w:t>
      </w:r>
      <w:r>
        <w:rPr>
          <w:color w:val="005DA1"/>
          <w:vertAlign w:val="baseline"/>
        </w:rPr>
        <w:t> </w:t>
      </w:r>
      <w:r>
        <w:rPr>
          <w:vertAlign w:val="baseline"/>
        </w:rPr>
        <w:t>and, in view of this fact, it was reasonable for the defendants to infer from her silence over a long </w:t>
      </w:r>
      <w:bookmarkStart w:name="_bookmark719" w:id="721"/>
      <w:bookmarkEnd w:id="721"/>
      <w:r>
        <w:rPr>
          <w:vertAlign w:val="baseline"/>
        </w:rPr>
        <w:t>period</w:t>
      </w:r>
      <w:r>
        <w:rPr>
          <w:vertAlign w:val="baseline"/>
        </w:rPr>
        <w:t> that she had accepted the terms of the policy which had been sent to her and which she must be “taken to have examined”. </w:t>
      </w:r>
      <w:r>
        <w:rPr>
          <w:color w:val="005DA1"/>
          <w:u w:val="single" w:color="005DA1"/>
          <w:vertAlign w:val="superscript"/>
        </w:rPr>
        <w:t>404</w:t>
      </w:r>
      <w:r>
        <w:rPr>
          <w:color w:val="005DA1"/>
          <w:vertAlign w:val="baseline"/>
        </w:rPr>
        <w:t> </w:t>
      </w:r>
      <w:r>
        <w:rPr>
          <w:vertAlign w:val="baseline"/>
        </w:rPr>
        <w:t>The case thus falls within one of the suggested exceptions </w:t>
      </w:r>
      <w:r>
        <w:rPr>
          <w:color w:val="005DA1"/>
          <w:u w:val="single" w:color="005DA1"/>
          <w:vertAlign w:val="superscript"/>
        </w:rPr>
        <w:t>405</w:t>
      </w:r>
      <w:r>
        <w:rPr>
          <w:color w:val="005DA1"/>
          <w:vertAlign w:val="baseline"/>
        </w:rPr>
        <w:t> </w:t>
      </w:r>
      <w:r>
        <w:rPr>
          <w:vertAlign w:val="baseline"/>
        </w:rPr>
        <w:t>to the </w:t>
      </w:r>
      <w:bookmarkStart w:name="_bookmark720" w:id="722"/>
      <w:bookmarkEnd w:id="722"/>
      <w:r>
        <w:rPr>
          <w:vertAlign w:val="baseline"/>
        </w:rPr>
        <w:t>general</w:t>
      </w:r>
      <w:r>
        <w:rPr>
          <w:vertAlign w:val="baseline"/>
        </w:rPr>
        <w:t> rule that an offeree is not bound by silence where this alone is alleged to amount to an acceptance. </w:t>
      </w:r>
      <w:r>
        <w:rPr>
          <w:color w:val="005DA1"/>
          <w:u w:val="single" w:color="005DA1"/>
          <w:vertAlign w:val="superscript"/>
        </w:rPr>
        <w:t>406</w:t>
      </w:r>
    </w:p>
    <w:p>
      <w:pPr>
        <w:pStyle w:val="BodyText"/>
      </w:pPr>
    </w:p>
    <w:p>
      <w:pPr>
        <w:pStyle w:val="BodyText"/>
        <w:spacing w:before="34"/>
      </w:pPr>
      <w:r>
        <w:rPr/>
        <mc:AlternateContent>
          <mc:Choice Requires="wps">
            <w:drawing>
              <wp:anchor distT="0" distB="0" distL="0" distR="0" allowOverlap="1" layoutInCell="1" locked="0" behindDoc="1" simplePos="0" relativeHeight="487606272">
                <wp:simplePos x="0" y="0"/>
                <wp:positionH relativeFrom="page">
                  <wp:posOffset>914400</wp:posOffset>
                </wp:positionH>
                <wp:positionV relativeFrom="paragraph">
                  <wp:posOffset>183490</wp:posOffset>
                </wp:positionV>
                <wp:extent cx="5724525" cy="1270"/>
                <wp:effectExtent l="0" t="0" r="0" b="0"/>
                <wp:wrapTopAndBottom/>
                <wp:docPr id="63" name="Graphic 63"/>
                <wp:cNvGraphicFramePr>
                  <a:graphicFrameLocks/>
                </wp:cNvGraphicFramePr>
                <a:graphic>
                  <a:graphicData uri="http://schemas.microsoft.com/office/word/2010/wordprocessingShape">
                    <wps:wsp>
                      <wps:cNvPr id="63" name="Graphic 6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48035pt;width:450.75pt;height:.1pt;mso-position-horizontal-relative:page;mso-position-vertical-relative:paragraph;z-index:-15710208;mso-wrap-distance-left:0;mso-wrap-distance-right:0" id="docshape16" coordorigin="1440,289" coordsize="9015,0" path="m1440,289l10454,289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line="227" w:lineRule="exact" w:before="0"/>
        <w:ind w:left="165" w:right="0" w:firstLine="0"/>
        <w:jc w:val="left"/>
        <w:rPr>
          <w:rFonts w:ascii="Arial"/>
          <w:i/>
          <w:sz w:val="20"/>
        </w:rPr>
      </w:pPr>
      <w:bookmarkStart w:name="_bookmark721" w:id="723"/>
      <w:bookmarkEnd w:id="723"/>
      <w:r>
        <w:rPr/>
      </w:r>
      <w:hyperlink w:history="true" w:anchor="_bookmark666">
        <w:r>
          <w:rPr>
            <w:color w:val="005DA1"/>
            <w:spacing w:val="-4"/>
            <w:position w:val="5"/>
            <w:sz w:val="14"/>
            <w:u w:val="single" w:color="005DA1"/>
          </w:rPr>
          <w:t>349</w:t>
        </w:r>
      </w:hyperlink>
      <w:r>
        <w:rPr>
          <w:spacing w:val="-4"/>
          <w:position w:val="5"/>
          <w:sz w:val="14"/>
        </w:rPr>
        <w:t>.</w:t>
      </w:r>
      <w:r>
        <w:rPr>
          <w:position w:val="5"/>
          <w:sz w:val="14"/>
        </w:rPr>
        <w:tab/>
      </w:r>
      <w:r>
        <w:rPr>
          <w:rFonts w:ascii="Arial"/>
          <w:i/>
          <w:sz w:val="20"/>
        </w:rPr>
        <w:t>(1862)</w:t>
      </w:r>
      <w:r>
        <w:rPr>
          <w:rFonts w:ascii="Arial"/>
          <w:i/>
          <w:spacing w:val="3"/>
          <w:sz w:val="20"/>
        </w:rPr>
        <w:t> </w:t>
      </w:r>
      <w:r>
        <w:rPr>
          <w:rFonts w:ascii="Arial"/>
          <w:i/>
          <w:sz w:val="20"/>
        </w:rPr>
        <w:t>11</w:t>
      </w:r>
      <w:r>
        <w:rPr>
          <w:rFonts w:ascii="Arial"/>
          <w:i/>
          <w:spacing w:val="4"/>
          <w:sz w:val="20"/>
        </w:rPr>
        <w:t> </w:t>
      </w:r>
      <w:r>
        <w:rPr>
          <w:rFonts w:ascii="Arial"/>
          <w:i/>
          <w:sz w:val="20"/>
        </w:rPr>
        <w:t>C.B.(N.S.)</w:t>
      </w:r>
      <w:r>
        <w:rPr>
          <w:rFonts w:ascii="Arial"/>
          <w:i/>
          <w:spacing w:val="4"/>
          <w:sz w:val="20"/>
        </w:rPr>
        <w:t> </w:t>
      </w:r>
      <w:r>
        <w:rPr>
          <w:rFonts w:ascii="Arial"/>
          <w:i/>
          <w:sz w:val="20"/>
        </w:rPr>
        <w:t>869;</w:t>
      </w:r>
      <w:r>
        <w:rPr>
          <w:rFonts w:ascii="Arial"/>
          <w:i/>
          <w:spacing w:val="4"/>
          <w:sz w:val="20"/>
        </w:rPr>
        <w:t> </w:t>
      </w:r>
      <w:r>
        <w:rPr>
          <w:rFonts w:ascii="Arial"/>
          <w:i/>
          <w:sz w:val="20"/>
        </w:rPr>
        <w:t>affirmed</w:t>
      </w:r>
      <w:r>
        <w:rPr>
          <w:rFonts w:ascii="Arial"/>
          <w:i/>
          <w:spacing w:val="4"/>
          <w:sz w:val="20"/>
        </w:rPr>
        <w:t> </w:t>
      </w:r>
      <w:r>
        <w:rPr>
          <w:rFonts w:ascii="Arial"/>
          <w:i/>
          <w:sz w:val="20"/>
        </w:rPr>
        <w:t>(1863)</w:t>
      </w:r>
      <w:r>
        <w:rPr>
          <w:rFonts w:ascii="Arial"/>
          <w:i/>
          <w:spacing w:val="4"/>
          <w:sz w:val="20"/>
        </w:rPr>
        <w:t> </w:t>
      </w:r>
      <w:r>
        <w:rPr>
          <w:rFonts w:ascii="Arial"/>
          <w:i/>
          <w:sz w:val="20"/>
        </w:rPr>
        <w:t>1</w:t>
      </w:r>
      <w:r>
        <w:rPr>
          <w:rFonts w:ascii="Arial"/>
          <w:i/>
          <w:spacing w:val="4"/>
          <w:sz w:val="20"/>
        </w:rPr>
        <w:t> </w:t>
      </w:r>
      <w:r>
        <w:rPr>
          <w:rFonts w:ascii="Arial"/>
          <w:i/>
          <w:sz w:val="20"/>
        </w:rPr>
        <w:t>N.R.</w:t>
      </w:r>
      <w:r>
        <w:rPr>
          <w:rFonts w:ascii="Arial"/>
          <w:i/>
          <w:spacing w:val="4"/>
          <w:sz w:val="20"/>
        </w:rPr>
        <w:t> </w:t>
      </w:r>
      <w:r>
        <w:rPr>
          <w:rFonts w:ascii="Arial"/>
          <w:i/>
          <w:sz w:val="20"/>
        </w:rPr>
        <w:t>401</w:t>
      </w:r>
      <w:r>
        <w:rPr>
          <w:sz w:val="20"/>
        </w:rPr>
        <w:t>;</w:t>
      </w:r>
      <w:r>
        <w:rPr>
          <w:spacing w:val="4"/>
          <w:sz w:val="20"/>
        </w:rPr>
        <w:t> </w:t>
      </w:r>
      <w:r>
        <w:rPr>
          <w:sz w:val="20"/>
        </w:rPr>
        <w:t>Miller</w:t>
      </w:r>
      <w:r>
        <w:rPr>
          <w:spacing w:val="4"/>
          <w:sz w:val="20"/>
        </w:rPr>
        <w:t> </w:t>
      </w:r>
      <w:r>
        <w:rPr>
          <w:sz w:val="20"/>
        </w:rPr>
        <w:t>(1972)</w:t>
      </w:r>
      <w:r>
        <w:rPr>
          <w:spacing w:val="4"/>
          <w:sz w:val="20"/>
        </w:rPr>
        <w:t> </w:t>
      </w:r>
      <w:r>
        <w:rPr>
          <w:sz w:val="20"/>
        </w:rPr>
        <w:t>35</w:t>
      </w:r>
      <w:r>
        <w:rPr>
          <w:spacing w:val="4"/>
          <w:sz w:val="20"/>
        </w:rPr>
        <w:t> </w:t>
      </w:r>
      <w:r>
        <w:rPr>
          <w:sz w:val="20"/>
        </w:rPr>
        <w:t>M.L.R.</w:t>
      </w:r>
      <w:r>
        <w:rPr>
          <w:spacing w:val="4"/>
          <w:sz w:val="20"/>
        </w:rPr>
        <w:t> </w:t>
      </w:r>
      <w:r>
        <w:rPr>
          <w:sz w:val="20"/>
        </w:rPr>
        <w:t>489;</w:t>
      </w:r>
      <w:r>
        <w:rPr>
          <w:spacing w:val="4"/>
          <w:sz w:val="20"/>
        </w:rPr>
        <w:t> </w:t>
      </w:r>
      <w:r>
        <w:rPr>
          <w:sz w:val="20"/>
        </w:rPr>
        <w:t>cf.</w:t>
      </w:r>
      <w:r>
        <w:rPr>
          <w:spacing w:val="4"/>
          <w:sz w:val="20"/>
        </w:rPr>
        <w:t> </w:t>
      </w:r>
      <w:r>
        <w:rPr>
          <w:rFonts w:ascii="Arial"/>
          <w:i/>
          <w:spacing w:val="-2"/>
          <w:sz w:val="20"/>
        </w:rPr>
        <w:t>Financial</w:t>
      </w:r>
    </w:p>
    <w:p>
      <w:pPr>
        <w:spacing w:line="227" w:lineRule="exact" w:before="0"/>
        <w:ind w:left="705" w:right="0" w:firstLine="0"/>
        <w:jc w:val="left"/>
        <w:rPr>
          <w:rFonts w:ascii="Arial"/>
          <w:i/>
          <w:sz w:val="20"/>
        </w:rPr>
      </w:pPr>
      <w:r>
        <w:rPr>
          <w:rFonts w:ascii="Arial"/>
          <w:i/>
          <w:sz w:val="20"/>
        </w:rPr>
        <w:t>Techniques (Planning Services) v Hughes [1981] I.R.L.R. </w:t>
      </w:r>
      <w:r>
        <w:rPr>
          <w:rFonts w:ascii="Arial"/>
          <w:i/>
          <w:spacing w:val="-5"/>
          <w:sz w:val="20"/>
        </w:rPr>
        <w:t>32</w:t>
      </w:r>
    </w:p>
    <w:p>
      <w:pPr>
        <w:pStyle w:val="BodyText"/>
        <w:spacing w:before="5"/>
        <w:rPr>
          <w:rFonts w:ascii="Arial"/>
          <w:i/>
        </w:rPr>
      </w:pPr>
    </w:p>
    <w:p>
      <w:pPr>
        <w:tabs>
          <w:tab w:pos="705" w:val="left" w:leader="none"/>
        </w:tabs>
        <w:spacing w:before="0"/>
        <w:ind w:left="165" w:right="0" w:firstLine="0"/>
        <w:jc w:val="left"/>
        <w:rPr>
          <w:sz w:val="20"/>
        </w:rPr>
      </w:pPr>
      <w:bookmarkStart w:name="_bookmark722" w:id="724"/>
      <w:bookmarkEnd w:id="724"/>
      <w:r>
        <w:rPr/>
      </w:r>
      <w:hyperlink w:history="true" w:anchor="_bookmark667">
        <w:r>
          <w:rPr>
            <w:color w:val="005DA1"/>
            <w:spacing w:val="-4"/>
            <w:position w:val="5"/>
            <w:sz w:val="14"/>
            <w:u w:val="single" w:color="005DA1"/>
          </w:rPr>
          <w:t>350</w:t>
        </w:r>
      </w:hyperlink>
      <w:r>
        <w:rPr>
          <w:spacing w:val="-4"/>
          <w:position w:val="5"/>
          <w:sz w:val="14"/>
        </w:rPr>
        <w:t>.</w:t>
      </w:r>
      <w:r>
        <w:rPr>
          <w:position w:val="5"/>
          <w:sz w:val="14"/>
        </w:rPr>
        <w:tab/>
      </w:r>
      <w:r>
        <w:rPr>
          <w:rFonts w:ascii="Arial"/>
          <w:i/>
          <w:sz w:val="20"/>
        </w:rPr>
        <w:t>(1862)</w:t>
      </w:r>
      <w:r>
        <w:rPr>
          <w:rFonts w:ascii="Arial"/>
          <w:i/>
          <w:spacing w:val="-2"/>
          <w:sz w:val="20"/>
        </w:rPr>
        <w:t> </w:t>
      </w:r>
      <w:r>
        <w:rPr>
          <w:rFonts w:ascii="Arial"/>
          <w:i/>
          <w:sz w:val="20"/>
        </w:rPr>
        <w:t>11 C.B.(N.S.) 869</w:t>
      </w:r>
      <w:r>
        <w:rPr>
          <w:rFonts w:ascii="Arial"/>
          <w:i/>
          <w:spacing w:val="-1"/>
          <w:sz w:val="20"/>
        </w:rPr>
        <w:t> </w:t>
      </w:r>
      <w:r>
        <w:rPr>
          <w:sz w:val="20"/>
        </w:rPr>
        <w:t>at </w:t>
      </w:r>
      <w:r>
        <w:rPr>
          <w:spacing w:val="-4"/>
          <w:sz w:val="20"/>
        </w:rPr>
        <w:t>875.</w:t>
      </w:r>
    </w:p>
    <w:p>
      <w:pPr>
        <w:pStyle w:val="BodyText"/>
        <w:spacing w:before="5"/>
      </w:pPr>
    </w:p>
    <w:p>
      <w:pPr>
        <w:tabs>
          <w:tab w:pos="705" w:val="left" w:leader="none"/>
        </w:tabs>
        <w:spacing w:before="0"/>
        <w:ind w:left="165" w:right="0" w:firstLine="0"/>
        <w:jc w:val="left"/>
        <w:rPr>
          <w:sz w:val="20"/>
        </w:rPr>
      </w:pPr>
      <w:bookmarkStart w:name="_bookmark723" w:id="725"/>
      <w:bookmarkEnd w:id="725"/>
      <w:r>
        <w:rPr/>
      </w:r>
      <w:hyperlink w:history="true" w:anchor="_bookmark668">
        <w:r>
          <w:rPr>
            <w:color w:val="005DA1"/>
            <w:spacing w:val="-4"/>
            <w:position w:val="5"/>
            <w:sz w:val="14"/>
            <w:u w:val="single" w:color="005DA1"/>
          </w:rPr>
          <w:t>351</w:t>
        </w:r>
      </w:hyperlink>
      <w:r>
        <w:rPr>
          <w:spacing w:val="-4"/>
          <w:position w:val="5"/>
          <w:sz w:val="14"/>
        </w:rPr>
        <w:t>.</w:t>
      </w:r>
      <w:r>
        <w:rPr>
          <w:position w:val="5"/>
          <w:sz w:val="14"/>
        </w:rPr>
        <w:tab/>
      </w:r>
      <w:r>
        <w:rPr>
          <w:rFonts w:ascii="Arial"/>
          <w:i/>
          <w:sz w:val="20"/>
        </w:rPr>
        <w:t>(1862)</w:t>
      </w:r>
      <w:r>
        <w:rPr>
          <w:rFonts w:ascii="Arial"/>
          <w:i/>
          <w:spacing w:val="-2"/>
          <w:sz w:val="20"/>
        </w:rPr>
        <w:t> </w:t>
      </w:r>
      <w:r>
        <w:rPr>
          <w:rFonts w:ascii="Arial"/>
          <w:i/>
          <w:sz w:val="20"/>
        </w:rPr>
        <w:t>11 C.B.(N.S.) 869</w:t>
      </w:r>
      <w:r>
        <w:rPr>
          <w:rFonts w:ascii="Arial"/>
          <w:i/>
          <w:spacing w:val="-1"/>
          <w:sz w:val="20"/>
        </w:rPr>
        <w:t> </w:t>
      </w:r>
      <w:r>
        <w:rPr>
          <w:sz w:val="20"/>
        </w:rPr>
        <w:t>at </w:t>
      </w:r>
      <w:r>
        <w:rPr>
          <w:spacing w:val="-4"/>
          <w:sz w:val="20"/>
        </w:rPr>
        <w:t>876.</w:t>
      </w:r>
    </w:p>
    <w:p>
      <w:pPr>
        <w:pStyle w:val="BodyText"/>
        <w:spacing w:before="5"/>
      </w:pPr>
    </w:p>
    <w:p>
      <w:pPr>
        <w:tabs>
          <w:tab w:pos="705" w:val="left" w:leader="none"/>
        </w:tabs>
        <w:spacing w:before="0"/>
        <w:ind w:left="165" w:right="0" w:firstLine="0"/>
        <w:jc w:val="left"/>
        <w:rPr>
          <w:sz w:val="20"/>
        </w:rPr>
      </w:pPr>
      <w:bookmarkStart w:name="_bookmark724" w:id="726"/>
      <w:bookmarkEnd w:id="726"/>
      <w:r>
        <w:rPr/>
      </w:r>
      <w:hyperlink w:history="true" w:anchor="_bookmark669">
        <w:r>
          <w:rPr>
            <w:color w:val="005DA1"/>
            <w:spacing w:val="-4"/>
            <w:position w:val="5"/>
            <w:sz w:val="14"/>
            <w:u w:val="single" w:color="005DA1"/>
          </w:rPr>
          <w:t>352</w:t>
        </w:r>
      </w:hyperlink>
      <w:r>
        <w:rPr>
          <w:spacing w:val="-4"/>
          <w:position w:val="5"/>
          <w:sz w:val="14"/>
        </w:rPr>
        <w:t>.</w:t>
      </w:r>
      <w:r>
        <w:rPr>
          <w:position w:val="5"/>
          <w:sz w:val="14"/>
        </w:rPr>
        <w:tab/>
      </w:r>
      <w:r>
        <w:rPr>
          <w:sz w:val="20"/>
        </w:rPr>
        <w:t>Above, para.2-</w:t>
      </w:r>
      <w:r>
        <w:rPr>
          <w:spacing w:val="-4"/>
          <w:sz w:val="20"/>
        </w:rPr>
        <w:t>046.</w:t>
      </w:r>
    </w:p>
    <w:p>
      <w:pPr>
        <w:pStyle w:val="BodyText"/>
        <w:spacing w:before="5"/>
      </w:pPr>
    </w:p>
    <w:p>
      <w:pPr>
        <w:pStyle w:val="BodyText"/>
        <w:tabs>
          <w:tab w:pos="705" w:val="left" w:leader="none"/>
        </w:tabs>
        <w:ind w:left="165"/>
      </w:pPr>
      <w:bookmarkStart w:name="_bookmark725" w:id="727"/>
      <w:bookmarkEnd w:id="727"/>
      <w:r>
        <w:rPr/>
      </w:r>
      <w:hyperlink w:history="true" w:anchor="_bookmark670">
        <w:r>
          <w:rPr>
            <w:color w:val="005DA1"/>
            <w:spacing w:val="-4"/>
            <w:position w:val="5"/>
            <w:sz w:val="14"/>
            <w:u w:val="single" w:color="005DA1"/>
          </w:rPr>
          <w:t>353</w:t>
        </w:r>
      </w:hyperlink>
      <w:r>
        <w:rPr>
          <w:spacing w:val="-4"/>
          <w:position w:val="5"/>
          <w:sz w:val="14"/>
        </w:rPr>
        <w:t>.</w:t>
      </w:r>
      <w:r>
        <w:rPr>
          <w:position w:val="5"/>
          <w:sz w:val="14"/>
        </w:rPr>
        <w:tab/>
      </w:r>
      <w:r>
        <w:rPr/>
        <w:t>Arbitration Act 1996 </w:t>
      </w:r>
      <w:r>
        <w:rPr>
          <w:spacing w:val="-2"/>
        </w:rPr>
        <w:t>s.41(3).</w:t>
      </w:r>
    </w:p>
    <w:p>
      <w:pPr>
        <w:pStyle w:val="BodyText"/>
        <w:spacing w:before="5"/>
      </w:pPr>
    </w:p>
    <w:p>
      <w:pPr>
        <w:pStyle w:val="BodyText"/>
        <w:tabs>
          <w:tab w:pos="705" w:val="left" w:leader="none"/>
        </w:tabs>
        <w:ind w:left="165"/>
      </w:pPr>
      <w:bookmarkStart w:name="_bookmark726" w:id="728"/>
      <w:bookmarkEnd w:id="728"/>
      <w:r>
        <w:rPr/>
      </w:r>
      <w:hyperlink w:history="true" w:anchor="_bookmark671">
        <w:r>
          <w:rPr>
            <w:color w:val="005DA1"/>
            <w:spacing w:val="-4"/>
            <w:position w:val="5"/>
            <w:sz w:val="14"/>
            <w:u w:val="single" w:color="005DA1"/>
          </w:rPr>
          <w:t>354</w:t>
        </w:r>
      </w:hyperlink>
      <w:r>
        <w:rPr>
          <w:spacing w:val="-4"/>
          <w:position w:val="5"/>
          <w:sz w:val="14"/>
        </w:rPr>
        <w:t>.</w:t>
      </w:r>
      <w:r>
        <w:rPr>
          <w:position w:val="5"/>
          <w:sz w:val="14"/>
        </w:rPr>
        <w:tab/>
      </w:r>
      <w:r>
        <w:rPr/>
        <w:t>Arbitration Act 1996 </w:t>
      </w:r>
      <w:r>
        <w:rPr>
          <w:spacing w:val="-2"/>
        </w:rPr>
        <w:t>s.41(2).</w:t>
      </w:r>
    </w:p>
    <w:p>
      <w:pPr>
        <w:pStyle w:val="BodyText"/>
        <w:spacing w:before="5"/>
      </w:pPr>
    </w:p>
    <w:p>
      <w:pPr>
        <w:tabs>
          <w:tab w:pos="705" w:val="left" w:leader="none"/>
        </w:tabs>
        <w:spacing w:before="0"/>
        <w:ind w:left="165" w:right="0" w:firstLine="0"/>
        <w:jc w:val="left"/>
        <w:rPr>
          <w:sz w:val="20"/>
        </w:rPr>
      </w:pPr>
      <w:bookmarkStart w:name="_bookmark727" w:id="729"/>
      <w:bookmarkEnd w:id="729"/>
      <w:r>
        <w:rPr/>
      </w:r>
      <w:hyperlink w:history="true" w:anchor="_bookmark672">
        <w:r>
          <w:rPr>
            <w:color w:val="005DA1"/>
            <w:spacing w:val="-4"/>
            <w:position w:val="5"/>
            <w:sz w:val="14"/>
            <w:u w:val="single" w:color="005DA1"/>
          </w:rPr>
          <w:t>355</w:t>
        </w:r>
      </w:hyperlink>
      <w:r>
        <w:rPr>
          <w:spacing w:val="-4"/>
          <w:position w:val="5"/>
          <w:sz w:val="14"/>
        </w:rPr>
        <w:t>.</w:t>
      </w:r>
      <w:r>
        <w:rPr>
          <w:position w:val="5"/>
          <w:sz w:val="14"/>
        </w:rPr>
        <w:tab/>
      </w:r>
      <w:r>
        <w:rPr>
          <w:sz w:val="20"/>
        </w:rPr>
        <w:t>Above, para.2-</w:t>
      </w:r>
      <w:r>
        <w:rPr>
          <w:spacing w:val="-5"/>
          <w:sz w:val="20"/>
        </w:rPr>
        <w:t>006</w:t>
      </w:r>
    </w:p>
    <w:p>
      <w:pPr>
        <w:pStyle w:val="BodyText"/>
        <w:spacing w:before="5"/>
      </w:pPr>
    </w:p>
    <w:p>
      <w:pPr>
        <w:pStyle w:val="BodyText"/>
        <w:tabs>
          <w:tab w:pos="705" w:val="left" w:leader="none"/>
        </w:tabs>
        <w:ind w:left="165"/>
      </w:pPr>
      <w:bookmarkStart w:name="_bookmark728" w:id="730"/>
      <w:bookmarkEnd w:id="730"/>
      <w:r>
        <w:rPr/>
      </w:r>
      <w:hyperlink w:history="true" w:anchor="_bookmark673">
        <w:r>
          <w:rPr>
            <w:color w:val="005DA1"/>
            <w:spacing w:val="-4"/>
            <w:position w:val="5"/>
            <w:sz w:val="14"/>
            <w:u w:val="single" w:color="005DA1"/>
          </w:rPr>
          <w:t>356</w:t>
        </w:r>
      </w:hyperlink>
      <w:r>
        <w:rPr>
          <w:spacing w:val="-4"/>
          <w:position w:val="5"/>
          <w:sz w:val="14"/>
        </w:rPr>
        <w:t>.</w:t>
      </w:r>
      <w:r>
        <w:rPr>
          <w:position w:val="5"/>
          <w:sz w:val="14"/>
        </w:rPr>
        <w:tab/>
      </w:r>
      <w:r>
        <w:rPr/>
        <w:t>But not always: see para.2-070 at </w:t>
      </w:r>
      <w:r>
        <w:rPr>
          <w:spacing w:val="-2"/>
        </w:rPr>
        <w:t>n.357.</w:t>
      </w:r>
    </w:p>
    <w:p>
      <w:pPr>
        <w:pStyle w:val="BodyText"/>
        <w:spacing w:before="5"/>
      </w:pPr>
    </w:p>
    <w:p>
      <w:pPr>
        <w:tabs>
          <w:tab w:pos="705" w:val="left" w:leader="none"/>
        </w:tabs>
        <w:spacing w:before="0"/>
        <w:ind w:left="165" w:right="0" w:firstLine="0"/>
        <w:jc w:val="left"/>
        <w:rPr>
          <w:sz w:val="20"/>
        </w:rPr>
      </w:pPr>
      <w:bookmarkStart w:name="_bookmark729" w:id="731"/>
      <w:bookmarkEnd w:id="731"/>
      <w:r>
        <w:rPr/>
      </w:r>
      <w:hyperlink w:history="true" w:anchor="_bookmark673">
        <w:r>
          <w:rPr>
            <w:color w:val="005DA1"/>
            <w:spacing w:val="-4"/>
            <w:position w:val="5"/>
            <w:sz w:val="14"/>
            <w:u w:val="single" w:color="005DA1"/>
          </w:rPr>
          <w:t>357</w:t>
        </w:r>
      </w:hyperlink>
      <w:r>
        <w:rPr>
          <w:spacing w:val="-4"/>
          <w:position w:val="5"/>
          <w:sz w:val="14"/>
        </w:rPr>
        <w:t>.</w:t>
      </w:r>
      <w:r>
        <w:rPr>
          <w:position w:val="5"/>
          <w:sz w:val="14"/>
        </w:rPr>
        <w:tab/>
      </w:r>
      <w:r>
        <w:rPr>
          <w:sz w:val="20"/>
        </w:rPr>
        <w:t>e.g. </w:t>
      </w:r>
      <w:r>
        <w:rPr>
          <w:rFonts w:ascii="Arial" w:hAnsi="Arial"/>
          <w:i/>
          <w:sz w:val="20"/>
        </w:rPr>
        <w:t>Jayaar Impex Ltd v Toaken Group Ltd [1996] 2 Lloyd’s Rep. 437, </w:t>
      </w:r>
      <w:r>
        <w:rPr>
          <w:rFonts w:ascii="Arial" w:hAnsi="Arial"/>
          <w:i/>
          <w:spacing w:val="-4"/>
          <w:sz w:val="20"/>
        </w:rPr>
        <w:t>445</w:t>
      </w:r>
      <w:r>
        <w:rPr>
          <w:spacing w:val="-4"/>
          <w:sz w:val="20"/>
        </w:rPr>
        <w:t>.</w:t>
      </w:r>
    </w:p>
    <w:p>
      <w:pPr>
        <w:pStyle w:val="BodyText"/>
        <w:spacing w:before="5"/>
      </w:pPr>
    </w:p>
    <w:p>
      <w:pPr>
        <w:pStyle w:val="BodyText"/>
        <w:tabs>
          <w:tab w:pos="705" w:val="left" w:leader="none"/>
        </w:tabs>
        <w:ind w:left="165"/>
      </w:pPr>
      <w:bookmarkStart w:name="_bookmark730" w:id="732"/>
      <w:bookmarkEnd w:id="732"/>
      <w:r>
        <w:rPr/>
      </w:r>
      <w:hyperlink w:history="true" w:anchor="_bookmark674">
        <w:r>
          <w:rPr>
            <w:color w:val="005DA1"/>
            <w:spacing w:val="-4"/>
            <w:position w:val="5"/>
            <w:sz w:val="14"/>
            <w:u w:val="single" w:color="005DA1"/>
          </w:rPr>
          <w:t>358</w:t>
        </w:r>
      </w:hyperlink>
      <w:r>
        <w:rPr>
          <w:spacing w:val="-4"/>
          <w:position w:val="5"/>
          <w:sz w:val="14"/>
        </w:rPr>
        <w:t>.</w:t>
      </w:r>
      <w:r>
        <w:rPr>
          <w:position w:val="5"/>
          <w:sz w:val="14"/>
        </w:rPr>
        <w:tab/>
      </w:r>
      <w:r>
        <w:rPr/>
        <w:t>For acceptance by silence and conduct, see below, para.2-</w:t>
      </w:r>
      <w:r>
        <w:rPr>
          <w:spacing w:val="-4"/>
        </w:rPr>
        <w:t>074.</w:t>
      </w:r>
    </w:p>
    <w:p>
      <w:pPr>
        <w:pStyle w:val="BodyText"/>
        <w:spacing w:before="5"/>
      </w:pPr>
    </w:p>
    <w:p>
      <w:pPr>
        <w:spacing w:line="227" w:lineRule="exact" w:before="1"/>
        <w:ind w:left="165" w:right="0" w:firstLine="0"/>
        <w:jc w:val="both"/>
        <w:rPr>
          <w:rFonts w:ascii="Arial" w:hAnsi="Arial"/>
          <w:i/>
          <w:sz w:val="20"/>
        </w:rPr>
      </w:pPr>
      <w:bookmarkStart w:name="_bookmark731" w:id="733"/>
      <w:bookmarkEnd w:id="733"/>
      <w:r>
        <w:rPr/>
      </w:r>
      <w:hyperlink w:history="true" w:anchor="_bookmark675">
        <w:r>
          <w:rPr>
            <w:color w:val="005DA1"/>
            <w:position w:val="5"/>
            <w:sz w:val="14"/>
            <w:u w:val="single" w:color="005DA1"/>
          </w:rPr>
          <w:t>359</w:t>
        </w:r>
      </w:hyperlink>
      <w:r>
        <w:rPr>
          <w:position w:val="5"/>
          <w:sz w:val="14"/>
        </w:rPr>
        <w:t>.</w:t>
      </w:r>
      <w:r>
        <w:rPr>
          <w:spacing w:val="75"/>
          <w:w w:val="150"/>
          <w:position w:val="5"/>
          <w:sz w:val="14"/>
        </w:rPr>
        <w:t>  </w:t>
      </w:r>
      <w:r>
        <w:rPr>
          <w:rFonts w:ascii="Arial" w:hAnsi="Arial"/>
          <w:i/>
          <w:sz w:val="20"/>
        </w:rPr>
        <w:t>Allied</w:t>
      </w:r>
      <w:r>
        <w:rPr>
          <w:rFonts w:ascii="Arial" w:hAnsi="Arial"/>
          <w:i/>
          <w:spacing w:val="31"/>
          <w:sz w:val="20"/>
        </w:rPr>
        <w:t> </w:t>
      </w:r>
      <w:r>
        <w:rPr>
          <w:rFonts w:ascii="Arial" w:hAnsi="Arial"/>
          <w:i/>
          <w:sz w:val="20"/>
        </w:rPr>
        <w:t>Marine</w:t>
      </w:r>
      <w:r>
        <w:rPr>
          <w:rFonts w:ascii="Arial" w:hAnsi="Arial"/>
          <w:i/>
          <w:spacing w:val="31"/>
          <w:sz w:val="20"/>
        </w:rPr>
        <w:t> </w:t>
      </w:r>
      <w:r>
        <w:rPr>
          <w:rFonts w:ascii="Arial" w:hAnsi="Arial"/>
          <w:i/>
          <w:sz w:val="20"/>
        </w:rPr>
        <w:t>Transport</w:t>
      </w:r>
      <w:r>
        <w:rPr>
          <w:rFonts w:ascii="Arial" w:hAnsi="Arial"/>
          <w:i/>
          <w:spacing w:val="31"/>
          <w:sz w:val="20"/>
        </w:rPr>
        <w:t> </w:t>
      </w:r>
      <w:r>
        <w:rPr>
          <w:rFonts w:ascii="Arial" w:hAnsi="Arial"/>
          <w:i/>
          <w:sz w:val="20"/>
        </w:rPr>
        <w:t>Ltd</w:t>
      </w:r>
      <w:r>
        <w:rPr>
          <w:rFonts w:ascii="Arial" w:hAnsi="Arial"/>
          <w:i/>
          <w:spacing w:val="31"/>
          <w:sz w:val="20"/>
        </w:rPr>
        <w:t> </w:t>
      </w:r>
      <w:r>
        <w:rPr>
          <w:rFonts w:ascii="Arial" w:hAnsi="Arial"/>
          <w:i/>
          <w:sz w:val="20"/>
        </w:rPr>
        <w:t>v</w:t>
      </w:r>
      <w:r>
        <w:rPr>
          <w:rFonts w:ascii="Arial" w:hAnsi="Arial"/>
          <w:i/>
          <w:spacing w:val="31"/>
          <w:sz w:val="20"/>
        </w:rPr>
        <w:t> </w:t>
      </w:r>
      <w:r>
        <w:rPr>
          <w:rFonts w:ascii="Arial" w:hAnsi="Arial"/>
          <w:i/>
          <w:sz w:val="20"/>
        </w:rPr>
        <w:t>Vale</w:t>
      </w:r>
      <w:r>
        <w:rPr>
          <w:rFonts w:ascii="Arial" w:hAnsi="Arial"/>
          <w:i/>
          <w:spacing w:val="31"/>
          <w:sz w:val="20"/>
        </w:rPr>
        <w:t> </w:t>
      </w:r>
      <w:r>
        <w:rPr>
          <w:rFonts w:ascii="Arial" w:hAnsi="Arial"/>
          <w:i/>
          <w:sz w:val="20"/>
        </w:rPr>
        <w:t>do</w:t>
      </w:r>
      <w:r>
        <w:rPr>
          <w:rFonts w:ascii="Arial" w:hAnsi="Arial"/>
          <w:i/>
          <w:spacing w:val="31"/>
          <w:sz w:val="20"/>
        </w:rPr>
        <w:t> </w:t>
      </w:r>
      <w:r>
        <w:rPr>
          <w:rFonts w:ascii="Arial" w:hAnsi="Arial"/>
          <w:i/>
          <w:sz w:val="20"/>
        </w:rPr>
        <w:t>Rio</w:t>
      </w:r>
      <w:r>
        <w:rPr>
          <w:rFonts w:ascii="Arial" w:hAnsi="Arial"/>
          <w:i/>
          <w:spacing w:val="31"/>
          <w:sz w:val="20"/>
        </w:rPr>
        <w:t> </w:t>
      </w:r>
      <w:r>
        <w:rPr>
          <w:rFonts w:ascii="Arial" w:hAnsi="Arial"/>
          <w:i/>
          <w:sz w:val="20"/>
        </w:rPr>
        <w:t>Doce</w:t>
      </w:r>
      <w:r>
        <w:rPr>
          <w:rFonts w:ascii="Arial" w:hAnsi="Arial"/>
          <w:i/>
          <w:spacing w:val="31"/>
          <w:sz w:val="20"/>
        </w:rPr>
        <w:t> </w:t>
      </w:r>
      <w:r>
        <w:rPr>
          <w:rFonts w:ascii="Arial" w:hAnsi="Arial"/>
          <w:i/>
          <w:sz w:val="20"/>
        </w:rPr>
        <w:t>Navegaçao</w:t>
      </w:r>
      <w:r>
        <w:rPr>
          <w:rFonts w:ascii="Arial" w:hAnsi="Arial"/>
          <w:i/>
          <w:spacing w:val="31"/>
          <w:sz w:val="20"/>
        </w:rPr>
        <w:t> </w:t>
      </w:r>
      <w:r>
        <w:rPr>
          <w:rFonts w:ascii="Arial" w:hAnsi="Arial"/>
          <w:i/>
          <w:sz w:val="20"/>
        </w:rPr>
        <w:t>SA</w:t>
      </w:r>
      <w:r>
        <w:rPr>
          <w:rFonts w:ascii="Arial" w:hAnsi="Arial"/>
          <w:i/>
          <w:spacing w:val="31"/>
          <w:sz w:val="20"/>
        </w:rPr>
        <w:t> </w:t>
      </w:r>
      <w:r>
        <w:rPr>
          <w:rFonts w:ascii="Arial" w:hAnsi="Arial"/>
          <w:i/>
          <w:sz w:val="20"/>
        </w:rPr>
        <w:t>(The</w:t>
      </w:r>
      <w:r>
        <w:rPr>
          <w:rFonts w:ascii="Arial" w:hAnsi="Arial"/>
          <w:i/>
          <w:spacing w:val="31"/>
          <w:sz w:val="20"/>
        </w:rPr>
        <w:t> </w:t>
      </w:r>
      <w:r>
        <w:rPr>
          <w:rFonts w:ascii="Arial" w:hAnsi="Arial"/>
          <w:i/>
          <w:sz w:val="20"/>
        </w:rPr>
        <w:t>Leonidas</w:t>
      </w:r>
      <w:r>
        <w:rPr>
          <w:rFonts w:ascii="Arial" w:hAnsi="Arial"/>
          <w:i/>
          <w:spacing w:val="31"/>
          <w:sz w:val="20"/>
        </w:rPr>
        <w:t> </w:t>
      </w:r>
      <w:r>
        <w:rPr>
          <w:rFonts w:ascii="Arial" w:hAnsi="Arial"/>
          <w:i/>
          <w:sz w:val="20"/>
        </w:rPr>
        <w:t>D.)</w:t>
      </w:r>
      <w:r>
        <w:rPr>
          <w:rFonts w:ascii="Arial" w:hAnsi="Arial"/>
          <w:i/>
          <w:spacing w:val="31"/>
          <w:sz w:val="20"/>
        </w:rPr>
        <w:t> </w:t>
      </w:r>
      <w:r>
        <w:rPr>
          <w:rFonts w:ascii="Arial" w:hAnsi="Arial"/>
          <w:i/>
          <w:sz w:val="20"/>
        </w:rPr>
        <w:t>[1985]</w:t>
      </w:r>
      <w:r>
        <w:rPr>
          <w:rFonts w:ascii="Arial" w:hAnsi="Arial"/>
          <w:i/>
          <w:spacing w:val="31"/>
          <w:sz w:val="20"/>
        </w:rPr>
        <w:t> </w:t>
      </w:r>
      <w:r>
        <w:rPr>
          <w:rFonts w:ascii="Arial" w:hAnsi="Arial"/>
          <w:i/>
          <w:spacing w:val="-10"/>
          <w:sz w:val="20"/>
        </w:rPr>
        <w:t>1</w:t>
      </w:r>
    </w:p>
    <w:p>
      <w:pPr>
        <w:spacing w:line="235" w:lineRule="auto" w:before="1"/>
        <w:ind w:left="705" w:right="167" w:firstLine="0"/>
        <w:jc w:val="both"/>
        <w:rPr>
          <w:sz w:val="20"/>
        </w:rPr>
      </w:pPr>
      <w:r>
        <w:rPr>
          <w:rFonts w:ascii="Arial" w:hAnsi="Arial"/>
          <w:i/>
          <w:sz w:val="20"/>
        </w:rPr>
        <w:t>W.L.R. 925, 927</w:t>
      </w:r>
      <w:r>
        <w:rPr>
          <w:sz w:val="20"/>
        </w:rPr>
        <w:t>; </w:t>
      </w:r>
      <w:r>
        <w:rPr>
          <w:rFonts w:ascii="Arial" w:hAnsi="Arial"/>
          <w:i/>
          <w:sz w:val="20"/>
        </w:rPr>
        <w:t>Rafsanjan Pistachio Producers Co-operative v Bank Leumi (UK) Plc [1992] 1 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513,</w:t>
      </w:r>
      <w:r>
        <w:rPr>
          <w:rFonts w:ascii="Arial" w:hAnsi="Arial"/>
          <w:i/>
          <w:spacing w:val="-2"/>
          <w:sz w:val="20"/>
        </w:rPr>
        <w:t> </w:t>
      </w:r>
      <w:r>
        <w:rPr>
          <w:rFonts w:ascii="Arial" w:hAnsi="Arial"/>
          <w:i/>
          <w:sz w:val="20"/>
        </w:rPr>
        <w:t>542</w:t>
      </w:r>
      <w:r>
        <w:rPr>
          <w:sz w:val="20"/>
        </w:rPr>
        <w:t>;</w:t>
      </w:r>
      <w:r>
        <w:rPr>
          <w:spacing w:val="-2"/>
          <w:sz w:val="20"/>
        </w:rPr>
        <w:t> </w:t>
      </w:r>
      <w:r>
        <w:rPr>
          <w:rFonts w:ascii="Arial" w:hAnsi="Arial"/>
          <w:i/>
          <w:sz w:val="20"/>
        </w:rPr>
        <w:t>Exmar</w:t>
      </w:r>
      <w:r>
        <w:rPr>
          <w:rFonts w:ascii="Arial" w:hAnsi="Arial"/>
          <w:i/>
          <w:spacing w:val="-2"/>
          <w:sz w:val="20"/>
        </w:rPr>
        <w:t> </w:t>
      </w:r>
      <w:r>
        <w:rPr>
          <w:rFonts w:ascii="Arial" w:hAnsi="Arial"/>
          <w:i/>
          <w:sz w:val="20"/>
        </w:rPr>
        <w:t>NV</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BP</w:t>
      </w:r>
      <w:r>
        <w:rPr>
          <w:rFonts w:ascii="Arial" w:hAnsi="Arial"/>
          <w:i/>
          <w:spacing w:val="-2"/>
          <w:sz w:val="20"/>
        </w:rPr>
        <w:t> </w:t>
      </w:r>
      <w:r>
        <w:rPr>
          <w:rFonts w:ascii="Arial" w:hAnsi="Arial"/>
          <w:i/>
          <w:sz w:val="20"/>
        </w:rPr>
        <w:t>Shipping</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Gas</w:t>
      </w:r>
      <w:r>
        <w:rPr>
          <w:rFonts w:ascii="Arial" w:hAnsi="Arial"/>
          <w:i/>
          <w:spacing w:val="-2"/>
          <w:sz w:val="20"/>
        </w:rPr>
        <w:t> </w:t>
      </w:r>
      <w:r>
        <w:rPr>
          <w:rFonts w:ascii="Arial" w:hAnsi="Arial"/>
          <w:i/>
          <w:sz w:val="20"/>
        </w:rPr>
        <w:t>Enterprise)</w:t>
      </w:r>
      <w:r>
        <w:rPr>
          <w:rFonts w:ascii="Arial" w:hAnsi="Arial"/>
          <w:i/>
          <w:spacing w:val="-2"/>
          <w:sz w:val="20"/>
        </w:rPr>
        <w:t> </w:t>
      </w:r>
      <w:r>
        <w:rPr>
          <w:rFonts w:ascii="Arial" w:hAnsi="Arial"/>
          <w:i/>
          <w:sz w:val="20"/>
        </w:rPr>
        <w:t>[1993]</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 352, 357</w:t>
      </w:r>
      <w:r>
        <w:rPr>
          <w:sz w:val="20"/>
        </w:rPr>
        <w:t>, affirmed without reference to this point, at 364; </w:t>
      </w:r>
      <w:r>
        <w:rPr>
          <w:rFonts w:ascii="Arial" w:hAnsi="Arial"/>
          <w:i/>
          <w:sz w:val="20"/>
        </w:rPr>
        <w:t>Vitol SA v Norelf Ltd [1996] A.C. 800, 812</w:t>
      </w:r>
      <w:r>
        <w:rPr>
          <w:sz w:val="20"/>
        </w:rPr>
        <w:t>; </w:t>
      </w:r>
      <w:r>
        <w:rPr>
          <w:rFonts w:ascii="Arial" w:hAnsi="Arial"/>
          <w:i/>
          <w:sz w:val="20"/>
        </w:rPr>
        <w:t>Front Carriers Ltd v Atlantic and Orient Shipping Corporation (The Archimidis) </w:t>
      </w:r>
      <w:r>
        <w:rPr>
          <w:rFonts w:ascii="Arial" w:hAnsi="Arial"/>
          <w:i/>
          <w:sz w:val="20"/>
        </w:rPr>
        <w:t>[2007] EWHC 421; [2007] 2 Lloyd’s Rep. 131 </w:t>
      </w:r>
      <w:r>
        <w:rPr>
          <w:sz w:val="20"/>
        </w:rPr>
        <w:t>at [45]-[46].</w:t>
      </w:r>
    </w:p>
    <w:p>
      <w:pPr>
        <w:pStyle w:val="BodyText"/>
        <w:spacing w:before="8"/>
      </w:pPr>
    </w:p>
    <w:p>
      <w:pPr>
        <w:spacing w:line="235" w:lineRule="auto" w:before="0"/>
        <w:ind w:left="705" w:right="167" w:hanging="541"/>
        <w:jc w:val="both"/>
        <w:rPr>
          <w:sz w:val="20"/>
        </w:rPr>
      </w:pPr>
      <w:bookmarkStart w:name="_bookmark732" w:id="734"/>
      <w:bookmarkEnd w:id="734"/>
      <w:r>
        <w:rPr/>
      </w:r>
      <w:hyperlink w:history="true" w:anchor="_bookmark676">
        <w:r>
          <w:rPr>
            <w:color w:val="005DA1"/>
            <w:position w:val="5"/>
            <w:sz w:val="14"/>
            <w:u w:val="single" w:color="005DA1"/>
          </w:rPr>
          <w:t>360</w:t>
        </w:r>
      </w:hyperlink>
      <w:r>
        <w:rPr>
          <w:position w:val="5"/>
          <w:sz w:val="14"/>
        </w:rPr>
        <w:t>.</w:t>
      </w:r>
      <w:r>
        <w:rPr>
          <w:spacing w:val="80"/>
          <w:position w:val="5"/>
          <w:sz w:val="14"/>
        </w:rPr>
        <w:t> </w:t>
      </w:r>
      <w:r>
        <w:rPr>
          <w:rFonts w:ascii="Arial" w:hAnsi="Arial"/>
          <w:i/>
          <w:sz w:val="20"/>
        </w:rPr>
        <w:t>The</w:t>
      </w:r>
      <w:r>
        <w:rPr>
          <w:rFonts w:ascii="Arial" w:hAnsi="Arial"/>
          <w:i/>
          <w:spacing w:val="40"/>
          <w:sz w:val="20"/>
        </w:rPr>
        <w:t> </w:t>
      </w:r>
      <w:r>
        <w:rPr>
          <w:rFonts w:ascii="Arial" w:hAnsi="Arial"/>
          <w:i/>
          <w:sz w:val="20"/>
        </w:rPr>
        <w:t>Leonidas</w:t>
      </w:r>
      <w:r>
        <w:rPr>
          <w:rFonts w:ascii="Arial" w:hAnsi="Arial"/>
          <w:i/>
          <w:spacing w:val="40"/>
          <w:sz w:val="20"/>
        </w:rPr>
        <w:t> </w:t>
      </w:r>
      <w:r>
        <w:rPr>
          <w:rFonts w:ascii="Arial" w:hAnsi="Arial"/>
          <w:i/>
          <w:sz w:val="20"/>
        </w:rPr>
        <w:t>D.</w:t>
      </w:r>
      <w:r>
        <w:rPr>
          <w:sz w:val="20"/>
        </w:rPr>
        <w:t>,</w:t>
      </w:r>
      <w:r>
        <w:rPr>
          <w:spacing w:val="40"/>
          <w:sz w:val="20"/>
        </w:rPr>
        <w:t> </w:t>
      </w:r>
      <w:r>
        <w:rPr>
          <w:sz w:val="20"/>
        </w:rPr>
        <w:t>above,</w:t>
      </w:r>
      <w:r>
        <w:rPr>
          <w:spacing w:val="40"/>
          <w:sz w:val="20"/>
        </w:rPr>
        <w:t> </w:t>
      </w:r>
      <w:r>
        <w:rPr>
          <w:sz w:val="20"/>
        </w:rPr>
        <w:t>n.350,</w:t>
      </w:r>
      <w:r>
        <w:rPr>
          <w:spacing w:val="40"/>
          <w:sz w:val="20"/>
        </w:rPr>
        <w:t> </w:t>
      </w:r>
      <w:r>
        <w:rPr>
          <w:sz w:val="20"/>
        </w:rPr>
        <w:t>at</w:t>
      </w:r>
      <w:r>
        <w:rPr>
          <w:spacing w:val="40"/>
          <w:sz w:val="20"/>
        </w:rPr>
        <w:t> </w:t>
      </w:r>
      <w:r>
        <w:rPr>
          <w:sz w:val="20"/>
        </w:rPr>
        <w:t>927;</w:t>
      </w:r>
      <w:r>
        <w:rPr>
          <w:spacing w:val="40"/>
          <w:sz w:val="20"/>
        </w:rPr>
        <w:t> </w:t>
      </w:r>
      <w:r>
        <w:rPr>
          <w:rFonts w:ascii="Arial" w:hAnsi="Arial"/>
          <w:i/>
          <w:sz w:val="20"/>
        </w:rPr>
        <w:t>Cie</w:t>
      </w:r>
      <w:r>
        <w:rPr>
          <w:rFonts w:ascii="Arial" w:hAnsi="Arial"/>
          <w:i/>
          <w:spacing w:val="40"/>
          <w:sz w:val="20"/>
        </w:rPr>
        <w:t> </w:t>
      </w:r>
      <w:r>
        <w:rPr>
          <w:rFonts w:ascii="Arial" w:hAnsi="Arial"/>
          <w:i/>
          <w:sz w:val="20"/>
        </w:rPr>
        <w:t>Française</w:t>
      </w:r>
      <w:r>
        <w:rPr>
          <w:rFonts w:ascii="Arial" w:hAnsi="Arial"/>
          <w:i/>
          <w:spacing w:val="40"/>
          <w:sz w:val="20"/>
        </w:rPr>
        <w:t> </w:t>
      </w:r>
      <w:r>
        <w:rPr>
          <w:rFonts w:ascii="Arial" w:hAnsi="Arial"/>
          <w:i/>
          <w:sz w:val="20"/>
        </w:rPr>
        <w:t>d’Importation,</w:t>
      </w:r>
      <w:r>
        <w:rPr>
          <w:rFonts w:ascii="Arial" w:hAnsi="Arial"/>
          <w:i/>
          <w:spacing w:val="40"/>
          <w:sz w:val="20"/>
        </w:rPr>
        <w:t> </w:t>
      </w:r>
      <w:r>
        <w:rPr>
          <w:rFonts w:ascii="Arial" w:hAnsi="Arial"/>
          <w:i/>
          <w:sz w:val="20"/>
        </w:rPr>
        <w:t>etc.</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Deutsche Continental Handelsgesellschaft [1985] 2 Lloyd’s Rep. 592, 598</w:t>
      </w:r>
      <w:r>
        <w:rPr>
          <w:sz w:val="20"/>
        </w:rPr>
        <w:t>; </w:t>
      </w:r>
      <w:r>
        <w:rPr>
          <w:rFonts w:ascii="Arial" w:hAnsi="Arial"/>
          <w:i/>
          <w:sz w:val="20"/>
        </w:rPr>
        <w:t>Gebr. van </w:t>
      </w:r>
      <w:r>
        <w:rPr>
          <w:rFonts w:ascii="Arial" w:hAnsi="Arial"/>
          <w:i/>
          <w:sz w:val="20"/>
        </w:rPr>
        <w:t>Weelde Scheepvaart Kantoor BV v Compania Naviera Orient SA (The Agrabele) [1987] 2 Lloyd’s Rep. 223,</w:t>
      </w:r>
      <w:r>
        <w:rPr>
          <w:rFonts w:ascii="Arial" w:hAnsi="Arial"/>
          <w:i/>
          <w:spacing w:val="-3"/>
          <w:sz w:val="20"/>
        </w:rPr>
        <w:t> </w:t>
      </w:r>
      <w:r>
        <w:rPr>
          <w:rFonts w:ascii="Arial" w:hAnsi="Arial"/>
          <w:i/>
          <w:sz w:val="20"/>
        </w:rPr>
        <w:t>234-235</w:t>
      </w:r>
      <w:r>
        <w:rPr>
          <w:sz w:val="20"/>
        </w:rPr>
        <w:t>.</w:t>
      </w:r>
      <w:r>
        <w:rPr>
          <w:spacing w:val="-3"/>
          <w:sz w:val="20"/>
        </w:rPr>
        <w:t> </w:t>
      </w:r>
      <w:r>
        <w:rPr>
          <w:rFonts w:ascii="Arial" w:hAnsi="Arial"/>
          <w:i/>
          <w:sz w:val="20"/>
        </w:rPr>
        <w:t>Excomm</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Guan</w:t>
      </w:r>
      <w:r>
        <w:rPr>
          <w:rFonts w:ascii="Arial" w:hAnsi="Arial"/>
          <w:i/>
          <w:spacing w:val="-3"/>
          <w:sz w:val="20"/>
        </w:rPr>
        <w:t> </w:t>
      </w:r>
      <w:r>
        <w:rPr>
          <w:rFonts w:ascii="Arial" w:hAnsi="Arial"/>
          <w:i/>
          <w:sz w:val="20"/>
        </w:rPr>
        <w:t>Guan</w:t>
      </w:r>
      <w:r>
        <w:rPr>
          <w:rFonts w:ascii="Arial" w:hAnsi="Arial"/>
          <w:i/>
          <w:spacing w:val="-3"/>
          <w:sz w:val="20"/>
        </w:rPr>
        <w:t> </w:t>
      </w:r>
      <w:r>
        <w:rPr>
          <w:rFonts w:ascii="Arial" w:hAnsi="Arial"/>
          <w:i/>
          <w:sz w:val="20"/>
        </w:rPr>
        <w:t>Shipping</w:t>
      </w:r>
      <w:r>
        <w:rPr>
          <w:rFonts w:ascii="Arial" w:hAnsi="Arial"/>
          <w:i/>
          <w:spacing w:val="-3"/>
          <w:sz w:val="20"/>
        </w:rPr>
        <w:t> </w:t>
      </w:r>
      <w:r>
        <w:rPr>
          <w:rFonts w:ascii="Arial" w:hAnsi="Arial"/>
          <w:i/>
          <w:sz w:val="20"/>
        </w:rPr>
        <w:t>(Pte)</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Golden</w:t>
      </w:r>
      <w:r>
        <w:rPr>
          <w:rFonts w:ascii="Arial" w:hAnsi="Arial"/>
          <w:i/>
          <w:spacing w:val="-3"/>
          <w:sz w:val="20"/>
        </w:rPr>
        <w:t> </w:t>
      </w:r>
      <w:r>
        <w:rPr>
          <w:rFonts w:ascii="Arial" w:hAnsi="Arial"/>
          <w:i/>
          <w:sz w:val="20"/>
        </w:rPr>
        <w:t>Bear)</w:t>
      </w:r>
      <w:r>
        <w:rPr>
          <w:rFonts w:ascii="Arial" w:hAnsi="Arial"/>
          <w:i/>
          <w:spacing w:val="-3"/>
          <w:sz w:val="20"/>
        </w:rPr>
        <w:t> </w:t>
      </w:r>
      <w:r>
        <w:rPr>
          <w:rFonts w:ascii="Arial" w:hAnsi="Arial"/>
          <w:i/>
          <w:sz w:val="20"/>
        </w:rPr>
        <w:t>[1987]</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Lloyd’s Rep. 330 </w:t>
      </w:r>
      <w:r>
        <w:rPr>
          <w:sz w:val="20"/>
        </w:rPr>
        <w:t>is hard to reconcile with these cases and was apparently doubted in </w:t>
      </w:r>
      <w:r>
        <w:rPr>
          <w:rFonts w:ascii="Arial" w:hAnsi="Arial"/>
          <w:i/>
          <w:sz w:val="20"/>
        </w:rPr>
        <w:t>The Antclizo [1987] 2 Lloyd’s Rep. at 147</w:t>
      </w:r>
      <w:r>
        <w:rPr>
          <w:sz w:val="20"/>
        </w:rPr>
        <w:t>. Such “exceptional circumstances” may be illustrated by </w:t>
      </w:r>
      <w:r>
        <w:rPr>
          <w:rFonts w:ascii="Arial" w:hAnsi="Arial"/>
          <w:i/>
          <w:sz w:val="20"/>
        </w:rPr>
        <w:t>André &amp; Cie SA v Marine Transocean Ltd (The Splendid Sun) [1981] Q.B. 694 </w:t>
      </w:r>
      <w:r>
        <w:rPr>
          <w:sz w:val="20"/>
        </w:rPr>
        <w:t>(where the acceptance may</w:t>
      </w:r>
      <w:r>
        <w:rPr>
          <w:spacing w:val="6"/>
          <w:sz w:val="20"/>
        </w:rPr>
        <w:t> </w:t>
      </w:r>
      <w:r>
        <w:rPr>
          <w:sz w:val="20"/>
        </w:rPr>
        <w:t>have</w:t>
      </w:r>
      <w:r>
        <w:rPr>
          <w:spacing w:val="8"/>
          <w:sz w:val="20"/>
        </w:rPr>
        <w:t> </w:t>
      </w:r>
      <w:r>
        <w:rPr>
          <w:sz w:val="20"/>
        </w:rPr>
        <w:t>been</w:t>
      </w:r>
      <w:r>
        <w:rPr>
          <w:spacing w:val="8"/>
          <w:sz w:val="20"/>
        </w:rPr>
        <w:t> </w:t>
      </w:r>
      <w:r>
        <w:rPr>
          <w:sz w:val="20"/>
        </w:rPr>
        <w:t>by</w:t>
      </w:r>
      <w:r>
        <w:rPr>
          <w:spacing w:val="8"/>
          <w:sz w:val="20"/>
        </w:rPr>
        <w:t> </w:t>
      </w:r>
      <w:r>
        <w:rPr>
          <w:sz w:val="20"/>
        </w:rPr>
        <w:t>conduct:</w:t>
      </w:r>
      <w:r>
        <w:rPr>
          <w:spacing w:val="8"/>
          <w:sz w:val="20"/>
        </w:rPr>
        <w:t> </w:t>
      </w:r>
      <w:r>
        <w:rPr>
          <w:sz w:val="20"/>
        </w:rPr>
        <w:t>below,</w:t>
      </w:r>
      <w:r>
        <w:rPr>
          <w:spacing w:val="8"/>
          <w:sz w:val="20"/>
        </w:rPr>
        <w:t> </w:t>
      </w:r>
      <w:r>
        <w:rPr>
          <w:sz w:val="20"/>
        </w:rPr>
        <w:t>para.2-074</w:t>
      </w:r>
      <w:r>
        <w:rPr>
          <w:spacing w:val="8"/>
          <w:sz w:val="20"/>
        </w:rPr>
        <w:t> </w:t>
      </w:r>
      <w:r>
        <w:rPr>
          <w:sz w:val="20"/>
        </w:rPr>
        <w:t>n.389),</w:t>
      </w:r>
      <w:r>
        <w:rPr>
          <w:spacing w:val="8"/>
          <w:sz w:val="20"/>
        </w:rPr>
        <w:t> </w:t>
      </w:r>
      <w:r>
        <w:rPr>
          <w:sz w:val="20"/>
        </w:rPr>
        <w:t>though</w:t>
      </w:r>
      <w:r>
        <w:rPr>
          <w:spacing w:val="8"/>
          <w:sz w:val="20"/>
        </w:rPr>
        <w:t> </w:t>
      </w:r>
      <w:r>
        <w:rPr>
          <w:sz w:val="20"/>
        </w:rPr>
        <w:t>it</w:t>
      </w:r>
      <w:r>
        <w:rPr>
          <w:spacing w:val="8"/>
          <w:sz w:val="20"/>
        </w:rPr>
        <w:t> </w:t>
      </w:r>
      <w:r>
        <w:rPr>
          <w:sz w:val="20"/>
        </w:rPr>
        <w:t>has</w:t>
      </w:r>
      <w:r>
        <w:rPr>
          <w:spacing w:val="8"/>
          <w:sz w:val="20"/>
        </w:rPr>
        <w:t> </w:t>
      </w:r>
      <w:r>
        <w:rPr>
          <w:sz w:val="20"/>
        </w:rPr>
        <w:t>been</w:t>
      </w:r>
      <w:r>
        <w:rPr>
          <w:spacing w:val="8"/>
          <w:sz w:val="20"/>
        </w:rPr>
        <w:t> </w:t>
      </w:r>
      <w:r>
        <w:rPr>
          <w:sz w:val="20"/>
        </w:rPr>
        <w:t>said</w:t>
      </w:r>
      <w:r>
        <w:rPr>
          <w:spacing w:val="8"/>
          <w:sz w:val="20"/>
        </w:rPr>
        <w:t> </w:t>
      </w:r>
      <w:r>
        <w:rPr>
          <w:sz w:val="20"/>
        </w:rPr>
        <w:t>that</w:t>
      </w:r>
      <w:r>
        <w:rPr>
          <w:spacing w:val="8"/>
          <w:sz w:val="20"/>
        </w:rPr>
        <w:t> </w:t>
      </w:r>
      <w:r>
        <w:rPr>
          <w:sz w:val="20"/>
        </w:rPr>
        <w:t>this</w:t>
      </w:r>
      <w:r>
        <w:rPr>
          <w:spacing w:val="8"/>
          <w:sz w:val="20"/>
        </w:rPr>
        <w:t> </w:t>
      </w:r>
      <w:r>
        <w:rPr>
          <w:sz w:val="20"/>
        </w:rPr>
        <w:t>case</w:t>
      </w:r>
      <w:r>
        <w:rPr>
          <w:spacing w:val="8"/>
          <w:sz w:val="20"/>
        </w:rPr>
        <w:t> </w:t>
      </w:r>
      <w:r>
        <w:rPr>
          <w:spacing w:val="-5"/>
          <w:sz w:val="20"/>
        </w:rPr>
        <w:t>is</w:t>
      </w:r>
    </w:p>
    <w:p>
      <w:pPr>
        <w:spacing w:after="0" w:line="235" w:lineRule="auto"/>
        <w:jc w:val="both"/>
        <w:rPr>
          <w:sz w:val="20"/>
        </w:rPr>
        <w:sectPr>
          <w:pgSz w:w="11900" w:h="16840"/>
          <w:pgMar w:header="971" w:footer="0" w:top="1300" w:bottom="280" w:left="1275" w:right="1275"/>
        </w:sectPr>
      </w:pPr>
    </w:p>
    <w:p>
      <w:pPr>
        <w:spacing w:line="235" w:lineRule="auto" w:before="110"/>
        <w:ind w:left="705" w:right="0" w:firstLine="0"/>
        <w:jc w:val="left"/>
        <w:rPr>
          <w:sz w:val="20"/>
        </w:rPr>
      </w:pPr>
      <w:r>
        <w:rPr>
          <w:sz w:val="20"/>
        </w:rPr>
        <w:t>hard to reconcile with </w:t>
      </w:r>
      <w:r>
        <w:rPr>
          <w:rFonts w:ascii="Arial" w:hAnsi="Arial"/>
          <w:i/>
          <w:sz w:val="20"/>
        </w:rPr>
        <w:t>The Leonidas D</w:t>
      </w:r>
      <w:r>
        <w:rPr>
          <w:sz w:val="20"/>
        </w:rPr>
        <w:t>, above: see </w:t>
      </w:r>
      <w:r>
        <w:rPr>
          <w:rFonts w:ascii="Arial" w:hAnsi="Arial"/>
          <w:i/>
          <w:sz w:val="20"/>
        </w:rPr>
        <w:t>Food Corp of India v Antclizo Shipping </w:t>
      </w:r>
      <w:r>
        <w:rPr>
          <w:rFonts w:ascii="Arial" w:hAnsi="Arial"/>
          <w:i/>
          <w:sz w:val="20"/>
        </w:rPr>
        <w:t>Corp (The Antclizo) [1987] 2 Lloyd’s Rep. 130, 149, affirmed [1988] 1 W.L.R. 607</w:t>
      </w:r>
      <w:r>
        <w:rPr>
          <w:sz w:val="20"/>
        </w:rPr>
        <w:t>.</w:t>
      </w:r>
    </w:p>
    <w:p>
      <w:pPr>
        <w:pStyle w:val="BodyText"/>
        <w:spacing w:before="6"/>
      </w:pPr>
    </w:p>
    <w:p>
      <w:pPr>
        <w:tabs>
          <w:tab w:pos="705" w:val="left" w:leader="none"/>
        </w:tabs>
        <w:spacing w:before="0"/>
        <w:ind w:left="165" w:right="0" w:firstLine="0"/>
        <w:jc w:val="left"/>
        <w:rPr>
          <w:sz w:val="20"/>
        </w:rPr>
      </w:pPr>
      <w:bookmarkStart w:name="_bookmark733" w:id="735"/>
      <w:bookmarkEnd w:id="735"/>
      <w:r>
        <w:rPr/>
      </w:r>
      <w:hyperlink w:history="true" w:anchor="_bookmark677">
        <w:r>
          <w:rPr>
            <w:color w:val="005DA1"/>
            <w:spacing w:val="-4"/>
            <w:position w:val="5"/>
            <w:sz w:val="14"/>
            <w:u w:val="single" w:color="005DA1"/>
          </w:rPr>
          <w:t>361</w:t>
        </w:r>
      </w:hyperlink>
      <w:r>
        <w:rPr>
          <w:spacing w:val="-4"/>
          <w:position w:val="5"/>
          <w:sz w:val="14"/>
        </w:rPr>
        <w:t>.</w:t>
      </w:r>
      <w:r>
        <w:rPr>
          <w:position w:val="5"/>
          <w:sz w:val="14"/>
        </w:rPr>
        <w:tab/>
      </w:r>
      <w:r>
        <w:rPr>
          <w:sz w:val="20"/>
        </w:rPr>
        <w:t>Above, para.2-</w:t>
      </w:r>
      <w:r>
        <w:rPr>
          <w:spacing w:val="-4"/>
          <w:sz w:val="20"/>
        </w:rPr>
        <w:t>068.</w:t>
      </w:r>
    </w:p>
    <w:p>
      <w:pPr>
        <w:pStyle w:val="BodyText"/>
        <w:spacing w:before="5"/>
      </w:pPr>
    </w:p>
    <w:p>
      <w:pPr>
        <w:tabs>
          <w:tab w:pos="705" w:val="left" w:leader="none"/>
        </w:tabs>
        <w:spacing w:before="0"/>
        <w:ind w:left="165" w:right="0" w:firstLine="0"/>
        <w:jc w:val="left"/>
        <w:rPr>
          <w:sz w:val="20"/>
        </w:rPr>
      </w:pPr>
      <w:bookmarkStart w:name="_bookmark734" w:id="736"/>
      <w:bookmarkEnd w:id="736"/>
      <w:r>
        <w:rPr/>
      </w:r>
      <w:hyperlink w:history="true" w:anchor="_bookmark677">
        <w:r>
          <w:rPr>
            <w:color w:val="005DA1"/>
            <w:spacing w:val="-4"/>
            <w:position w:val="5"/>
            <w:sz w:val="14"/>
            <w:u w:val="single" w:color="005DA1"/>
          </w:rPr>
          <w:t>362</w:t>
        </w:r>
      </w:hyperlink>
      <w:r>
        <w:rPr>
          <w:spacing w:val="-4"/>
          <w:position w:val="5"/>
          <w:sz w:val="14"/>
        </w:rPr>
        <w:t>.</w:t>
      </w:r>
      <w:r>
        <w:rPr>
          <w:position w:val="5"/>
          <w:sz w:val="14"/>
        </w:rPr>
        <w:tab/>
      </w:r>
      <w:r>
        <w:rPr>
          <w:sz w:val="20"/>
        </w:rPr>
        <w:t>cf.</w:t>
      </w:r>
      <w:r>
        <w:rPr>
          <w:spacing w:val="-1"/>
          <w:sz w:val="20"/>
        </w:rPr>
        <w:t> </w:t>
      </w:r>
      <w:r>
        <w:rPr>
          <w:rFonts w:ascii="Arial" w:hAnsi="Arial"/>
          <w:i/>
          <w:sz w:val="20"/>
        </w:rPr>
        <w:t>Rust v Abbey Life Ins. Co [1979] 2 Lloyd’s Rep. 335</w:t>
      </w:r>
      <w:r>
        <w:rPr>
          <w:sz w:val="20"/>
        </w:rPr>
        <w:t>, below, para.2-</w:t>
      </w:r>
      <w:r>
        <w:rPr>
          <w:spacing w:val="-4"/>
          <w:sz w:val="20"/>
        </w:rPr>
        <w:t>075.</w:t>
      </w:r>
    </w:p>
    <w:p>
      <w:pPr>
        <w:pStyle w:val="BodyText"/>
        <w:spacing w:before="5"/>
      </w:pPr>
    </w:p>
    <w:p>
      <w:pPr>
        <w:pStyle w:val="BodyText"/>
        <w:tabs>
          <w:tab w:pos="705" w:val="left" w:leader="none"/>
        </w:tabs>
        <w:ind w:left="165"/>
      </w:pPr>
      <w:bookmarkStart w:name="_bookmark735" w:id="737"/>
      <w:bookmarkEnd w:id="737"/>
      <w:r>
        <w:rPr/>
      </w:r>
      <w:hyperlink w:history="true" w:anchor="_bookmark678">
        <w:r>
          <w:rPr>
            <w:color w:val="005DA1"/>
            <w:spacing w:val="-4"/>
            <w:position w:val="5"/>
            <w:sz w:val="14"/>
            <w:u w:val="single" w:color="005DA1"/>
          </w:rPr>
          <w:t>363</w:t>
        </w:r>
      </w:hyperlink>
      <w:r>
        <w:rPr>
          <w:spacing w:val="-4"/>
          <w:position w:val="5"/>
          <w:sz w:val="14"/>
        </w:rPr>
        <w:t>.</w:t>
      </w:r>
      <w:r>
        <w:rPr>
          <w:position w:val="5"/>
          <w:sz w:val="14"/>
        </w:rPr>
        <w:tab/>
      </w:r>
      <w:r>
        <w:rPr/>
        <w:t>cf. above, para.2-</w:t>
      </w:r>
      <w:r>
        <w:rPr>
          <w:spacing w:val="-4"/>
        </w:rPr>
        <w:t>067.</w:t>
      </w:r>
    </w:p>
    <w:p>
      <w:pPr>
        <w:pStyle w:val="BodyText"/>
        <w:spacing w:before="5"/>
      </w:pPr>
    </w:p>
    <w:p>
      <w:pPr>
        <w:tabs>
          <w:tab w:pos="705" w:val="left" w:leader="none"/>
        </w:tabs>
        <w:spacing w:before="0"/>
        <w:ind w:left="165" w:right="0" w:firstLine="0"/>
        <w:jc w:val="left"/>
        <w:rPr>
          <w:sz w:val="20"/>
        </w:rPr>
      </w:pPr>
      <w:bookmarkStart w:name="_bookmark736" w:id="738"/>
      <w:bookmarkEnd w:id="738"/>
      <w:r>
        <w:rPr/>
      </w:r>
      <w:hyperlink w:history="true" w:anchor="_bookmark679">
        <w:r>
          <w:rPr>
            <w:color w:val="005DA1"/>
            <w:spacing w:val="-4"/>
            <w:position w:val="5"/>
            <w:sz w:val="14"/>
            <w:u w:val="single" w:color="005DA1"/>
          </w:rPr>
          <w:t>364</w:t>
        </w:r>
      </w:hyperlink>
      <w:r>
        <w:rPr>
          <w:spacing w:val="-4"/>
          <w:position w:val="5"/>
          <w:sz w:val="14"/>
        </w:rPr>
        <w:t>.</w:t>
      </w:r>
      <w:r>
        <w:rPr>
          <w:position w:val="5"/>
          <w:sz w:val="14"/>
        </w:rPr>
        <w:tab/>
      </w:r>
      <w:r>
        <w:rPr>
          <w:sz w:val="20"/>
        </w:rPr>
        <w:t>As</w:t>
      </w:r>
      <w:r>
        <w:rPr>
          <w:spacing w:val="-2"/>
          <w:sz w:val="20"/>
        </w:rPr>
        <w:t> </w:t>
      </w:r>
      <w:r>
        <w:rPr>
          <w:sz w:val="20"/>
        </w:rPr>
        <w:t>in</w:t>
      </w:r>
      <w:r>
        <w:rPr>
          <w:spacing w:val="-1"/>
          <w:sz w:val="20"/>
        </w:rPr>
        <w:t> </w:t>
      </w:r>
      <w:r>
        <w:rPr>
          <w:rFonts w:ascii="Arial"/>
          <w:i/>
          <w:sz w:val="20"/>
        </w:rPr>
        <w:t>Alexander Hamilton Institute v Jones 234 Ill.App. 444 </w:t>
      </w:r>
      <w:r>
        <w:rPr>
          <w:rFonts w:ascii="Arial"/>
          <w:i/>
          <w:spacing w:val="-2"/>
          <w:sz w:val="20"/>
        </w:rPr>
        <w:t>(1924)</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37" w:id="739"/>
      <w:bookmarkEnd w:id="739"/>
      <w:r>
        <w:rPr/>
      </w:r>
      <w:hyperlink w:history="true" w:anchor="_bookmark680">
        <w:r>
          <w:rPr>
            <w:color w:val="005DA1"/>
            <w:spacing w:val="-4"/>
            <w:position w:val="5"/>
            <w:sz w:val="14"/>
            <w:u w:val="single" w:color="005DA1"/>
          </w:rPr>
          <w:t>365</w:t>
        </w:r>
      </w:hyperlink>
      <w:r>
        <w:rPr>
          <w:spacing w:val="-4"/>
          <w:position w:val="5"/>
          <w:sz w:val="14"/>
        </w:rPr>
        <w:t>.</w:t>
      </w:r>
      <w:r>
        <w:rPr>
          <w:position w:val="5"/>
          <w:sz w:val="14"/>
        </w:rPr>
        <w:tab/>
      </w:r>
      <w:r>
        <w:rPr>
          <w:sz w:val="20"/>
        </w:rPr>
        <w:t>As</w:t>
      </w:r>
      <w:r>
        <w:rPr>
          <w:spacing w:val="-2"/>
          <w:sz w:val="20"/>
        </w:rPr>
        <w:t> </w:t>
      </w:r>
      <w:r>
        <w:rPr>
          <w:sz w:val="20"/>
        </w:rPr>
        <w:t>in</w:t>
      </w:r>
      <w:r>
        <w:rPr>
          <w:spacing w:val="-1"/>
          <w:sz w:val="20"/>
        </w:rPr>
        <w:t> </w:t>
      </w:r>
      <w:r>
        <w:rPr>
          <w:rFonts w:ascii="Arial"/>
          <w:i/>
          <w:sz w:val="20"/>
        </w:rPr>
        <w:t>Cole-McIntyre-Norfleet Co v Holloway 141 Tenn. 679, 214 S.W. 87 </w:t>
      </w:r>
      <w:r>
        <w:rPr>
          <w:rFonts w:ascii="Arial"/>
          <w:i/>
          <w:spacing w:val="-2"/>
          <w:sz w:val="20"/>
        </w:rPr>
        <w:t>(1919)</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738" w:id="740"/>
      <w:bookmarkEnd w:id="740"/>
      <w:r>
        <w:rPr/>
      </w:r>
      <w:hyperlink w:history="true" w:anchor="_bookmark681">
        <w:r>
          <w:rPr>
            <w:color w:val="005DA1"/>
            <w:spacing w:val="-4"/>
            <w:position w:val="5"/>
            <w:sz w:val="14"/>
            <w:u w:val="single" w:color="005DA1"/>
          </w:rPr>
          <w:t>366</w:t>
        </w:r>
      </w:hyperlink>
      <w:r>
        <w:rPr>
          <w:spacing w:val="-4"/>
          <w:position w:val="5"/>
          <w:sz w:val="14"/>
        </w:rPr>
        <w:t>.</w:t>
      </w:r>
      <w:r>
        <w:rPr>
          <w:position w:val="5"/>
          <w:sz w:val="14"/>
        </w:rPr>
        <w:tab/>
      </w:r>
      <w:r>
        <w:rPr>
          <w:rFonts w:ascii="Arial"/>
          <w:i/>
          <w:sz w:val="20"/>
        </w:rPr>
        <w:t>Vitol SA v Norelf Ltd [1996] A.C. </w:t>
      </w:r>
      <w:r>
        <w:rPr>
          <w:rFonts w:ascii="Arial"/>
          <w:i/>
          <w:spacing w:val="-4"/>
          <w:sz w:val="20"/>
        </w:rPr>
        <w:t>800</w:t>
      </w:r>
      <w:r>
        <w:rPr>
          <w:spacing w:val="-4"/>
          <w:sz w:val="20"/>
        </w:rPr>
        <w:t>.</w:t>
      </w:r>
    </w:p>
    <w:p>
      <w:pPr>
        <w:pStyle w:val="BodyText"/>
        <w:spacing w:before="9"/>
      </w:pPr>
    </w:p>
    <w:p>
      <w:pPr>
        <w:spacing w:line="235" w:lineRule="auto" w:before="0"/>
        <w:ind w:left="705" w:right="167" w:hanging="541"/>
        <w:jc w:val="both"/>
        <w:rPr>
          <w:sz w:val="20"/>
        </w:rPr>
      </w:pPr>
      <w:bookmarkStart w:name="_bookmark739" w:id="741"/>
      <w:bookmarkEnd w:id="741"/>
      <w:r>
        <w:rPr/>
      </w:r>
      <w:hyperlink w:history="true" w:anchor="_bookmark682">
        <w:r>
          <w:rPr>
            <w:color w:val="005DA1"/>
            <w:position w:val="5"/>
            <w:sz w:val="14"/>
            <w:u w:val="single" w:color="005DA1"/>
          </w:rPr>
          <w:t>367</w:t>
        </w:r>
      </w:hyperlink>
      <w:r>
        <w:rPr>
          <w:position w:val="5"/>
          <w:sz w:val="14"/>
        </w:rPr>
        <w:t>.</w:t>
      </w:r>
      <w:r>
        <w:rPr>
          <w:spacing w:val="40"/>
          <w:position w:val="5"/>
          <w:sz w:val="14"/>
        </w:rPr>
        <w:t>  </w:t>
      </w:r>
      <w:r>
        <w:rPr>
          <w:rFonts w:ascii="Arial" w:hAnsi="Arial"/>
          <w:i/>
          <w:sz w:val="20"/>
        </w:rPr>
        <w:t>Gebr.</w:t>
      </w:r>
      <w:r>
        <w:rPr>
          <w:rFonts w:ascii="Arial" w:hAnsi="Arial"/>
          <w:i/>
          <w:spacing w:val="40"/>
          <w:sz w:val="20"/>
        </w:rPr>
        <w:t> </w:t>
      </w:r>
      <w:r>
        <w:rPr>
          <w:rFonts w:ascii="Arial" w:hAnsi="Arial"/>
          <w:i/>
          <w:sz w:val="20"/>
        </w:rPr>
        <w:t>van</w:t>
      </w:r>
      <w:r>
        <w:rPr>
          <w:rFonts w:ascii="Arial" w:hAnsi="Arial"/>
          <w:i/>
          <w:spacing w:val="40"/>
          <w:sz w:val="20"/>
        </w:rPr>
        <w:t> </w:t>
      </w:r>
      <w:r>
        <w:rPr>
          <w:rFonts w:ascii="Arial" w:hAnsi="Arial"/>
          <w:i/>
          <w:sz w:val="20"/>
        </w:rPr>
        <w:t>Weelde</w:t>
      </w:r>
      <w:r>
        <w:rPr>
          <w:rFonts w:ascii="Arial" w:hAnsi="Arial"/>
          <w:i/>
          <w:spacing w:val="40"/>
          <w:sz w:val="20"/>
        </w:rPr>
        <w:t> </w:t>
      </w:r>
      <w:r>
        <w:rPr>
          <w:rFonts w:ascii="Arial" w:hAnsi="Arial"/>
          <w:i/>
          <w:sz w:val="20"/>
        </w:rPr>
        <w:t>Scheepvaart</w:t>
      </w:r>
      <w:r>
        <w:rPr>
          <w:rFonts w:ascii="Arial" w:hAnsi="Arial"/>
          <w:i/>
          <w:spacing w:val="40"/>
          <w:sz w:val="20"/>
        </w:rPr>
        <w:t> </w:t>
      </w:r>
      <w:r>
        <w:rPr>
          <w:rFonts w:ascii="Arial" w:hAnsi="Arial"/>
          <w:i/>
          <w:sz w:val="20"/>
        </w:rPr>
        <w:t>Kantor</w:t>
      </w:r>
      <w:r>
        <w:rPr>
          <w:rFonts w:ascii="Arial" w:hAnsi="Arial"/>
          <w:i/>
          <w:spacing w:val="40"/>
          <w:sz w:val="20"/>
        </w:rPr>
        <w:t> </w:t>
      </w:r>
      <w:r>
        <w:rPr>
          <w:rFonts w:ascii="Arial" w:hAnsi="Arial"/>
          <w:i/>
          <w:sz w:val="20"/>
        </w:rPr>
        <w:t>BV</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Compania</w:t>
      </w:r>
      <w:r>
        <w:rPr>
          <w:rFonts w:ascii="Arial" w:hAnsi="Arial"/>
          <w:i/>
          <w:spacing w:val="40"/>
          <w:sz w:val="20"/>
        </w:rPr>
        <w:t> </w:t>
      </w:r>
      <w:r>
        <w:rPr>
          <w:rFonts w:ascii="Arial" w:hAnsi="Arial"/>
          <w:i/>
          <w:sz w:val="20"/>
        </w:rPr>
        <w:t>Naviera</w:t>
      </w:r>
      <w:r>
        <w:rPr>
          <w:rFonts w:ascii="Arial" w:hAnsi="Arial"/>
          <w:i/>
          <w:spacing w:val="40"/>
          <w:sz w:val="20"/>
        </w:rPr>
        <w:t> </w:t>
      </w:r>
      <w:r>
        <w:rPr>
          <w:rFonts w:ascii="Arial" w:hAnsi="Arial"/>
          <w:i/>
          <w:sz w:val="20"/>
        </w:rPr>
        <w:t>Orient</w:t>
      </w:r>
      <w:r>
        <w:rPr>
          <w:rFonts w:ascii="Arial" w:hAnsi="Arial"/>
          <w:i/>
          <w:spacing w:val="40"/>
          <w:sz w:val="20"/>
        </w:rPr>
        <w:t> </w:t>
      </w:r>
      <w:r>
        <w:rPr>
          <w:rFonts w:ascii="Arial" w:hAnsi="Arial"/>
          <w:i/>
          <w:sz w:val="20"/>
        </w:rPr>
        <w:t>SA</w:t>
      </w:r>
      <w:r>
        <w:rPr>
          <w:rFonts w:ascii="Arial" w:hAnsi="Arial"/>
          <w:i/>
          <w:spacing w:val="40"/>
          <w:sz w:val="20"/>
        </w:rPr>
        <w:t> </w:t>
      </w:r>
      <w:r>
        <w:rPr>
          <w:rFonts w:ascii="Arial" w:hAnsi="Arial"/>
          <w:i/>
          <w:sz w:val="20"/>
        </w:rPr>
        <w:t>(The</w:t>
      </w:r>
      <w:r>
        <w:rPr>
          <w:rFonts w:ascii="Arial" w:hAnsi="Arial"/>
          <w:i/>
          <w:spacing w:val="40"/>
          <w:sz w:val="20"/>
        </w:rPr>
        <w:t> </w:t>
      </w:r>
      <w:r>
        <w:rPr>
          <w:rFonts w:ascii="Arial" w:hAnsi="Arial"/>
          <w:i/>
          <w:sz w:val="20"/>
        </w:rPr>
        <w:t>Agrabele) [1985] 2 Lloyd’s Rep. 496, 509</w:t>
      </w:r>
      <w:r>
        <w:rPr>
          <w:sz w:val="20"/>
        </w:rPr>
        <w:t>, per Evans J., whose statement of the relevant principles was approved</w:t>
      </w:r>
      <w:r>
        <w:rPr>
          <w:spacing w:val="-3"/>
          <w:sz w:val="20"/>
        </w:rPr>
        <w:t> </w:t>
      </w:r>
      <w:r>
        <w:rPr>
          <w:sz w:val="20"/>
        </w:rPr>
        <w:t>on</w:t>
      </w:r>
      <w:r>
        <w:rPr>
          <w:spacing w:val="-3"/>
          <w:sz w:val="20"/>
        </w:rPr>
        <w:t> </w:t>
      </w:r>
      <w:r>
        <w:rPr>
          <w:sz w:val="20"/>
        </w:rPr>
        <w:t>appeal</w:t>
      </w:r>
      <w:r>
        <w:rPr>
          <w:spacing w:val="-3"/>
          <w:sz w:val="20"/>
        </w:rPr>
        <w:t> </w:t>
      </w:r>
      <w:r>
        <w:rPr>
          <w:sz w:val="20"/>
        </w:rPr>
        <w:t>though</w:t>
      </w:r>
      <w:r>
        <w:rPr>
          <w:spacing w:val="-3"/>
          <w:sz w:val="20"/>
        </w:rPr>
        <w:t> </w:t>
      </w:r>
      <w:r>
        <w:rPr>
          <w:sz w:val="20"/>
        </w:rPr>
        <w:t>the</w:t>
      </w:r>
      <w:r>
        <w:rPr>
          <w:spacing w:val="-3"/>
          <w:sz w:val="20"/>
        </w:rPr>
        <w:t> </w:t>
      </w:r>
      <w:r>
        <w:rPr>
          <w:sz w:val="20"/>
        </w:rPr>
        <w:t>actual</w:t>
      </w:r>
      <w:r>
        <w:rPr>
          <w:spacing w:val="-3"/>
          <w:sz w:val="20"/>
        </w:rPr>
        <w:t> </w:t>
      </w:r>
      <w:r>
        <w:rPr>
          <w:sz w:val="20"/>
        </w:rPr>
        <w:t>decision</w:t>
      </w:r>
      <w:r>
        <w:rPr>
          <w:spacing w:val="-3"/>
          <w:sz w:val="20"/>
        </w:rPr>
        <w:t> </w:t>
      </w:r>
      <w:r>
        <w:rPr>
          <w:sz w:val="20"/>
        </w:rPr>
        <w:t>was</w:t>
      </w:r>
      <w:r>
        <w:rPr>
          <w:spacing w:val="-3"/>
          <w:sz w:val="20"/>
        </w:rPr>
        <w:t> </w:t>
      </w:r>
      <w:r>
        <w:rPr>
          <w:sz w:val="20"/>
        </w:rPr>
        <w:t>reversed</w:t>
      </w:r>
      <w:r>
        <w:rPr>
          <w:spacing w:val="-3"/>
          <w:sz w:val="20"/>
        </w:rPr>
        <w:t> </w:t>
      </w:r>
      <w:r>
        <w:rPr>
          <w:sz w:val="20"/>
        </w:rPr>
        <w:t>on</w:t>
      </w:r>
      <w:r>
        <w:rPr>
          <w:spacing w:val="-3"/>
          <w:sz w:val="20"/>
        </w:rPr>
        <w:t> </w:t>
      </w:r>
      <w:r>
        <w:rPr>
          <w:sz w:val="20"/>
        </w:rPr>
        <w:t>the</w:t>
      </w:r>
      <w:r>
        <w:rPr>
          <w:spacing w:val="-3"/>
          <w:sz w:val="20"/>
        </w:rPr>
        <w:t> </w:t>
      </w:r>
      <w:r>
        <w:rPr>
          <w:sz w:val="20"/>
        </w:rPr>
        <w:t>facts:</w:t>
      </w:r>
      <w:r>
        <w:rPr>
          <w:spacing w:val="-4"/>
          <w:sz w:val="20"/>
        </w:rPr>
        <w:t> </w:t>
      </w:r>
      <w:r>
        <w:rPr>
          <w:rFonts w:ascii="Arial" w:hAnsi="Arial"/>
          <w:i/>
          <w:sz w:val="20"/>
        </w:rPr>
        <w:t>[1987]</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 223,</w:t>
      </w:r>
      <w:r>
        <w:rPr>
          <w:rFonts w:ascii="Arial" w:hAnsi="Arial"/>
          <w:i/>
          <w:spacing w:val="-1"/>
          <w:sz w:val="20"/>
        </w:rPr>
        <w:t> </w:t>
      </w:r>
      <w:r>
        <w:rPr>
          <w:rFonts w:ascii="Arial" w:hAnsi="Arial"/>
          <w:i/>
          <w:sz w:val="20"/>
        </w:rPr>
        <w:t>225</w:t>
      </w:r>
      <w:r>
        <w:rPr>
          <w:sz w:val="20"/>
        </w:rPr>
        <w:t>.</w:t>
      </w:r>
      <w:r>
        <w:rPr>
          <w:spacing w:val="-1"/>
          <w:sz w:val="20"/>
        </w:rPr>
        <w:t> </w:t>
      </w:r>
      <w:r>
        <w:rPr>
          <w:sz w:val="20"/>
        </w:rPr>
        <w:t>The</w:t>
      </w:r>
      <w:r>
        <w:rPr>
          <w:spacing w:val="-1"/>
          <w:sz w:val="20"/>
        </w:rPr>
        <w:t> </w:t>
      </w:r>
      <w:r>
        <w:rPr>
          <w:sz w:val="20"/>
        </w:rPr>
        <w:t>case</w:t>
      </w:r>
      <w:r>
        <w:rPr>
          <w:spacing w:val="-1"/>
          <w:sz w:val="20"/>
        </w:rPr>
        <w:t> </w:t>
      </w:r>
      <w:r>
        <w:rPr>
          <w:sz w:val="20"/>
        </w:rPr>
        <w:t>concerned</w:t>
      </w:r>
      <w:r>
        <w:rPr>
          <w:spacing w:val="-1"/>
          <w:sz w:val="20"/>
        </w:rPr>
        <w:t> </w:t>
      </w:r>
      <w:r>
        <w:rPr>
          <w:sz w:val="20"/>
        </w:rPr>
        <w:t>an</w:t>
      </w:r>
      <w:r>
        <w:rPr>
          <w:spacing w:val="-1"/>
          <w:sz w:val="20"/>
        </w:rPr>
        <w:t> </w:t>
      </w:r>
      <w:r>
        <w:rPr>
          <w:sz w:val="20"/>
        </w:rPr>
        <w:t>alleged</w:t>
      </w:r>
      <w:r>
        <w:rPr>
          <w:spacing w:val="-1"/>
          <w:sz w:val="20"/>
        </w:rPr>
        <w:t> </w:t>
      </w:r>
      <w:r>
        <w:rPr>
          <w:sz w:val="20"/>
        </w:rPr>
        <w:t>“abandonment”</w:t>
      </w:r>
      <w:r>
        <w:rPr>
          <w:spacing w:val="-1"/>
          <w:sz w:val="20"/>
        </w:rPr>
        <w:t> </w:t>
      </w:r>
      <w:r>
        <w:rPr>
          <w:sz w:val="20"/>
        </w:rPr>
        <w:t>by</w:t>
      </w:r>
      <w:r>
        <w:rPr>
          <w:spacing w:val="-1"/>
          <w:sz w:val="20"/>
        </w:rPr>
        <w:t> </w:t>
      </w:r>
      <w:r>
        <w:rPr>
          <w:sz w:val="20"/>
        </w:rPr>
        <w:t>delay</w:t>
      </w:r>
      <w:r>
        <w:rPr>
          <w:spacing w:val="-1"/>
          <w:sz w:val="20"/>
        </w:rPr>
        <w:t> </w:t>
      </w:r>
      <w:r>
        <w:rPr>
          <w:sz w:val="20"/>
        </w:rPr>
        <w:t>of</w:t>
      </w:r>
      <w:r>
        <w:rPr>
          <w:spacing w:val="-1"/>
          <w:sz w:val="20"/>
        </w:rPr>
        <w:t> </w:t>
      </w:r>
      <w:r>
        <w:rPr>
          <w:sz w:val="20"/>
        </w:rPr>
        <w:t>an</w:t>
      </w:r>
      <w:r>
        <w:rPr>
          <w:spacing w:val="-1"/>
          <w:sz w:val="20"/>
        </w:rPr>
        <w:t> </w:t>
      </w:r>
      <w:r>
        <w:rPr>
          <w:sz w:val="20"/>
        </w:rPr>
        <w:t>agreement</w:t>
      </w:r>
      <w:r>
        <w:rPr>
          <w:spacing w:val="-1"/>
          <w:sz w:val="20"/>
        </w:rPr>
        <w:t> </w:t>
      </w:r>
      <w:r>
        <w:rPr>
          <w:sz w:val="20"/>
        </w:rPr>
        <w:t>to</w:t>
      </w:r>
      <w:r>
        <w:rPr>
          <w:spacing w:val="-1"/>
          <w:sz w:val="20"/>
        </w:rPr>
        <w:t> </w:t>
      </w:r>
      <w:r>
        <w:rPr>
          <w:sz w:val="20"/>
        </w:rPr>
        <w:t>submit</w:t>
      </w:r>
      <w:r>
        <w:rPr>
          <w:spacing w:val="-1"/>
          <w:sz w:val="20"/>
        </w:rPr>
        <w:t> </w:t>
      </w:r>
      <w:r>
        <w:rPr>
          <w:sz w:val="20"/>
        </w:rPr>
        <w:t>a claim</w:t>
      </w:r>
      <w:r>
        <w:rPr>
          <w:spacing w:val="40"/>
          <w:sz w:val="20"/>
        </w:rPr>
        <w:t> </w:t>
      </w:r>
      <w:r>
        <w:rPr>
          <w:sz w:val="20"/>
        </w:rPr>
        <w:t>to</w:t>
      </w:r>
      <w:r>
        <w:rPr>
          <w:spacing w:val="40"/>
          <w:sz w:val="20"/>
        </w:rPr>
        <w:t> </w:t>
      </w:r>
      <w:r>
        <w:rPr>
          <w:sz w:val="20"/>
        </w:rPr>
        <w:t>arbitration</w:t>
      </w:r>
      <w:r>
        <w:rPr>
          <w:spacing w:val="40"/>
          <w:sz w:val="20"/>
        </w:rPr>
        <w:t> </w:t>
      </w:r>
      <w:r>
        <w:rPr>
          <w:sz w:val="20"/>
        </w:rPr>
        <w:t>and</w:t>
      </w:r>
      <w:r>
        <w:rPr>
          <w:spacing w:val="40"/>
          <w:sz w:val="20"/>
        </w:rPr>
        <w:t> </w:t>
      </w:r>
      <w:r>
        <w:rPr>
          <w:sz w:val="20"/>
        </w:rPr>
        <w:t>would</w:t>
      </w:r>
      <w:r>
        <w:rPr>
          <w:spacing w:val="40"/>
          <w:sz w:val="20"/>
        </w:rPr>
        <w:t> </w:t>
      </w:r>
      <w:r>
        <w:rPr>
          <w:sz w:val="20"/>
        </w:rPr>
        <w:t>now</w:t>
      </w:r>
      <w:r>
        <w:rPr>
          <w:spacing w:val="40"/>
          <w:sz w:val="20"/>
        </w:rPr>
        <w:t> </w:t>
      </w:r>
      <w:r>
        <w:rPr>
          <w:sz w:val="20"/>
        </w:rPr>
        <w:t>be</w:t>
      </w:r>
      <w:r>
        <w:rPr>
          <w:spacing w:val="40"/>
          <w:sz w:val="20"/>
        </w:rPr>
        <w:t> </w:t>
      </w:r>
      <w:r>
        <w:rPr>
          <w:sz w:val="20"/>
        </w:rPr>
        <w:t>governed</w:t>
      </w:r>
      <w:r>
        <w:rPr>
          <w:spacing w:val="40"/>
          <w:sz w:val="20"/>
        </w:rPr>
        <w:t> </w:t>
      </w:r>
      <w:r>
        <w:rPr>
          <w:sz w:val="20"/>
        </w:rPr>
        <w:t>by</w:t>
      </w:r>
      <w:r>
        <w:rPr>
          <w:spacing w:val="40"/>
          <w:sz w:val="20"/>
        </w:rPr>
        <w:t> </w:t>
      </w:r>
      <w:r>
        <w:rPr>
          <w:sz w:val="20"/>
        </w:rPr>
        <w:t>Arbitration</w:t>
      </w:r>
      <w:r>
        <w:rPr>
          <w:spacing w:val="40"/>
          <w:sz w:val="20"/>
        </w:rPr>
        <w:t> </w:t>
      </w:r>
      <w:r>
        <w:rPr>
          <w:sz w:val="20"/>
        </w:rPr>
        <w:t>Act</w:t>
      </w:r>
      <w:r>
        <w:rPr>
          <w:spacing w:val="40"/>
          <w:sz w:val="20"/>
        </w:rPr>
        <w:t> </w:t>
      </w:r>
      <w:r>
        <w:rPr>
          <w:sz w:val="20"/>
        </w:rPr>
        <w:t>1996</w:t>
      </w:r>
      <w:r>
        <w:rPr>
          <w:spacing w:val="40"/>
          <w:sz w:val="20"/>
        </w:rPr>
        <w:t> </w:t>
      </w:r>
      <w:r>
        <w:rPr>
          <w:sz w:val="20"/>
        </w:rPr>
        <w:t>s.41(3)</w:t>
      </w:r>
      <w:r>
        <w:rPr>
          <w:spacing w:val="40"/>
          <w:sz w:val="20"/>
        </w:rPr>
        <w:t> </w:t>
      </w:r>
      <w:r>
        <w:rPr>
          <w:sz w:val="20"/>
        </w:rPr>
        <w:t>(above, </w:t>
      </w:r>
      <w:r>
        <w:rPr>
          <w:spacing w:val="-2"/>
          <w:sz w:val="20"/>
        </w:rPr>
        <w:t>para.2-006).</w:t>
      </w:r>
    </w:p>
    <w:p>
      <w:pPr>
        <w:pStyle w:val="BodyText"/>
        <w:spacing w:before="4"/>
      </w:pPr>
    </w:p>
    <w:p>
      <w:pPr>
        <w:tabs>
          <w:tab w:pos="705" w:val="left" w:leader="none"/>
        </w:tabs>
        <w:spacing w:before="0"/>
        <w:ind w:left="165" w:right="0" w:firstLine="0"/>
        <w:jc w:val="left"/>
        <w:rPr>
          <w:sz w:val="20"/>
        </w:rPr>
      </w:pPr>
      <w:bookmarkStart w:name="_bookmark740" w:id="742"/>
      <w:bookmarkEnd w:id="742"/>
      <w:r>
        <w:rPr/>
      </w:r>
      <w:hyperlink w:history="true" w:anchor="_bookmark683">
        <w:r>
          <w:rPr>
            <w:color w:val="005DA1"/>
            <w:spacing w:val="-4"/>
            <w:position w:val="5"/>
            <w:sz w:val="14"/>
            <w:u w:val="single" w:color="005DA1"/>
          </w:rPr>
          <w:t>368</w:t>
        </w:r>
      </w:hyperlink>
      <w:r>
        <w:rPr>
          <w:spacing w:val="-4"/>
          <w:position w:val="5"/>
          <w:sz w:val="14"/>
        </w:rPr>
        <w:t>.</w:t>
      </w:r>
      <w:r>
        <w:rPr>
          <w:position w:val="5"/>
          <w:sz w:val="14"/>
        </w:rPr>
        <w:tab/>
      </w:r>
      <w:r>
        <w:rPr>
          <w:rFonts w:ascii="Arial"/>
          <w:i/>
          <w:sz w:val="20"/>
        </w:rPr>
        <w:t>Re Selectmove [1995] 1 W.L.R. 474, 478</w:t>
      </w:r>
      <w:r>
        <w:rPr>
          <w:rFonts w:ascii="Arial"/>
          <w:i/>
          <w:spacing w:val="-1"/>
          <w:sz w:val="20"/>
        </w:rPr>
        <w:t> </w:t>
      </w:r>
      <w:r>
        <w:rPr>
          <w:sz w:val="20"/>
        </w:rPr>
        <w:t>(where the point was left </w:t>
      </w:r>
      <w:r>
        <w:rPr>
          <w:spacing w:val="-2"/>
          <w:sz w:val="20"/>
        </w:rPr>
        <w:t>open).</w:t>
      </w:r>
    </w:p>
    <w:p>
      <w:pPr>
        <w:pStyle w:val="BodyText"/>
        <w:spacing w:before="5"/>
      </w:pPr>
    </w:p>
    <w:p>
      <w:pPr>
        <w:tabs>
          <w:tab w:pos="705" w:val="left" w:leader="none"/>
        </w:tabs>
        <w:spacing w:before="0"/>
        <w:ind w:left="165" w:right="0" w:firstLine="0"/>
        <w:jc w:val="left"/>
        <w:rPr>
          <w:sz w:val="20"/>
        </w:rPr>
      </w:pPr>
      <w:bookmarkStart w:name="_bookmark741" w:id="743"/>
      <w:bookmarkEnd w:id="743"/>
      <w:r>
        <w:rPr/>
      </w:r>
      <w:hyperlink w:history="true" w:anchor="_bookmark684">
        <w:r>
          <w:rPr>
            <w:color w:val="005DA1"/>
            <w:spacing w:val="-4"/>
            <w:position w:val="5"/>
            <w:sz w:val="14"/>
            <w:u w:val="single" w:color="005DA1"/>
          </w:rPr>
          <w:t>369</w:t>
        </w:r>
      </w:hyperlink>
      <w:r>
        <w:rPr>
          <w:spacing w:val="-4"/>
          <w:position w:val="5"/>
          <w:sz w:val="14"/>
        </w:rPr>
        <w:t>.</w:t>
      </w:r>
      <w:r>
        <w:rPr>
          <w:position w:val="5"/>
          <w:sz w:val="14"/>
        </w:rPr>
        <w:tab/>
      </w:r>
      <w:r>
        <w:rPr>
          <w:rFonts w:ascii="Arial" w:hAnsi="Arial"/>
          <w:i/>
          <w:sz w:val="20"/>
        </w:rPr>
        <w:t>Yona International Ltd v La Réunion Française, etc. [1996] 2 Lloyd’s Rep. 84, </w:t>
      </w:r>
      <w:r>
        <w:rPr>
          <w:rFonts w:ascii="Arial" w:hAnsi="Arial"/>
          <w:i/>
          <w:spacing w:val="-4"/>
          <w:sz w:val="20"/>
        </w:rPr>
        <w:t>110</w:t>
      </w:r>
      <w:r>
        <w:rPr>
          <w:spacing w:val="-4"/>
          <w:sz w:val="20"/>
        </w:rPr>
        <w:t>.</w:t>
      </w:r>
    </w:p>
    <w:p>
      <w:pPr>
        <w:pStyle w:val="BodyText"/>
        <w:spacing w:before="5"/>
      </w:pPr>
    </w:p>
    <w:p>
      <w:pPr>
        <w:pStyle w:val="BodyText"/>
        <w:tabs>
          <w:tab w:pos="705" w:val="left" w:leader="none"/>
        </w:tabs>
        <w:ind w:left="165"/>
      </w:pPr>
      <w:bookmarkStart w:name="_bookmark742" w:id="744"/>
      <w:bookmarkEnd w:id="744"/>
      <w:r>
        <w:rPr/>
      </w:r>
      <w:hyperlink w:history="true" w:anchor="_bookmark685">
        <w:r>
          <w:rPr>
            <w:color w:val="005DA1"/>
            <w:spacing w:val="-4"/>
            <w:position w:val="5"/>
            <w:sz w:val="14"/>
            <w:u w:val="single" w:color="005DA1"/>
          </w:rPr>
          <w:t>370</w:t>
        </w:r>
      </w:hyperlink>
      <w:r>
        <w:rPr>
          <w:spacing w:val="-4"/>
          <w:position w:val="5"/>
          <w:sz w:val="14"/>
        </w:rPr>
        <w:t>.</w:t>
      </w:r>
      <w:r>
        <w:rPr>
          <w:position w:val="5"/>
          <w:sz w:val="14"/>
        </w:rPr>
        <w:tab/>
      </w:r>
      <w:r>
        <w:rPr/>
        <w:t>Above, para.2-068; further discussed in para.2-073 </w:t>
      </w:r>
      <w:r>
        <w:rPr>
          <w:spacing w:val="-2"/>
        </w:rPr>
        <w:t>below.</w:t>
      </w:r>
    </w:p>
    <w:p>
      <w:pPr>
        <w:pStyle w:val="BodyText"/>
        <w:spacing w:before="8"/>
      </w:pPr>
    </w:p>
    <w:p>
      <w:pPr>
        <w:spacing w:line="235" w:lineRule="auto" w:before="1"/>
        <w:ind w:left="705" w:right="167" w:hanging="541"/>
        <w:jc w:val="both"/>
        <w:rPr>
          <w:sz w:val="20"/>
        </w:rPr>
      </w:pPr>
      <w:bookmarkStart w:name="_bookmark743" w:id="745"/>
      <w:bookmarkEnd w:id="745"/>
      <w:r>
        <w:rPr/>
      </w:r>
      <w:hyperlink w:history="true" w:anchor="_bookmark686">
        <w:r>
          <w:rPr>
            <w:color w:val="005DA1"/>
            <w:position w:val="5"/>
            <w:sz w:val="14"/>
            <w:u w:val="single" w:color="005DA1"/>
          </w:rPr>
          <w:t>371</w:t>
        </w:r>
      </w:hyperlink>
      <w:r>
        <w:rPr>
          <w:position w:val="5"/>
          <w:sz w:val="14"/>
        </w:rPr>
        <w:t>.</w:t>
      </w:r>
      <w:r>
        <w:rPr>
          <w:spacing w:val="40"/>
          <w:position w:val="5"/>
          <w:sz w:val="14"/>
        </w:rPr>
        <w:t>  </w:t>
      </w:r>
      <w:r>
        <w:rPr>
          <w:rFonts w:ascii="Arial" w:hAnsi="Arial"/>
          <w:i/>
          <w:sz w:val="20"/>
        </w:rPr>
        <w:t>Minories</w:t>
      </w:r>
      <w:r>
        <w:rPr>
          <w:rFonts w:ascii="Arial" w:hAnsi="Arial"/>
          <w:i/>
          <w:spacing w:val="40"/>
          <w:sz w:val="20"/>
        </w:rPr>
        <w:t> </w:t>
      </w:r>
      <w:r>
        <w:rPr>
          <w:rFonts w:ascii="Arial" w:hAnsi="Arial"/>
          <w:i/>
          <w:sz w:val="20"/>
        </w:rPr>
        <w:t>Finance</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Afribank</w:t>
      </w:r>
      <w:r>
        <w:rPr>
          <w:rFonts w:ascii="Arial" w:hAnsi="Arial"/>
          <w:i/>
          <w:spacing w:val="40"/>
          <w:sz w:val="20"/>
        </w:rPr>
        <w:t> </w:t>
      </w:r>
      <w:r>
        <w:rPr>
          <w:rFonts w:ascii="Arial" w:hAnsi="Arial"/>
          <w:i/>
          <w:sz w:val="20"/>
        </w:rPr>
        <w:t>Nigeria</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[1995]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134 </w:t>
      </w:r>
      <w:r>
        <w:rPr>
          <w:sz w:val="20"/>
        </w:rPr>
        <w:t>(where</w:t>
      </w:r>
      <w:r>
        <w:rPr>
          <w:spacing w:val="40"/>
          <w:sz w:val="20"/>
        </w:rPr>
        <w:t> </w:t>
      </w:r>
      <w:r>
        <w:rPr>
          <w:sz w:val="20"/>
        </w:rPr>
        <w:t>a</w:t>
      </w:r>
      <w:r>
        <w:rPr>
          <w:spacing w:val="40"/>
          <w:sz w:val="20"/>
        </w:rPr>
        <w:t> </w:t>
      </w:r>
      <w:r>
        <w:rPr>
          <w:sz w:val="20"/>
        </w:rPr>
        <w:t>contract between two banks for the collection of drafts and remittance of their proceeds arose in this </w:t>
      </w:r>
      <w:r>
        <w:rPr>
          <w:spacing w:val="-2"/>
          <w:sz w:val="20"/>
        </w:rPr>
        <w:t>way).</w:t>
      </w:r>
    </w:p>
    <w:p>
      <w:pPr>
        <w:pStyle w:val="BodyText"/>
        <w:spacing w:before="8"/>
      </w:pPr>
    </w:p>
    <w:p>
      <w:pPr>
        <w:spacing w:line="235" w:lineRule="auto" w:before="0"/>
        <w:ind w:left="705" w:right="167" w:hanging="541"/>
        <w:jc w:val="both"/>
        <w:rPr>
          <w:sz w:val="20"/>
        </w:rPr>
      </w:pPr>
      <w:bookmarkStart w:name="_bookmark744" w:id="746"/>
      <w:bookmarkEnd w:id="746"/>
      <w:r>
        <w:rPr/>
      </w:r>
      <w:hyperlink w:history="true" w:anchor="_bookmark687">
        <w:r>
          <w:rPr>
            <w:color w:val="005DA1"/>
            <w:position w:val="5"/>
            <w:sz w:val="14"/>
            <w:u w:val="single" w:color="005DA1"/>
          </w:rPr>
          <w:t>372</w:t>
        </w:r>
      </w:hyperlink>
      <w:r>
        <w:rPr>
          <w:position w:val="5"/>
          <w:sz w:val="14"/>
        </w:rPr>
        <w:t>.</w:t>
      </w:r>
      <w:r>
        <w:rPr>
          <w:spacing w:val="40"/>
          <w:position w:val="5"/>
          <w:sz w:val="14"/>
        </w:rPr>
        <w:t>  </w:t>
      </w:r>
      <w:r>
        <w:rPr>
          <w:rFonts w:ascii="Arial" w:hAnsi="Arial"/>
          <w:i/>
          <w:sz w:val="20"/>
        </w:rPr>
        <w:t>Statoil ASA v Louis Dreyfus Energy Services LP (The Harriette N) [2008] EWHC 2257 (Comm), [2008] 2 Lloyd’s Rep. 685 </w:t>
      </w:r>
      <w:r>
        <w:rPr>
          <w:sz w:val="20"/>
        </w:rPr>
        <w:t>at [82], also referring at [70] to </w:t>
      </w:r>
      <w:r>
        <w:rPr>
          <w:rFonts w:ascii="Arial" w:hAnsi="Arial"/>
          <w:i/>
          <w:sz w:val="20"/>
        </w:rPr>
        <w:t>Pagnan SpA v Feed Products Ltd [1987] 2 Lloyd’s Rep. 601 </w:t>
      </w:r>
      <w:r>
        <w:rPr>
          <w:sz w:val="20"/>
        </w:rPr>
        <w:t>at 614, where the further requirement is stated that “the other party does not object to [the term] </w:t>
      </w:r>
      <w:r>
        <w:rPr>
          <w:rFonts w:ascii="Arial" w:hAnsi="Arial"/>
          <w:i/>
          <w:sz w:val="20"/>
        </w:rPr>
        <w:t>when asked if it has objections</w:t>
      </w:r>
      <w:r>
        <w:rPr>
          <w:sz w:val="20"/>
        </w:rPr>
        <w:t>” (italics added).</w:t>
      </w:r>
    </w:p>
    <w:p>
      <w:pPr>
        <w:pStyle w:val="BodyText"/>
        <w:spacing w:before="5"/>
      </w:pPr>
    </w:p>
    <w:p>
      <w:pPr>
        <w:tabs>
          <w:tab w:pos="705" w:val="left" w:leader="none"/>
        </w:tabs>
        <w:spacing w:before="0"/>
        <w:ind w:left="165" w:right="0" w:firstLine="0"/>
        <w:jc w:val="left"/>
        <w:rPr>
          <w:sz w:val="20"/>
        </w:rPr>
      </w:pPr>
      <w:bookmarkStart w:name="_bookmark745" w:id="747"/>
      <w:bookmarkEnd w:id="747"/>
      <w:r>
        <w:rPr/>
      </w:r>
      <w:hyperlink w:history="true" w:anchor="_bookmark688">
        <w:r>
          <w:rPr>
            <w:color w:val="005DA1"/>
            <w:spacing w:val="-4"/>
            <w:position w:val="5"/>
            <w:sz w:val="14"/>
            <w:u w:val="single" w:color="005DA1"/>
          </w:rPr>
          <w:t>373</w:t>
        </w:r>
      </w:hyperlink>
      <w:r>
        <w:rPr>
          <w:spacing w:val="-4"/>
          <w:position w:val="5"/>
          <w:sz w:val="14"/>
        </w:rPr>
        <w:t>.</w:t>
      </w:r>
      <w:r>
        <w:rPr>
          <w:position w:val="5"/>
          <w:sz w:val="14"/>
        </w:rPr>
        <w:tab/>
      </w:r>
      <w:r>
        <w:rPr>
          <w:sz w:val="20"/>
        </w:rPr>
        <w:t>See above at </w:t>
      </w:r>
      <w:r>
        <w:rPr>
          <w:spacing w:val="-2"/>
          <w:sz w:val="20"/>
        </w:rPr>
        <w:t>n.358.</w:t>
      </w:r>
    </w:p>
    <w:p>
      <w:pPr>
        <w:pStyle w:val="BodyText"/>
        <w:spacing w:before="5"/>
      </w:pPr>
    </w:p>
    <w:p>
      <w:pPr>
        <w:pStyle w:val="BodyText"/>
        <w:tabs>
          <w:tab w:pos="705" w:val="left" w:leader="none"/>
        </w:tabs>
        <w:ind w:left="165"/>
      </w:pPr>
      <w:bookmarkStart w:name="_bookmark746" w:id="748"/>
      <w:bookmarkEnd w:id="748"/>
      <w:r>
        <w:rPr/>
      </w:r>
      <w:hyperlink w:history="true" w:anchor="_bookmark689">
        <w:r>
          <w:rPr>
            <w:color w:val="005DA1"/>
            <w:spacing w:val="-4"/>
            <w:position w:val="5"/>
            <w:sz w:val="14"/>
            <w:u w:val="single" w:color="005DA1"/>
          </w:rPr>
          <w:t>374</w:t>
        </w:r>
      </w:hyperlink>
      <w:r>
        <w:rPr>
          <w:spacing w:val="-4"/>
          <w:position w:val="5"/>
          <w:sz w:val="14"/>
        </w:rPr>
        <w:t>.</w:t>
      </w:r>
      <w:r>
        <w:rPr>
          <w:position w:val="5"/>
          <w:sz w:val="14"/>
        </w:rPr>
        <w:tab/>
      </w:r>
      <w:r>
        <w:rPr/>
        <w:t>See below para.2-</w:t>
      </w:r>
      <w:r>
        <w:rPr>
          <w:spacing w:val="-4"/>
        </w:rPr>
        <w:t>074.</w:t>
      </w:r>
    </w:p>
    <w:p>
      <w:pPr>
        <w:pStyle w:val="BodyText"/>
        <w:spacing w:before="5"/>
      </w:pPr>
    </w:p>
    <w:p>
      <w:pPr>
        <w:tabs>
          <w:tab w:pos="705" w:val="left" w:leader="none"/>
        </w:tabs>
        <w:spacing w:before="0"/>
        <w:ind w:left="165" w:right="0" w:firstLine="0"/>
        <w:jc w:val="left"/>
        <w:rPr>
          <w:sz w:val="20"/>
        </w:rPr>
      </w:pPr>
      <w:bookmarkStart w:name="_bookmark747" w:id="749"/>
      <w:bookmarkEnd w:id="749"/>
      <w:r>
        <w:rPr/>
      </w:r>
      <w:hyperlink w:history="true" w:anchor="_bookmark690">
        <w:r>
          <w:rPr>
            <w:color w:val="005DA1"/>
            <w:spacing w:val="-4"/>
            <w:position w:val="5"/>
            <w:sz w:val="14"/>
            <w:u w:val="single" w:color="005DA1"/>
          </w:rPr>
          <w:t>375</w:t>
        </w:r>
      </w:hyperlink>
      <w:r>
        <w:rPr>
          <w:spacing w:val="-4"/>
          <w:position w:val="5"/>
          <w:sz w:val="14"/>
        </w:rPr>
        <w:t>.</w:t>
      </w:r>
      <w:r>
        <w:rPr>
          <w:position w:val="5"/>
          <w:sz w:val="14"/>
        </w:rPr>
        <w:tab/>
      </w:r>
      <w:r>
        <w:rPr>
          <w:rFonts w:ascii="Arial"/>
          <w:i/>
          <w:sz w:val="20"/>
        </w:rPr>
        <w:t>[1973] 1 W.L.R. 1002, </w:t>
      </w:r>
      <w:r>
        <w:rPr>
          <w:rFonts w:ascii="Arial"/>
          <w:i/>
          <w:spacing w:val="-2"/>
          <w:sz w:val="20"/>
        </w:rPr>
        <w:t>1011</w:t>
      </w:r>
      <w:r>
        <w:rPr>
          <w:spacing w:val="-2"/>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748" w:id="750"/>
      <w:bookmarkEnd w:id="750"/>
      <w:r>
        <w:rPr/>
      </w:r>
      <w:hyperlink w:history="true" w:anchor="_bookmark691">
        <w:r>
          <w:rPr>
            <w:color w:val="005DA1"/>
            <w:spacing w:val="-4"/>
            <w:position w:val="5"/>
            <w:sz w:val="14"/>
            <w:u w:val="single" w:color="005DA1"/>
          </w:rPr>
          <w:t>376</w:t>
        </w:r>
      </w:hyperlink>
      <w:r>
        <w:rPr>
          <w:spacing w:val="-4"/>
          <w:position w:val="5"/>
          <w:sz w:val="14"/>
        </w:rPr>
        <w:t>.</w:t>
      </w:r>
      <w:r>
        <w:rPr>
          <w:position w:val="5"/>
          <w:sz w:val="14"/>
        </w:rPr>
        <w:tab/>
      </w:r>
      <w:r>
        <w:rPr>
          <w:sz w:val="20"/>
        </w:rPr>
        <w:t>See</w:t>
      </w:r>
      <w:r>
        <w:rPr>
          <w:spacing w:val="-1"/>
          <w:sz w:val="20"/>
        </w:rPr>
        <w:t> </w:t>
      </w:r>
      <w:r>
        <w:rPr>
          <w:rFonts w:ascii="Arial" w:hAnsi="Arial"/>
          <w:i/>
          <w:sz w:val="20"/>
        </w:rPr>
        <w:t>Yona</w:t>
      </w:r>
      <w:r>
        <w:rPr>
          <w:rFonts w:ascii="Arial" w:hAnsi="Arial"/>
          <w:i/>
          <w:spacing w:val="-1"/>
          <w:sz w:val="20"/>
        </w:rPr>
        <w:t> </w:t>
      </w:r>
      <w:r>
        <w:rPr>
          <w:rFonts w:ascii="Arial" w:hAnsi="Arial"/>
          <w:i/>
          <w:sz w:val="20"/>
        </w:rPr>
        <w:t>International</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Law</w:t>
      </w:r>
      <w:r>
        <w:rPr>
          <w:rFonts w:ascii="Arial" w:hAnsi="Arial"/>
          <w:i/>
          <w:spacing w:val="-1"/>
          <w:sz w:val="20"/>
        </w:rPr>
        <w:t> </w:t>
      </w:r>
      <w:r>
        <w:rPr>
          <w:rFonts w:ascii="Arial" w:hAnsi="Arial"/>
          <w:i/>
          <w:sz w:val="20"/>
        </w:rPr>
        <w:t>Réunion</w:t>
      </w:r>
      <w:r>
        <w:rPr>
          <w:rFonts w:ascii="Arial" w:hAnsi="Arial"/>
          <w:i/>
          <w:spacing w:val="-1"/>
          <w:sz w:val="20"/>
        </w:rPr>
        <w:t> </w:t>
      </w:r>
      <w:r>
        <w:rPr>
          <w:rFonts w:ascii="Arial" w:hAnsi="Arial"/>
          <w:i/>
          <w:sz w:val="20"/>
        </w:rPr>
        <w:t>Française,</w:t>
      </w:r>
      <w:r>
        <w:rPr>
          <w:rFonts w:ascii="Arial" w:hAnsi="Arial"/>
          <w:i/>
          <w:spacing w:val="-1"/>
          <w:sz w:val="20"/>
        </w:rPr>
        <w:t> </w:t>
      </w:r>
      <w:r>
        <w:rPr>
          <w:rFonts w:ascii="Arial" w:hAnsi="Arial"/>
          <w:i/>
          <w:sz w:val="20"/>
        </w:rPr>
        <w:t>etc.</w:t>
      </w:r>
      <w:r>
        <w:rPr>
          <w:rFonts w:ascii="Arial" w:hAnsi="Arial"/>
          <w:i/>
          <w:spacing w:val="-1"/>
          <w:sz w:val="20"/>
        </w:rPr>
        <w:t> </w:t>
      </w:r>
      <w:r>
        <w:rPr>
          <w:rFonts w:ascii="Arial" w:hAnsi="Arial"/>
          <w:i/>
          <w:sz w:val="20"/>
        </w:rPr>
        <w:t>[1996]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84,</w:t>
      </w:r>
      <w:r>
        <w:rPr>
          <w:rFonts w:ascii="Arial" w:hAnsi="Arial"/>
          <w:i/>
          <w:spacing w:val="-1"/>
          <w:sz w:val="20"/>
        </w:rPr>
        <w:t> </w:t>
      </w:r>
      <w:r>
        <w:rPr>
          <w:rFonts w:ascii="Arial" w:hAnsi="Arial"/>
          <w:i/>
          <w:sz w:val="20"/>
        </w:rPr>
        <w:t>107</w:t>
      </w:r>
      <w:r>
        <w:rPr>
          <w:rFonts w:ascii="Arial" w:hAnsi="Arial"/>
          <w:i/>
          <w:spacing w:val="-2"/>
          <w:sz w:val="20"/>
        </w:rPr>
        <w:t> </w:t>
      </w:r>
      <w:r>
        <w:rPr>
          <w:sz w:val="20"/>
        </w:rPr>
        <w:t>(where this requirement of knowledge was not satisfied).</w:t>
      </w:r>
    </w:p>
    <w:p>
      <w:pPr>
        <w:pStyle w:val="BodyText"/>
        <w:spacing w:before="9"/>
      </w:pPr>
    </w:p>
    <w:p>
      <w:pPr>
        <w:spacing w:line="235" w:lineRule="auto" w:before="0"/>
        <w:ind w:left="705" w:right="167" w:hanging="541"/>
        <w:jc w:val="both"/>
        <w:rPr>
          <w:sz w:val="20"/>
        </w:rPr>
      </w:pPr>
      <w:bookmarkStart w:name="_bookmark749" w:id="751"/>
      <w:bookmarkEnd w:id="751"/>
      <w:r>
        <w:rPr/>
      </w:r>
      <w:hyperlink w:history="true" w:anchor="_bookmark692">
        <w:r>
          <w:rPr>
            <w:color w:val="005DA1"/>
            <w:position w:val="5"/>
            <w:sz w:val="14"/>
            <w:u w:val="single" w:color="005DA1"/>
          </w:rPr>
          <w:t>377</w:t>
        </w:r>
      </w:hyperlink>
      <w:r>
        <w:rPr>
          <w:position w:val="5"/>
          <w:sz w:val="14"/>
        </w:rPr>
        <w:t>.</w:t>
      </w:r>
      <w:r>
        <w:rPr>
          <w:spacing w:val="40"/>
          <w:position w:val="5"/>
          <w:sz w:val="14"/>
        </w:rPr>
        <w:t>  </w:t>
      </w:r>
      <w:r>
        <w:rPr>
          <w:sz w:val="20"/>
        </w:rPr>
        <w:t>Below, para.4-104; and cf. </w:t>
      </w:r>
      <w:r>
        <w:rPr>
          <w:rFonts w:ascii="Arial" w:hAnsi="Arial"/>
          <w:i/>
          <w:sz w:val="20"/>
        </w:rPr>
        <w:t>The Stolt Loyalty [1993] 2 Lloyd’s Rep. 281, 289-291</w:t>
      </w:r>
      <w:r>
        <w:rPr>
          <w:sz w:val="20"/>
        </w:rPr>
        <w:t>; affirmed,</w:t>
      </w:r>
      <w:r>
        <w:rPr>
          <w:spacing w:val="40"/>
          <w:sz w:val="20"/>
        </w:rPr>
        <w:t> </w:t>
      </w:r>
      <w:r>
        <w:rPr>
          <w:sz w:val="20"/>
        </w:rPr>
        <w:t>without reference to this point, </w:t>
      </w:r>
      <w:r>
        <w:rPr>
          <w:rFonts w:ascii="Arial" w:hAnsi="Arial"/>
          <w:i/>
          <w:sz w:val="20"/>
        </w:rPr>
        <w:t>[1995] 1 Lloyd’s Rep. 598</w:t>
      </w:r>
      <w:r>
        <w:rPr>
          <w:sz w:val="20"/>
        </w:rPr>
        <w:t>. The case put in the text above would not be one of estoppel by convention (below, para.4-108); for such estoppel is based on an </w:t>
      </w:r>
      <w:r>
        <w:rPr>
          <w:rFonts w:ascii="Arial" w:hAnsi="Arial"/>
          <w:i/>
          <w:sz w:val="20"/>
        </w:rPr>
        <w:t>agreed </w:t>
      </w:r>
      <w:r>
        <w:rPr>
          <w:sz w:val="20"/>
        </w:rPr>
        <w:t>assumption, while in cases of the present kind the question is whether there was </w:t>
      </w:r>
      <w:r>
        <w:rPr>
          <w:sz w:val="20"/>
        </w:rPr>
        <w:t>any </w:t>
      </w:r>
      <w:r>
        <w:rPr>
          <w:spacing w:val="-2"/>
          <w:sz w:val="20"/>
        </w:rPr>
        <w:t>agreement.</w:t>
      </w:r>
    </w:p>
    <w:p>
      <w:pPr>
        <w:pStyle w:val="BodyText"/>
        <w:spacing w:before="4"/>
      </w:pPr>
    </w:p>
    <w:p>
      <w:pPr>
        <w:tabs>
          <w:tab w:pos="705" w:val="left" w:leader="none"/>
        </w:tabs>
        <w:spacing w:before="1"/>
        <w:ind w:left="165" w:right="0" w:firstLine="0"/>
        <w:jc w:val="left"/>
        <w:rPr>
          <w:sz w:val="20"/>
        </w:rPr>
      </w:pPr>
      <w:bookmarkStart w:name="_bookmark750" w:id="752"/>
      <w:bookmarkEnd w:id="752"/>
      <w:r>
        <w:rPr/>
      </w:r>
      <w:hyperlink w:history="true" w:anchor="_bookmark693">
        <w:r>
          <w:rPr>
            <w:color w:val="005DA1"/>
            <w:spacing w:val="-4"/>
            <w:position w:val="5"/>
            <w:sz w:val="14"/>
            <w:u w:val="single" w:color="005DA1"/>
          </w:rPr>
          <w:t>378</w:t>
        </w:r>
      </w:hyperlink>
      <w:r>
        <w:rPr>
          <w:spacing w:val="-4"/>
          <w:position w:val="5"/>
          <w:sz w:val="14"/>
        </w:rPr>
        <w:t>.</w:t>
      </w:r>
      <w:r>
        <w:rPr>
          <w:position w:val="5"/>
          <w:sz w:val="14"/>
        </w:rPr>
        <w:tab/>
      </w:r>
      <w:r>
        <w:rPr>
          <w:sz w:val="20"/>
        </w:rPr>
        <w:t>Below, para.4-</w:t>
      </w:r>
      <w:r>
        <w:rPr>
          <w:spacing w:val="-4"/>
          <w:sz w:val="20"/>
        </w:rPr>
        <w:t>091.</w:t>
      </w:r>
    </w:p>
    <w:p>
      <w:pPr>
        <w:pStyle w:val="BodyText"/>
        <w:spacing w:before="5"/>
      </w:pPr>
    </w:p>
    <w:p>
      <w:pPr>
        <w:tabs>
          <w:tab w:pos="705" w:val="left" w:leader="none"/>
        </w:tabs>
        <w:spacing w:before="0"/>
        <w:ind w:left="165" w:right="0" w:firstLine="0"/>
        <w:jc w:val="left"/>
        <w:rPr>
          <w:sz w:val="20"/>
        </w:rPr>
      </w:pPr>
      <w:bookmarkStart w:name="_bookmark751" w:id="753"/>
      <w:bookmarkEnd w:id="753"/>
      <w:r>
        <w:rPr/>
      </w:r>
      <w:hyperlink w:history="true" w:anchor="_bookmark694">
        <w:r>
          <w:rPr>
            <w:color w:val="005DA1"/>
            <w:spacing w:val="-4"/>
            <w:position w:val="5"/>
            <w:sz w:val="14"/>
            <w:u w:val="single" w:color="005DA1"/>
          </w:rPr>
          <w:t>379</w:t>
        </w:r>
      </w:hyperlink>
      <w:r>
        <w:rPr>
          <w:spacing w:val="-4"/>
          <w:position w:val="5"/>
          <w:sz w:val="14"/>
        </w:rPr>
        <w:t>.</w:t>
      </w:r>
      <w:r>
        <w:rPr>
          <w:position w:val="5"/>
          <w:sz w:val="14"/>
        </w:rPr>
        <w:tab/>
      </w:r>
      <w:r>
        <w:rPr>
          <w:sz w:val="20"/>
        </w:rPr>
        <w:t>Below, para.4-</w:t>
      </w:r>
      <w:r>
        <w:rPr>
          <w:spacing w:val="-4"/>
          <w:sz w:val="20"/>
        </w:rPr>
        <w:t>093.</w:t>
      </w:r>
    </w:p>
    <w:p>
      <w:pPr>
        <w:pStyle w:val="BodyText"/>
        <w:spacing w:before="5"/>
      </w:pPr>
    </w:p>
    <w:p>
      <w:pPr>
        <w:tabs>
          <w:tab w:pos="705" w:val="left" w:leader="none"/>
        </w:tabs>
        <w:spacing w:before="0"/>
        <w:ind w:left="165" w:right="0" w:firstLine="0"/>
        <w:jc w:val="left"/>
        <w:rPr>
          <w:sz w:val="20"/>
        </w:rPr>
      </w:pPr>
      <w:bookmarkStart w:name="_bookmark752" w:id="754"/>
      <w:bookmarkEnd w:id="754"/>
      <w:r>
        <w:rPr/>
      </w:r>
      <w:hyperlink w:history="true" w:anchor="_bookmark695">
        <w:r>
          <w:rPr>
            <w:color w:val="005DA1"/>
            <w:spacing w:val="-4"/>
            <w:position w:val="5"/>
            <w:sz w:val="14"/>
            <w:u w:val="single" w:color="005DA1"/>
          </w:rPr>
          <w:t>380</w:t>
        </w:r>
      </w:hyperlink>
      <w:r>
        <w:rPr>
          <w:spacing w:val="-4"/>
          <w:position w:val="5"/>
          <w:sz w:val="14"/>
        </w:rPr>
        <w:t>.</w:t>
      </w:r>
      <w:r>
        <w:rPr>
          <w:position w:val="5"/>
          <w:sz w:val="14"/>
        </w:rPr>
        <w:tab/>
      </w:r>
      <w:r>
        <w:rPr>
          <w:sz w:val="20"/>
        </w:rPr>
        <w:t>Above, at </w:t>
      </w:r>
      <w:r>
        <w:rPr>
          <w:spacing w:val="-2"/>
          <w:sz w:val="20"/>
        </w:rPr>
        <w:t>n.358.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753" w:id="755"/>
      <w:bookmarkEnd w:id="755"/>
      <w:r>
        <w:rPr/>
      </w:r>
      <w:hyperlink w:history="true" w:anchor="_bookmark696">
        <w:r>
          <w:rPr>
            <w:color w:val="005DA1"/>
            <w:spacing w:val="-4"/>
            <w:position w:val="5"/>
            <w:sz w:val="14"/>
            <w:u w:val="single" w:color="005DA1"/>
          </w:rPr>
          <w:t>381</w:t>
        </w:r>
      </w:hyperlink>
      <w:r>
        <w:rPr>
          <w:spacing w:val="-4"/>
          <w:position w:val="5"/>
          <w:sz w:val="14"/>
        </w:rPr>
        <w:t>.</w:t>
      </w:r>
      <w:r>
        <w:rPr>
          <w:position w:val="5"/>
          <w:sz w:val="14"/>
        </w:rPr>
        <w:tab/>
      </w:r>
      <w:r>
        <w:rPr>
          <w:sz w:val="20"/>
        </w:rPr>
        <w:t>See</w:t>
      </w:r>
      <w:r>
        <w:rPr>
          <w:spacing w:val="6"/>
          <w:sz w:val="20"/>
        </w:rPr>
        <w:t> </w:t>
      </w:r>
      <w:r>
        <w:rPr>
          <w:rFonts w:ascii="Arial"/>
          <w:i/>
          <w:sz w:val="20"/>
        </w:rPr>
        <w:t>AC</w:t>
      </w:r>
      <w:r>
        <w:rPr>
          <w:rFonts w:ascii="Arial"/>
          <w:i/>
          <w:spacing w:val="6"/>
          <w:sz w:val="20"/>
        </w:rPr>
        <w:t> </w:t>
      </w:r>
      <w:r>
        <w:rPr>
          <w:rFonts w:ascii="Arial"/>
          <w:i/>
          <w:sz w:val="20"/>
        </w:rPr>
        <w:t>Yule</w:t>
      </w:r>
      <w:r>
        <w:rPr>
          <w:rFonts w:ascii="Arial"/>
          <w:i/>
          <w:spacing w:val="6"/>
          <w:sz w:val="20"/>
        </w:rPr>
        <w:t> </w:t>
      </w:r>
      <w:r>
        <w:rPr>
          <w:rFonts w:ascii="Arial"/>
          <w:i/>
          <w:sz w:val="20"/>
        </w:rPr>
        <w:t>&amp;</w:t>
      </w:r>
      <w:r>
        <w:rPr>
          <w:rFonts w:ascii="Arial"/>
          <w:i/>
          <w:spacing w:val="6"/>
          <w:sz w:val="20"/>
        </w:rPr>
        <w:t> </w:t>
      </w:r>
      <w:r>
        <w:rPr>
          <w:rFonts w:ascii="Arial"/>
          <w:i/>
          <w:sz w:val="20"/>
        </w:rPr>
        <w:t>Son</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Speedwell</w:t>
      </w:r>
      <w:r>
        <w:rPr>
          <w:rFonts w:ascii="Arial"/>
          <w:i/>
          <w:spacing w:val="6"/>
          <w:sz w:val="20"/>
        </w:rPr>
        <w:t> </w:t>
      </w:r>
      <w:r>
        <w:rPr>
          <w:rFonts w:ascii="Arial"/>
          <w:i/>
          <w:sz w:val="20"/>
        </w:rPr>
        <w:t>Roofing</w:t>
      </w:r>
      <w:r>
        <w:rPr>
          <w:rFonts w:ascii="Arial"/>
          <w:i/>
          <w:spacing w:val="6"/>
          <w:sz w:val="20"/>
        </w:rPr>
        <w:t> </w:t>
      </w:r>
      <w:r>
        <w:rPr>
          <w:rFonts w:ascii="Arial"/>
          <w:i/>
          <w:sz w:val="20"/>
        </w:rPr>
        <w:t>&amp;</w:t>
      </w:r>
      <w:r>
        <w:rPr>
          <w:rFonts w:ascii="Arial"/>
          <w:i/>
          <w:spacing w:val="6"/>
          <w:sz w:val="20"/>
        </w:rPr>
        <w:t> </w:t>
      </w:r>
      <w:r>
        <w:rPr>
          <w:rFonts w:ascii="Arial"/>
          <w:i/>
          <w:sz w:val="20"/>
        </w:rPr>
        <w:t>Cladding</w:t>
      </w:r>
      <w:r>
        <w:rPr>
          <w:rFonts w:ascii="Arial"/>
          <w:i/>
          <w:spacing w:val="6"/>
          <w:sz w:val="20"/>
        </w:rPr>
        <w:t> </w:t>
      </w:r>
      <w:r>
        <w:rPr>
          <w:rFonts w:ascii="Arial"/>
          <w:i/>
          <w:sz w:val="20"/>
        </w:rPr>
        <w:t>Ltd</w:t>
      </w:r>
      <w:r>
        <w:rPr>
          <w:rFonts w:ascii="Arial"/>
          <w:i/>
          <w:spacing w:val="6"/>
          <w:sz w:val="20"/>
        </w:rPr>
        <w:t> </w:t>
      </w:r>
      <w:r>
        <w:rPr>
          <w:rFonts w:ascii="Arial"/>
          <w:i/>
          <w:sz w:val="20"/>
        </w:rPr>
        <w:t>[2007]</w:t>
      </w:r>
      <w:r>
        <w:rPr>
          <w:rFonts w:ascii="Arial"/>
          <w:i/>
          <w:spacing w:val="6"/>
          <w:sz w:val="20"/>
        </w:rPr>
        <w:t> </w:t>
      </w:r>
      <w:r>
        <w:rPr>
          <w:rFonts w:ascii="Arial"/>
          <w:i/>
          <w:sz w:val="20"/>
        </w:rPr>
        <w:t>EWHC</w:t>
      </w:r>
      <w:r>
        <w:rPr>
          <w:rFonts w:ascii="Arial"/>
          <w:i/>
          <w:spacing w:val="6"/>
          <w:sz w:val="20"/>
        </w:rPr>
        <w:t> </w:t>
      </w:r>
      <w:r>
        <w:rPr>
          <w:rFonts w:ascii="Arial"/>
          <w:i/>
          <w:sz w:val="20"/>
        </w:rPr>
        <w:t>1360</w:t>
      </w:r>
      <w:r>
        <w:rPr>
          <w:rFonts w:ascii="Arial"/>
          <w:i/>
          <w:spacing w:val="6"/>
          <w:sz w:val="20"/>
        </w:rPr>
        <w:t> </w:t>
      </w:r>
      <w:r>
        <w:rPr>
          <w:rFonts w:ascii="Arial"/>
          <w:i/>
          <w:sz w:val="20"/>
        </w:rPr>
        <w:t>(TCC),</w:t>
      </w:r>
      <w:r>
        <w:rPr>
          <w:rFonts w:ascii="Arial"/>
          <w:i/>
          <w:spacing w:val="6"/>
          <w:sz w:val="20"/>
        </w:rPr>
        <w:t> </w:t>
      </w:r>
      <w:r>
        <w:rPr>
          <w:rFonts w:ascii="Arial"/>
          <w:i/>
          <w:spacing w:val="-2"/>
          <w:sz w:val="20"/>
        </w:rPr>
        <w:t>[2007]</w:t>
      </w:r>
    </w:p>
    <w:p>
      <w:pPr>
        <w:spacing w:line="227" w:lineRule="exact" w:before="0"/>
        <w:ind w:left="705" w:right="0" w:firstLine="0"/>
        <w:jc w:val="left"/>
        <w:rPr>
          <w:sz w:val="20"/>
        </w:rPr>
      </w:pPr>
      <w:r>
        <w:rPr>
          <w:rFonts w:ascii="Arial"/>
          <w:i/>
          <w:sz w:val="20"/>
        </w:rPr>
        <w:t>B.L.R.</w:t>
      </w:r>
      <w:r>
        <w:rPr>
          <w:rFonts w:ascii="Arial"/>
          <w:i/>
          <w:spacing w:val="-2"/>
          <w:sz w:val="20"/>
        </w:rPr>
        <w:t> </w:t>
      </w:r>
      <w:r>
        <w:rPr>
          <w:rFonts w:ascii="Arial"/>
          <w:i/>
          <w:spacing w:val="-4"/>
          <w:sz w:val="20"/>
        </w:rPr>
        <w:t>499</w:t>
      </w:r>
      <w:r>
        <w:rPr>
          <w:spacing w:val="-4"/>
          <w:sz w:val="20"/>
        </w:rPr>
        <w:t>.</w:t>
      </w:r>
    </w:p>
    <w:p>
      <w:pPr>
        <w:spacing w:after="0" w:line="227" w:lineRule="exact"/>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697">
        <w:r>
          <w:rPr>
            <w:color w:val="005DA1"/>
            <w:spacing w:val="-4"/>
            <w:position w:val="5"/>
            <w:sz w:val="14"/>
            <w:u w:val="single" w:color="005DA1"/>
          </w:rPr>
          <w:t>382</w:t>
        </w:r>
      </w:hyperlink>
      <w:r>
        <w:rPr>
          <w:spacing w:val="-4"/>
          <w:position w:val="5"/>
          <w:sz w:val="14"/>
        </w:rPr>
        <w:t>.</w:t>
      </w:r>
      <w:r>
        <w:rPr>
          <w:position w:val="5"/>
          <w:sz w:val="14"/>
        </w:rPr>
        <w:tab/>
      </w:r>
      <w:r>
        <w:rPr/>
        <w:t>See below, paras 29-017 et </w:t>
      </w:r>
      <w:r>
        <w:rPr>
          <w:spacing w:val="-4"/>
        </w:rPr>
        <w:t>seq.</w:t>
      </w:r>
    </w:p>
    <w:p>
      <w:pPr>
        <w:pStyle w:val="BodyText"/>
        <w:spacing w:before="5"/>
      </w:pPr>
    </w:p>
    <w:p>
      <w:pPr>
        <w:tabs>
          <w:tab w:pos="705" w:val="left" w:leader="none"/>
        </w:tabs>
        <w:spacing w:before="1"/>
        <w:ind w:left="165" w:right="0" w:firstLine="0"/>
        <w:jc w:val="left"/>
        <w:rPr>
          <w:sz w:val="20"/>
        </w:rPr>
      </w:pPr>
      <w:bookmarkStart w:name="_bookmark754" w:id="756"/>
      <w:bookmarkEnd w:id="756"/>
      <w:r>
        <w:rPr/>
      </w:r>
      <w:hyperlink w:history="true" w:anchor="_bookmark698">
        <w:r>
          <w:rPr>
            <w:color w:val="005DA1"/>
            <w:spacing w:val="-4"/>
            <w:position w:val="5"/>
            <w:sz w:val="14"/>
            <w:u w:val="single" w:color="005DA1"/>
          </w:rPr>
          <w:t>383</w:t>
        </w:r>
      </w:hyperlink>
      <w:r>
        <w:rPr>
          <w:spacing w:val="-4"/>
          <w:position w:val="5"/>
          <w:sz w:val="14"/>
        </w:rPr>
        <w:t>.</w:t>
      </w:r>
      <w:r>
        <w:rPr>
          <w:position w:val="5"/>
          <w:sz w:val="14"/>
        </w:rPr>
        <w:tab/>
      </w:r>
      <w:r>
        <w:rPr>
          <w:rFonts w:ascii="Arial"/>
          <w:i/>
          <w:sz w:val="20"/>
        </w:rPr>
        <w:t>Fairline Shipping Corp v Anderson [1975] Q.B. 180, </w:t>
      </w:r>
      <w:r>
        <w:rPr>
          <w:rFonts w:ascii="Arial"/>
          <w:i/>
          <w:spacing w:val="-4"/>
          <w:sz w:val="20"/>
        </w:rPr>
        <w:t>189</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755" w:id="757"/>
      <w:bookmarkEnd w:id="757"/>
      <w:r>
        <w:rPr/>
      </w:r>
      <w:hyperlink w:history="true" w:anchor="_bookmark699">
        <w:r>
          <w:rPr>
            <w:color w:val="005DA1"/>
            <w:spacing w:val="-4"/>
            <w:position w:val="5"/>
            <w:sz w:val="14"/>
            <w:u w:val="single" w:color="005DA1"/>
          </w:rPr>
          <w:t>384</w:t>
        </w:r>
      </w:hyperlink>
      <w:r>
        <w:rPr>
          <w:spacing w:val="-4"/>
          <w:position w:val="5"/>
          <w:sz w:val="14"/>
        </w:rPr>
        <w:t>.</w:t>
      </w:r>
      <w:r>
        <w:rPr>
          <w:position w:val="5"/>
          <w:sz w:val="14"/>
        </w:rPr>
        <w:tab/>
      </w:r>
      <w:r>
        <w:rPr/>
        <w:t>Even in such exceptional cases, the offeror is not </w:t>
      </w:r>
      <w:r>
        <w:rPr>
          <w:rFonts w:ascii="Arial" w:hAnsi="Arial"/>
          <w:i/>
        </w:rPr>
        <w:t>invariably </w:t>
      </w:r>
      <w:r>
        <w:rPr/>
        <w:t>bound by the offeree’s silence: </w:t>
      </w:r>
      <w:r>
        <w:rPr/>
        <w:t>see above, at n.360.</w:t>
      </w:r>
    </w:p>
    <w:p>
      <w:pPr>
        <w:pStyle w:val="BodyText"/>
        <w:spacing w:before="6"/>
      </w:pPr>
    </w:p>
    <w:p>
      <w:pPr>
        <w:tabs>
          <w:tab w:pos="705" w:val="left" w:leader="none"/>
        </w:tabs>
        <w:spacing w:before="0"/>
        <w:ind w:left="165" w:right="0" w:firstLine="0"/>
        <w:jc w:val="left"/>
        <w:rPr>
          <w:sz w:val="20"/>
        </w:rPr>
      </w:pPr>
      <w:bookmarkStart w:name="_bookmark756" w:id="758"/>
      <w:bookmarkEnd w:id="758"/>
      <w:r>
        <w:rPr/>
      </w:r>
      <w:hyperlink w:history="true" w:anchor="_bookmark700">
        <w:r>
          <w:rPr>
            <w:color w:val="005DA1"/>
            <w:spacing w:val="-4"/>
            <w:position w:val="5"/>
            <w:sz w:val="14"/>
            <w:u w:val="single" w:color="005DA1"/>
          </w:rPr>
          <w:t>385</w:t>
        </w:r>
      </w:hyperlink>
      <w:r>
        <w:rPr>
          <w:spacing w:val="-4"/>
          <w:position w:val="5"/>
          <w:sz w:val="14"/>
        </w:rPr>
        <w:t>.</w:t>
      </w:r>
      <w:r>
        <w:rPr>
          <w:position w:val="5"/>
          <w:sz w:val="14"/>
        </w:rPr>
        <w:tab/>
      </w:r>
      <w:r>
        <w:rPr>
          <w:sz w:val="20"/>
        </w:rPr>
        <w:t>Above, para.2-</w:t>
      </w:r>
      <w:r>
        <w:rPr>
          <w:spacing w:val="-4"/>
          <w:sz w:val="20"/>
        </w:rPr>
        <w:t>068.</w:t>
      </w:r>
    </w:p>
    <w:p>
      <w:pPr>
        <w:pStyle w:val="BodyText"/>
        <w:spacing w:before="8"/>
      </w:pPr>
    </w:p>
    <w:p>
      <w:pPr>
        <w:pStyle w:val="BodyText"/>
        <w:tabs>
          <w:tab w:pos="705" w:val="left" w:leader="none"/>
        </w:tabs>
        <w:spacing w:line="235" w:lineRule="auto" w:before="1"/>
        <w:ind w:left="705" w:right="168" w:hanging="541"/>
      </w:pPr>
      <w:bookmarkStart w:name="_bookmark757" w:id="759"/>
      <w:bookmarkEnd w:id="759"/>
      <w:r>
        <w:rPr/>
      </w:r>
      <w:hyperlink w:history="true" w:anchor="_bookmark701">
        <w:r>
          <w:rPr>
            <w:color w:val="005DA1"/>
            <w:spacing w:val="-4"/>
            <w:position w:val="5"/>
            <w:sz w:val="14"/>
            <w:u w:val="single" w:color="005DA1"/>
          </w:rPr>
          <w:t>386</w:t>
        </w:r>
      </w:hyperlink>
      <w:r>
        <w:rPr>
          <w:spacing w:val="-4"/>
          <w:position w:val="5"/>
          <w:sz w:val="14"/>
        </w:rPr>
        <w:t>.</w:t>
      </w:r>
      <w:r>
        <w:rPr>
          <w:position w:val="5"/>
          <w:sz w:val="14"/>
        </w:rPr>
        <w:tab/>
      </w:r>
      <w:r>
        <w:rPr/>
        <w:t>This argument would not apply where the terms of the offer had been drafted by the offeree: cf. above, para.2-067.</w:t>
      </w:r>
    </w:p>
    <w:p>
      <w:pPr>
        <w:pStyle w:val="BodyText"/>
        <w:spacing w:before="5"/>
      </w:pPr>
    </w:p>
    <w:p>
      <w:pPr>
        <w:tabs>
          <w:tab w:pos="705" w:val="left" w:leader="none"/>
        </w:tabs>
        <w:spacing w:before="0"/>
        <w:ind w:left="165" w:right="0" w:firstLine="0"/>
        <w:jc w:val="left"/>
        <w:rPr>
          <w:sz w:val="20"/>
        </w:rPr>
      </w:pPr>
      <w:bookmarkStart w:name="_bookmark758" w:id="760"/>
      <w:bookmarkEnd w:id="760"/>
      <w:r>
        <w:rPr/>
      </w:r>
      <w:hyperlink w:history="true" w:anchor="_bookmark702">
        <w:r>
          <w:rPr>
            <w:color w:val="005DA1"/>
            <w:spacing w:val="-4"/>
            <w:position w:val="5"/>
            <w:sz w:val="14"/>
            <w:u w:val="single" w:color="005DA1"/>
          </w:rPr>
          <w:t>387</w:t>
        </w:r>
      </w:hyperlink>
      <w:r>
        <w:rPr>
          <w:spacing w:val="-4"/>
          <w:position w:val="5"/>
          <w:sz w:val="14"/>
        </w:rPr>
        <w:t>.</w:t>
      </w:r>
      <w:r>
        <w:rPr>
          <w:position w:val="5"/>
          <w:sz w:val="14"/>
        </w:rPr>
        <w:tab/>
      </w:r>
      <w:r>
        <w:rPr>
          <w:rFonts w:ascii="Arial"/>
          <w:i/>
          <w:sz w:val="20"/>
        </w:rPr>
        <w:t>Fairline</w:t>
      </w:r>
      <w:r>
        <w:rPr>
          <w:rFonts w:ascii="Arial"/>
          <w:i/>
          <w:spacing w:val="-1"/>
          <w:sz w:val="20"/>
        </w:rPr>
        <w:t> </w:t>
      </w:r>
      <w:r>
        <w:rPr>
          <w:rFonts w:ascii="Arial"/>
          <w:i/>
          <w:sz w:val="20"/>
        </w:rPr>
        <w:t>Shipping Corp v Anderson</w:t>
      </w:r>
      <w:r>
        <w:rPr>
          <w:sz w:val="20"/>
        </w:rPr>
        <w:t>, above, </w:t>
      </w:r>
      <w:r>
        <w:rPr>
          <w:spacing w:val="-2"/>
          <w:sz w:val="20"/>
        </w:rPr>
        <w:t>n.374.</w:t>
      </w:r>
    </w:p>
    <w:p>
      <w:pPr>
        <w:pStyle w:val="BodyText"/>
        <w:spacing w:before="5"/>
      </w:pPr>
    </w:p>
    <w:p>
      <w:pPr>
        <w:pStyle w:val="BodyText"/>
        <w:tabs>
          <w:tab w:pos="705" w:val="left" w:leader="none"/>
        </w:tabs>
        <w:ind w:left="165"/>
      </w:pPr>
      <w:bookmarkStart w:name="_bookmark759" w:id="761"/>
      <w:bookmarkEnd w:id="761"/>
      <w:r>
        <w:rPr/>
      </w:r>
      <w:hyperlink w:history="true" w:anchor="_bookmark703">
        <w:r>
          <w:rPr>
            <w:color w:val="005DA1"/>
            <w:spacing w:val="-4"/>
            <w:position w:val="5"/>
            <w:sz w:val="14"/>
            <w:u w:val="single" w:color="005DA1"/>
          </w:rPr>
          <w:t>388</w:t>
        </w:r>
      </w:hyperlink>
      <w:r>
        <w:rPr>
          <w:spacing w:val="-4"/>
          <w:position w:val="5"/>
          <w:sz w:val="14"/>
        </w:rPr>
        <w:t>.</w:t>
      </w:r>
      <w:r>
        <w:rPr>
          <w:position w:val="5"/>
          <w:sz w:val="14"/>
        </w:rPr>
        <w:tab/>
      </w:r>
      <w:r>
        <w:rPr/>
        <w:t>cf. above, para.2-</w:t>
      </w:r>
      <w:r>
        <w:rPr>
          <w:spacing w:val="-4"/>
        </w:rPr>
        <w:t>029.</w:t>
      </w:r>
    </w:p>
    <w:p>
      <w:pPr>
        <w:pStyle w:val="BodyText"/>
        <w:spacing w:before="9"/>
      </w:pPr>
    </w:p>
    <w:p>
      <w:pPr>
        <w:pStyle w:val="BodyText"/>
        <w:spacing w:line="235" w:lineRule="auto"/>
        <w:ind w:left="705" w:right="167" w:hanging="541"/>
        <w:jc w:val="both"/>
      </w:pPr>
      <w:bookmarkStart w:name="_bookmark760" w:id="762"/>
      <w:bookmarkEnd w:id="762"/>
      <w:r>
        <w:rPr/>
      </w:r>
      <w:hyperlink w:history="true" w:anchor="_bookmark704">
        <w:r>
          <w:rPr>
            <w:color w:val="005DA1"/>
            <w:position w:val="5"/>
            <w:sz w:val="14"/>
            <w:u w:val="single" w:color="005DA1"/>
          </w:rPr>
          <w:t>389</w:t>
        </w:r>
      </w:hyperlink>
      <w:r>
        <w:rPr>
          <w:position w:val="5"/>
          <w:sz w:val="14"/>
        </w:rPr>
        <w:t>.</w:t>
      </w:r>
      <w:r>
        <w:rPr>
          <w:spacing w:val="80"/>
          <w:position w:val="5"/>
          <w:sz w:val="14"/>
        </w:rPr>
        <w:t>  </w:t>
      </w:r>
      <w:r>
        <w:rPr/>
        <w:t>This statement is cited with apparent approval in </w:t>
      </w:r>
      <w:r>
        <w:rPr>
          <w:rFonts w:ascii="Arial" w:hAnsi="Arial"/>
          <w:i/>
        </w:rPr>
        <w:t>Vis Trading v Nazarov [2014] EWCA Civ 313</w:t>
      </w:r>
      <w:r>
        <w:rPr>
          <w:rFonts w:ascii="Arial" w:hAnsi="Arial"/>
          <w:i/>
          <w:spacing w:val="40"/>
        </w:rPr>
        <w:t> </w:t>
      </w:r>
      <w:r>
        <w:rPr/>
        <w:t>at [40]. The actual decision in this case was based on a provision of the Russian Civil </w:t>
      </w:r>
      <w:r>
        <w:rPr/>
        <w:t>Code, which did “not wholly rule out silence as acceptance”.</w:t>
      </w:r>
    </w:p>
    <w:p>
      <w:pPr>
        <w:pStyle w:val="BodyText"/>
        <w:spacing w:before="5"/>
      </w:pPr>
    </w:p>
    <w:p>
      <w:pPr>
        <w:tabs>
          <w:tab w:pos="705" w:val="left" w:leader="none"/>
        </w:tabs>
        <w:spacing w:before="0"/>
        <w:ind w:left="165" w:right="0" w:firstLine="0"/>
        <w:jc w:val="left"/>
        <w:rPr>
          <w:sz w:val="20"/>
        </w:rPr>
      </w:pPr>
      <w:bookmarkStart w:name="_bookmark761" w:id="763"/>
      <w:bookmarkEnd w:id="763"/>
      <w:r>
        <w:rPr/>
      </w:r>
      <w:hyperlink w:history="true" w:anchor="_bookmark705">
        <w:r>
          <w:rPr>
            <w:color w:val="005DA1"/>
            <w:spacing w:val="-4"/>
            <w:position w:val="5"/>
            <w:sz w:val="14"/>
            <w:u w:val="single" w:color="005DA1"/>
          </w:rPr>
          <w:t>390</w:t>
        </w:r>
      </w:hyperlink>
      <w:r>
        <w:rPr>
          <w:spacing w:val="-4"/>
          <w:position w:val="5"/>
          <w:sz w:val="14"/>
        </w:rPr>
        <w:t>.</w:t>
      </w:r>
      <w:r>
        <w:rPr>
          <w:position w:val="5"/>
          <w:sz w:val="14"/>
        </w:rPr>
        <w:tab/>
      </w:r>
      <w:r>
        <w:rPr>
          <w:sz w:val="20"/>
        </w:rPr>
        <w:t>Below, para.4-</w:t>
      </w:r>
      <w:r>
        <w:rPr>
          <w:spacing w:val="-4"/>
          <w:sz w:val="20"/>
        </w:rPr>
        <w:t>058.</w:t>
      </w:r>
    </w:p>
    <w:p>
      <w:pPr>
        <w:pStyle w:val="BodyText"/>
        <w:spacing w:before="5"/>
      </w:pPr>
    </w:p>
    <w:p>
      <w:pPr>
        <w:tabs>
          <w:tab w:pos="705" w:val="left" w:leader="none"/>
        </w:tabs>
        <w:spacing w:before="0"/>
        <w:ind w:left="165" w:right="0" w:firstLine="0"/>
        <w:jc w:val="left"/>
        <w:rPr>
          <w:sz w:val="20"/>
        </w:rPr>
      </w:pPr>
      <w:bookmarkStart w:name="_bookmark762" w:id="764"/>
      <w:bookmarkEnd w:id="764"/>
      <w:r>
        <w:rPr/>
      </w:r>
      <w:hyperlink w:history="true" w:anchor="_bookmark706">
        <w:r>
          <w:rPr>
            <w:color w:val="005DA1"/>
            <w:spacing w:val="-4"/>
            <w:position w:val="5"/>
            <w:sz w:val="14"/>
            <w:u w:val="single" w:color="005DA1"/>
          </w:rPr>
          <w:t>391</w:t>
        </w:r>
      </w:hyperlink>
      <w:r>
        <w:rPr>
          <w:spacing w:val="-4"/>
          <w:position w:val="5"/>
          <w:sz w:val="14"/>
        </w:rPr>
        <w:t>.</w:t>
      </w:r>
      <w:r>
        <w:rPr>
          <w:position w:val="5"/>
          <w:sz w:val="14"/>
        </w:rPr>
        <w:tab/>
      </w:r>
      <w:r>
        <w:rPr>
          <w:rFonts w:ascii="Arial"/>
          <w:i/>
          <w:sz w:val="20"/>
        </w:rPr>
        <w:t>Roberts v Hayward (1828) 3 C. &amp; P. </w:t>
      </w:r>
      <w:r>
        <w:rPr>
          <w:rFonts w:ascii="Arial"/>
          <w:i/>
          <w:spacing w:val="-4"/>
          <w:sz w:val="20"/>
        </w:rPr>
        <w:t>432</w:t>
      </w:r>
      <w:r>
        <w:rPr>
          <w:spacing w:val="-4"/>
          <w:sz w:val="20"/>
        </w:rPr>
        <w:t>.</w:t>
      </w:r>
    </w:p>
    <w:p>
      <w:pPr>
        <w:pStyle w:val="BodyText"/>
        <w:spacing w:before="9"/>
      </w:pPr>
    </w:p>
    <w:p>
      <w:pPr>
        <w:spacing w:line="235" w:lineRule="auto" w:before="0"/>
        <w:ind w:left="705" w:right="167" w:hanging="541"/>
        <w:jc w:val="both"/>
        <w:rPr>
          <w:sz w:val="20"/>
        </w:rPr>
      </w:pPr>
      <w:bookmarkStart w:name="_bookmark763" w:id="765"/>
      <w:bookmarkEnd w:id="765"/>
      <w:r>
        <w:rPr/>
      </w:r>
      <w:hyperlink w:history="true" w:anchor="_bookmark707">
        <w:r>
          <w:rPr>
            <w:color w:val="005DA1"/>
            <w:position w:val="5"/>
            <w:sz w:val="14"/>
            <w:u w:val="single" w:color="005DA1"/>
          </w:rPr>
          <w:t>392</w:t>
        </w:r>
      </w:hyperlink>
      <w:r>
        <w:rPr>
          <w:position w:val="5"/>
          <w:sz w:val="14"/>
        </w:rPr>
        <w:t>.</w:t>
      </w:r>
      <w:r>
        <w:rPr>
          <w:spacing w:val="80"/>
          <w:w w:val="150"/>
          <w:position w:val="5"/>
          <w:sz w:val="14"/>
        </w:rPr>
        <w:t> </w:t>
      </w:r>
      <w:r>
        <w:rPr>
          <w:sz w:val="20"/>
        </w:rPr>
        <w:t>See</w:t>
      </w:r>
      <w:r>
        <w:rPr>
          <w:spacing w:val="40"/>
          <w:sz w:val="20"/>
        </w:rPr>
        <w:t> </w:t>
      </w:r>
      <w:r>
        <w:rPr>
          <w:rFonts w:ascii="Arial" w:hAnsi="Arial"/>
          <w:i/>
          <w:sz w:val="20"/>
        </w:rPr>
        <w:t>Claxton</w:t>
      </w:r>
      <w:r>
        <w:rPr>
          <w:rFonts w:ascii="Arial" w:hAnsi="Arial"/>
          <w:i/>
          <w:spacing w:val="40"/>
          <w:sz w:val="20"/>
        </w:rPr>
        <w:t> </w:t>
      </w:r>
      <w:r>
        <w:rPr>
          <w:rFonts w:ascii="Arial" w:hAnsi="Arial"/>
          <w:i/>
          <w:sz w:val="20"/>
        </w:rPr>
        <w:t>Engineering</w:t>
      </w:r>
      <w:r>
        <w:rPr>
          <w:rFonts w:ascii="Arial" w:hAnsi="Arial"/>
          <w:i/>
          <w:spacing w:val="40"/>
          <w:sz w:val="20"/>
        </w:rPr>
        <w:t> </w:t>
      </w:r>
      <w:r>
        <w:rPr>
          <w:rFonts w:ascii="Arial" w:hAnsi="Arial"/>
          <w:i/>
          <w:sz w:val="20"/>
        </w:rPr>
        <w:t>Services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TXM</w:t>
      </w:r>
      <w:r>
        <w:rPr>
          <w:rFonts w:ascii="Arial" w:hAnsi="Arial"/>
          <w:i/>
          <w:spacing w:val="40"/>
          <w:sz w:val="20"/>
        </w:rPr>
        <w:t> </w:t>
      </w:r>
      <w:r>
        <w:rPr>
          <w:rFonts w:ascii="Arial" w:hAnsi="Arial"/>
          <w:i/>
          <w:sz w:val="20"/>
        </w:rPr>
        <w:t>Olaj-és</w:t>
      </w:r>
      <w:r>
        <w:rPr>
          <w:rFonts w:ascii="Arial" w:hAnsi="Arial"/>
          <w:i/>
          <w:spacing w:val="40"/>
          <w:sz w:val="20"/>
        </w:rPr>
        <w:t> </w:t>
      </w:r>
      <w:r>
        <w:rPr>
          <w:rFonts w:ascii="Arial" w:hAnsi="Arial"/>
          <w:i/>
          <w:sz w:val="20"/>
        </w:rPr>
        <w:t>Gázkutató</w:t>
      </w:r>
      <w:r>
        <w:rPr>
          <w:rFonts w:ascii="Arial" w:hAnsi="Arial"/>
          <w:i/>
          <w:spacing w:val="40"/>
          <w:sz w:val="20"/>
        </w:rPr>
        <w:t> </w:t>
      </w:r>
      <w:r>
        <w:rPr>
          <w:rFonts w:ascii="Arial" w:hAnsi="Arial"/>
          <w:i/>
          <w:sz w:val="20"/>
        </w:rPr>
        <w:t>Kft</w:t>
      </w:r>
      <w:r>
        <w:rPr>
          <w:rFonts w:ascii="Arial" w:hAnsi="Arial"/>
          <w:i/>
          <w:spacing w:val="40"/>
          <w:sz w:val="20"/>
        </w:rPr>
        <w:t> </w:t>
      </w:r>
      <w:r>
        <w:rPr>
          <w:rFonts w:ascii="Arial" w:hAnsi="Arial"/>
          <w:i/>
          <w:sz w:val="20"/>
        </w:rPr>
        <w:t>[2010]</w:t>
      </w:r>
      <w:r>
        <w:rPr>
          <w:rFonts w:ascii="Arial" w:hAnsi="Arial"/>
          <w:i/>
          <w:spacing w:val="40"/>
          <w:sz w:val="20"/>
        </w:rPr>
        <w:t> </w:t>
      </w:r>
      <w:r>
        <w:rPr>
          <w:rFonts w:ascii="Arial" w:hAnsi="Arial"/>
          <w:i/>
          <w:sz w:val="20"/>
        </w:rPr>
        <w:t>EWHC</w:t>
      </w:r>
      <w:r>
        <w:rPr>
          <w:rFonts w:ascii="Arial" w:hAnsi="Arial"/>
          <w:i/>
          <w:spacing w:val="40"/>
          <w:sz w:val="20"/>
        </w:rPr>
        <w:t> </w:t>
      </w:r>
      <w:r>
        <w:rPr>
          <w:rFonts w:ascii="Arial" w:hAnsi="Arial"/>
          <w:i/>
          <w:sz w:val="20"/>
        </w:rPr>
        <w:t>2567 (Comm), [2011] 2 All E.R. (Comm) 38 </w:t>
      </w:r>
      <w:r>
        <w:rPr>
          <w:sz w:val="20"/>
        </w:rPr>
        <w:t>(above, para.2-035 n.185), when Gloster J. said (at </w:t>
      </w:r>
      <w:r>
        <w:rPr>
          <w:sz w:val="20"/>
        </w:rPr>
        <w:t>[52] that there was “some artificiality in the concept of an implied agreement to the counter-offer by nonresponsive silence”, but concluded at [55] that the buyer had “accepted [the seller’s] counterproposal by its subsequent performance”, i.e. by conduct rather than by silence.</w:t>
      </w:r>
    </w:p>
    <w:p>
      <w:pPr>
        <w:pStyle w:val="BodyText"/>
        <w:spacing w:before="8"/>
      </w:pPr>
    </w:p>
    <w:p>
      <w:pPr>
        <w:spacing w:line="235" w:lineRule="auto" w:before="0"/>
        <w:ind w:left="705" w:right="167" w:hanging="541"/>
        <w:jc w:val="both"/>
        <w:rPr>
          <w:sz w:val="20"/>
        </w:rPr>
      </w:pPr>
      <w:bookmarkStart w:name="_bookmark764" w:id="766"/>
      <w:bookmarkEnd w:id="766"/>
      <w:r>
        <w:rPr/>
      </w:r>
      <w:hyperlink w:history="true" w:anchor="_bookmark708">
        <w:r>
          <w:rPr>
            <w:color w:val="005DA1"/>
            <w:position w:val="5"/>
            <w:sz w:val="14"/>
            <w:u w:val="single" w:color="005DA1"/>
          </w:rPr>
          <w:t>393</w:t>
        </w:r>
      </w:hyperlink>
      <w:r>
        <w:rPr>
          <w:position w:val="5"/>
          <w:sz w:val="14"/>
        </w:rPr>
        <w:t>.</w:t>
      </w:r>
      <w:r>
        <w:rPr>
          <w:spacing w:val="80"/>
          <w:position w:val="5"/>
          <w:sz w:val="14"/>
        </w:rPr>
        <w:t>  </w:t>
      </w:r>
      <w:r>
        <w:rPr>
          <w:rFonts w:ascii="Arial" w:hAnsi="Arial"/>
          <w:i/>
          <w:sz w:val="20"/>
        </w:rPr>
        <w:t>Wettern Electric Ltd v Welsh Development Agency [1983] Q.B. 796</w:t>
      </w:r>
      <w:r>
        <w:rPr>
          <w:sz w:val="20"/>
        </w:rPr>
        <w:t>. For acceptance by conduct (as opposed to mere silence) see also </w:t>
      </w:r>
      <w:r>
        <w:rPr>
          <w:rFonts w:ascii="Arial" w:hAnsi="Arial"/>
          <w:i/>
          <w:sz w:val="20"/>
        </w:rPr>
        <w:t>Aspinall’s Club Ltd v Al Zayat [2007] EWCA Civ 1001 </w:t>
      </w:r>
      <w:r>
        <w:rPr>
          <w:sz w:val="20"/>
        </w:rPr>
        <w:t>at [19], [30] (acceptance of alleged terms on which a cheque was given by the recipient’s accepting the cheque and returning “scrip” cheques previously given in respect of gambling </w:t>
      </w:r>
      <w:r>
        <w:rPr>
          <w:spacing w:val="-2"/>
          <w:sz w:val="20"/>
        </w:rPr>
        <w:t>losses).</w:t>
      </w:r>
    </w:p>
    <w:p>
      <w:pPr>
        <w:pStyle w:val="BodyText"/>
        <w:spacing w:before="8"/>
      </w:pPr>
    </w:p>
    <w:p>
      <w:pPr>
        <w:spacing w:line="235" w:lineRule="auto" w:before="0"/>
        <w:ind w:left="705" w:right="167" w:hanging="541"/>
        <w:jc w:val="both"/>
        <w:rPr>
          <w:sz w:val="20"/>
        </w:rPr>
      </w:pPr>
      <w:bookmarkStart w:name="_bookmark765" w:id="767"/>
      <w:bookmarkEnd w:id="767"/>
      <w:r>
        <w:rPr/>
      </w:r>
      <w:hyperlink w:history="true" w:anchor="_bookmark709">
        <w:r>
          <w:rPr>
            <w:color w:val="005DA1"/>
            <w:position w:val="5"/>
            <w:sz w:val="14"/>
            <w:u w:val="single" w:color="005DA1"/>
          </w:rPr>
          <w:t>394</w:t>
        </w:r>
      </w:hyperlink>
      <w:r>
        <w:rPr>
          <w:position w:val="5"/>
          <w:sz w:val="14"/>
        </w:rPr>
        <w:t>.</w:t>
      </w:r>
      <w:r>
        <w:rPr>
          <w:spacing w:val="40"/>
          <w:position w:val="5"/>
          <w:sz w:val="14"/>
        </w:rPr>
        <w:t>  </w:t>
      </w:r>
      <w:r>
        <w:rPr>
          <w:sz w:val="20"/>
        </w:rPr>
        <w:t>See </w:t>
      </w:r>
      <w:r>
        <w:rPr>
          <w:rFonts w:ascii="Arial"/>
          <w:i/>
          <w:sz w:val="20"/>
        </w:rPr>
        <w:t>Westminster Building Co Ltd v Buckingham [2004] EWHC 138, [2004] B.L.R. 163</w:t>
      </w:r>
      <w:r>
        <w:rPr>
          <w:sz w:val="20"/>
        </w:rPr>
        <w:t>; contrast </w:t>
      </w:r>
      <w:r>
        <w:rPr>
          <w:rFonts w:ascii="Arial"/>
          <w:i/>
          <w:sz w:val="20"/>
        </w:rPr>
        <w:t>Mirant Asia-Pacific Construction (Hong Kong) Ltd v Ove Arup &amp; Partners International OAPIL (No.2) [2004] EWHC 1750, 97 Con. L.R. 1</w:t>
      </w:r>
      <w:r>
        <w:rPr>
          <w:sz w:val="20"/>
        </w:rPr>
        <w:t>. In these cases the point at issue related to the terms, rather than to the existence, of the contract.</w:t>
      </w:r>
    </w:p>
    <w:p>
      <w:pPr>
        <w:pStyle w:val="BodyText"/>
        <w:spacing w:before="5"/>
      </w:pPr>
    </w:p>
    <w:p>
      <w:pPr>
        <w:pStyle w:val="BodyText"/>
        <w:tabs>
          <w:tab w:pos="705" w:val="left" w:leader="none"/>
        </w:tabs>
        <w:ind w:left="165"/>
      </w:pPr>
      <w:bookmarkStart w:name="_bookmark766" w:id="768"/>
      <w:bookmarkEnd w:id="768"/>
      <w:r>
        <w:rPr/>
      </w:r>
      <w:hyperlink w:history="true" w:anchor="_bookmark710">
        <w:r>
          <w:rPr>
            <w:color w:val="005DA1"/>
            <w:spacing w:val="-4"/>
            <w:position w:val="5"/>
            <w:sz w:val="14"/>
            <w:u w:val="single" w:color="005DA1"/>
          </w:rPr>
          <w:t>395</w:t>
        </w:r>
      </w:hyperlink>
      <w:r>
        <w:rPr>
          <w:spacing w:val="-4"/>
          <w:position w:val="5"/>
          <w:sz w:val="14"/>
        </w:rPr>
        <w:t>.</w:t>
      </w:r>
      <w:r>
        <w:rPr>
          <w:position w:val="5"/>
          <w:sz w:val="14"/>
        </w:rPr>
        <w:tab/>
      </w:r>
      <w:r>
        <w:rPr/>
        <w:t>Arbitration Act 1996 s.41(3); above, para.2-</w:t>
      </w:r>
      <w:r>
        <w:rPr>
          <w:spacing w:val="-4"/>
        </w:rPr>
        <w:t>006.</w:t>
      </w:r>
    </w:p>
    <w:p>
      <w:pPr>
        <w:pStyle w:val="BodyText"/>
        <w:spacing w:before="5"/>
      </w:pPr>
    </w:p>
    <w:p>
      <w:pPr>
        <w:pStyle w:val="BodyText"/>
        <w:tabs>
          <w:tab w:pos="705" w:val="left" w:leader="none"/>
        </w:tabs>
        <w:ind w:left="165"/>
      </w:pPr>
      <w:bookmarkStart w:name="_bookmark767" w:id="769"/>
      <w:bookmarkEnd w:id="769"/>
      <w:r>
        <w:rPr/>
      </w:r>
      <w:hyperlink w:history="true" w:anchor="_bookmark711">
        <w:r>
          <w:rPr>
            <w:color w:val="005DA1"/>
            <w:spacing w:val="-4"/>
            <w:position w:val="5"/>
            <w:sz w:val="14"/>
            <w:u w:val="single" w:color="005DA1"/>
          </w:rPr>
          <w:t>396</w:t>
        </w:r>
      </w:hyperlink>
      <w:r>
        <w:rPr>
          <w:spacing w:val="-4"/>
          <w:position w:val="5"/>
          <w:sz w:val="14"/>
        </w:rPr>
        <w:t>.</w:t>
      </w:r>
      <w:r>
        <w:rPr>
          <w:position w:val="5"/>
          <w:sz w:val="14"/>
        </w:rPr>
        <w:tab/>
      </w:r>
      <w:r>
        <w:rPr/>
        <w:t>Arbitration Act 1996 </w:t>
      </w:r>
      <w:r>
        <w:rPr>
          <w:spacing w:val="-2"/>
        </w:rPr>
        <w:t>s.41(2).</w:t>
      </w:r>
    </w:p>
    <w:p>
      <w:pPr>
        <w:pStyle w:val="BodyText"/>
        <w:spacing w:before="5"/>
      </w:pPr>
    </w:p>
    <w:p>
      <w:pPr>
        <w:tabs>
          <w:tab w:pos="705" w:val="left" w:leader="none"/>
        </w:tabs>
        <w:spacing w:before="0"/>
        <w:ind w:left="165" w:right="0" w:firstLine="0"/>
        <w:jc w:val="left"/>
        <w:rPr>
          <w:sz w:val="20"/>
        </w:rPr>
      </w:pPr>
      <w:bookmarkStart w:name="_bookmark768" w:id="770"/>
      <w:bookmarkEnd w:id="770"/>
      <w:r>
        <w:rPr/>
      </w:r>
      <w:hyperlink w:history="true" w:anchor="_bookmark712">
        <w:r>
          <w:rPr>
            <w:color w:val="005DA1"/>
            <w:spacing w:val="-4"/>
            <w:position w:val="5"/>
            <w:sz w:val="14"/>
            <w:u w:val="single" w:color="005DA1"/>
          </w:rPr>
          <w:t>397</w:t>
        </w:r>
      </w:hyperlink>
      <w:r>
        <w:rPr>
          <w:spacing w:val="-4"/>
          <w:position w:val="5"/>
          <w:sz w:val="14"/>
        </w:rPr>
        <w:t>.</w:t>
      </w:r>
      <w:r>
        <w:rPr>
          <w:position w:val="5"/>
          <w:sz w:val="14"/>
        </w:rPr>
        <w:tab/>
      </w:r>
      <w:r>
        <w:rPr>
          <w:sz w:val="20"/>
        </w:rPr>
        <w:t>cf. </w:t>
      </w:r>
      <w:r>
        <w:rPr>
          <w:rFonts w:ascii="Arial"/>
          <w:i/>
          <w:sz w:val="20"/>
        </w:rPr>
        <w:t>Collin v Duke of Westminster [1985] Q.B. </w:t>
      </w:r>
      <w:r>
        <w:rPr>
          <w:rFonts w:ascii="Arial"/>
          <w:i/>
          <w:spacing w:val="-4"/>
          <w:sz w:val="20"/>
        </w:rPr>
        <w:t>581</w:t>
      </w:r>
      <w:r>
        <w:rPr>
          <w:spacing w:val="-4"/>
          <w:sz w:val="20"/>
        </w:rPr>
        <w:t>.</w:t>
      </w:r>
    </w:p>
    <w:p>
      <w:pPr>
        <w:pStyle w:val="BodyText"/>
        <w:spacing w:before="9"/>
      </w:pPr>
    </w:p>
    <w:p>
      <w:pPr>
        <w:spacing w:line="235" w:lineRule="auto" w:before="0"/>
        <w:ind w:left="705" w:right="167" w:hanging="541"/>
        <w:jc w:val="both"/>
        <w:rPr>
          <w:sz w:val="20"/>
        </w:rPr>
      </w:pPr>
      <w:bookmarkStart w:name="_bookmark769" w:id="771"/>
      <w:bookmarkEnd w:id="771"/>
      <w:r>
        <w:rPr/>
      </w:r>
      <w:hyperlink w:history="true" w:anchor="_bookmark713">
        <w:r>
          <w:rPr>
            <w:color w:val="005DA1"/>
            <w:position w:val="5"/>
            <w:sz w:val="14"/>
            <w:u w:val="single" w:color="005DA1"/>
          </w:rPr>
          <w:t>398</w:t>
        </w:r>
      </w:hyperlink>
      <w:r>
        <w:rPr>
          <w:position w:val="5"/>
          <w:sz w:val="14"/>
        </w:rPr>
        <w:t>.</w:t>
      </w:r>
      <w:r>
        <w:rPr>
          <w:spacing w:val="40"/>
          <w:position w:val="5"/>
          <w:sz w:val="14"/>
        </w:rPr>
        <w:t>  </w:t>
      </w:r>
      <w:r>
        <w:rPr>
          <w:sz w:val="20"/>
        </w:rPr>
        <w:t>See </w:t>
      </w:r>
      <w:r>
        <w:rPr>
          <w:rFonts w:ascii="Arial" w:hAnsi="Arial"/>
          <w:i/>
          <w:sz w:val="20"/>
        </w:rPr>
        <w:t>André &amp; Cie v Marine Transocean Ltd (The Splendid Sun) [1981] Q.B. 694, 712, 713 </w:t>
      </w:r>
      <w:r>
        <w:rPr>
          <w:sz w:val="20"/>
        </w:rPr>
        <w:t>(“closed their file”), cf. 706 (“did so act”). </w:t>
      </w:r>
      <w:r>
        <w:rPr>
          <w:rFonts w:ascii="Arial" w:hAnsi="Arial"/>
          <w:i/>
          <w:sz w:val="20"/>
        </w:rPr>
        <w:t>Tracomin SA v Anton C. Nielsen A/S [1984] 2 </w:t>
      </w:r>
      <w:r>
        <w:rPr>
          <w:rFonts w:ascii="Arial" w:hAnsi="Arial"/>
          <w:i/>
          <w:sz w:val="20"/>
        </w:rPr>
        <w:t>Lloyd’s Rep. 195 </w:t>
      </w:r>
      <w:r>
        <w:rPr>
          <w:sz w:val="20"/>
        </w:rPr>
        <w:t>can be supported on the same ground even though it was in part based on the decision at first instance in</w:t>
      </w:r>
      <w:r>
        <w:rPr>
          <w:spacing w:val="-1"/>
          <w:sz w:val="20"/>
        </w:rPr>
        <w:t> </w:t>
      </w:r>
      <w:r>
        <w:rPr>
          <w:rFonts w:ascii="Arial" w:hAnsi="Arial"/>
          <w:i/>
          <w:sz w:val="20"/>
        </w:rPr>
        <w:t>Allied Marine Transport Ltd v Vale do Rio Doce Navegaçao SA (The Leonidas D.) </w:t>
      </w:r>
      <w:r>
        <w:rPr>
          <w:sz w:val="20"/>
        </w:rPr>
        <w:t>which was reversed on appeal </w:t>
      </w:r>
      <w:r>
        <w:rPr>
          <w:rFonts w:ascii="Arial" w:hAnsi="Arial"/>
          <w:i/>
          <w:sz w:val="20"/>
        </w:rPr>
        <w:t>[1985] 1 W.L.R. 925</w:t>
      </w:r>
      <w:r>
        <w:rPr>
          <w:sz w:val="20"/>
        </w:rPr>
        <w:t>; above para.2-051; cf. </w:t>
      </w:r>
      <w:r>
        <w:rPr>
          <w:rFonts w:ascii="Arial" w:hAnsi="Arial"/>
          <w:i/>
          <w:sz w:val="20"/>
        </w:rPr>
        <w:t>Tankrederei Ahrenkeil GmbH v Frahuil SA (The Multibank Holsatia) [1988] 2 Lloyd’s Rep. 486, 493 </w:t>
      </w:r>
      <w:r>
        <w:rPr>
          <w:sz w:val="20"/>
        </w:rPr>
        <w:t>(where the offeree had destroyed relevant files, so that the case was not one of mere inaction). There seems to have been no “conduct” amounting to an acceptance in </w:t>
      </w:r>
      <w:r>
        <w:rPr>
          <w:rFonts w:ascii="Arial" w:hAnsi="Arial"/>
          <w:i/>
          <w:sz w:val="20"/>
        </w:rPr>
        <w:t>Excomm Ltd</w:t>
      </w:r>
      <w:r>
        <w:rPr>
          <w:rFonts w:ascii="Arial" w:hAnsi="Arial"/>
          <w:i/>
          <w:spacing w:val="40"/>
          <w:sz w:val="20"/>
        </w:rPr>
        <w:t> </w:t>
      </w:r>
      <w:r>
        <w:rPr>
          <w:rFonts w:ascii="Arial" w:hAnsi="Arial"/>
          <w:i/>
          <w:sz w:val="20"/>
        </w:rPr>
        <w:t>v Guan Guan Shipping (Pte) Ltd (The Golden Bear) [1987] 1 Lloyd’s Rep. 330</w:t>
      </w:r>
      <w:r>
        <w:rPr>
          <w:sz w:val="20"/>
        </w:rPr>
        <w:t>.</w:t>
      </w:r>
    </w:p>
    <w:p>
      <w:pPr>
        <w:pStyle w:val="BodyText"/>
        <w:spacing w:before="2"/>
      </w:pPr>
    </w:p>
    <w:p>
      <w:pPr>
        <w:tabs>
          <w:tab w:pos="705" w:val="left" w:leader="none"/>
        </w:tabs>
        <w:spacing w:before="1"/>
        <w:ind w:left="165" w:right="0" w:firstLine="0"/>
        <w:jc w:val="left"/>
        <w:rPr>
          <w:sz w:val="20"/>
        </w:rPr>
      </w:pPr>
      <w:bookmarkStart w:name="_bookmark770" w:id="772"/>
      <w:bookmarkEnd w:id="772"/>
      <w:r>
        <w:rPr/>
      </w:r>
      <w:hyperlink w:history="true" w:anchor="_bookmark714">
        <w:r>
          <w:rPr>
            <w:color w:val="005DA1"/>
            <w:spacing w:val="-4"/>
            <w:position w:val="5"/>
            <w:sz w:val="14"/>
            <w:u w:val="single" w:color="005DA1"/>
          </w:rPr>
          <w:t>399</w:t>
        </w:r>
      </w:hyperlink>
      <w:r>
        <w:rPr>
          <w:spacing w:val="-4"/>
          <w:position w:val="5"/>
          <w:sz w:val="14"/>
        </w:rPr>
        <w:t>.</w:t>
      </w:r>
      <w:r>
        <w:rPr>
          <w:position w:val="5"/>
          <w:sz w:val="14"/>
        </w:rPr>
        <w:tab/>
      </w:r>
      <w:r>
        <w:rPr>
          <w:rFonts w:ascii="Arial"/>
          <w:i/>
          <w:sz w:val="20"/>
        </w:rPr>
        <w:t>Downing v Al Tameer Establishment [2002] EWCA Civ 545; [2002] 2 All E.R. (Comm) </w:t>
      </w:r>
      <w:r>
        <w:rPr>
          <w:rFonts w:ascii="Arial"/>
          <w:i/>
          <w:spacing w:val="-4"/>
          <w:sz w:val="20"/>
        </w:rPr>
        <w:t>545</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771" w:id="773"/>
      <w:bookmarkEnd w:id="773"/>
      <w:r>
        <w:rPr/>
      </w:r>
      <w:hyperlink w:history="true" w:anchor="_bookmark715">
        <w:r>
          <w:rPr>
            <w:color w:val="005DA1"/>
            <w:spacing w:val="-4"/>
            <w:position w:val="5"/>
            <w:sz w:val="14"/>
            <w:u w:val="single" w:color="005DA1"/>
          </w:rPr>
          <w:t>400</w:t>
        </w:r>
      </w:hyperlink>
      <w:r>
        <w:rPr>
          <w:spacing w:val="-4"/>
          <w:position w:val="5"/>
          <w:sz w:val="14"/>
        </w:rPr>
        <w:t>.</w:t>
      </w:r>
      <w:r>
        <w:rPr>
          <w:position w:val="5"/>
          <w:sz w:val="14"/>
        </w:rPr>
        <w:tab/>
      </w:r>
      <w:r>
        <w:rPr>
          <w:rFonts w:ascii="Arial" w:hAnsi="Arial"/>
          <w:i/>
          <w:sz w:val="20"/>
        </w:rPr>
        <w:t>[1979] 2 Lloyd’s Rep. </w:t>
      </w:r>
      <w:r>
        <w:rPr>
          <w:rFonts w:ascii="Arial" w:hAnsi="Arial"/>
          <w:i/>
          <w:spacing w:val="-4"/>
          <w:sz w:val="20"/>
        </w:rPr>
        <w:t>335</w:t>
      </w:r>
      <w:r>
        <w:rPr>
          <w:spacing w:val="-4"/>
          <w:sz w:val="20"/>
        </w:rPr>
        <w:t>.</w:t>
      </w:r>
    </w:p>
    <w:p>
      <w:pPr>
        <w:spacing w:after="0"/>
        <w:jc w:val="left"/>
        <w:rPr>
          <w:sz w:val="20"/>
        </w:rPr>
        <w:sectPr>
          <w:pgSz w:w="11900" w:h="16840"/>
          <w:pgMar w:header="971" w:footer="0" w:top="1300" w:bottom="280" w:left="1275" w:right="1275"/>
        </w:sectPr>
      </w:pPr>
    </w:p>
    <w:p>
      <w:pPr>
        <w:pStyle w:val="BodyText"/>
        <w:tabs>
          <w:tab w:pos="705" w:val="left" w:leader="none"/>
        </w:tabs>
        <w:spacing w:before="166"/>
        <w:ind w:left="165"/>
      </w:pPr>
      <w:hyperlink w:history="true" w:anchor="_bookmark716">
        <w:r>
          <w:rPr>
            <w:color w:val="005DA1"/>
            <w:spacing w:val="-4"/>
            <w:position w:val="5"/>
            <w:sz w:val="14"/>
            <w:u w:val="single" w:color="005DA1"/>
          </w:rPr>
          <w:t>401</w:t>
        </w:r>
      </w:hyperlink>
      <w:r>
        <w:rPr>
          <w:spacing w:val="-4"/>
          <w:position w:val="5"/>
          <w:sz w:val="14"/>
        </w:rPr>
        <w:t>.</w:t>
      </w:r>
      <w:r>
        <w:rPr>
          <w:position w:val="5"/>
          <w:sz w:val="14"/>
        </w:rPr>
        <w:tab/>
      </w:r>
      <w:r>
        <w:rPr/>
        <w:t>cf. above, para.2-</w:t>
      </w:r>
      <w:r>
        <w:rPr>
          <w:spacing w:val="-4"/>
        </w:rPr>
        <w:t>024.</w:t>
      </w:r>
    </w:p>
    <w:p>
      <w:pPr>
        <w:pStyle w:val="BodyText"/>
        <w:spacing w:before="9"/>
      </w:pPr>
    </w:p>
    <w:p>
      <w:pPr>
        <w:spacing w:line="235" w:lineRule="auto" w:before="0"/>
        <w:ind w:left="705" w:right="167" w:hanging="541"/>
        <w:jc w:val="both"/>
        <w:rPr>
          <w:sz w:val="20"/>
        </w:rPr>
      </w:pPr>
      <w:bookmarkStart w:name="_bookmark772" w:id="774"/>
      <w:bookmarkEnd w:id="774"/>
      <w:r>
        <w:rPr/>
      </w:r>
      <w:hyperlink w:history="true" w:anchor="_bookmark717">
        <w:r>
          <w:rPr>
            <w:color w:val="005DA1"/>
            <w:position w:val="5"/>
            <w:sz w:val="14"/>
            <w:u w:val="single" w:color="005DA1"/>
          </w:rPr>
          <w:t>402</w:t>
        </w:r>
      </w:hyperlink>
      <w:r>
        <w:rPr>
          <w:position w:val="5"/>
          <w:sz w:val="14"/>
        </w:rPr>
        <w:t>.</w:t>
      </w:r>
      <w:r>
        <w:rPr>
          <w:spacing w:val="80"/>
          <w:position w:val="5"/>
          <w:sz w:val="14"/>
        </w:rPr>
        <w:t>  </w:t>
      </w:r>
      <w:r>
        <w:rPr>
          <w:rFonts w:ascii="Arial" w:hAnsi="Arial"/>
          <w:i/>
          <w:sz w:val="20"/>
        </w:rPr>
        <w:t>[1979]</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335,</w:t>
      </w:r>
      <w:r>
        <w:rPr>
          <w:rFonts w:ascii="Arial" w:hAnsi="Arial"/>
          <w:i/>
          <w:spacing w:val="-2"/>
          <w:sz w:val="20"/>
        </w:rPr>
        <w:t> </w:t>
      </w:r>
      <w:r>
        <w:rPr>
          <w:rFonts w:ascii="Arial" w:hAnsi="Arial"/>
          <w:i/>
          <w:sz w:val="20"/>
        </w:rPr>
        <w:t>340;</w:t>
      </w:r>
      <w:r>
        <w:rPr>
          <w:rFonts w:ascii="Arial" w:hAnsi="Arial"/>
          <w:i/>
          <w:spacing w:val="-2"/>
          <w:sz w:val="20"/>
        </w:rPr>
        <w:t> </w:t>
      </w:r>
      <w:r>
        <w:rPr>
          <w:rFonts w:ascii="Arial" w:hAnsi="Arial"/>
          <w:i/>
          <w:sz w:val="20"/>
        </w:rPr>
        <w:t>affirming</w:t>
      </w:r>
      <w:r>
        <w:rPr>
          <w:rFonts w:ascii="Arial" w:hAnsi="Arial"/>
          <w:i/>
          <w:spacing w:val="-2"/>
          <w:sz w:val="20"/>
        </w:rPr>
        <w:t> </w:t>
      </w:r>
      <w:r>
        <w:rPr>
          <w:rFonts w:ascii="Arial" w:hAnsi="Arial"/>
          <w:i/>
          <w:sz w:val="20"/>
        </w:rPr>
        <w:t>[1978]</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386,</w:t>
      </w:r>
      <w:r>
        <w:rPr>
          <w:rFonts w:ascii="Arial" w:hAnsi="Arial"/>
          <w:i/>
          <w:spacing w:val="-2"/>
          <w:sz w:val="20"/>
        </w:rPr>
        <w:t> </w:t>
      </w:r>
      <w:r>
        <w:rPr>
          <w:rFonts w:ascii="Arial" w:hAnsi="Arial"/>
          <w:i/>
          <w:sz w:val="20"/>
        </w:rPr>
        <w:t>393</w:t>
      </w:r>
      <w:r>
        <w:rPr>
          <w:sz w:val="20"/>
        </w:rPr>
        <w:t>.</w:t>
      </w:r>
      <w:r>
        <w:rPr>
          <w:spacing w:val="-2"/>
          <w:sz w:val="20"/>
        </w:rPr>
        <w:t> </w:t>
      </w:r>
      <w:r>
        <w:rPr>
          <w:sz w:val="20"/>
        </w:rPr>
        <w:t>For</w:t>
      </w:r>
      <w:r>
        <w:rPr>
          <w:spacing w:val="-2"/>
          <w:sz w:val="20"/>
        </w:rPr>
        <w:t> </w:t>
      </w:r>
      <w:r>
        <w:rPr>
          <w:sz w:val="20"/>
        </w:rPr>
        <w:t>another</w:t>
      </w:r>
      <w:r>
        <w:rPr>
          <w:spacing w:val="-2"/>
          <w:sz w:val="20"/>
        </w:rPr>
        <w:t> </w:t>
      </w:r>
      <w:r>
        <w:rPr>
          <w:sz w:val="20"/>
        </w:rPr>
        <w:t>illustration of acceptance by silence and conduct, see </w:t>
      </w:r>
      <w:r>
        <w:rPr>
          <w:rFonts w:ascii="Arial" w:hAnsi="Arial"/>
          <w:i/>
          <w:sz w:val="20"/>
        </w:rPr>
        <w:t>AC Yule &amp; Son Ltd v Speedwell Roofing </w:t>
      </w:r>
      <w:r>
        <w:rPr>
          <w:rFonts w:ascii="Arial" w:hAnsi="Arial"/>
          <w:i/>
          <w:sz w:val="20"/>
        </w:rPr>
        <w:t>and Cladding Ltd [2007] EWHC 1360 (TCC), [2007] B.L.R. 499</w:t>
      </w:r>
      <w:r>
        <w:rPr>
          <w:sz w:val="20"/>
        </w:rPr>
        <w:t>.</w:t>
      </w:r>
    </w:p>
    <w:p>
      <w:pPr>
        <w:pStyle w:val="BodyText"/>
        <w:spacing w:before="5"/>
      </w:pPr>
    </w:p>
    <w:p>
      <w:pPr>
        <w:tabs>
          <w:tab w:pos="705" w:val="left" w:leader="none"/>
        </w:tabs>
        <w:spacing w:before="0"/>
        <w:ind w:left="165" w:right="0" w:firstLine="0"/>
        <w:jc w:val="left"/>
        <w:rPr>
          <w:sz w:val="20"/>
        </w:rPr>
      </w:pPr>
      <w:bookmarkStart w:name="_bookmark773" w:id="775"/>
      <w:bookmarkEnd w:id="775"/>
      <w:r>
        <w:rPr/>
      </w:r>
      <w:hyperlink w:history="true" w:anchor="_bookmark718">
        <w:r>
          <w:rPr>
            <w:color w:val="005DA1"/>
            <w:spacing w:val="-4"/>
            <w:position w:val="5"/>
            <w:sz w:val="14"/>
            <w:u w:val="single" w:color="005DA1"/>
          </w:rPr>
          <w:t>403</w:t>
        </w:r>
      </w:hyperlink>
      <w:r>
        <w:rPr>
          <w:spacing w:val="-4"/>
          <w:position w:val="5"/>
          <w:sz w:val="14"/>
        </w:rPr>
        <w:t>.</w:t>
      </w:r>
      <w:r>
        <w:rPr>
          <w:position w:val="5"/>
          <w:sz w:val="14"/>
        </w:rPr>
        <w:tab/>
      </w:r>
      <w:r>
        <w:rPr>
          <w:sz w:val="20"/>
        </w:rPr>
        <w:t>cf. above, para.2-067 and</w:t>
      </w:r>
      <w:r>
        <w:rPr>
          <w:spacing w:val="-1"/>
          <w:sz w:val="20"/>
        </w:rPr>
        <w:t> </w:t>
      </w:r>
      <w:r>
        <w:rPr>
          <w:rFonts w:ascii="Arial"/>
          <w:i/>
          <w:sz w:val="20"/>
        </w:rPr>
        <w:t>Vitol SA v Norelf Ltd [1996] A.C. 800</w:t>
      </w:r>
      <w:r>
        <w:rPr>
          <w:rFonts w:ascii="Arial"/>
          <w:i/>
          <w:spacing w:val="-1"/>
          <w:sz w:val="20"/>
        </w:rPr>
        <w:t> </w:t>
      </w:r>
      <w:r>
        <w:rPr>
          <w:sz w:val="20"/>
        </w:rPr>
        <w:t>(above, para.2-</w:t>
      </w:r>
      <w:r>
        <w:rPr>
          <w:spacing w:val="-2"/>
          <w:sz w:val="20"/>
        </w:rPr>
        <w:t>070).</w:t>
      </w:r>
    </w:p>
    <w:p>
      <w:pPr>
        <w:pStyle w:val="BodyText"/>
        <w:spacing w:before="9"/>
      </w:pPr>
    </w:p>
    <w:p>
      <w:pPr>
        <w:tabs>
          <w:tab w:pos="705" w:val="left" w:leader="none"/>
        </w:tabs>
        <w:spacing w:line="235" w:lineRule="auto" w:before="0"/>
        <w:ind w:left="705" w:right="168" w:hanging="541"/>
        <w:jc w:val="left"/>
        <w:rPr>
          <w:sz w:val="20"/>
        </w:rPr>
      </w:pPr>
      <w:bookmarkStart w:name="_bookmark774" w:id="776"/>
      <w:bookmarkEnd w:id="776"/>
      <w:r>
        <w:rPr/>
      </w:r>
      <w:hyperlink w:history="true" w:anchor="_bookmark719">
        <w:r>
          <w:rPr>
            <w:color w:val="005DA1"/>
            <w:spacing w:val="-4"/>
            <w:position w:val="5"/>
            <w:sz w:val="14"/>
            <w:u w:val="single" w:color="005DA1"/>
          </w:rPr>
          <w:t>404</w:t>
        </w:r>
      </w:hyperlink>
      <w:r>
        <w:rPr>
          <w:spacing w:val="-4"/>
          <w:position w:val="5"/>
          <w:sz w:val="14"/>
        </w:rPr>
        <w:t>.</w:t>
      </w:r>
      <w:r>
        <w:rPr>
          <w:position w:val="5"/>
          <w:sz w:val="14"/>
        </w:rPr>
        <w:tab/>
      </w:r>
      <w:r>
        <w:rPr>
          <w:rFonts w:ascii="Arial" w:hAnsi="Arial"/>
          <w:i/>
          <w:sz w:val="20"/>
        </w:rPr>
        <w:t>Yona International Ltd v La Réunion Française, etc. [1996] 2 Lloyd’s Rep. 84, 110 </w:t>
      </w:r>
      <w:r>
        <w:rPr>
          <w:sz w:val="20"/>
        </w:rPr>
        <w:t>(where no</w:t>
      </w:r>
      <w:r>
        <w:rPr>
          <w:spacing w:val="80"/>
          <w:w w:val="150"/>
          <w:sz w:val="20"/>
        </w:rPr>
        <w:t> </w:t>
      </w:r>
      <w:r>
        <w:rPr>
          <w:sz w:val="20"/>
        </w:rPr>
        <w:t>inference of assent was drawn from silence).</w:t>
      </w:r>
    </w:p>
    <w:p>
      <w:pPr>
        <w:pStyle w:val="BodyText"/>
        <w:spacing w:before="5"/>
      </w:pPr>
    </w:p>
    <w:p>
      <w:pPr>
        <w:tabs>
          <w:tab w:pos="705" w:val="left" w:leader="none"/>
        </w:tabs>
        <w:spacing w:before="1"/>
        <w:ind w:left="165" w:right="0" w:firstLine="0"/>
        <w:jc w:val="left"/>
        <w:rPr>
          <w:sz w:val="20"/>
        </w:rPr>
      </w:pPr>
      <w:bookmarkStart w:name="_bookmark775" w:id="777"/>
      <w:bookmarkEnd w:id="777"/>
      <w:r>
        <w:rPr/>
      </w:r>
      <w:hyperlink w:history="true" w:anchor="_bookmark719">
        <w:r>
          <w:rPr>
            <w:color w:val="005DA1"/>
            <w:spacing w:val="-4"/>
            <w:position w:val="5"/>
            <w:sz w:val="14"/>
            <w:u w:val="single" w:color="005DA1"/>
          </w:rPr>
          <w:t>405</w:t>
        </w:r>
      </w:hyperlink>
      <w:r>
        <w:rPr>
          <w:spacing w:val="-4"/>
          <w:position w:val="5"/>
          <w:sz w:val="14"/>
        </w:rPr>
        <w:t>.</w:t>
      </w:r>
      <w:r>
        <w:rPr>
          <w:position w:val="5"/>
          <w:sz w:val="14"/>
        </w:rPr>
        <w:tab/>
      </w:r>
      <w:r>
        <w:rPr>
          <w:sz w:val="20"/>
        </w:rPr>
        <w:t>Above, para.2-</w:t>
      </w:r>
      <w:r>
        <w:rPr>
          <w:spacing w:val="-4"/>
          <w:sz w:val="20"/>
        </w:rPr>
        <w:t>070.</w:t>
      </w:r>
    </w:p>
    <w:p>
      <w:pPr>
        <w:pStyle w:val="BodyText"/>
        <w:spacing w:before="8"/>
      </w:pPr>
    </w:p>
    <w:p>
      <w:pPr>
        <w:spacing w:line="235" w:lineRule="auto" w:before="0"/>
        <w:ind w:left="705" w:right="167" w:hanging="541"/>
        <w:jc w:val="both"/>
        <w:rPr>
          <w:sz w:val="20"/>
        </w:rPr>
      </w:pPr>
      <w:bookmarkStart w:name="_bookmark776" w:id="778"/>
      <w:bookmarkEnd w:id="778"/>
      <w:r>
        <w:rPr/>
      </w:r>
      <w:hyperlink w:history="true" w:anchor="_bookmark720">
        <w:r>
          <w:rPr>
            <w:color w:val="005DA1"/>
            <w:position w:val="5"/>
            <w:sz w:val="14"/>
            <w:u w:val="single" w:color="005DA1"/>
          </w:rPr>
          <w:t>406</w:t>
        </w:r>
      </w:hyperlink>
      <w:r>
        <w:rPr>
          <w:position w:val="5"/>
          <w:sz w:val="14"/>
        </w:rPr>
        <w:t>.</w:t>
      </w:r>
      <w:r>
        <w:rPr>
          <w:spacing w:val="80"/>
          <w:position w:val="5"/>
          <w:sz w:val="14"/>
        </w:rPr>
        <w:t>  </w:t>
      </w:r>
      <w:r>
        <w:rPr>
          <w:sz w:val="20"/>
        </w:rPr>
        <w:t>See </w:t>
      </w:r>
      <w:r>
        <w:rPr>
          <w:rFonts w:ascii="Arial" w:hAnsi="Arial"/>
          <w:i/>
          <w:sz w:val="20"/>
        </w:rPr>
        <w:t>Cooper v National Westminster Bank Plc [2009] EWHC 3055 (QB), [2010] 1 Lloyd’s Rep. 490</w:t>
      </w:r>
      <w:r>
        <w:rPr>
          <w:sz w:val="20"/>
        </w:rPr>
        <w:t>, distinguishing </w:t>
      </w:r>
      <w:r>
        <w:rPr>
          <w:rFonts w:ascii="Arial" w:hAnsi="Arial"/>
          <w:i/>
          <w:sz w:val="20"/>
        </w:rPr>
        <w:t>Rust v Abbey Life Ins. Co </w:t>
      </w:r>
      <w:r>
        <w:rPr>
          <w:sz w:val="20"/>
        </w:rPr>
        <w:t>(above, n.391) and applying the general rule </w:t>
      </w:r>
      <w:r>
        <w:rPr>
          <w:sz w:val="20"/>
        </w:rPr>
        <w:t>that “acceptance notoriously cannot, in ordinary circumstances, be inferred from silence” (at [69]).</w:t>
      </w:r>
    </w:p>
    <w:p>
      <w:pPr>
        <w:pStyle w:val="BodyText"/>
        <w:spacing w:before="193"/>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3. - The Acceptance</w:t>
      </w:r>
    </w:p>
    <w:p>
      <w:pPr>
        <w:pStyle w:val="ListParagraph"/>
        <w:numPr>
          <w:ilvl w:val="0"/>
          <w:numId w:val="1"/>
        </w:numPr>
        <w:tabs>
          <w:tab w:pos="3024" w:val="left" w:leader="none"/>
        </w:tabs>
        <w:spacing w:line="240" w:lineRule="auto" w:before="3" w:after="0"/>
        <w:ind w:left="3024" w:right="0" w:hanging="306"/>
        <w:jc w:val="left"/>
        <w:rPr>
          <w:b/>
          <w:sz w:val="24"/>
        </w:rPr>
      </w:pPr>
      <w:r>
        <w:rPr>
          <w:b/>
          <w:sz w:val="24"/>
        </w:rPr>
        <w:t>- Electronic Contract </w:t>
      </w:r>
      <w:r>
        <w:rPr>
          <w:b/>
          <w:spacing w:val="-2"/>
          <w:sz w:val="24"/>
        </w:rPr>
        <w:t>Formation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bookmarkStart w:name="_bookmark777" w:id="779"/>
      <w:bookmarkEnd w:id="779"/>
      <w:r>
        <w:rPr/>
      </w:r>
      <w:r>
        <w:rPr>
          <w:rFonts w:ascii="Arial"/>
          <w:b/>
          <w:sz w:val="18"/>
        </w:rPr>
        <w:t>Electronic communication </w:t>
      </w:r>
      <w:r>
        <w:rPr>
          <w:rFonts w:ascii="Arial"/>
          <w:b/>
          <w:color w:val="005DA1"/>
          <w:spacing w:val="-5"/>
          <w:sz w:val="18"/>
          <w:u w:val="single" w:color="005DA1"/>
          <w:vertAlign w:val="superscript"/>
        </w:rPr>
        <w:t>407</w:t>
      </w:r>
    </w:p>
    <w:p>
      <w:pPr>
        <w:pStyle w:val="BodyText"/>
        <w:spacing w:before="41"/>
        <w:rPr>
          <w:rFonts w:ascii="Arial"/>
          <w:b/>
          <w:sz w:val="18"/>
        </w:rPr>
      </w:pPr>
    </w:p>
    <w:p>
      <w:pPr>
        <w:pStyle w:val="Heading2"/>
        <w:spacing w:before="1"/>
      </w:pPr>
      <w:r>
        <w:rPr/>
        <w:t>2-</w:t>
      </w:r>
      <w:r>
        <w:rPr>
          <w:spacing w:val="-5"/>
        </w:rPr>
        <w:t>076</w:t>
      </w:r>
    </w:p>
    <w:p>
      <w:pPr>
        <w:pStyle w:val="BodyText"/>
        <w:spacing w:line="235" w:lineRule="auto" w:before="202"/>
        <w:ind w:left="164" w:right="167"/>
        <w:jc w:val="both"/>
      </w:pPr>
      <w:r>
        <w:rPr/>
        <w:t>The internet has changed the way that many people communicate and conduct business. How do the rules</w:t>
      </w:r>
      <w:r>
        <w:rPr>
          <w:spacing w:val="-3"/>
        </w:rPr>
        <w:t> </w:t>
      </w:r>
      <w:r>
        <w:rPr/>
        <w:t>of</w:t>
      </w:r>
      <w:r>
        <w:rPr>
          <w:spacing w:val="-3"/>
        </w:rPr>
        <w:t> </w:t>
      </w:r>
      <w:r>
        <w:rPr/>
        <w:t>offer</w:t>
      </w:r>
      <w:r>
        <w:rPr>
          <w:spacing w:val="-3"/>
        </w:rPr>
        <w:t> </w:t>
      </w:r>
      <w:r>
        <w:rPr/>
        <w:t>and</w:t>
      </w:r>
      <w:r>
        <w:rPr>
          <w:spacing w:val="-3"/>
        </w:rPr>
        <w:t> </w:t>
      </w:r>
      <w:r>
        <w:rPr/>
        <w:t>acceptance</w:t>
      </w:r>
      <w:r>
        <w:rPr>
          <w:spacing w:val="-3"/>
        </w:rPr>
        <w:t> </w:t>
      </w:r>
      <w:r>
        <w:rPr/>
        <w:t>apply</w:t>
      </w:r>
      <w:r>
        <w:rPr>
          <w:spacing w:val="-3"/>
        </w:rPr>
        <w:t> </w:t>
      </w:r>
      <w:r>
        <w:rPr/>
        <w:t>to</w:t>
      </w:r>
      <w:r>
        <w:rPr>
          <w:spacing w:val="-3"/>
        </w:rPr>
        <w:t> </w:t>
      </w:r>
      <w:r>
        <w:rPr/>
        <w:t>intentions</w:t>
      </w:r>
      <w:r>
        <w:rPr>
          <w:spacing w:val="-3"/>
        </w:rPr>
        <w:t> </w:t>
      </w:r>
      <w:r>
        <w:rPr/>
        <w:t>manifested</w:t>
      </w:r>
      <w:r>
        <w:rPr>
          <w:spacing w:val="-3"/>
        </w:rPr>
        <w:t> </w:t>
      </w:r>
      <w:r>
        <w:rPr/>
        <w:t>through</w:t>
      </w:r>
      <w:r>
        <w:rPr>
          <w:spacing w:val="-3"/>
        </w:rPr>
        <w:t> </w:t>
      </w:r>
      <w:r>
        <w:rPr/>
        <w:t>electronic</w:t>
      </w:r>
      <w:r>
        <w:rPr>
          <w:spacing w:val="-3"/>
        </w:rPr>
        <w:t> </w:t>
      </w:r>
      <w:r>
        <w:rPr/>
        <w:t>messages</w:t>
      </w:r>
      <w:r>
        <w:rPr>
          <w:spacing w:val="-3"/>
        </w:rPr>
        <w:t> </w:t>
      </w:r>
      <w:r>
        <w:rPr/>
        <w:t>(email),</w:t>
      </w:r>
      <w:r>
        <w:rPr>
          <w:spacing w:val="-3"/>
        </w:rPr>
        <w:t> </w:t>
      </w:r>
      <w:r>
        <w:rPr/>
        <w:t>and interactions with websites? The basic structure of email communications is the same as that </w:t>
      </w:r>
      <w:bookmarkStart w:name="_bookmark778" w:id="780"/>
      <w:bookmarkEnd w:id="780"/>
      <w:r>
        <w:rPr/>
        <w:t>concluded</w:t>
      </w:r>
      <w:r>
        <w:rPr/>
        <w:t> by an exchange of letters via the post so the basic principles determining what </w:t>
      </w:r>
      <w:r>
        <w:rPr/>
        <w:t>constitutes an offer </w:t>
      </w:r>
      <w:r>
        <w:rPr>
          <w:color w:val="005DA1"/>
          <w:u w:val="single" w:color="005DA1"/>
          <w:vertAlign w:val="superscript"/>
        </w:rPr>
        <w:t>408</w:t>
      </w:r>
      <w:r>
        <w:rPr>
          <w:color w:val="005DA1"/>
          <w:vertAlign w:val="baseline"/>
        </w:rPr>
        <w:t> </w:t>
      </w:r>
      <w:r>
        <w:rPr>
          <w:vertAlign w:val="baseline"/>
        </w:rPr>
        <w:t>and what constitutes an acceptance </w:t>
      </w:r>
      <w:r>
        <w:rPr>
          <w:color w:val="005DA1"/>
          <w:u w:val="single" w:color="005DA1"/>
          <w:vertAlign w:val="superscript"/>
        </w:rPr>
        <w:t>409</w:t>
      </w:r>
      <w:r>
        <w:rPr>
          <w:color w:val="005DA1"/>
          <w:vertAlign w:val="baseline"/>
        </w:rPr>
        <w:t> </w:t>
      </w:r>
      <w:r>
        <w:rPr>
          <w:vertAlign w:val="baseline"/>
        </w:rPr>
        <w:t>remain the same. The additional difficulties with </w:t>
      </w:r>
      <w:bookmarkStart w:name="_bookmark779" w:id="781"/>
      <w:bookmarkEnd w:id="781"/>
      <w:r>
        <w:rPr>
          <w:vertAlign w:val="baseline"/>
        </w:rPr>
        <w:t>respect</w:t>
      </w:r>
      <w:r>
        <w:rPr>
          <w:vertAlign w:val="baseline"/>
        </w:rPr>
        <w:t> to contract formation by email communications relate to the time that an email acceptance takes effect and the consequences of failures of communication, which are discussed below. </w:t>
      </w:r>
      <w:r>
        <w:rPr>
          <w:color w:val="005DA1"/>
          <w:u w:val="single" w:color="005DA1"/>
          <w:vertAlign w:val="superscript"/>
        </w:rPr>
        <w:t>410</w:t>
      </w:r>
      <w:r>
        <w:rPr>
          <w:color w:val="005DA1"/>
          <w:vertAlign w:val="baseline"/>
        </w:rPr>
        <w:t> </w:t>
      </w:r>
      <w:r>
        <w:rPr>
          <w:vertAlign w:val="baseline"/>
        </w:rPr>
        <w:t>In contrast,</w:t>
      </w:r>
      <w:r>
        <w:rPr>
          <w:spacing w:val="-2"/>
          <w:vertAlign w:val="baseline"/>
        </w:rPr>
        <w:t> </w:t>
      </w:r>
      <w:r>
        <w:rPr>
          <w:vertAlign w:val="baseline"/>
        </w:rPr>
        <w:t>contract</w:t>
      </w:r>
      <w:r>
        <w:rPr>
          <w:spacing w:val="-2"/>
          <w:vertAlign w:val="baseline"/>
        </w:rPr>
        <w:t> </w:t>
      </w:r>
      <w:r>
        <w:rPr>
          <w:vertAlign w:val="baseline"/>
        </w:rPr>
        <w:t>formation</w:t>
      </w:r>
      <w:r>
        <w:rPr>
          <w:spacing w:val="-2"/>
          <w:vertAlign w:val="baseline"/>
        </w:rPr>
        <w:t> </w:t>
      </w:r>
      <w:r>
        <w:rPr>
          <w:vertAlign w:val="baseline"/>
        </w:rPr>
        <w:t>through</w:t>
      </w:r>
      <w:r>
        <w:rPr>
          <w:spacing w:val="-2"/>
          <w:vertAlign w:val="baseline"/>
        </w:rPr>
        <w:t> </w:t>
      </w:r>
      <w:r>
        <w:rPr>
          <w:vertAlign w:val="baseline"/>
        </w:rPr>
        <w:t>interaction</w:t>
      </w:r>
      <w:r>
        <w:rPr>
          <w:spacing w:val="-2"/>
          <w:vertAlign w:val="baseline"/>
        </w:rPr>
        <w:t> </w:t>
      </w:r>
      <w:r>
        <w:rPr>
          <w:vertAlign w:val="baseline"/>
        </w:rPr>
        <w:t>on</w:t>
      </w:r>
      <w:r>
        <w:rPr>
          <w:spacing w:val="-2"/>
          <w:vertAlign w:val="baseline"/>
        </w:rPr>
        <w:t> </w:t>
      </w:r>
      <w:r>
        <w:rPr>
          <w:vertAlign w:val="baseline"/>
        </w:rPr>
        <w:t>websites</w:t>
      </w:r>
      <w:r>
        <w:rPr>
          <w:spacing w:val="-2"/>
          <w:vertAlign w:val="baseline"/>
        </w:rPr>
        <w:t> </w:t>
      </w:r>
      <w:r>
        <w:rPr>
          <w:vertAlign w:val="baseline"/>
        </w:rPr>
        <w:t>usually</w:t>
      </w:r>
      <w:r>
        <w:rPr>
          <w:spacing w:val="-2"/>
          <w:vertAlign w:val="baseline"/>
        </w:rPr>
        <w:t> </w:t>
      </w:r>
      <w:r>
        <w:rPr>
          <w:vertAlign w:val="baseline"/>
        </w:rPr>
        <w:t>raises</w:t>
      </w:r>
      <w:r>
        <w:rPr>
          <w:spacing w:val="-2"/>
          <w:vertAlign w:val="baseline"/>
        </w:rPr>
        <w:t> </w:t>
      </w:r>
      <w:r>
        <w:rPr>
          <w:vertAlign w:val="baseline"/>
        </w:rPr>
        <w:t>no</w:t>
      </w:r>
      <w:r>
        <w:rPr>
          <w:spacing w:val="-2"/>
          <w:vertAlign w:val="baseline"/>
        </w:rPr>
        <w:t> </w:t>
      </w:r>
      <w:r>
        <w:rPr>
          <w:vertAlign w:val="baseline"/>
        </w:rPr>
        <w:t>problems</w:t>
      </w:r>
      <w:r>
        <w:rPr>
          <w:spacing w:val="-2"/>
          <w:vertAlign w:val="baseline"/>
        </w:rPr>
        <w:t> </w:t>
      </w:r>
      <w:r>
        <w:rPr>
          <w:vertAlign w:val="baseline"/>
        </w:rPr>
        <w:t>of</w:t>
      </w:r>
      <w:r>
        <w:rPr>
          <w:spacing w:val="-2"/>
          <w:vertAlign w:val="baseline"/>
        </w:rPr>
        <w:t> </w:t>
      </w:r>
      <w:r>
        <w:rPr>
          <w:vertAlign w:val="baseline"/>
        </w:rPr>
        <w:t>timing</w:t>
      </w:r>
      <w:r>
        <w:rPr>
          <w:spacing w:val="-2"/>
          <w:vertAlign w:val="baseline"/>
        </w:rPr>
        <w:t> </w:t>
      </w:r>
      <w:r>
        <w:rPr>
          <w:vertAlign w:val="baseline"/>
        </w:rPr>
        <w:t>since </w:t>
      </w:r>
      <w:bookmarkStart w:name="_bookmark780" w:id="782"/>
      <w:bookmarkEnd w:id="782"/>
      <w:r>
        <w:rPr>
          <w:vertAlign w:val="baseline"/>
        </w:rPr>
        <w:t>communications</w:t>
      </w:r>
      <w:r>
        <w:rPr>
          <w:vertAlign w:val="baseline"/>
        </w:rPr>
        <w:t> are usually instantaneous and any failures of communication should be immediately apparent.</w:t>
      </w:r>
      <w:r>
        <w:rPr>
          <w:spacing w:val="-4"/>
          <w:vertAlign w:val="baseline"/>
        </w:rPr>
        <w:t> </w:t>
      </w:r>
      <w:r>
        <w:rPr>
          <w:color w:val="005DA1"/>
          <w:u w:val="single" w:color="005DA1"/>
          <w:vertAlign w:val="superscript"/>
        </w:rPr>
        <w:t>411</w:t>
      </w:r>
      <w:r>
        <w:rPr>
          <w:color w:val="005DA1"/>
          <w:spacing w:val="-4"/>
          <w:vertAlign w:val="baseline"/>
        </w:rPr>
        <w:t> </w:t>
      </w:r>
      <w:r>
        <w:rPr>
          <w:vertAlign w:val="baseline"/>
        </w:rPr>
        <w:t>However,</w:t>
      </w:r>
      <w:r>
        <w:rPr>
          <w:spacing w:val="-4"/>
          <w:vertAlign w:val="baseline"/>
        </w:rPr>
        <w:t> </w:t>
      </w:r>
      <w:r>
        <w:rPr>
          <w:vertAlign w:val="baseline"/>
        </w:rPr>
        <w:t>contract</w:t>
      </w:r>
      <w:r>
        <w:rPr>
          <w:spacing w:val="-4"/>
          <w:vertAlign w:val="baseline"/>
        </w:rPr>
        <w:t> </w:t>
      </w:r>
      <w:r>
        <w:rPr>
          <w:vertAlign w:val="baseline"/>
        </w:rPr>
        <w:t>formation</w:t>
      </w:r>
      <w:r>
        <w:rPr>
          <w:spacing w:val="-4"/>
          <w:vertAlign w:val="baseline"/>
        </w:rPr>
        <w:t> </w:t>
      </w:r>
      <w:r>
        <w:rPr>
          <w:vertAlign w:val="baseline"/>
        </w:rPr>
        <w:t>through</w:t>
      </w:r>
      <w:r>
        <w:rPr>
          <w:spacing w:val="-4"/>
          <w:vertAlign w:val="baseline"/>
        </w:rPr>
        <w:t> </w:t>
      </w:r>
      <w:r>
        <w:rPr>
          <w:vertAlign w:val="baseline"/>
        </w:rPr>
        <w:t>interaction</w:t>
      </w:r>
      <w:r>
        <w:rPr>
          <w:spacing w:val="-4"/>
          <w:vertAlign w:val="baseline"/>
        </w:rPr>
        <w:t> </w:t>
      </w:r>
      <w:r>
        <w:rPr>
          <w:vertAlign w:val="baseline"/>
        </w:rPr>
        <w:t>on</w:t>
      </w:r>
      <w:r>
        <w:rPr>
          <w:spacing w:val="-4"/>
          <w:vertAlign w:val="baseline"/>
        </w:rPr>
        <w:t> </w:t>
      </w:r>
      <w:r>
        <w:rPr>
          <w:vertAlign w:val="baseline"/>
        </w:rPr>
        <w:t>websites</w:t>
      </w:r>
      <w:r>
        <w:rPr>
          <w:spacing w:val="-4"/>
          <w:vertAlign w:val="baseline"/>
        </w:rPr>
        <w:t> </w:t>
      </w:r>
      <w:r>
        <w:rPr>
          <w:vertAlign w:val="baseline"/>
        </w:rPr>
        <w:t>is</w:t>
      </w:r>
      <w:r>
        <w:rPr>
          <w:spacing w:val="-4"/>
          <w:vertAlign w:val="baseline"/>
        </w:rPr>
        <w:t> </w:t>
      </w:r>
      <w:r>
        <w:rPr>
          <w:vertAlign w:val="baseline"/>
        </w:rPr>
        <w:t>significantly</w:t>
      </w:r>
      <w:r>
        <w:rPr>
          <w:spacing w:val="-4"/>
          <w:vertAlign w:val="baseline"/>
        </w:rPr>
        <w:t> </w:t>
      </w:r>
      <w:r>
        <w:rPr>
          <w:vertAlign w:val="baseline"/>
        </w:rPr>
        <w:t>different</w:t>
      </w:r>
      <w:r>
        <w:rPr>
          <w:spacing w:val="-4"/>
          <w:vertAlign w:val="baseline"/>
        </w:rPr>
        <w:t> </w:t>
      </w:r>
      <w:r>
        <w:rPr>
          <w:vertAlign w:val="baseline"/>
        </w:rPr>
        <w:t>from contract formation through letters exchanged by the post and this can raise some difficulties in determining what words or conduct amount to offer or acceptance, although the basic principles on contract formation remain the same.</w:t>
      </w:r>
    </w:p>
    <w:p>
      <w:pPr>
        <w:pStyle w:val="BodyText"/>
      </w:pPr>
    </w:p>
    <w:p>
      <w:pPr>
        <w:pStyle w:val="BodyText"/>
        <w:spacing w:before="34"/>
      </w:pPr>
    </w:p>
    <w:p>
      <w:pPr>
        <w:spacing w:before="0"/>
        <w:ind w:left="165" w:right="0" w:firstLine="0"/>
        <w:jc w:val="both"/>
        <w:rPr>
          <w:rFonts w:ascii="Arial"/>
          <w:b/>
          <w:sz w:val="18"/>
        </w:rPr>
      </w:pPr>
      <w:r>
        <w:rPr>
          <w:rFonts w:ascii="Arial"/>
          <w:b/>
          <w:sz w:val="18"/>
        </w:rPr>
        <w:t>Digital purchases </w:t>
      </w:r>
      <w:r>
        <w:rPr>
          <w:rFonts w:ascii="Arial"/>
          <w:b/>
          <w:spacing w:val="-2"/>
          <w:sz w:val="18"/>
        </w:rPr>
        <w:t>online</w:t>
      </w:r>
    </w:p>
    <w:p>
      <w:pPr>
        <w:pStyle w:val="BodyText"/>
        <w:spacing w:before="41"/>
        <w:rPr>
          <w:rFonts w:ascii="Arial"/>
          <w:b/>
          <w:sz w:val="18"/>
        </w:rPr>
      </w:pPr>
    </w:p>
    <w:p>
      <w:pPr>
        <w:pStyle w:val="Heading2"/>
      </w:pPr>
      <w:r>
        <w:rPr/>
        <w:t>2-</w:t>
      </w:r>
      <w:r>
        <w:rPr>
          <w:spacing w:val="-5"/>
        </w:rPr>
        <w:t>077</w:t>
      </w:r>
    </w:p>
    <w:p>
      <w:pPr>
        <w:pStyle w:val="BodyText"/>
        <w:spacing w:line="235" w:lineRule="auto" w:before="203"/>
        <w:ind w:left="165" w:right="167"/>
        <w:jc w:val="both"/>
      </w:pPr>
      <w:bookmarkStart w:name="_bookmark781" w:id="783"/>
      <w:bookmarkEnd w:id="783"/>
      <w:r>
        <w:rPr/>
      </w:r>
      <w:r>
        <w:rPr/>
        <w:t>One common scenario involves contracts for digital products such as music, videos or software. In these</w:t>
      </w:r>
      <w:r>
        <w:rPr>
          <w:spacing w:val="18"/>
        </w:rPr>
        <w:t> </w:t>
      </w:r>
      <w:r>
        <w:rPr/>
        <w:t>cases,</w:t>
      </w:r>
      <w:r>
        <w:rPr>
          <w:spacing w:val="18"/>
        </w:rPr>
        <w:t> </w:t>
      </w:r>
      <w:r>
        <w:rPr/>
        <w:t>the</w:t>
      </w:r>
      <w:r>
        <w:rPr>
          <w:spacing w:val="18"/>
        </w:rPr>
        <w:t> </w:t>
      </w:r>
      <w:r>
        <w:rPr/>
        <w:t>websites</w:t>
      </w:r>
      <w:r>
        <w:rPr>
          <w:spacing w:val="18"/>
        </w:rPr>
        <w:t> </w:t>
      </w:r>
      <w:r>
        <w:rPr/>
        <w:t>are</w:t>
      </w:r>
      <w:r>
        <w:rPr>
          <w:spacing w:val="18"/>
        </w:rPr>
        <w:t> </w:t>
      </w:r>
      <w:r>
        <w:rPr/>
        <w:t>like</w:t>
      </w:r>
      <w:r>
        <w:rPr>
          <w:spacing w:val="18"/>
        </w:rPr>
        <w:t> </w:t>
      </w:r>
      <w:r>
        <w:rPr/>
        <w:t>virtual</w:t>
      </w:r>
      <w:r>
        <w:rPr>
          <w:spacing w:val="18"/>
        </w:rPr>
        <w:t> </w:t>
      </w:r>
      <w:r>
        <w:rPr/>
        <w:t>vending</w:t>
      </w:r>
      <w:r>
        <w:rPr>
          <w:spacing w:val="18"/>
        </w:rPr>
        <w:t> </w:t>
      </w:r>
      <w:r>
        <w:rPr/>
        <w:t>machines,</w:t>
      </w:r>
      <w:r>
        <w:rPr>
          <w:spacing w:val="18"/>
        </w:rPr>
        <w:t> </w:t>
      </w:r>
      <w:r>
        <w:rPr/>
        <w:t>which</w:t>
      </w:r>
      <w:r>
        <w:rPr>
          <w:spacing w:val="18"/>
        </w:rPr>
        <w:t> </w:t>
      </w:r>
      <w:r>
        <w:rPr/>
        <w:t>are</w:t>
      </w:r>
      <w:r>
        <w:rPr>
          <w:spacing w:val="18"/>
        </w:rPr>
        <w:t> </w:t>
      </w:r>
      <w:r>
        <w:rPr/>
        <w:t>generally</w:t>
      </w:r>
      <w:r>
        <w:rPr>
          <w:spacing w:val="18"/>
        </w:rPr>
        <w:t> </w:t>
      </w:r>
      <w:r>
        <w:rPr/>
        <w:t>regarded</w:t>
      </w:r>
      <w:r>
        <w:rPr>
          <w:spacing w:val="18"/>
        </w:rPr>
        <w:t> </w:t>
      </w:r>
      <w:r>
        <w:rPr/>
        <w:t>as</w:t>
      </w:r>
      <w:r>
        <w:rPr>
          <w:spacing w:val="18"/>
        </w:rPr>
        <w:t> </w:t>
      </w:r>
      <w:r>
        <w:rPr>
          <w:spacing w:val="-2"/>
        </w:rPr>
        <w:t>offers</w:t>
      </w:r>
    </w:p>
    <w:p>
      <w:pPr>
        <w:pStyle w:val="BodyText"/>
        <w:spacing w:line="235" w:lineRule="auto"/>
        <w:ind w:left="165" w:right="167"/>
        <w:jc w:val="both"/>
      </w:pPr>
      <w:r>
        <w:rPr>
          <w:color w:val="005DA1"/>
          <w:u w:val="single" w:color="005DA1"/>
          <w:vertAlign w:val="superscript"/>
        </w:rPr>
        <w:t>412</w:t>
      </w:r>
      <w:r>
        <w:rPr>
          <w:color w:val="005DA1"/>
          <w:vertAlign w:val="baseline"/>
        </w:rPr>
        <w:t> </w:t>
      </w:r>
      <w:r>
        <w:rPr>
          <w:vertAlign w:val="baseline"/>
        </w:rPr>
        <w:t>because there is no expectation or opportunity to negotiate, and no practical scope for </w:t>
      </w:r>
      <w:r>
        <w:rPr>
          <w:vertAlign w:val="baseline"/>
        </w:rPr>
        <w:t>withdrawal because the product or service is delivered immediately and cannot be easily returned. In the usual course of such transactions, the customer selects the digital content, provides payment details and confirms the order, whereupon the digital content will immediately download onto the customer’s device (e.g. computer, smartphone or tablet). In these circumstances, it is submitted that the website </w:t>
      </w:r>
      <w:bookmarkStart w:name="_bookmark782" w:id="784"/>
      <w:bookmarkEnd w:id="784"/>
      <w:r>
        <w:rPr>
          <w:vertAlign w:val="baseline"/>
        </w:rPr>
        <w:t>is</w:t>
      </w:r>
      <w:r>
        <w:rPr>
          <w:vertAlign w:val="baseline"/>
        </w:rPr>
        <w:t> a standing offer, which the customer accepts by confirming his order. Under the Consumer Contracts (Information, Cancellation and Additional Charges) Regulations 2013</w:t>
      </w:r>
      <w:r>
        <w:rPr>
          <w:spacing w:val="-1"/>
          <w:vertAlign w:val="baseline"/>
        </w:rPr>
        <w:t> </w:t>
      </w:r>
      <w:r>
        <w:rPr>
          <w:color w:val="005DA1"/>
          <w:u w:val="single" w:color="005DA1"/>
          <w:vertAlign w:val="superscript"/>
        </w:rPr>
        <w:t>413</w:t>
      </w:r>
      <w:r>
        <w:rPr>
          <w:color w:val="005DA1"/>
          <w:vertAlign w:val="baseline"/>
        </w:rPr>
        <w:t> </w:t>
      </w:r>
      <w:r>
        <w:rPr>
          <w:vertAlign w:val="baseline"/>
        </w:rPr>
        <w:t>the consumer who </w:t>
      </w:r>
      <w:bookmarkStart w:name="_bookmark783" w:id="785"/>
      <w:bookmarkEnd w:id="785"/>
      <w:r>
        <w:rPr>
          <w:vertAlign w:val="baseline"/>
        </w:rPr>
        <w:t>makes</w:t>
      </w:r>
      <w:r>
        <w:rPr>
          <w:vertAlign w:val="baseline"/>
        </w:rPr>
        <w:t> a “contract for the supply of digital content which is not supplied on a tangible medium” may cancel the contract before “the end of 14 days after the day on which the contract is entered into”. </w:t>
      </w:r>
      <w:r>
        <w:rPr>
          <w:color w:val="005DA1"/>
          <w:u w:val="single" w:color="005DA1"/>
          <w:vertAlign w:val="superscript"/>
        </w:rPr>
        <w:t>414</w:t>
      </w:r>
      <w:r>
        <w:rPr>
          <w:color w:val="005DA1"/>
          <w:vertAlign w:val="baseline"/>
        </w:rPr>
        <w:t> </w:t>
      </w:r>
      <w:r>
        <w:rPr>
          <w:vertAlign w:val="baseline"/>
        </w:rPr>
        <w:t>However, the consumer’s right to cancel will be lost if the consumer has expressly consented to the </w:t>
      </w:r>
      <w:bookmarkStart w:name="_bookmark784" w:id="786"/>
      <w:bookmarkEnd w:id="786"/>
      <w:r>
        <w:rPr>
          <w:vertAlign w:val="baseline"/>
        </w:rPr>
        <w:t>supply</w:t>
      </w:r>
      <w:r>
        <w:rPr>
          <w:vertAlign w:val="baseline"/>
        </w:rPr>
        <w:t> of the digital content before the end of the cancellation period and has “acknowledged that the right to cancel the contract … will be lost”. </w:t>
      </w:r>
      <w:r>
        <w:rPr>
          <w:color w:val="005DA1"/>
          <w:u w:val="single" w:color="005DA1"/>
          <w:vertAlign w:val="superscript"/>
        </w:rPr>
        <w:t>415</w:t>
      </w:r>
    </w:p>
    <w:p>
      <w:pPr>
        <w:pStyle w:val="BodyText"/>
      </w:pPr>
    </w:p>
    <w:p>
      <w:pPr>
        <w:pStyle w:val="BodyText"/>
        <w:spacing w:before="33"/>
      </w:pPr>
    </w:p>
    <w:p>
      <w:pPr>
        <w:spacing w:before="0"/>
        <w:ind w:left="165" w:right="0" w:firstLine="0"/>
        <w:jc w:val="both"/>
        <w:rPr>
          <w:rFonts w:ascii="Arial"/>
          <w:b/>
          <w:sz w:val="18"/>
        </w:rPr>
      </w:pPr>
      <w:r>
        <w:rPr>
          <w:rFonts w:ascii="Arial"/>
          <w:b/>
          <w:sz w:val="18"/>
        </w:rPr>
        <w:t>Non-digital purchases </w:t>
      </w:r>
      <w:r>
        <w:rPr>
          <w:rFonts w:ascii="Arial"/>
          <w:b/>
          <w:spacing w:val="-2"/>
          <w:sz w:val="18"/>
        </w:rPr>
        <w:t>online</w:t>
      </w:r>
    </w:p>
    <w:p>
      <w:pPr>
        <w:pStyle w:val="BodyText"/>
        <w:spacing w:before="41"/>
        <w:rPr>
          <w:rFonts w:ascii="Arial"/>
          <w:b/>
          <w:sz w:val="18"/>
        </w:rPr>
      </w:pPr>
    </w:p>
    <w:p>
      <w:pPr>
        <w:pStyle w:val="Heading2"/>
      </w:pPr>
      <w:r>
        <w:rPr/>
        <w:t>2-</w:t>
      </w:r>
      <w:r>
        <w:rPr>
          <w:spacing w:val="-5"/>
        </w:rPr>
        <w:t>078</w:t>
      </w:r>
    </w:p>
    <w:p>
      <w:pPr>
        <w:pStyle w:val="Heading2"/>
        <w:spacing w:after="0"/>
        <w:sectPr>
          <w:headerReference w:type="default" r:id="rId14"/>
          <w:pgSz w:w="11900" w:h="16840"/>
          <w:pgMar w:header="971" w:footer="0" w:top="1300" w:bottom="280" w:left="1275" w:right="1275"/>
          <w:pgNumType w:start="1"/>
        </w:sectPr>
      </w:pPr>
    </w:p>
    <w:p>
      <w:pPr>
        <w:pStyle w:val="BodyText"/>
        <w:spacing w:line="235" w:lineRule="auto" w:before="210"/>
        <w:ind w:left="165" w:right="167"/>
        <w:jc w:val="both"/>
      </w:pPr>
      <w:r>
        <w:rPr/>
        <w:t>Where the website transaction involves goods and services, rather than digital content, the </w:t>
      </w:r>
      <w:r>
        <w:rPr/>
        <w:t>trader’s performance does not immediately follow the customer’s confirmation of his order, and a different </w:t>
      </w:r>
      <w:bookmarkStart w:name="_bookmark785" w:id="787"/>
      <w:bookmarkEnd w:id="787"/>
      <w:r>
        <w:rPr/>
        <w:t>analysis</w:t>
      </w:r>
      <w:r>
        <w:rPr/>
        <w:t> is appropriate. Neither the Consumer Protection (Information, Cancellation and Additional </w:t>
      </w:r>
      <w:bookmarkStart w:name="_bookmark786" w:id="788"/>
      <w:bookmarkEnd w:id="788"/>
      <w:r>
        <w:rPr/>
        <w:t>Charges)</w:t>
      </w:r>
      <w:r>
        <w:rPr/>
        <w:t> Regulations 2013 </w:t>
      </w:r>
      <w:r>
        <w:rPr>
          <w:color w:val="005DA1"/>
          <w:u w:val="single" w:color="005DA1"/>
          <w:vertAlign w:val="superscript"/>
        </w:rPr>
        <w:t>416</w:t>
      </w:r>
      <w:r>
        <w:rPr>
          <w:color w:val="005DA1"/>
          <w:vertAlign w:val="baseline"/>
        </w:rPr>
        <w:t> </w:t>
      </w:r>
      <w:r>
        <w:rPr>
          <w:vertAlign w:val="baseline"/>
        </w:rPr>
        <w:t>nor, the Electronic Commerce (EC Directive) Regulations </w:t>
      </w:r>
      <w:r>
        <w:rPr>
          <w:color w:val="005DA1"/>
          <w:u w:val="single" w:color="005DA1"/>
          <w:vertAlign w:val="superscript"/>
        </w:rPr>
        <w:t>417</w:t>
      </w:r>
      <w:r>
        <w:rPr>
          <w:color w:val="005DA1"/>
          <w:vertAlign w:val="baseline"/>
        </w:rPr>
        <w:t> </w:t>
      </w:r>
      <w:r>
        <w:rPr>
          <w:vertAlign w:val="baseline"/>
        </w:rPr>
        <w:t>specify </w:t>
      </w:r>
      <w:bookmarkStart w:name="_bookmark787" w:id="789"/>
      <w:bookmarkEnd w:id="789"/>
      <w:r>
        <w:rPr>
          <w:vertAlign w:val="baseline"/>
        </w:rPr>
        <w:t>when</w:t>
      </w:r>
      <w:r>
        <w:rPr>
          <w:vertAlign w:val="baseline"/>
        </w:rPr>
        <w:t> such a contract is made, referring instead to “order”, </w:t>
      </w:r>
      <w:r>
        <w:rPr>
          <w:color w:val="005DA1"/>
          <w:u w:val="single" w:color="005DA1"/>
          <w:vertAlign w:val="superscript"/>
        </w:rPr>
        <w:t>418</w:t>
      </w:r>
      <w:r>
        <w:rPr>
          <w:color w:val="005DA1"/>
          <w:vertAlign w:val="baseline"/>
        </w:rPr>
        <w:t> </w:t>
      </w:r>
      <w:r>
        <w:rPr>
          <w:vertAlign w:val="baseline"/>
        </w:rPr>
        <w:t>and “acknowledgement of receipt” of</w:t>
      </w:r>
      <w:r>
        <w:rPr>
          <w:spacing w:val="40"/>
          <w:vertAlign w:val="baseline"/>
        </w:rPr>
        <w:t> </w:t>
      </w:r>
      <w:r>
        <w:rPr>
          <w:vertAlign w:val="baseline"/>
        </w:rPr>
        <w:t>the order. </w:t>
      </w:r>
      <w:r>
        <w:rPr>
          <w:color w:val="005DA1"/>
          <w:u w:val="single" w:color="005DA1"/>
          <w:vertAlign w:val="superscript"/>
        </w:rPr>
        <w:t>419</w:t>
      </w:r>
      <w:r>
        <w:rPr>
          <w:color w:val="005DA1"/>
          <w:vertAlign w:val="baseline"/>
        </w:rPr>
        <w:t> </w:t>
      </w:r>
      <w:r>
        <w:rPr>
          <w:vertAlign w:val="baseline"/>
        </w:rPr>
        <w:t>The effect of an acknowledgement of receipt of an order falls to be determined as a matter of common law. Websites are analogous to virtual shop displays or virtual advertisements. </w:t>
      </w:r>
      <w:bookmarkStart w:name="_bookmark788" w:id="790"/>
      <w:bookmarkEnd w:id="790"/>
      <w:r>
        <w:rPr>
          <w:vertAlign w:val="baseline"/>
        </w:rPr>
        <w:t>Therefore,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absence</w:t>
      </w:r>
      <w:r>
        <w:rPr>
          <w:spacing w:val="-1"/>
          <w:vertAlign w:val="baseline"/>
        </w:rPr>
        <w:t> </w:t>
      </w:r>
      <w:r>
        <w:rPr>
          <w:vertAlign w:val="baseline"/>
        </w:rPr>
        <w:t>of</w:t>
      </w:r>
      <w:r>
        <w:rPr>
          <w:spacing w:val="-1"/>
          <w:vertAlign w:val="baseline"/>
        </w:rPr>
        <w:t> </w:t>
      </w:r>
      <w:r>
        <w:rPr>
          <w:vertAlign w:val="baseline"/>
        </w:rPr>
        <w:t>clear</w:t>
      </w:r>
      <w:r>
        <w:rPr>
          <w:spacing w:val="-1"/>
          <w:vertAlign w:val="baseline"/>
        </w:rPr>
        <w:t> </w:t>
      </w:r>
      <w:r>
        <w:rPr>
          <w:vertAlign w:val="baseline"/>
        </w:rPr>
        <w:t>intention</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contrary,</w:t>
      </w:r>
      <w:r>
        <w:rPr>
          <w:spacing w:val="-1"/>
          <w:vertAlign w:val="baseline"/>
        </w:rPr>
        <w:t> </w:t>
      </w:r>
      <w:r>
        <w:rPr>
          <w:vertAlign w:val="baseline"/>
        </w:rPr>
        <w:t>the</w:t>
      </w:r>
      <w:r>
        <w:rPr>
          <w:spacing w:val="-1"/>
          <w:vertAlign w:val="baseline"/>
        </w:rPr>
        <w:t> </w:t>
      </w:r>
      <w:r>
        <w:rPr>
          <w:vertAlign w:val="baseline"/>
        </w:rPr>
        <w:t>general</w:t>
      </w:r>
      <w:r>
        <w:rPr>
          <w:spacing w:val="-1"/>
          <w:vertAlign w:val="baseline"/>
        </w:rPr>
        <w:t> </w:t>
      </w:r>
      <w:r>
        <w:rPr>
          <w:vertAlign w:val="baseline"/>
        </w:rPr>
        <w:t>rule</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content </w:t>
      </w:r>
      <w:bookmarkStart w:name="_bookmark789" w:id="791"/>
      <w:bookmarkEnd w:id="791"/>
      <w:r>
        <w:rPr>
          <w:vertAlign w:val="baseline"/>
        </w:rPr>
        <w:t>of</w:t>
      </w:r>
      <w:r>
        <w:rPr>
          <w:vertAlign w:val="baseline"/>
        </w:rPr>
        <w:t> the websites constitutes invitations to treat. </w:t>
      </w:r>
      <w:r>
        <w:rPr>
          <w:color w:val="005DA1"/>
          <w:u w:val="single" w:color="005DA1"/>
          <w:vertAlign w:val="superscript"/>
        </w:rPr>
        <w:t>420</w:t>
      </w:r>
      <w:r>
        <w:rPr>
          <w:color w:val="005DA1"/>
          <w:vertAlign w:val="baseline"/>
        </w:rPr>
        <w:t> </w:t>
      </w:r>
      <w:r>
        <w:rPr>
          <w:vertAlign w:val="baseline"/>
        </w:rPr>
        <w:t>In exceptional cases, the objective intention evinced by a website will be that it contains an offer; thus, the result in</w:t>
      </w:r>
      <w:r>
        <w:rPr>
          <w:spacing w:val="-1"/>
          <w:vertAlign w:val="baseline"/>
        </w:rPr>
        <w:t> </w:t>
      </w:r>
      <w:r>
        <w:rPr>
          <w:rFonts w:ascii="Arial" w:hAnsi="Arial"/>
          <w:i/>
          <w:vertAlign w:val="baseline"/>
        </w:rPr>
        <w:t>Carlill v Carbolic Smoke Ball Co Ltd</w:t>
      </w:r>
      <w:r>
        <w:rPr>
          <w:vertAlign w:val="baseline"/>
        </w:rPr>
        <w:t>, </w:t>
      </w:r>
      <w:r>
        <w:rPr>
          <w:color w:val="005DA1"/>
          <w:u w:val="single" w:color="005DA1"/>
          <w:vertAlign w:val="superscript"/>
        </w:rPr>
        <w:t>421</w:t>
      </w:r>
      <w:r>
        <w:rPr>
          <w:color w:val="005DA1"/>
          <w:vertAlign w:val="baseline"/>
        </w:rPr>
        <w:t> </w:t>
      </w:r>
      <w:r>
        <w:rPr>
          <w:vertAlign w:val="baseline"/>
        </w:rPr>
        <w:t>namely that the advertisement contained a unilateral offer to pay £100 to any person catching influenza despite using the smoke ball as instructed, should be the same even if the advertisement had been made online rather than on paper. But, in the absence of such exceptional circumstances, </w:t>
      </w:r>
      <w:bookmarkStart w:name="_bookmark790" w:id="792"/>
      <w:bookmarkEnd w:id="792"/>
      <w:r>
        <w:rPr>
          <w:vertAlign w:val="baseline"/>
        </w:rPr>
        <w:t>the</w:t>
      </w:r>
      <w:r>
        <w:rPr>
          <w:vertAlign w:val="baseline"/>
        </w:rPr>
        <w:t> customer makes the offer when he confirms his payment details and order, usually by clicking an appropriate “button” on the website. </w:t>
      </w:r>
      <w:r>
        <w:rPr>
          <w:color w:val="005DA1"/>
          <w:u w:val="single" w:color="005DA1"/>
          <w:vertAlign w:val="superscript"/>
        </w:rPr>
        <w:t>422</w:t>
      </w:r>
      <w:r>
        <w:rPr>
          <w:color w:val="005DA1"/>
          <w:vertAlign w:val="baseline"/>
        </w:rPr>
        <w:t> </w:t>
      </w:r>
      <w:r>
        <w:rPr>
          <w:vertAlign w:val="baseline"/>
        </w:rPr>
        <w:t>The trader may respond in a number of ways to the</w:t>
      </w:r>
      <w:r>
        <w:rPr>
          <w:spacing w:val="40"/>
          <w:vertAlign w:val="baseline"/>
        </w:rPr>
        <w:t> </w:t>
      </w:r>
      <w:bookmarkStart w:name="_bookmark791" w:id="793"/>
      <w:bookmarkEnd w:id="793"/>
      <w:r>
        <w:rPr>
          <w:vertAlign w:val="baseline"/>
        </w:rPr>
        <w:t>customer’s</w:t>
      </w:r>
      <w:r>
        <w:rPr>
          <w:vertAlign w:val="baseline"/>
        </w:rPr>
        <w:t> offer. First, the trader may send the customer an email acknowledging receipt of the order (as required by the Electronic Commerce (EC Directive) Regulations 2002) </w:t>
      </w:r>
      <w:r>
        <w:rPr>
          <w:color w:val="005DA1"/>
          <w:u w:val="single" w:color="005DA1"/>
          <w:vertAlign w:val="superscript"/>
        </w:rPr>
        <w:t>423</w:t>
      </w:r>
      <w:r>
        <w:rPr>
          <w:color w:val="005DA1"/>
          <w:vertAlign w:val="baseline"/>
        </w:rPr>
        <w:t> </w:t>
      </w:r>
      <w:r>
        <w:rPr>
          <w:vertAlign w:val="baseline"/>
        </w:rPr>
        <w:t>or stating that the customer’s order is being processed. These are insufficient to constitute an acceptance by the trader who may yet have good reasons not to accept the customer’s offer; he may have insufficient stock to fulfil the order, he may pick up a pricing error on the website, or there may be a problem with the customer’s payment or the customer being in a different jurisdiction. Second, the trader may, in addition, send one of or a combination of emails stating that the order has been successfully processed, or that the items have been despatched, or that the item has been delivered, or the trader may simply deliver the item without sending an email. Subject to the precise content of the email message, any of these emails may amount to an acceptance; actual delivery would certainly do so.</w:t>
      </w:r>
    </w:p>
    <w:p>
      <w:pPr>
        <w:pStyle w:val="BodyText"/>
      </w:pPr>
    </w:p>
    <w:p>
      <w:pPr>
        <w:pStyle w:val="BodyText"/>
        <w:spacing w:before="29"/>
      </w:pPr>
    </w:p>
    <w:p>
      <w:pPr>
        <w:spacing w:before="0"/>
        <w:ind w:left="165" w:right="0" w:firstLine="0"/>
        <w:jc w:val="both"/>
        <w:rPr>
          <w:rFonts w:ascii="Arial"/>
          <w:b/>
          <w:sz w:val="18"/>
        </w:rPr>
      </w:pPr>
      <w:r>
        <w:rPr>
          <w:rFonts w:ascii="Arial"/>
          <w:b/>
          <w:sz w:val="18"/>
        </w:rPr>
        <w:t>The time of email </w:t>
      </w:r>
      <w:r>
        <w:rPr>
          <w:rFonts w:ascii="Arial"/>
          <w:b/>
          <w:spacing w:val="-2"/>
          <w:sz w:val="18"/>
        </w:rPr>
        <w:t>acceptances</w:t>
      </w:r>
    </w:p>
    <w:p>
      <w:pPr>
        <w:pStyle w:val="BodyText"/>
        <w:spacing w:before="42"/>
        <w:rPr>
          <w:rFonts w:ascii="Arial"/>
          <w:b/>
          <w:sz w:val="18"/>
        </w:rPr>
      </w:pPr>
    </w:p>
    <w:p>
      <w:pPr>
        <w:pStyle w:val="Heading2"/>
      </w:pPr>
      <w:r>
        <w:rPr/>
        <w:t>2-</w:t>
      </w:r>
      <w:r>
        <w:rPr>
          <w:spacing w:val="-5"/>
        </w:rPr>
        <w:t>079</w:t>
      </w:r>
    </w:p>
    <w:p>
      <w:pPr>
        <w:pStyle w:val="BodyText"/>
        <w:spacing w:line="235" w:lineRule="auto" w:before="202"/>
        <w:ind w:left="164" w:right="167"/>
        <w:jc w:val="both"/>
      </w:pPr>
      <w:bookmarkStart w:name="_bookmark792" w:id="794"/>
      <w:bookmarkEnd w:id="794"/>
      <w:r>
        <w:rPr/>
      </w:r>
      <w:bookmarkStart w:name="_bookmark793" w:id="795"/>
      <w:bookmarkEnd w:id="795"/>
      <w:r>
        <w:rPr/>
      </w:r>
      <w:r>
        <w:rPr/>
        <w:t>Although the general rule is that an acceptance must be communicated to the offeror, </w:t>
      </w:r>
      <w:r>
        <w:rPr>
          <w:color w:val="005DA1"/>
          <w:u w:val="single" w:color="005DA1"/>
          <w:vertAlign w:val="superscript"/>
        </w:rPr>
        <w:t>424</w:t>
      </w:r>
      <w:r>
        <w:rPr>
          <w:color w:val="005DA1"/>
          <w:vertAlign w:val="baseline"/>
        </w:rPr>
        <w:t> </w:t>
      </w:r>
      <w:r>
        <w:rPr>
          <w:vertAlign w:val="baseline"/>
        </w:rPr>
        <w:t>the </w:t>
      </w:r>
      <w:r>
        <w:rPr>
          <w:vertAlign w:val="baseline"/>
        </w:rPr>
        <w:t>posting rule discussed above provides a notable exception. </w:t>
      </w:r>
      <w:r>
        <w:rPr>
          <w:color w:val="005DA1"/>
          <w:u w:val="single" w:color="005DA1"/>
          <w:vertAlign w:val="superscript"/>
        </w:rPr>
        <w:t>425</w:t>
      </w:r>
      <w:r>
        <w:rPr>
          <w:color w:val="005DA1"/>
          <w:vertAlign w:val="baseline"/>
        </w:rPr>
        <w:t> </w:t>
      </w:r>
      <w:r>
        <w:rPr>
          <w:vertAlign w:val="baseline"/>
        </w:rPr>
        <w:t>The similarity of email communications to communications by an exchange of letters raises the question of whether the posting rule should also </w:t>
      </w:r>
      <w:bookmarkStart w:name="_bookmark794" w:id="796"/>
      <w:bookmarkEnd w:id="796"/>
      <w:r>
        <w:rPr>
          <w:vertAlign w:val="baseline"/>
        </w:rPr>
        <w:t>be</w:t>
      </w:r>
      <w:r>
        <w:rPr>
          <w:vertAlign w:val="baseline"/>
        </w:rPr>
        <w:t> applied to acceptances sent by email. It is submitted that the exceptional posting rule should not</w:t>
      </w:r>
      <w:r>
        <w:rPr>
          <w:spacing w:val="40"/>
          <w:vertAlign w:val="baseline"/>
        </w:rPr>
        <w:t> </w:t>
      </w:r>
      <w:bookmarkStart w:name="_bookmark795" w:id="797"/>
      <w:bookmarkEnd w:id="797"/>
      <w:r>
        <w:rPr>
          <w:vertAlign w:val="baseline"/>
        </w:rPr>
        <w:t>be</w:t>
      </w:r>
      <w:r>
        <w:rPr>
          <w:vertAlign w:val="baseline"/>
        </w:rPr>
        <w:t> so extended. The Court of Appeal in </w:t>
      </w:r>
      <w:r>
        <w:rPr>
          <w:rFonts w:ascii="Arial" w:hAnsi="Arial"/>
          <w:i/>
          <w:vertAlign w:val="baseline"/>
        </w:rPr>
        <w:t>Entores v Miles Far East Corp </w:t>
      </w:r>
      <w:r>
        <w:rPr>
          <w:color w:val="005DA1"/>
          <w:u w:val="single" w:color="005DA1"/>
          <w:vertAlign w:val="superscript"/>
        </w:rPr>
        <w:t>426</w:t>
      </w:r>
      <w:r>
        <w:rPr>
          <w:color w:val="005DA1"/>
          <w:vertAlign w:val="baseline"/>
        </w:rPr>
        <w:t> </w:t>
      </w:r>
      <w:r>
        <w:rPr>
          <w:vertAlign w:val="baseline"/>
        </w:rPr>
        <w:t>and the House of Lords in </w:t>
      </w:r>
      <w:r>
        <w:rPr>
          <w:rFonts w:ascii="Arial" w:hAnsi="Arial"/>
          <w:i/>
          <w:vertAlign w:val="baseline"/>
        </w:rPr>
        <w:t>Brinkibon Ltd v Stahag Stahl und Stahlwarenhandels GmbH </w:t>
      </w:r>
      <w:r>
        <w:rPr>
          <w:color w:val="005DA1"/>
          <w:u w:val="single" w:color="005DA1"/>
          <w:vertAlign w:val="superscript"/>
        </w:rPr>
        <w:t>427</w:t>
      </w:r>
      <w:r>
        <w:rPr>
          <w:color w:val="005DA1"/>
          <w:vertAlign w:val="baseline"/>
        </w:rPr>
        <w:t> </w:t>
      </w:r>
      <w:r>
        <w:rPr>
          <w:vertAlign w:val="baseline"/>
        </w:rPr>
        <w:t>refused to extend the posting rule to acceptances made by telex, holding instead that acceptance takes effect when the telex arrives on</w:t>
      </w:r>
      <w:r>
        <w:rPr>
          <w:spacing w:val="40"/>
          <w:vertAlign w:val="baseline"/>
        </w:rPr>
        <w:t> </w:t>
      </w:r>
      <w:r>
        <w:rPr>
          <w:vertAlign w:val="baseline"/>
        </w:rPr>
        <w:t>the offeror’s machine. Both courts attached importance to the fact that any failure of communication (e.g. where the line goes dead or the offeror notifies the offeree that ink on the receiving end has run out) would be apparent to the offeree. Likewise, the offeree sending the acceptance is more likely</w:t>
      </w:r>
      <w:r>
        <w:rPr>
          <w:spacing w:val="40"/>
          <w:vertAlign w:val="baseline"/>
        </w:rPr>
        <w:t> </w:t>
      </w:r>
      <w:r>
        <w:rPr>
          <w:vertAlign w:val="baseline"/>
        </w:rPr>
        <w:t>than the offeror (the intended recipient) to know that the email delivery has failed since he will receive a message informing him of this. This contrasts with the post where the offeree sender usually has no means of knowing that his acceptance letter has been delayed or lost. Therefore, in general, the time of acceptance by email should be when the email is received by the offeror.</w:t>
      </w:r>
    </w:p>
    <w:p>
      <w:pPr>
        <w:pStyle w:val="BodyText"/>
      </w:pPr>
    </w:p>
    <w:p>
      <w:pPr>
        <w:pStyle w:val="BodyText"/>
        <w:spacing w:before="33"/>
      </w:pPr>
    </w:p>
    <w:p>
      <w:pPr>
        <w:spacing w:before="1"/>
        <w:ind w:left="165" w:right="0" w:firstLine="0"/>
        <w:jc w:val="left"/>
        <w:rPr>
          <w:rFonts w:ascii="Arial"/>
          <w:b/>
          <w:sz w:val="18"/>
        </w:rPr>
      </w:pPr>
      <w:r>
        <w:rPr>
          <w:rFonts w:ascii="Arial"/>
          <w:b/>
          <w:sz w:val="18"/>
        </w:rPr>
        <w:t>When an email acceptance is </w:t>
      </w:r>
      <w:r>
        <w:rPr>
          <w:rFonts w:ascii="Arial"/>
          <w:b/>
          <w:spacing w:val="-2"/>
          <w:sz w:val="18"/>
        </w:rPr>
        <w:t>received</w:t>
      </w:r>
    </w:p>
    <w:p>
      <w:pPr>
        <w:pStyle w:val="BodyText"/>
        <w:spacing w:before="41"/>
        <w:rPr>
          <w:rFonts w:ascii="Arial"/>
          <w:b/>
          <w:sz w:val="18"/>
        </w:rPr>
      </w:pPr>
    </w:p>
    <w:p>
      <w:pPr>
        <w:pStyle w:val="Heading2"/>
      </w:pPr>
      <w:r>
        <w:rPr/>
        <w:t>2-</w:t>
      </w:r>
      <w:r>
        <w:rPr>
          <w:spacing w:val="-5"/>
        </w:rPr>
        <w:t>080</w:t>
      </w:r>
    </w:p>
    <w:p>
      <w:pPr>
        <w:pStyle w:val="BodyText"/>
        <w:spacing w:line="235" w:lineRule="auto" w:before="203"/>
        <w:ind w:left="164" w:right="167"/>
        <w:jc w:val="both"/>
      </w:pPr>
      <w:bookmarkStart w:name="_bookmark796" w:id="798"/>
      <w:bookmarkEnd w:id="798"/>
      <w:r>
        <w:rPr/>
      </w:r>
      <w:r>
        <w:rPr/>
        <w:t>Although email communication is sufficiently unlike post so that it should not be governed by the posting rule, </w:t>
      </w:r>
      <w:r>
        <w:rPr>
          <w:color w:val="005DA1"/>
          <w:u w:val="single" w:color="005DA1"/>
          <w:vertAlign w:val="superscript"/>
        </w:rPr>
        <w:t>428</w:t>
      </w:r>
      <w:r>
        <w:rPr>
          <w:color w:val="005DA1"/>
          <w:vertAlign w:val="baseline"/>
        </w:rPr>
        <w:t> </w:t>
      </w:r>
      <w:r>
        <w:rPr>
          <w:vertAlign w:val="baseline"/>
        </w:rPr>
        <w:t>it is also sufficiently different from the core examples of instantaneous communications (e.g. face-to-face and telephone conversations) that a question arises as to when </w:t>
      </w:r>
      <w:r>
        <w:rPr>
          <w:vertAlign w:val="baseline"/>
        </w:rPr>
        <w:t>an email acceptance should be regarded as having been </w:t>
      </w:r>
      <w:r>
        <w:rPr>
          <w:rFonts w:ascii="Arial" w:hAnsi="Arial"/>
          <w:i/>
          <w:vertAlign w:val="baseline"/>
        </w:rPr>
        <w:t>received</w:t>
      </w:r>
      <w:r>
        <w:rPr>
          <w:vertAlign w:val="baseline"/>
        </w:rPr>
        <w:t>. In the </w:t>
      </w:r>
      <w:r>
        <w:rPr>
          <w:rFonts w:ascii="Arial" w:hAnsi="Arial"/>
          <w:i/>
          <w:vertAlign w:val="baseline"/>
        </w:rPr>
        <w:t>Brinkibon </w:t>
      </w:r>
      <w:r>
        <w:rPr>
          <w:vertAlign w:val="baseline"/>
        </w:rPr>
        <w:t>case Lord </w:t>
      </w:r>
      <w:bookmarkStart w:name="_bookmark797" w:id="799"/>
      <w:bookmarkEnd w:id="799"/>
      <w:r>
        <w:rPr>
          <w:vertAlign w:val="baseline"/>
        </w:rPr>
        <w:t>Wilberforce</w:t>
      </w:r>
      <w:r>
        <w:rPr>
          <w:vertAlign w:val="baseline"/>
        </w:rPr>
        <w:t> accepted the rule on instantaneous communication “where the condition of simultaneity is met”. </w:t>
      </w:r>
      <w:r>
        <w:rPr>
          <w:color w:val="005DA1"/>
          <w:u w:val="single" w:color="005DA1"/>
          <w:vertAlign w:val="superscript"/>
        </w:rPr>
        <w:t>429</w:t>
      </w:r>
      <w:r>
        <w:rPr>
          <w:color w:val="005DA1"/>
          <w:vertAlign w:val="baseline"/>
        </w:rPr>
        <w:t> </w:t>
      </w:r>
      <w:r>
        <w:rPr>
          <w:vertAlign w:val="baseline"/>
        </w:rPr>
        <w:t>The assumption is that both parties are present, so that there is no time lag between the </w:t>
      </w:r>
      <w:bookmarkStart w:name="_bookmark798" w:id="800"/>
      <w:bookmarkEnd w:id="800"/>
      <w:r>
        <w:rPr>
          <w:vertAlign w:val="baseline"/>
        </w:rPr>
        <w:t>sending</w:t>
      </w:r>
      <w:r>
        <w:rPr>
          <w:vertAlign w:val="baseline"/>
        </w:rPr>
        <w:t> and receiving of the acceptance and any failures of communication are usually detectable and immediately rectifiable. </w:t>
      </w:r>
      <w:r>
        <w:rPr>
          <w:color w:val="005DA1"/>
          <w:u w:val="single" w:color="005DA1"/>
          <w:vertAlign w:val="superscript"/>
        </w:rPr>
        <w:t>430</w:t>
      </w:r>
      <w:r>
        <w:rPr>
          <w:color w:val="005DA1"/>
          <w:vertAlign w:val="baseline"/>
        </w:rPr>
        <w:t> </w:t>
      </w:r>
      <w:r>
        <w:rPr>
          <w:vertAlign w:val="baseline"/>
        </w:rPr>
        <w:t>However, the condition of simultaneity should be assumed in the case of</w:t>
      </w:r>
      <w:r>
        <w:rPr>
          <w:spacing w:val="10"/>
          <w:vertAlign w:val="baseline"/>
        </w:rPr>
        <w:t> </w:t>
      </w:r>
      <w:r>
        <w:rPr>
          <w:vertAlign w:val="baseline"/>
        </w:rPr>
        <w:t>email</w:t>
      </w:r>
      <w:r>
        <w:rPr>
          <w:spacing w:val="12"/>
          <w:vertAlign w:val="baseline"/>
        </w:rPr>
        <w:t> </w:t>
      </w:r>
      <w:r>
        <w:rPr>
          <w:vertAlign w:val="baseline"/>
        </w:rPr>
        <w:t>and</w:t>
      </w:r>
      <w:r>
        <w:rPr>
          <w:spacing w:val="12"/>
          <w:vertAlign w:val="baseline"/>
        </w:rPr>
        <w:t> </w:t>
      </w:r>
      <w:r>
        <w:rPr>
          <w:vertAlign w:val="baseline"/>
        </w:rPr>
        <w:t>other</w:t>
      </w:r>
      <w:r>
        <w:rPr>
          <w:spacing w:val="12"/>
          <w:vertAlign w:val="baseline"/>
        </w:rPr>
        <w:t> </w:t>
      </w:r>
      <w:r>
        <w:rPr>
          <w:vertAlign w:val="baseline"/>
        </w:rPr>
        <w:t>similar</w:t>
      </w:r>
      <w:r>
        <w:rPr>
          <w:spacing w:val="12"/>
          <w:vertAlign w:val="baseline"/>
        </w:rPr>
        <w:t> </w:t>
      </w:r>
      <w:r>
        <w:rPr>
          <w:vertAlign w:val="baseline"/>
        </w:rPr>
        <w:t>instantaneous</w:t>
      </w:r>
      <w:r>
        <w:rPr>
          <w:spacing w:val="12"/>
          <w:vertAlign w:val="baseline"/>
        </w:rPr>
        <w:t> </w:t>
      </w:r>
      <w:r>
        <w:rPr>
          <w:vertAlign w:val="baseline"/>
        </w:rPr>
        <w:t>methods</w:t>
      </w:r>
      <w:r>
        <w:rPr>
          <w:spacing w:val="12"/>
          <w:vertAlign w:val="baseline"/>
        </w:rPr>
        <w:t> </w:t>
      </w:r>
      <w:r>
        <w:rPr>
          <w:vertAlign w:val="baseline"/>
        </w:rPr>
        <w:t>of</w:t>
      </w:r>
      <w:r>
        <w:rPr>
          <w:spacing w:val="12"/>
          <w:vertAlign w:val="baseline"/>
        </w:rPr>
        <w:t> </w:t>
      </w:r>
      <w:r>
        <w:rPr>
          <w:vertAlign w:val="baseline"/>
        </w:rPr>
        <w:t>communication</w:t>
      </w:r>
      <w:r>
        <w:rPr>
          <w:spacing w:val="12"/>
          <w:vertAlign w:val="baseline"/>
        </w:rPr>
        <w:t> </w:t>
      </w:r>
      <w:r>
        <w:rPr>
          <w:vertAlign w:val="baseline"/>
        </w:rPr>
        <w:t>(e.g.</w:t>
      </w:r>
      <w:r>
        <w:rPr>
          <w:spacing w:val="12"/>
          <w:vertAlign w:val="baseline"/>
        </w:rPr>
        <w:t> </w:t>
      </w:r>
      <w:r>
        <w:rPr>
          <w:vertAlign w:val="baseline"/>
        </w:rPr>
        <w:t>texts,</w:t>
      </w:r>
      <w:r>
        <w:rPr>
          <w:spacing w:val="12"/>
          <w:vertAlign w:val="baseline"/>
        </w:rPr>
        <w:t> </w:t>
      </w:r>
      <w:r>
        <w:rPr>
          <w:vertAlign w:val="baseline"/>
        </w:rPr>
        <w:t>telephone</w:t>
      </w:r>
      <w:r>
        <w:rPr>
          <w:spacing w:val="12"/>
          <w:vertAlign w:val="baseline"/>
        </w:rPr>
        <w:t> </w:t>
      </w:r>
      <w:r>
        <w:rPr>
          <w:spacing w:val="-2"/>
          <w:vertAlign w:val="baseline"/>
        </w:rPr>
        <w:t>answering</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machines, faxes, telexes); the message arrives almost instantaneously, but the recipient may not, at that moment, be at the other end and ready to receive the message. Lord Wilberforce has said that:</w:t>
      </w:r>
    </w:p>
    <w:p>
      <w:pPr>
        <w:pStyle w:val="BodyText"/>
      </w:pPr>
    </w:p>
    <w:p>
      <w:pPr>
        <w:pStyle w:val="BodyText"/>
        <w:spacing w:before="126"/>
      </w:pPr>
    </w:p>
    <w:p>
      <w:pPr>
        <w:pStyle w:val="BodyText"/>
        <w:spacing w:line="235" w:lineRule="auto"/>
        <w:ind w:left="1245" w:right="167"/>
        <w:jc w:val="both"/>
      </w:pPr>
      <w:r>
        <w:rPr/>
        <w:t>“No universal rule can cover all such cases; they must be resolved by reference to the </w:t>
      </w:r>
      <w:bookmarkStart w:name="_bookmark799" w:id="801"/>
      <w:bookmarkEnd w:id="801"/>
      <w:r>
        <w:rPr/>
        <w:t>intentions</w:t>
      </w:r>
      <w:r>
        <w:rPr/>
        <w:t> of the parties, by sound business practice and in some cases by a </w:t>
      </w:r>
      <w:r>
        <w:rPr/>
        <w:t>judgment where the risks should lie.” </w:t>
      </w:r>
      <w:r>
        <w:rPr>
          <w:color w:val="005DA1"/>
          <w:u w:val="single" w:color="005DA1"/>
          <w:vertAlign w:val="superscript"/>
        </w:rPr>
        <w:t>431</w:t>
      </w:r>
    </w:p>
    <w:p>
      <w:pPr>
        <w:pStyle w:val="BodyText"/>
      </w:pPr>
    </w:p>
    <w:p>
      <w:pPr>
        <w:pStyle w:val="BodyText"/>
        <w:spacing w:before="206"/>
      </w:pPr>
    </w:p>
    <w:p>
      <w:pPr>
        <w:pStyle w:val="BodyText"/>
        <w:spacing w:line="235" w:lineRule="auto"/>
        <w:ind w:left="164" w:right="167"/>
        <w:jc w:val="both"/>
      </w:pPr>
      <w:r>
        <w:rPr/>
        <w:t>One possibility is to treat an email acceptance as having been received when it arrives on </w:t>
      </w:r>
      <w:r>
        <w:rPr/>
        <w:t>the</w:t>
      </w:r>
      <w:r>
        <w:rPr>
          <w:spacing w:val="40"/>
        </w:rPr>
        <w:t> </w:t>
      </w:r>
      <w:bookmarkStart w:name="_bookmark800" w:id="802"/>
      <w:bookmarkEnd w:id="802"/>
      <w:r>
        <w:rPr/>
        <w:t>offeror’s</w:t>
      </w:r>
      <w:r>
        <w:rPr/>
        <w:t> email server. This is supported by a number of international conventions, restatements and national laws, </w:t>
      </w:r>
      <w:r>
        <w:rPr>
          <w:color w:val="005DA1"/>
          <w:u w:val="single" w:color="005DA1"/>
          <w:vertAlign w:val="superscript"/>
        </w:rPr>
        <w:t>432</w:t>
      </w:r>
      <w:r>
        <w:rPr>
          <w:color w:val="005DA1"/>
          <w:vertAlign w:val="baseline"/>
        </w:rPr>
        <w:t> </w:t>
      </w:r>
      <w:r>
        <w:rPr>
          <w:vertAlign w:val="baseline"/>
        </w:rPr>
        <w:t>and has the merit of certainty since that time is recorded in the email. A second </w:t>
      </w:r>
      <w:bookmarkStart w:name="_bookmark801" w:id="803"/>
      <w:bookmarkEnd w:id="803"/>
      <w:r>
        <w:rPr>
          <w:vertAlign w:val="baseline"/>
        </w:rPr>
        <w:t>possibility</w:t>
      </w:r>
      <w:r>
        <w:rPr>
          <w:vertAlign w:val="baseline"/>
        </w:rPr>
        <w:t> is to treat an email acceptance as received when the addressee can access it. There is some support for this position, </w:t>
      </w:r>
      <w:r>
        <w:rPr>
          <w:color w:val="005DA1"/>
          <w:u w:val="single" w:color="005DA1"/>
          <w:vertAlign w:val="superscript"/>
        </w:rPr>
        <w:t>433</w:t>
      </w:r>
      <w:r>
        <w:rPr>
          <w:color w:val="005DA1"/>
          <w:vertAlign w:val="baseline"/>
        </w:rPr>
        <w:t> </w:t>
      </w:r>
      <w:r>
        <w:rPr>
          <w:vertAlign w:val="baseline"/>
        </w:rPr>
        <w:t>but, it is not only more uncertain, it may also seem unfair because the causes of the offeror’s lack of access to the email will usually be, broadly speaking, within the offeror’s sphere of control (e.g. problems with the offeror’s computer or server or the connection </w:t>
      </w:r>
      <w:bookmarkStart w:name="_bookmark802" w:id="804"/>
      <w:bookmarkEnd w:id="804"/>
      <w:r>
        <w:rPr>
          <w:vertAlign w:val="baseline"/>
        </w:rPr>
        <w:t>between</w:t>
      </w:r>
      <w:r>
        <w:rPr>
          <w:vertAlign w:val="baseline"/>
        </w:rPr>
        <w:t> them, or the operation of spam filters or firewalls), and those risks should not be borne by</w:t>
      </w:r>
      <w:r>
        <w:rPr>
          <w:spacing w:val="40"/>
          <w:vertAlign w:val="baseline"/>
        </w:rPr>
        <w:t> </w:t>
      </w:r>
      <w:r>
        <w:rPr>
          <w:vertAlign w:val="baseline"/>
        </w:rPr>
        <w:t>the offeree. </w:t>
      </w:r>
      <w:r>
        <w:rPr>
          <w:color w:val="005DA1"/>
          <w:u w:val="single" w:color="005DA1"/>
          <w:vertAlign w:val="superscript"/>
        </w:rPr>
        <w:t>434</w:t>
      </w:r>
      <w:r>
        <w:rPr>
          <w:color w:val="005DA1"/>
          <w:vertAlign w:val="baseline"/>
        </w:rPr>
        <w:t> </w:t>
      </w:r>
      <w:r>
        <w:rPr>
          <w:vertAlign w:val="baseline"/>
        </w:rPr>
        <w:t>A third possibility is to treat the acceptance email as received when, in all the circumstances, a reasonable offeror would have accessed the message (e.g. during normal business </w:t>
      </w:r>
      <w:bookmarkStart w:name="_bookmark803" w:id="805"/>
      <w:bookmarkEnd w:id="805"/>
      <w:r>
        <w:rPr>
          <w:vertAlign w:val="baseline"/>
        </w:rPr>
        <w:t>hours)</w:t>
      </w:r>
      <w:r>
        <w:rPr>
          <w:vertAlign w:val="baseline"/>
        </w:rPr>
        <w:t> or when the offeror actually accessed the message if earlier. However, the authorities consistent with this position </w:t>
      </w:r>
      <w:r>
        <w:rPr>
          <w:color w:val="005DA1"/>
          <w:u w:val="single" w:color="005DA1"/>
          <w:vertAlign w:val="superscript"/>
        </w:rPr>
        <w:t>435</w:t>
      </w:r>
      <w:r>
        <w:rPr>
          <w:color w:val="005DA1"/>
          <w:vertAlign w:val="baseline"/>
        </w:rPr>
        <w:t> </w:t>
      </w:r>
      <w:r>
        <w:rPr>
          <w:vertAlign w:val="baseline"/>
        </w:rPr>
        <w:t>relate to the “quite different” </w:t>
      </w:r>
      <w:r>
        <w:rPr>
          <w:color w:val="005DA1"/>
          <w:u w:val="single" w:color="005DA1"/>
          <w:vertAlign w:val="superscript"/>
        </w:rPr>
        <w:t>436</w:t>
      </w:r>
      <w:r>
        <w:rPr>
          <w:color w:val="005DA1"/>
          <w:vertAlign w:val="baseline"/>
        </w:rPr>
        <w:t> </w:t>
      </w:r>
      <w:r>
        <w:rPr>
          <w:vertAlign w:val="baseline"/>
        </w:rPr>
        <w:t>question of when notice of withdrawal of a charterparty is deemed to have occurred. Moreover, this approach would create a great deal of uncertainty where, for example, business hours vary within the same business or across different businesses, or as between the offeror and offeree, or where the offeror may reasonably be expected to check his email in the evenings and at weekends, or where the parties do not negotiate in a business context, or where the offeror sends an automatic email response about his limited access to his email during certain periods of time. Therefore, subject to the reasonableness of the parties’ conduct and fault discussed in the next paragraph, it is submitted that the first option should be adopted as the default position; that is, an email acceptance should be treated as having been received when it arrives on the offeror’s email server, unless the parties or the context indicate to the </w:t>
      </w:r>
      <w:r>
        <w:rPr>
          <w:spacing w:val="-2"/>
          <w:vertAlign w:val="baseline"/>
        </w:rPr>
        <w:t>contrary.</w:t>
      </w:r>
    </w:p>
    <w:p>
      <w:pPr>
        <w:pStyle w:val="BodyText"/>
      </w:pPr>
    </w:p>
    <w:p>
      <w:pPr>
        <w:pStyle w:val="BodyText"/>
        <w:spacing w:before="30"/>
      </w:pPr>
    </w:p>
    <w:p>
      <w:pPr>
        <w:spacing w:before="0"/>
        <w:ind w:left="165" w:right="0" w:firstLine="0"/>
        <w:jc w:val="both"/>
        <w:rPr>
          <w:rFonts w:ascii="Arial"/>
          <w:b/>
          <w:sz w:val="18"/>
        </w:rPr>
      </w:pPr>
      <w:r>
        <w:rPr>
          <w:rFonts w:ascii="Arial"/>
          <w:b/>
          <w:sz w:val="18"/>
        </w:rPr>
        <w:t>Failure of email </w:t>
      </w:r>
      <w:r>
        <w:rPr>
          <w:rFonts w:ascii="Arial"/>
          <w:b/>
          <w:spacing w:val="-2"/>
          <w:sz w:val="18"/>
        </w:rPr>
        <w:t>communication</w:t>
      </w:r>
    </w:p>
    <w:p>
      <w:pPr>
        <w:pStyle w:val="BodyText"/>
        <w:spacing w:before="41"/>
        <w:rPr>
          <w:rFonts w:ascii="Arial"/>
          <w:b/>
          <w:sz w:val="18"/>
        </w:rPr>
      </w:pPr>
    </w:p>
    <w:p>
      <w:pPr>
        <w:pStyle w:val="Heading2"/>
        <w:spacing w:before="1"/>
      </w:pPr>
      <w:r>
        <w:rPr/>
        <w:t>2-</w:t>
      </w:r>
      <w:r>
        <w:rPr>
          <w:spacing w:val="-5"/>
        </w:rPr>
        <w:t>081</w:t>
      </w:r>
    </w:p>
    <w:p>
      <w:pPr>
        <w:spacing w:line="235" w:lineRule="auto" w:before="202"/>
        <w:ind w:left="165" w:right="167" w:firstLine="0"/>
        <w:jc w:val="both"/>
        <w:rPr>
          <w:sz w:val="20"/>
        </w:rPr>
      </w:pPr>
      <w:r>
        <w:rPr>
          <w:sz w:val="20"/>
        </w:rPr>
        <w:t>Email communications may fail; for example, they may not arrive, arrive in garbled form or be blocked </w:t>
      </w:r>
      <w:bookmarkStart w:name="_bookmark804" w:id="806"/>
      <w:bookmarkEnd w:id="806"/>
      <w:r>
        <w:rPr>
          <w:sz w:val="20"/>
        </w:rPr>
        <w:t>by</w:t>
      </w:r>
      <w:r>
        <w:rPr>
          <w:sz w:val="20"/>
        </w:rPr>
        <w:t> antivirus programmes or spam filters. Three principles can be derived from the judgments of </w:t>
      </w:r>
      <w:bookmarkStart w:name="_bookmark805" w:id="807"/>
      <w:bookmarkEnd w:id="807"/>
      <w:r>
        <w:rPr>
          <w:sz w:val="20"/>
        </w:rPr>
        <w:t>Denning</w:t>
      </w:r>
      <w:r>
        <w:rPr>
          <w:spacing w:val="-1"/>
          <w:sz w:val="20"/>
        </w:rPr>
        <w:t> </w:t>
      </w:r>
      <w:r>
        <w:rPr>
          <w:sz w:val="20"/>
        </w:rPr>
        <w:t>L.J.</w:t>
      </w:r>
      <w:r>
        <w:rPr>
          <w:spacing w:val="-1"/>
          <w:sz w:val="20"/>
        </w:rPr>
        <w:t> </w:t>
      </w:r>
      <w:r>
        <w:rPr>
          <w:sz w:val="20"/>
        </w:rPr>
        <w:t>in</w:t>
      </w:r>
      <w:r>
        <w:rPr>
          <w:spacing w:val="-1"/>
          <w:sz w:val="20"/>
        </w:rPr>
        <w:t> </w:t>
      </w:r>
      <w:r>
        <w:rPr>
          <w:rFonts w:ascii="Arial"/>
          <w:i/>
          <w:sz w:val="20"/>
        </w:rPr>
        <w:t>Entores</w:t>
      </w:r>
      <w:r>
        <w:rPr>
          <w:rFonts w:ascii="Arial"/>
          <w:i/>
          <w:spacing w:val="-1"/>
          <w:sz w:val="20"/>
        </w:rPr>
        <w:t> </w:t>
      </w:r>
      <w:r>
        <w:rPr>
          <w:rFonts w:ascii="Arial"/>
          <w:i/>
          <w:sz w:val="20"/>
        </w:rPr>
        <w:t>v</w:t>
      </w:r>
      <w:r>
        <w:rPr>
          <w:rFonts w:ascii="Arial"/>
          <w:i/>
          <w:spacing w:val="-1"/>
          <w:sz w:val="20"/>
        </w:rPr>
        <w:t> </w:t>
      </w:r>
      <w:r>
        <w:rPr>
          <w:rFonts w:ascii="Arial"/>
          <w:i/>
          <w:sz w:val="20"/>
        </w:rPr>
        <w:t>Miles</w:t>
      </w:r>
      <w:r>
        <w:rPr>
          <w:rFonts w:ascii="Arial"/>
          <w:i/>
          <w:spacing w:val="-1"/>
          <w:sz w:val="20"/>
        </w:rPr>
        <w:t> </w:t>
      </w:r>
      <w:r>
        <w:rPr>
          <w:rFonts w:ascii="Arial"/>
          <w:i/>
          <w:sz w:val="20"/>
        </w:rPr>
        <w:t>Far</w:t>
      </w:r>
      <w:r>
        <w:rPr>
          <w:rFonts w:ascii="Arial"/>
          <w:i/>
          <w:spacing w:val="-1"/>
          <w:sz w:val="20"/>
        </w:rPr>
        <w:t> </w:t>
      </w:r>
      <w:r>
        <w:rPr>
          <w:rFonts w:ascii="Arial"/>
          <w:i/>
          <w:sz w:val="20"/>
        </w:rPr>
        <w:t>East</w:t>
      </w:r>
      <w:r>
        <w:rPr>
          <w:rFonts w:ascii="Arial"/>
          <w:i/>
          <w:spacing w:val="-1"/>
          <w:sz w:val="20"/>
        </w:rPr>
        <w:t> </w:t>
      </w:r>
      <w:r>
        <w:rPr>
          <w:rFonts w:ascii="Arial"/>
          <w:i/>
          <w:sz w:val="20"/>
        </w:rPr>
        <w:t>Corp</w:t>
      </w:r>
      <w:r>
        <w:rPr>
          <w:rFonts w:ascii="Arial"/>
          <w:i/>
          <w:spacing w:val="-1"/>
          <w:sz w:val="20"/>
        </w:rPr>
        <w:t> </w:t>
      </w:r>
      <w:r>
        <w:rPr>
          <w:color w:val="005DA1"/>
          <w:sz w:val="20"/>
          <w:u w:val="single" w:color="005DA1"/>
          <w:vertAlign w:val="superscript"/>
        </w:rPr>
        <w:t>437</w:t>
      </w:r>
      <w:r>
        <w:rPr>
          <w:color w:val="005DA1"/>
          <w:spacing w:val="-1"/>
          <w:sz w:val="20"/>
          <w:vertAlign w:val="baseline"/>
        </w:rPr>
        <w:t> </w:t>
      </w:r>
      <w:r>
        <w:rPr>
          <w:sz w:val="20"/>
          <w:vertAlign w:val="baseline"/>
        </w:rPr>
        <w:t>and</w:t>
      </w:r>
      <w:r>
        <w:rPr>
          <w:spacing w:val="-1"/>
          <w:sz w:val="20"/>
          <w:vertAlign w:val="baseline"/>
        </w:rPr>
        <w:t> </w:t>
      </w:r>
      <w:r>
        <w:rPr>
          <w:sz w:val="20"/>
          <w:vertAlign w:val="baseline"/>
        </w:rPr>
        <w:t>Lord</w:t>
      </w:r>
      <w:r>
        <w:rPr>
          <w:spacing w:val="-1"/>
          <w:sz w:val="20"/>
          <w:vertAlign w:val="baseline"/>
        </w:rPr>
        <w:t> </w:t>
      </w:r>
      <w:r>
        <w:rPr>
          <w:sz w:val="20"/>
          <w:vertAlign w:val="baseline"/>
        </w:rPr>
        <w:t>Frazer</w:t>
      </w:r>
      <w:r>
        <w:rPr>
          <w:spacing w:val="-1"/>
          <w:sz w:val="20"/>
          <w:vertAlign w:val="baseline"/>
        </w:rPr>
        <w:t> </w:t>
      </w:r>
      <w:r>
        <w:rPr>
          <w:sz w:val="20"/>
          <w:vertAlign w:val="baseline"/>
        </w:rPr>
        <w:t>in</w:t>
      </w:r>
      <w:r>
        <w:rPr>
          <w:spacing w:val="-1"/>
          <w:sz w:val="20"/>
          <w:vertAlign w:val="baseline"/>
        </w:rPr>
        <w:t> </w:t>
      </w:r>
      <w:r>
        <w:rPr>
          <w:rFonts w:ascii="Arial"/>
          <w:i/>
          <w:sz w:val="20"/>
          <w:vertAlign w:val="baseline"/>
        </w:rPr>
        <w:t>Brinkibon</w:t>
      </w:r>
      <w:r>
        <w:rPr>
          <w:rFonts w:ascii="Arial"/>
          <w:i/>
          <w:spacing w:val="-1"/>
          <w:sz w:val="20"/>
          <w:vertAlign w:val="baseline"/>
        </w:rPr>
        <w:t> </w:t>
      </w:r>
      <w:r>
        <w:rPr>
          <w:rFonts w:ascii="Arial"/>
          <w:i/>
          <w:sz w:val="20"/>
          <w:vertAlign w:val="baseline"/>
        </w:rPr>
        <w:t>Ltd</w:t>
      </w:r>
      <w:r>
        <w:rPr>
          <w:rFonts w:ascii="Arial"/>
          <w:i/>
          <w:spacing w:val="-1"/>
          <w:sz w:val="20"/>
          <w:vertAlign w:val="baseline"/>
        </w:rPr>
        <w:t> </w:t>
      </w:r>
      <w:r>
        <w:rPr>
          <w:rFonts w:ascii="Arial"/>
          <w:i/>
          <w:sz w:val="20"/>
          <w:vertAlign w:val="baseline"/>
        </w:rPr>
        <w:t>v</w:t>
      </w:r>
      <w:r>
        <w:rPr>
          <w:rFonts w:ascii="Arial"/>
          <w:i/>
          <w:spacing w:val="-1"/>
          <w:sz w:val="20"/>
          <w:vertAlign w:val="baseline"/>
        </w:rPr>
        <w:t> </w:t>
      </w:r>
      <w:r>
        <w:rPr>
          <w:rFonts w:ascii="Arial"/>
          <w:i/>
          <w:sz w:val="20"/>
          <w:vertAlign w:val="baseline"/>
        </w:rPr>
        <w:t>Stahag</w:t>
      </w:r>
      <w:r>
        <w:rPr>
          <w:rFonts w:ascii="Arial"/>
          <w:i/>
          <w:spacing w:val="-1"/>
          <w:sz w:val="20"/>
          <w:vertAlign w:val="baseline"/>
        </w:rPr>
        <w:t> </w:t>
      </w:r>
      <w:r>
        <w:rPr>
          <w:rFonts w:ascii="Arial"/>
          <w:i/>
          <w:sz w:val="20"/>
          <w:vertAlign w:val="baseline"/>
        </w:rPr>
        <w:t>Stahl</w:t>
      </w:r>
      <w:r>
        <w:rPr>
          <w:rFonts w:ascii="Arial"/>
          <w:i/>
          <w:spacing w:val="-1"/>
          <w:sz w:val="20"/>
          <w:vertAlign w:val="baseline"/>
        </w:rPr>
        <w:t> </w:t>
      </w:r>
      <w:r>
        <w:rPr>
          <w:rFonts w:ascii="Arial"/>
          <w:i/>
          <w:sz w:val="20"/>
          <w:vertAlign w:val="baseline"/>
        </w:rPr>
        <w:t>und Stahlwarenhandels GmbH</w:t>
      </w:r>
      <w:r>
        <w:rPr>
          <w:sz w:val="20"/>
          <w:vertAlign w:val="baseline"/>
        </w:rPr>
        <w:t>: </w:t>
      </w:r>
      <w:r>
        <w:rPr>
          <w:color w:val="005DA1"/>
          <w:sz w:val="20"/>
          <w:u w:val="single" w:color="005DA1"/>
          <w:vertAlign w:val="superscript"/>
        </w:rPr>
        <w:t>438</w:t>
      </w:r>
    </w:p>
    <w:p>
      <w:pPr>
        <w:pStyle w:val="BodyText"/>
      </w:pPr>
    </w:p>
    <w:p>
      <w:pPr>
        <w:pStyle w:val="BodyText"/>
        <w:spacing w:before="195"/>
      </w:pPr>
    </w:p>
    <w:p>
      <w:pPr>
        <w:pStyle w:val="BodyText"/>
        <w:ind w:left="165"/>
      </w:pPr>
      <w:r>
        <w:rPr>
          <w:spacing w:val="-5"/>
        </w:rPr>
        <w:t>(1)</w:t>
      </w:r>
    </w:p>
    <w:p>
      <w:pPr>
        <w:pStyle w:val="BodyText"/>
        <w:spacing w:line="235" w:lineRule="auto" w:before="114"/>
        <w:ind w:left="645" w:right="167"/>
        <w:jc w:val="both"/>
      </w:pPr>
      <w:bookmarkStart w:name="_bookmark806" w:id="808"/>
      <w:bookmarkEnd w:id="808"/>
      <w:r>
        <w:rPr/>
      </w:r>
      <w:r>
        <w:rPr/>
        <w:t>If the offeree knows or should know that the communication has failed,</w:t>
      </w:r>
      <w:r>
        <w:rPr>
          <w:spacing w:val="-1"/>
        </w:rPr>
        <w:t> </w:t>
      </w:r>
      <w:r>
        <w:rPr>
          <w:color w:val="005DA1"/>
          <w:u w:val="single" w:color="005DA1"/>
          <w:vertAlign w:val="superscript"/>
        </w:rPr>
        <w:t>439</w:t>
      </w:r>
      <w:r>
        <w:rPr>
          <w:color w:val="005DA1"/>
          <w:vertAlign w:val="baseline"/>
        </w:rPr>
        <w:t> </w:t>
      </w:r>
      <w:r>
        <w:rPr>
          <w:vertAlign w:val="baseline"/>
        </w:rPr>
        <w:t>or the failure is due to an occurrence for which the offeree is responsible, then there is no contract. This would be the case where, for example, the offeree sender has received an error message, the offeree </w:t>
      </w:r>
      <w:r>
        <w:rPr>
          <w:vertAlign w:val="baseline"/>
        </w:rPr>
        <w:t>has mistyped</w:t>
      </w:r>
      <w:r>
        <w:rPr>
          <w:spacing w:val="-2"/>
          <w:vertAlign w:val="baseline"/>
        </w:rPr>
        <w:t> </w:t>
      </w:r>
      <w:r>
        <w:rPr>
          <w:vertAlign w:val="baseline"/>
        </w:rPr>
        <w:t>the</w:t>
      </w:r>
      <w:r>
        <w:rPr>
          <w:spacing w:val="-2"/>
          <w:vertAlign w:val="baseline"/>
        </w:rPr>
        <w:t> </w:t>
      </w:r>
      <w:r>
        <w:rPr>
          <w:vertAlign w:val="baseline"/>
        </w:rPr>
        <w:t>offeror’s</w:t>
      </w:r>
      <w:r>
        <w:rPr>
          <w:spacing w:val="-2"/>
          <w:vertAlign w:val="baseline"/>
        </w:rPr>
        <w:t> </w:t>
      </w:r>
      <w:r>
        <w:rPr>
          <w:vertAlign w:val="baseline"/>
        </w:rPr>
        <w:t>email</w:t>
      </w:r>
      <w:r>
        <w:rPr>
          <w:spacing w:val="-2"/>
          <w:vertAlign w:val="baseline"/>
        </w:rPr>
        <w:t> </w:t>
      </w:r>
      <w:r>
        <w:rPr>
          <w:vertAlign w:val="baseline"/>
        </w:rPr>
        <w:t>address,</w:t>
      </w:r>
      <w:r>
        <w:rPr>
          <w:spacing w:val="-2"/>
          <w:vertAlign w:val="baseline"/>
        </w:rPr>
        <w:t> </w:t>
      </w:r>
      <w:r>
        <w:rPr>
          <w:vertAlign w:val="baseline"/>
        </w:rPr>
        <w:t>the</w:t>
      </w:r>
      <w:r>
        <w:rPr>
          <w:spacing w:val="-2"/>
          <w:vertAlign w:val="baseline"/>
        </w:rPr>
        <w:t> </w:t>
      </w:r>
      <w:r>
        <w:rPr>
          <w:vertAlign w:val="baseline"/>
        </w:rPr>
        <w:t>email</w:t>
      </w:r>
      <w:r>
        <w:rPr>
          <w:spacing w:val="-2"/>
          <w:vertAlign w:val="baseline"/>
        </w:rPr>
        <w:t> </w:t>
      </w:r>
      <w:r>
        <w:rPr>
          <w:vertAlign w:val="baseline"/>
        </w:rPr>
        <w:t>that</w:t>
      </w:r>
      <w:r>
        <w:rPr>
          <w:spacing w:val="-2"/>
          <w:vertAlign w:val="baseline"/>
        </w:rPr>
        <w:t> </w:t>
      </w:r>
      <w:r>
        <w:rPr>
          <w:vertAlign w:val="baseline"/>
        </w:rPr>
        <w:t>is</w:t>
      </w:r>
      <w:r>
        <w:rPr>
          <w:spacing w:val="-2"/>
          <w:vertAlign w:val="baseline"/>
        </w:rPr>
        <w:t> </w:t>
      </w:r>
      <w:r>
        <w:rPr>
          <w:vertAlign w:val="baseline"/>
        </w:rPr>
        <w:t>sent</w:t>
      </w:r>
      <w:r>
        <w:rPr>
          <w:spacing w:val="-2"/>
          <w:vertAlign w:val="baseline"/>
        </w:rPr>
        <w:t> </w:t>
      </w:r>
      <w:r>
        <w:rPr>
          <w:vertAlign w:val="baseline"/>
        </w:rPr>
        <w:t>is</w:t>
      </w:r>
      <w:r>
        <w:rPr>
          <w:spacing w:val="-2"/>
          <w:vertAlign w:val="baseline"/>
        </w:rPr>
        <w:t> </w:t>
      </w:r>
      <w:r>
        <w:rPr>
          <w:vertAlign w:val="baseline"/>
        </w:rPr>
        <w:t>blocked</w:t>
      </w:r>
      <w:r>
        <w:rPr>
          <w:spacing w:val="-2"/>
          <w:vertAlign w:val="baseline"/>
        </w:rPr>
        <w:t> </w:t>
      </w:r>
      <w:r>
        <w:rPr>
          <w:vertAlign w:val="baseline"/>
        </w:rPr>
        <w:t>because</w:t>
      </w:r>
      <w:r>
        <w:rPr>
          <w:spacing w:val="-2"/>
          <w:vertAlign w:val="baseline"/>
        </w:rPr>
        <w:t> </w:t>
      </w:r>
      <w:r>
        <w:rPr>
          <w:vertAlign w:val="baseline"/>
        </w:rPr>
        <w:t>it</w:t>
      </w:r>
      <w:r>
        <w:rPr>
          <w:spacing w:val="-2"/>
          <w:vertAlign w:val="baseline"/>
        </w:rPr>
        <w:t> </w:t>
      </w:r>
      <w:r>
        <w:rPr>
          <w:vertAlign w:val="baseline"/>
        </w:rPr>
        <w:t>contains</w:t>
      </w:r>
      <w:r>
        <w:rPr>
          <w:spacing w:val="-2"/>
          <w:vertAlign w:val="baseline"/>
        </w:rPr>
        <w:t> </w:t>
      </w:r>
      <w:r>
        <w:rPr>
          <w:vertAlign w:val="baseline"/>
        </w:rPr>
        <w:t>a</w:t>
      </w:r>
      <w:r>
        <w:rPr>
          <w:spacing w:val="-2"/>
          <w:vertAlign w:val="baseline"/>
        </w:rPr>
        <w:t> </w:t>
      </w:r>
      <w:r>
        <w:rPr>
          <w:vertAlign w:val="baseline"/>
        </w:rPr>
        <w:t>virus or has not come to the offeror’s notice because it was sent to an unexpected email address.</w:t>
      </w:r>
    </w:p>
    <w:p>
      <w:pPr>
        <w:pStyle w:val="BodyText"/>
      </w:pPr>
    </w:p>
    <w:p>
      <w:pPr>
        <w:pStyle w:val="BodyText"/>
        <w:spacing w:before="34"/>
      </w:pPr>
    </w:p>
    <w:p>
      <w:pPr>
        <w:pStyle w:val="BodyText"/>
        <w:ind w:left="165"/>
      </w:pPr>
      <w:r>
        <w:rPr>
          <w:spacing w:val="-5"/>
        </w:rPr>
        <w:t>(2)</w:t>
      </w:r>
    </w:p>
    <w:p>
      <w:pPr>
        <w:pStyle w:val="BodyText"/>
        <w:spacing w:line="235" w:lineRule="auto" w:before="114"/>
        <w:ind w:left="645" w:right="167"/>
        <w:jc w:val="both"/>
      </w:pPr>
      <w:bookmarkStart w:name="_bookmark807" w:id="809"/>
      <w:bookmarkEnd w:id="809"/>
      <w:r>
        <w:rPr/>
      </w:r>
      <w:r>
        <w:rPr/>
        <w:t>If (1) does not apply, the offeror will be bound by the email acceptance if his failure to receive</w:t>
      </w:r>
      <w:r>
        <w:rPr>
          <w:spacing w:val="40"/>
        </w:rPr>
        <w:t> </w:t>
      </w:r>
      <w:r>
        <w:rPr/>
        <w:t>the</w:t>
      </w:r>
      <w:r>
        <w:rPr>
          <w:spacing w:val="-1"/>
        </w:rPr>
        <w:t> </w:t>
      </w:r>
      <w:r>
        <w:rPr/>
        <w:t>email</w:t>
      </w:r>
      <w:r>
        <w:rPr>
          <w:spacing w:val="-1"/>
        </w:rPr>
        <w:t> </w:t>
      </w:r>
      <w:r>
        <w:rPr/>
        <w:t>is</w:t>
      </w:r>
      <w:r>
        <w:rPr>
          <w:spacing w:val="-1"/>
        </w:rPr>
        <w:t> </w:t>
      </w:r>
      <w:r>
        <w:rPr/>
        <w:t>due</w:t>
      </w:r>
      <w:r>
        <w:rPr>
          <w:spacing w:val="-1"/>
        </w:rPr>
        <w:t> </w:t>
      </w:r>
      <w:r>
        <w:rPr/>
        <w:t>to</w:t>
      </w:r>
      <w:r>
        <w:rPr>
          <w:spacing w:val="-1"/>
        </w:rPr>
        <w:t> </w:t>
      </w:r>
      <w:r>
        <w:rPr/>
        <w:t>his</w:t>
      </w:r>
      <w:r>
        <w:rPr>
          <w:spacing w:val="-1"/>
        </w:rPr>
        <w:t> </w:t>
      </w:r>
      <w:r>
        <w:rPr/>
        <w:t>fault</w:t>
      </w:r>
      <w:r>
        <w:rPr>
          <w:spacing w:val="-1"/>
        </w:rPr>
        <w:t> </w:t>
      </w:r>
      <w:r>
        <w:rPr/>
        <w:t>or</w:t>
      </w:r>
      <w:r>
        <w:rPr>
          <w:spacing w:val="-1"/>
        </w:rPr>
        <w:t> </w:t>
      </w:r>
      <w:r>
        <w:rPr/>
        <w:t>to</w:t>
      </w:r>
      <w:r>
        <w:rPr>
          <w:spacing w:val="-1"/>
        </w:rPr>
        <w:t> </w:t>
      </w:r>
      <w:r>
        <w:rPr/>
        <w:t>an</w:t>
      </w:r>
      <w:r>
        <w:rPr>
          <w:spacing w:val="-1"/>
        </w:rPr>
        <w:t> </w:t>
      </w:r>
      <w:r>
        <w:rPr/>
        <w:t>occurrence</w:t>
      </w:r>
      <w:r>
        <w:rPr>
          <w:spacing w:val="-1"/>
        </w:rPr>
        <w:t> </w:t>
      </w:r>
      <w:r>
        <w:rPr/>
        <w:t>for</w:t>
      </w:r>
      <w:r>
        <w:rPr>
          <w:spacing w:val="-1"/>
        </w:rPr>
        <w:t> </w:t>
      </w:r>
      <w:r>
        <w:rPr/>
        <w:t>which</w:t>
      </w:r>
      <w:r>
        <w:rPr>
          <w:spacing w:val="-1"/>
        </w:rPr>
        <w:t> </w:t>
      </w:r>
      <w:r>
        <w:rPr/>
        <w:t>he</w:t>
      </w:r>
      <w:r>
        <w:rPr>
          <w:spacing w:val="-1"/>
        </w:rPr>
        <w:t> </w:t>
      </w:r>
      <w:r>
        <w:rPr/>
        <w:t>is</w:t>
      </w:r>
      <w:r>
        <w:rPr>
          <w:spacing w:val="-1"/>
        </w:rPr>
        <w:t> </w:t>
      </w:r>
      <w:r>
        <w:rPr/>
        <w:t>responsible.</w:t>
      </w:r>
      <w:r>
        <w:rPr>
          <w:spacing w:val="-2"/>
        </w:rPr>
        <w:t> </w:t>
      </w:r>
      <w:r>
        <w:rPr>
          <w:color w:val="005DA1"/>
          <w:u w:val="single" w:color="005DA1"/>
          <w:vertAlign w:val="superscript"/>
        </w:rPr>
        <w:t>440</w:t>
      </w:r>
      <w:r>
        <w:rPr>
          <w:color w:val="005DA1"/>
          <w:spacing w:val="-1"/>
          <w:vertAlign w:val="baseline"/>
        </w:rPr>
        <w:t> </w:t>
      </w:r>
      <w:r>
        <w:rPr>
          <w:vertAlign w:val="baseline"/>
        </w:rPr>
        <w:t>This</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the case if, for example, the offeror has given the offeree the wrong or incorrect email address; the incoming email is blocked because the offeror’s inbox is full, because of a problem with the offeror’s server, or because of the operation of the offeror’s firewall or spam filter.</w:t>
      </w:r>
    </w:p>
    <w:p>
      <w:pPr>
        <w:pStyle w:val="BodyText"/>
        <w:spacing w:after="0" w:line="235" w:lineRule="auto"/>
        <w:jc w:val="both"/>
        <w:sectPr>
          <w:pgSz w:w="11900" w:h="16840"/>
          <w:pgMar w:header="971" w:footer="0" w:top="1300" w:bottom="280" w:left="1275" w:right="1275"/>
        </w:sectPr>
      </w:pPr>
    </w:p>
    <w:p>
      <w:pPr>
        <w:pStyle w:val="BodyText"/>
      </w:pPr>
    </w:p>
    <w:p>
      <w:pPr>
        <w:pStyle w:val="BodyText"/>
        <w:spacing w:before="106"/>
      </w:pPr>
    </w:p>
    <w:p>
      <w:pPr>
        <w:pStyle w:val="BodyText"/>
        <w:spacing w:before="1"/>
        <w:ind w:left="165"/>
      </w:pPr>
      <w:r>
        <w:rPr>
          <w:spacing w:val="-5"/>
        </w:rPr>
        <w:t>(3)</w:t>
      </w:r>
    </w:p>
    <w:p>
      <w:pPr>
        <w:pStyle w:val="BodyText"/>
        <w:spacing w:line="235" w:lineRule="auto" w:before="113"/>
        <w:ind w:left="645"/>
      </w:pPr>
      <w:r>
        <w:rPr/>
        <w:t>Where</w:t>
      </w:r>
      <w:r>
        <w:rPr>
          <w:spacing w:val="40"/>
        </w:rPr>
        <w:t> </w:t>
      </w:r>
      <w:r>
        <w:rPr/>
        <w:t>neither</w:t>
      </w:r>
      <w:r>
        <w:rPr>
          <w:spacing w:val="40"/>
        </w:rPr>
        <w:t> </w:t>
      </w:r>
      <w:r>
        <w:rPr/>
        <w:t>is</w:t>
      </w:r>
      <w:r>
        <w:rPr>
          <w:spacing w:val="40"/>
        </w:rPr>
        <w:t> </w:t>
      </w:r>
      <w:r>
        <w:rPr/>
        <w:t>at</w:t>
      </w:r>
      <w:r>
        <w:rPr>
          <w:spacing w:val="40"/>
        </w:rPr>
        <w:t> </w:t>
      </w:r>
      <w:r>
        <w:rPr/>
        <w:t>fault</w:t>
      </w:r>
      <w:r>
        <w:rPr>
          <w:spacing w:val="40"/>
        </w:rPr>
        <w:t> </w:t>
      </w:r>
      <w:r>
        <w:rPr/>
        <w:t>nor</w:t>
      </w:r>
      <w:r>
        <w:rPr>
          <w:spacing w:val="40"/>
        </w:rPr>
        <w:t> </w:t>
      </w:r>
      <w:r>
        <w:rPr/>
        <w:t>responsible</w:t>
      </w:r>
      <w:r>
        <w:rPr>
          <w:spacing w:val="40"/>
        </w:rPr>
        <w:t> </w:t>
      </w:r>
      <w:r>
        <w:rPr/>
        <w:t>for</w:t>
      </w:r>
      <w:r>
        <w:rPr>
          <w:spacing w:val="40"/>
        </w:rPr>
        <w:t> </w:t>
      </w:r>
      <w:r>
        <w:rPr/>
        <w:t>the</w:t>
      </w:r>
      <w:r>
        <w:rPr>
          <w:spacing w:val="40"/>
        </w:rPr>
        <w:t> </w:t>
      </w:r>
      <w:r>
        <w:rPr/>
        <w:t>failure</w:t>
      </w:r>
      <w:r>
        <w:rPr>
          <w:spacing w:val="40"/>
        </w:rPr>
        <w:t> </w:t>
      </w:r>
      <w:r>
        <w:rPr/>
        <w:t>of</w:t>
      </w:r>
      <w:r>
        <w:rPr>
          <w:spacing w:val="40"/>
        </w:rPr>
        <w:t> </w:t>
      </w:r>
      <w:r>
        <w:rPr/>
        <w:t>communication,</w:t>
      </w:r>
      <w:r>
        <w:rPr>
          <w:spacing w:val="40"/>
        </w:rPr>
        <w:t> </w:t>
      </w:r>
      <w:r>
        <w:rPr/>
        <w:t>then</w:t>
      </w:r>
      <w:r>
        <w:rPr>
          <w:spacing w:val="40"/>
        </w:rPr>
        <w:t> </w:t>
      </w:r>
      <w:r>
        <w:rPr/>
        <w:t>there</w:t>
      </w:r>
      <w:r>
        <w:rPr>
          <w:spacing w:val="40"/>
        </w:rPr>
        <w:t> </w:t>
      </w:r>
      <w:r>
        <w:rPr/>
        <w:t>is</w:t>
      </w:r>
      <w:r>
        <w:rPr>
          <w:spacing w:val="40"/>
        </w:rPr>
        <w:t> </w:t>
      </w:r>
      <w:r>
        <w:rPr/>
        <w:t>no </w:t>
      </w:r>
      <w:r>
        <w:rPr>
          <w:spacing w:val="-2"/>
        </w:rPr>
        <w:t>contract.</w:t>
      </w:r>
    </w:p>
    <w:p>
      <w:pPr>
        <w:pStyle w:val="BodyText"/>
        <w:spacing w:before="206"/>
      </w:pPr>
    </w:p>
    <w:p>
      <w:pPr>
        <w:pStyle w:val="BodyText"/>
        <w:ind w:left="165"/>
      </w:pPr>
      <w:r>
        <w:rPr/>
        <w:t>Denning L.J. </w:t>
      </w:r>
      <w:r>
        <w:rPr>
          <w:spacing w:val="-2"/>
        </w:rPr>
        <w:t>said:</w:t>
      </w:r>
    </w:p>
    <w:p>
      <w:pPr>
        <w:pStyle w:val="BodyText"/>
      </w:pPr>
    </w:p>
    <w:p>
      <w:pPr>
        <w:pStyle w:val="BodyText"/>
        <w:spacing w:before="125"/>
      </w:pPr>
    </w:p>
    <w:p>
      <w:pPr>
        <w:pStyle w:val="BodyText"/>
        <w:spacing w:line="235" w:lineRule="auto"/>
        <w:ind w:left="1245" w:right="167"/>
        <w:jc w:val="both"/>
      </w:pPr>
      <w:r>
        <w:rPr/>
        <w:t>“if there should be a case where the offeror without any fault on his part does not </w:t>
      </w:r>
      <w:r>
        <w:rPr/>
        <w:t>receive </w:t>
      </w:r>
      <w:bookmarkStart w:name="_bookmark808" w:id="810"/>
      <w:bookmarkEnd w:id="810"/>
      <w:r>
        <w:rPr/>
        <w:t>the</w:t>
      </w:r>
      <w:r>
        <w:rPr/>
        <w:t> message of acceptance—yet the sender of it reasonably believes it has got home when it has not—then I think there is no contract.” </w:t>
      </w:r>
      <w:r>
        <w:rPr>
          <w:color w:val="005DA1"/>
          <w:u w:val="single" w:color="005DA1"/>
          <w:vertAlign w:val="superscript"/>
        </w:rPr>
        <w:t>441</w:t>
      </w:r>
    </w:p>
    <w:p>
      <w:pPr>
        <w:pStyle w:val="BodyText"/>
      </w:pPr>
    </w:p>
    <w:p>
      <w:pPr>
        <w:pStyle w:val="BodyText"/>
      </w:pPr>
    </w:p>
    <w:p>
      <w:pPr>
        <w:pStyle w:val="BodyText"/>
        <w:spacing w:before="156"/>
      </w:pPr>
      <w:r>
        <w:rPr/>
        <mc:AlternateContent>
          <mc:Choice Requires="wps">
            <w:drawing>
              <wp:anchor distT="0" distB="0" distL="0" distR="0" allowOverlap="1" layoutInCell="1" locked="0" behindDoc="1" simplePos="0" relativeHeight="487606784">
                <wp:simplePos x="0" y="0"/>
                <wp:positionH relativeFrom="page">
                  <wp:posOffset>914400</wp:posOffset>
                </wp:positionH>
                <wp:positionV relativeFrom="paragraph">
                  <wp:posOffset>260454</wp:posOffset>
                </wp:positionV>
                <wp:extent cx="5724525" cy="1270"/>
                <wp:effectExtent l="0" t="0" r="0" b="0"/>
                <wp:wrapTopAndBottom/>
                <wp:docPr id="65" name="Graphic 65"/>
                <wp:cNvGraphicFramePr>
                  <a:graphicFrameLocks/>
                </wp:cNvGraphicFramePr>
                <a:graphic>
                  <a:graphicData uri="http://schemas.microsoft.com/office/word/2010/wordprocessingShape">
                    <wps:wsp>
                      <wps:cNvPr id="65" name="Graphic 65"/>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508215pt;width:450.75pt;height:.1pt;mso-position-horizontal-relative:page;mso-position-vertical-relative:paragraph;z-index:-15709696;mso-wrap-distance-left:0;mso-wrap-distance-right:0" id="docshape18" coordorigin="1440,410" coordsize="9015,0" path="m1440,410l10454,410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bookmarkStart w:name="_bookmark809" w:id="811"/>
      <w:bookmarkEnd w:id="811"/>
      <w:r>
        <w:rPr/>
      </w:r>
      <w:hyperlink w:history="true" w:anchor="_bookmark777">
        <w:r>
          <w:rPr>
            <w:color w:val="005DA1"/>
            <w:spacing w:val="-4"/>
            <w:position w:val="5"/>
            <w:sz w:val="14"/>
            <w:u w:val="single" w:color="005DA1"/>
          </w:rPr>
          <w:t>407</w:t>
        </w:r>
      </w:hyperlink>
      <w:r>
        <w:rPr>
          <w:spacing w:val="-4"/>
          <w:position w:val="5"/>
          <w:sz w:val="14"/>
        </w:rPr>
        <w:t>.</w:t>
      </w:r>
      <w:r>
        <w:rPr>
          <w:position w:val="5"/>
          <w:sz w:val="14"/>
        </w:rPr>
        <w:tab/>
      </w:r>
      <w:r>
        <w:rPr>
          <w:sz w:val="20"/>
        </w:rPr>
        <w:t>See</w:t>
      </w:r>
      <w:r>
        <w:rPr>
          <w:spacing w:val="37"/>
          <w:sz w:val="20"/>
        </w:rPr>
        <w:t> </w:t>
      </w:r>
      <w:r>
        <w:rPr>
          <w:sz w:val="20"/>
        </w:rPr>
        <w:t>D.</w:t>
      </w:r>
      <w:r>
        <w:rPr>
          <w:spacing w:val="37"/>
          <w:sz w:val="20"/>
        </w:rPr>
        <w:t> </w:t>
      </w:r>
      <w:r>
        <w:rPr>
          <w:sz w:val="20"/>
        </w:rPr>
        <w:t>Nolan,</w:t>
      </w:r>
      <w:r>
        <w:rPr>
          <w:spacing w:val="37"/>
          <w:sz w:val="20"/>
        </w:rPr>
        <w:t> </w:t>
      </w:r>
      <w:r>
        <w:rPr>
          <w:rFonts w:ascii="Arial"/>
          <w:i/>
          <w:sz w:val="20"/>
        </w:rPr>
        <w:t>Contract</w:t>
      </w:r>
      <w:r>
        <w:rPr>
          <w:rFonts w:ascii="Arial"/>
          <w:i/>
          <w:spacing w:val="37"/>
          <w:sz w:val="20"/>
        </w:rPr>
        <w:t> </w:t>
      </w:r>
      <w:r>
        <w:rPr>
          <w:rFonts w:ascii="Arial"/>
          <w:i/>
          <w:sz w:val="20"/>
        </w:rPr>
        <w:t>Formation</w:t>
      </w:r>
      <w:r>
        <w:rPr>
          <w:rFonts w:ascii="Arial"/>
          <w:i/>
          <w:spacing w:val="37"/>
          <w:sz w:val="20"/>
        </w:rPr>
        <w:t> </w:t>
      </w:r>
      <w:r>
        <w:rPr>
          <w:rFonts w:ascii="Arial"/>
          <w:i/>
          <w:sz w:val="20"/>
        </w:rPr>
        <w:t>and</w:t>
      </w:r>
      <w:r>
        <w:rPr>
          <w:rFonts w:ascii="Arial"/>
          <w:i/>
          <w:spacing w:val="37"/>
          <w:sz w:val="20"/>
        </w:rPr>
        <w:t> </w:t>
      </w:r>
      <w:r>
        <w:rPr>
          <w:rFonts w:ascii="Arial"/>
          <w:i/>
          <w:sz w:val="20"/>
        </w:rPr>
        <w:t>Parties</w:t>
      </w:r>
      <w:r>
        <w:rPr>
          <w:sz w:val="20"/>
        </w:rPr>
        <w:t>,</w:t>
      </w:r>
      <w:r>
        <w:rPr>
          <w:spacing w:val="37"/>
          <w:sz w:val="20"/>
        </w:rPr>
        <w:t> </w:t>
      </w:r>
      <w:r>
        <w:rPr>
          <w:sz w:val="20"/>
        </w:rPr>
        <w:t>(2010),</w:t>
      </w:r>
      <w:r>
        <w:rPr>
          <w:spacing w:val="37"/>
          <w:sz w:val="20"/>
        </w:rPr>
        <w:t> </w:t>
      </w:r>
      <w:r>
        <w:rPr>
          <w:sz w:val="20"/>
        </w:rPr>
        <w:t>61;</w:t>
      </w:r>
      <w:r>
        <w:rPr>
          <w:spacing w:val="37"/>
          <w:sz w:val="20"/>
        </w:rPr>
        <w:t> </w:t>
      </w:r>
      <w:r>
        <w:rPr>
          <w:sz w:val="20"/>
        </w:rPr>
        <w:t>J.</w:t>
      </w:r>
      <w:r>
        <w:rPr>
          <w:spacing w:val="37"/>
          <w:sz w:val="20"/>
        </w:rPr>
        <w:t> </w:t>
      </w:r>
      <w:r>
        <w:rPr>
          <w:sz w:val="20"/>
        </w:rPr>
        <w:t>Hill,</w:t>
      </w:r>
      <w:r>
        <w:rPr>
          <w:spacing w:val="37"/>
          <w:sz w:val="20"/>
        </w:rPr>
        <w:t> </w:t>
      </w:r>
      <w:r>
        <w:rPr>
          <w:rFonts w:ascii="Arial"/>
          <w:i/>
          <w:sz w:val="20"/>
        </w:rPr>
        <w:t>Cross-Border</w:t>
      </w:r>
      <w:r>
        <w:rPr>
          <w:rFonts w:ascii="Arial"/>
          <w:i/>
          <w:spacing w:val="37"/>
          <w:sz w:val="20"/>
        </w:rPr>
        <w:t> </w:t>
      </w:r>
      <w:r>
        <w:rPr>
          <w:rFonts w:ascii="Arial"/>
          <w:i/>
          <w:sz w:val="20"/>
        </w:rPr>
        <w:t>Consumer Contracts </w:t>
      </w:r>
      <w:r>
        <w:rPr>
          <w:sz w:val="20"/>
        </w:rPr>
        <w:t>(2008).</w:t>
      </w:r>
    </w:p>
    <w:p>
      <w:pPr>
        <w:pStyle w:val="BodyText"/>
        <w:spacing w:before="5"/>
      </w:pPr>
    </w:p>
    <w:p>
      <w:pPr>
        <w:pStyle w:val="BodyText"/>
        <w:tabs>
          <w:tab w:pos="705" w:val="left" w:leader="none"/>
        </w:tabs>
        <w:ind w:left="165"/>
      </w:pPr>
      <w:bookmarkStart w:name="_bookmark810" w:id="812"/>
      <w:bookmarkEnd w:id="812"/>
      <w:r>
        <w:rPr/>
      </w:r>
      <w:hyperlink w:history="true" w:anchor="_bookmark778">
        <w:r>
          <w:rPr>
            <w:color w:val="005DA1"/>
            <w:spacing w:val="-4"/>
            <w:position w:val="5"/>
            <w:sz w:val="14"/>
            <w:u w:val="single" w:color="005DA1"/>
          </w:rPr>
          <w:t>408</w:t>
        </w:r>
      </w:hyperlink>
      <w:r>
        <w:rPr>
          <w:spacing w:val="-4"/>
          <w:position w:val="5"/>
          <w:sz w:val="14"/>
        </w:rPr>
        <w:t>.</w:t>
      </w:r>
      <w:r>
        <w:rPr>
          <w:position w:val="5"/>
          <w:sz w:val="14"/>
        </w:rPr>
        <w:tab/>
      </w:r>
      <w:r>
        <w:rPr/>
        <w:t>See above paras 2-003—2-</w:t>
      </w:r>
      <w:r>
        <w:rPr>
          <w:spacing w:val="-4"/>
        </w:rPr>
        <w:t>013.</w:t>
      </w:r>
    </w:p>
    <w:p>
      <w:pPr>
        <w:pStyle w:val="BodyText"/>
        <w:spacing w:before="5"/>
      </w:pPr>
    </w:p>
    <w:p>
      <w:pPr>
        <w:pStyle w:val="BodyText"/>
        <w:tabs>
          <w:tab w:pos="705" w:val="left" w:leader="none"/>
        </w:tabs>
        <w:ind w:left="165"/>
      </w:pPr>
      <w:bookmarkStart w:name="_bookmark811" w:id="813"/>
      <w:bookmarkEnd w:id="813"/>
      <w:r>
        <w:rPr/>
      </w:r>
      <w:hyperlink w:history="true" w:anchor="_bookmark778">
        <w:r>
          <w:rPr>
            <w:color w:val="005DA1"/>
            <w:spacing w:val="-4"/>
            <w:position w:val="5"/>
            <w:sz w:val="14"/>
            <w:u w:val="single" w:color="005DA1"/>
          </w:rPr>
          <w:t>409</w:t>
        </w:r>
      </w:hyperlink>
      <w:r>
        <w:rPr>
          <w:spacing w:val="-4"/>
          <w:position w:val="5"/>
          <w:sz w:val="14"/>
        </w:rPr>
        <w:t>.</w:t>
      </w:r>
      <w:r>
        <w:rPr>
          <w:position w:val="5"/>
          <w:sz w:val="14"/>
        </w:rPr>
        <w:tab/>
      </w:r>
      <w:r>
        <w:rPr/>
        <w:t>See below paras 2-026—2-</w:t>
      </w:r>
      <w:r>
        <w:rPr>
          <w:spacing w:val="-4"/>
        </w:rPr>
        <w:t>043.</w:t>
      </w:r>
    </w:p>
    <w:p>
      <w:pPr>
        <w:pStyle w:val="BodyText"/>
        <w:spacing w:before="5"/>
      </w:pPr>
    </w:p>
    <w:p>
      <w:pPr>
        <w:pStyle w:val="BodyText"/>
        <w:tabs>
          <w:tab w:pos="705" w:val="left" w:leader="none"/>
        </w:tabs>
        <w:ind w:left="165"/>
      </w:pPr>
      <w:bookmarkStart w:name="_bookmark812" w:id="814"/>
      <w:bookmarkEnd w:id="814"/>
      <w:r>
        <w:rPr/>
      </w:r>
      <w:hyperlink w:history="true" w:anchor="_bookmark779">
        <w:r>
          <w:rPr>
            <w:color w:val="005DA1"/>
            <w:spacing w:val="-4"/>
            <w:position w:val="5"/>
            <w:sz w:val="14"/>
            <w:u w:val="single" w:color="005DA1"/>
          </w:rPr>
          <w:t>410</w:t>
        </w:r>
      </w:hyperlink>
      <w:r>
        <w:rPr>
          <w:spacing w:val="-4"/>
          <w:position w:val="5"/>
          <w:sz w:val="14"/>
        </w:rPr>
        <w:t>.</w:t>
      </w:r>
      <w:r>
        <w:rPr>
          <w:position w:val="5"/>
          <w:sz w:val="14"/>
        </w:rPr>
        <w:tab/>
      </w:r>
      <w:r>
        <w:rPr/>
        <w:t>See below paras 2-079—2-</w:t>
      </w:r>
      <w:r>
        <w:rPr>
          <w:spacing w:val="-4"/>
        </w:rPr>
        <w:t>081.</w:t>
      </w:r>
    </w:p>
    <w:p>
      <w:pPr>
        <w:pStyle w:val="BodyText"/>
        <w:spacing w:before="5"/>
      </w:pPr>
    </w:p>
    <w:p>
      <w:pPr>
        <w:pStyle w:val="BodyText"/>
        <w:tabs>
          <w:tab w:pos="705" w:val="left" w:leader="none"/>
        </w:tabs>
        <w:ind w:left="165"/>
      </w:pPr>
      <w:bookmarkStart w:name="_bookmark813" w:id="815"/>
      <w:bookmarkEnd w:id="815"/>
      <w:r>
        <w:rPr/>
      </w:r>
      <w:hyperlink w:history="true" w:anchor="_bookmark780">
        <w:r>
          <w:rPr>
            <w:color w:val="005DA1"/>
            <w:spacing w:val="-4"/>
            <w:position w:val="5"/>
            <w:sz w:val="14"/>
            <w:u w:val="single" w:color="005DA1"/>
          </w:rPr>
          <w:t>411</w:t>
        </w:r>
      </w:hyperlink>
      <w:r>
        <w:rPr>
          <w:spacing w:val="-4"/>
          <w:position w:val="5"/>
          <w:sz w:val="14"/>
        </w:rPr>
        <w:t>.</w:t>
      </w:r>
      <w:r>
        <w:rPr>
          <w:position w:val="5"/>
          <w:sz w:val="14"/>
        </w:rPr>
        <w:tab/>
      </w:r>
      <w:r>
        <w:rPr/>
        <w:t>See below paras 2-077—2-</w:t>
      </w:r>
      <w:r>
        <w:rPr>
          <w:spacing w:val="-4"/>
        </w:rPr>
        <w:t>078.</w:t>
      </w:r>
    </w:p>
    <w:p>
      <w:pPr>
        <w:pStyle w:val="BodyText"/>
        <w:spacing w:before="9"/>
      </w:pPr>
    </w:p>
    <w:p>
      <w:pPr>
        <w:spacing w:line="235" w:lineRule="auto" w:before="0"/>
        <w:ind w:left="705" w:right="167" w:hanging="541"/>
        <w:jc w:val="both"/>
        <w:rPr>
          <w:sz w:val="20"/>
        </w:rPr>
      </w:pPr>
      <w:bookmarkStart w:name="_bookmark814" w:id="816"/>
      <w:bookmarkEnd w:id="816"/>
      <w:r>
        <w:rPr/>
      </w:r>
      <w:hyperlink w:history="true" w:anchor="_bookmark781">
        <w:r>
          <w:rPr>
            <w:color w:val="005DA1"/>
            <w:position w:val="5"/>
            <w:sz w:val="14"/>
            <w:u w:val="single" w:color="005DA1"/>
          </w:rPr>
          <w:t>412</w:t>
        </w:r>
      </w:hyperlink>
      <w:r>
        <w:rPr>
          <w:position w:val="5"/>
          <w:sz w:val="14"/>
        </w:rPr>
        <w:t>.</w:t>
      </w:r>
      <w:r>
        <w:rPr>
          <w:spacing w:val="80"/>
          <w:w w:val="150"/>
          <w:position w:val="5"/>
          <w:sz w:val="14"/>
        </w:rPr>
        <w:t> </w:t>
      </w:r>
      <w:r>
        <w:rPr>
          <w:sz w:val="20"/>
        </w:rPr>
        <w:t>See </w:t>
      </w:r>
      <w:r>
        <w:rPr>
          <w:rFonts w:ascii="Arial"/>
          <w:i/>
          <w:sz w:val="20"/>
        </w:rPr>
        <w:t>Thornton v Shoe Lane Parking Ltd [1971] 2 Q.B. 163 </w:t>
      </w:r>
      <w:r>
        <w:rPr>
          <w:sz w:val="20"/>
        </w:rPr>
        <w:t>at 169, Lord Denning held that an automatic machine outside a car park stating charge rates makes an offer, which the motorist accepts by putting money into the slot and driving in.</w:t>
      </w:r>
    </w:p>
    <w:p>
      <w:pPr>
        <w:pStyle w:val="BodyText"/>
        <w:spacing w:before="5"/>
      </w:pPr>
    </w:p>
    <w:p>
      <w:pPr>
        <w:tabs>
          <w:tab w:pos="705" w:val="left" w:leader="none"/>
        </w:tabs>
        <w:spacing w:before="0"/>
        <w:ind w:left="165" w:right="0" w:firstLine="0"/>
        <w:jc w:val="left"/>
        <w:rPr>
          <w:sz w:val="20"/>
        </w:rPr>
      </w:pPr>
      <w:bookmarkStart w:name="_bookmark815" w:id="817"/>
      <w:bookmarkEnd w:id="817"/>
      <w:r>
        <w:rPr/>
      </w:r>
      <w:hyperlink w:history="true" w:anchor="_bookmark782">
        <w:r>
          <w:rPr>
            <w:color w:val="005DA1"/>
            <w:spacing w:val="-4"/>
            <w:position w:val="5"/>
            <w:sz w:val="14"/>
            <w:u w:val="single" w:color="005DA1"/>
          </w:rPr>
          <w:t>413</w:t>
        </w:r>
      </w:hyperlink>
      <w:r>
        <w:rPr>
          <w:spacing w:val="-4"/>
          <w:position w:val="5"/>
          <w:sz w:val="14"/>
        </w:rPr>
        <w:t>.</w:t>
      </w:r>
      <w:r>
        <w:rPr>
          <w:position w:val="5"/>
          <w:sz w:val="14"/>
        </w:rPr>
        <w:tab/>
      </w:r>
      <w:r>
        <w:rPr>
          <w:sz w:val="20"/>
        </w:rPr>
        <w:t>SI </w:t>
      </w:r>
      <w:r>
        <w:rPr>
          <w:spacing w:val="-2"/>
          <w:sz w:val="20"/>
        </w:rPr>
        <w:t>2013/3134.</w:t>
      </w:r>
    </w:p>
    <w:p>
      <w:pPr>
        <w:pStyle w:val="BodyText"/>
        <w:spacing w:before="5"/>
      </w:pPr>
    </w:p>
    <w:p>
      <w:pPr>
        <w:tabs>
          <w:tab w:pos="705" w:val="left" w:leader="none"/>
        </w:tabs>
        <w:spacing w:before="0"/>
        <w:ind w:left="165" w:right="0" w:firstLine="0"/>
        <w:jc w:val="left"/>
        <w:rPr>
          <w:sz w:val="20"/>
        </w:rPr>
      </w:pPr>
      <w:bookmarkStart w:name="_bookmark816" w:id="818"/>
      <w:bookmarkEnd w:id="818"/>
      <w:r>
        <w:rPr/>
      </w:r>
      <w:hyperlink w:history="true" w:anchor="_bookmark783">
        <w:r>
          <w:rPr>
            <w:color w:val="005DA1"/>
            <w:spacing w:val="-4"/>
            <w:position w:val="5"/>
            <w:sz w:val="14"/>
            <w:u w:val="single" w:color="005DA1"/>
          </w:rPr>
          <w:t>414</w:t>
        </w:r>
      </w:hyperlink>
      <w:r>
        <w:rPr>
          <w:spacing w:val="-4"/>
          <w:position w:val="5"/>
          <w:sz w:val="14"/>
        </w:rPr>
        <w:t>.</w:t>
      </w:r>
      <w:r>
        <w:rPr>
          <w:position w:val="5"/>
          <w:sz w:val="14"/>
        </w:rPr>
        <w:tab/>
      </w:r>
      <w:r>
        <w:rPr>
          <w:spacing w:val="-2"/>
          <w:sz w:val="20"/>
        </w:rPr>
        <w:t>reg.27(2)(b).</w:t>
      </w:r>
    </w:p>
    <w:p>
      <w:pPr>
        <w:pStyle w:val="BodyText"/>
        <w:spacing w:before="5"/>
      </w:pPr>
    </w:p>
    <w:p>
      <w:pPr>
        <w:tabs>
          <w:tab w:pos="705" w:val="left" w:leader="none"/>
        </w:tabs>
        <w:spacing w:before="0"/>
        <w:ind w:left="165" w:right="0" w:firstLine="0"/>
        <w:jc w:val="left"/>
        <w:rPr>
          <w:sz w:val="20"/>
        </w:rPr>
      </w:pPr>
      <w:bookmarkStart w:name="_bookmark817" w:id="819"/>
      <w:bookmarkEnd w:id="819"/>
      <w:r>
        <w:rPr/>
      </w:r>
      <w:hyperlink w:history="true" w:anchor="_bookmark784">
        <w:r>
          <w:rPr>
            <w:color w:val="005DA1"/>
            <w:spacing w:val="-4"/>
            <w:position w:val="5"/>
            <w:sz w:val="14"/>
            <w:u w:val="single" w:color="005DA1"/>
          </w:rPr>
          <w:t>415</w:t>
        </w:r>
      </w:hyperlink>
      <w:r>
        <w:rPr>
          <w:spacing w:val="-4"/>
          <w:position w:val="5"/>
          <w:sz w:val="14"/>
        </w:rPr>
        <w:t>.</w:t>
      </w:r>
      <w:r>
        <w:rPr>
          <w:position w:val="5"/>
          <w:sz w:val="14"/>
        </w:rPr>
        <w:tab/>
      </w:r>
      <w:r>
        <w:rPr>
          <w:spacing w:val="-2"/>
          <w:sz w:val="20"/>
        </w:rPr>
        <w:t>reg.37(1).</w:t>
      </w:r>
    </w:p>
    <w:p>
      <w:pPr>
        <w:pStyle w:val="BodyText"/>
        <w:spacing w:before="9"/>
      </w:pPr>
    </w:p>
    <w:p>
      <w:pPr>
        <w:pStyle w:val="BodyText"/>
        <w:spacing w:line="235" w:lineRule="auto"/>
        <w:ind w:left="705" w:right="167" w:hanging="541"/>
        <w:jc w:val="both"/>
      </w:pPr>
      <w:bookmarkStart w:name="_bookmark818" w:id="820"/>
      <w:bookmarkEnd w:id="820"/>
      <w:r>
        <w:rPr/>
      </w:r>
      <w:hyperlink w:history="true" w:anchor="_bookmark785">
        <w:r>
          <w:rPr>
            <w:color w:val="005DA1"/>
            <w:position w:val="5"/>
            <w:sz w:val="14"/>
            <w:u w:val="single" w:color="005DA1"/>
          </w:rPr>
          <w:t>416</w:t>
        </w:r>
      </w:hyperlink>
      <w:r>
        <w:rPr>
          <w:position w:val="5"/>
          <w:sz w:val="14"/>
        </w:rPr>
        <w:t>.</w:t>
      </w:r>
      <w:r>
        <w:rPr>
          <w:spacing w:val="40"/>
          <w:position w:val="5"/>
          <w:sz w:val="14"/>
        </w:rPr>
        <w:t> </w:t>
      </w:r>
      <w:r>
        <w:rPr/>
        <w:t>SI 2013/3134. These Regulations replaced the Consumer Protection (Distance Selling) Regulations 2000 with effect from June 13, 2014. For amendments of the Consumer </w:t>
      </w:r>
      <w:r>
        <w:rPr/>
        <w:t>Protection from</w:t>
      </w:r>
      <w:r>
        <w:rPr>
          <w:spacing w:val="-4"/>
        </w:rPr>
        <w:t> </w:t>
      </w:r>
      <w:r>
        <w:rPr/>
        <w:t>Unfair</w:t>
      </w:r>
      <w:r>
        <w:rPr>
          <w:spacing w:val="-4"/>
        </w:rPr>
        <w:t> </w:t>
      </w:r>
      <w:r>
        <w:rPr/>
        <w:t>Trading</w:t>
      </w:r>
      <w:r>
        <w:rPr>
          <w:spacing w:val="-4"/>
        </w:rPr>
        <w:t> </w:t>
      </w:r>
      <w:r>
        <w:rPr/>
        <w:t>Regulations</w:t>
      </w:r>
      <w:r>
        <w:rPr>
          <w:spacing w:val="-4"/>
        </w:rPr>
        <w:t> </w:t>
      </w:r>
      <w:r>
        <w:rPr/>
        <w:t>2008</w:t>
      </w:r>
      <w:r>
        <w:rPr>
          <w:spacing w:val="-4"/>
        </w:rPr>
        <w:t> </w:t>
      </w:r>
      <w:r>
        <w:rPr/>
        <w:t>(SI</w:t>
      </w:r>
      <w:r>
        <w:rPr>
          <w:spacing w:val="-4"/>
        </w:rPr>
        <w:t> </w:t>
      </w:r>
      <w:r>
        <w:rPr/>
        <w:t>2008/1277)</w:t>
      </w:r>
      <w:r>
        <w:rPr>
          <w:spacing w:val="-4"/>
        </w:rPr>
        <w:t> </w:t>
      </w:r>
      <w:r>
        <w:rPr/>
        <w:t>see</w:t>
      </w:r>
      <w:r>
        <w:rPr>
          <w:spacing w:val="-4"/>
        </w:rPr>
        <w:t> </w:t>
      </w:r>
      <w:r>
        <w:rPr/>
        <w:t>the</w:t>
      </w:r>
      <w:r>
        <w:rPr>
          <w:spacing w:val="-4"/>
        </w:rPr>
        <w:t> </w:t>
      </w:r>
      <w:r>
        <w:rPr/>
        <w:t>Consumer</w:t>
      </w:r>
      <w:r>
        <w:rPr>
          <w:spacing w:val="-4"/>
        </w:rPr>
        <w:t> </w:t>
      </w:r>
      <w:r>
        <w:rPr/>
        <w:t>Protection</w:t>
      </w:r>
      <w:r>
        <w:rPr>
          <w:spacing w:val="-4"/>
        </w:rPr>
        <w:t> </w:t>
      </w:r>
      <w:r>
        <w:rPr/>
        <w:t>Regulations 2014 (SI 2014/870) regs 2-4. For further discussion of the 2013 Regulations see below, paras </w:t>
      </w:r>
      <w:r>
        <w:rPr>
          <w:spacing w:val="-2"/>
        </w:rPr>
        <w:t>38-055—38-144.</w:t>
      </w:r>
    </w:p>
    <w:p>
      <w:pPr>
        <w:pStyle w:val="BodyText"/>
        <w:spacing w:before="8"/>
      </w:pPr>
    </w:p>
    <w:p>
      <w:pPr>
        <w:pStyle w:val="BodyText"/>
        <w:spacing w:line="235" w:lineRule="auto"/>
        <w:ind w:left="705" w:right="167" w:hanging="541"/>
        <w:jc w:val="both"/>
      </w:pPr>
      <w:bookmarkStart w:name="_bookmark819" w:id="821"/>
      <w:bookmarkEnd w:id="821"/>
      <w:r>
        <w:rPr/>
      </w:r>
      <w:hyperlink w:history="true" w:anchor="_bookmark785">
        <w:r>
          <w:rPr>
            <w:color w:val="005DA1"/>
            <w:position w:val="5"/>
            <w:sz w:val="14"/>
            <w:u w:val="single" w:color="005DA1"/>
          </w:rPr>
          <w:t>417</w:t>
        </w:r>
      </w:hyperlink>
      <w:r>
        <w:rPr>
          <w:position w:val="5"/>
          <w:sz w:val="14"/>
        </w:rPr>
        <w:t>.</w:t>
      </w:r>
      <w:r>
        <w:rPr>
          <w:spacing w:val="80"/>
          <w:w w:val="150"/>
          <w:position w:val="5"/>
          <w:sz w:val="14"/>
        </w:rPr>
        <w:t> </w:t>
      </w:r>
      <w:r>
        <w:rPr/>
        <w:t>SI 2002/2013 (implementing Directive 2000/31/EC) which merely provides that in the case of a contract made on a website, “the order and the acknowledgement of receipt [of the order] </w:t>
      </w:r>
      <w:r>
        <w:rPr/>
        <w:t>will</w:t>
      </w:r>
      <w:r>
        <w:rPr>
          <w:spacing w:val="40"/>
        </w:rPr>
        <w:t> </w:t>
      </w:r>
      <w:r>
        <w:rPr/>
        <w:t>be deemed to be received when the parties to whom they are addressed are able to access them” (reg.11(2)(a)).</w:t>
      </w:r>
    </w:p>
    <w:p>
      <w:pPr>
        <w:pStyle w:val="BodyText"/>
        <w:spacing w:before="9"/>
      </w:pPr>
    </w:p>
    <w:p>
      <w:pPr>
        <w:pStyle w:val="BodyText"/>
        <w:spacing w:line="235" w:lineRule="auto"/>
        <w:ind w:left="705" w:right="167" w:hanging="541"/>
        <w:jc w:val="both"/>
      </w:pPr>
      <w:bookmarkStart w:name="_bookmark820" w:id="822"/>
      <w:bookmarkEnd w:id="822"/>
      <w:r>
        <w:rPr/>
      </w:r>
      <w:hyperlink w:history="true" w:anchor="_bookmark786">
        <w:r>
          <w:rPr>
            <w:color w:val="005DA1"/>
            <w:position w:val="5"/>
            <w:sz w:val="14"/>
            <w:u w:val="single" w:color="005DA1"/>
          </w:rPr>
          <w:t>418</w:t>
        </w:r>
      </w:hyperlink>
      <w:r>
        <w:rPr>
          <w:position w:val="5"/>
          <w:sz w:val="14"/>
        </w:rPr>
        <w:t>.</w:t>
      </w:r>
      <w:r>
        <w:rPr>
          <w:spacing w:val="80"/>
          <w:position w:val="5"/>
          <w:sz w:val="14"/>
        </w:rPr>
        <w:t>  </w:t>
      </w:r>
      <w:r>
        <w:rPr/>
        <w:t>SI 2002/2013 reg.12 states that the word “‘order’ may be but need not be the contractual offer” for the purposes of regs 9 and 11, except in relation to reg.9(1)(c) and reg.11(1)(b). However,</w:t>
      </w:r>
      <w:r>
        <w:rPr>
          <w:spacing w:val="40"/>
        </w:rPr>
        <w:t> </w:t>
      </w:r>
      <w:r>
        <w:rPr/>
        <w:t>SI 2013/3134 reg.14 (3) stipulates: “The trader must ensure that the consumer, when placing the order, explicitly acknowledges that the order implies an obligation to pay.” Regulation 14(4) stipulates: “If placing an order entails activating a button or a similar function, the trader must ensure that the button or similar function is labelled in an easily legible manner only with </w:t>
      </w:r>
      <w:r>
        <w:rPr/>
        <w:t>the words ‘order with obligation to pay’ or a corresponding unambiguous formulation indicating that placing the order entails an obligation to pay the trader.” These are consistent with treating the customer’s</w:t>
      </w:r>
      <w:r>
        <w:rPr>
          <w:spacing w:val="26"/>
        </w:rPr>
        <w:t> </w:t>
      </w:r>
      <w:r>
        <w:rPr/>
        <w:t>order</w:t>
      </w:r>
      <w:r>
        <w:rPr>
          <w:spacing w:val="26"/>
        </w:rPr>
        <w:t> </w:t>
      </w:r>
      <w:r>
        <w:rPr/>
        <w:t>as</w:t>
      </w:r>
      <w:r>
        <w:rPr>
          <w:spacing w:val="26"/>
        </w:rPr>
        <w:t> </w:t>
      </w:r>
      <w:r>
        <w:rPr/>
        <w:t>the</w:t>
      </w:r>
      <w:r>
        <w:rPr>
          <w:spacing w:val="26"/>
        </w:rPr>
        <w:t> </w:t>
      </w:r>
      <w:r>
        <w:rPr/>
        <w:t>acceptance</w:t>
      </w:r>
      <w:r>
        <w:rPr>
          <w:spacing w:val="26"/>
        </w:rPr>
        <w:t> </w:t>
      </w:r>
      <w:r>
        <w:rPr/>
        <w:t>that</w:t>
      </w:r>
      <w:r>
        <w:rPr>
          <w:spacing w:val="26"/>
        </w:rPr>
        <w:t> </w:t>
      </w:r>
      <w:r>
        <w:rPr/>
        <w:t>concludes</w:t>
      </w:r>
      <w:r>
        <w:rPr>
          <w:spacing w:val="26"/>
        </w:rPr>
        <w:t> </w:t>
      </w:r>
      <w:r>
        <w:rPr/>
        <w:t>the</w:t>
      </w:r>
      <w:r>
        <w:rPr>
          <w:spacing w:val="26"/>
        </w:rPr>
        <w:t> </w:t>
      </w:r>
      <w:r>
        <w:rPr/>
        <w:t>contract.</w:t>
      </w:r>
      <w:r>
        <w:rPr>
          <w:spacing w:val="26"/>
        </w:rPr>
        <w:t> </w:t>
      </w:r>
      <w:r>
        <w:rPr/>
        <w:t>On</w:t>
      </w:r>
      <w:r>
        <w:rPr>
          <w:spacing w:val="26"/>
        </w:rPr>
        <w:t> </w:t>
      </w:r>
      <w:r>
        <w:rPr/>
        <w:t>the</w:t>
      </w:r>
      <w:r>
        <w:rPr>
          <w:spacing w:val="26"/>
        </w:rPr>
        <w:t> </w:t>
      </w:r>
      <w:r>
        <w:rPr/>
        <w:t>other</w:t>
      </w:r>
      <w:r>
        <w:rPr>
          <w:spacing w:val="26"/>
        </w:rPr>
        <w:t> </w:t>
      </w:r>
      <w:r>
        <w:rPr/>
        <w:t>hand,</w:t>
      </w:r>
      <w:r>
        <w:rPr>
          <w:spacing w:val="26"/>
        </w:rPr>
        <w:t> </w:t>
      </w:r>
      <w:r>
        <w:rPr/>
        <w:t>room</w:t>
      </w:r>
      <w:r>
        <w:rPr>
          <w:spacing w:val="26"/>
        </w:rPr>
        <w:t> </w:t>
      </w:r>
      <w:r>
        <w:rPr>
          <w:spacing w:val="-5"/>
        </w:rPr>
        <w:t>is</w:t>
      </w:r>
    </w:p>
    <w:p>
      <w:pPr>
        <w:pStyle w:val="BodyText"/>
        <w:spacing w:after="0" w:line="235" w:lineRule="auto"/>
        <w:jc w:val="both"/>
        <w:sectPr>
          <w:pgSz w:w="11900" w:h="16840"/>
          <w:pgMar w:header="971" w:footer="0" w:top="1300" w:bottom="280" w:left="1275" w:right="1275"/>
        </w:sectPr>
      </w:pPr>
    </w:p>
    <w:p>
      <w:pPr>
        <w:pStyle w:val="BodyText"/>
        <w:spacing w:line="235" w:lineRule="auto" w:before="170"/>
        <w:ind w:left="705" w:right="167"/>
        <w:jc w:val="both"/>
      </w:pPr>
      <w:r>
        <w:rPr/>
        <w:t>made</w:t>
      </w:r>
      <w:r>
        <w:rPr>
          <w:spacing w:val="-1"/>
        </w:rPr>
        <w:t> </w:t>
      </w:r>
      <w:r>
        <w:rPr/>
        <w:t>for</w:t>
      </w:r>
      <w:r>
        <w:rPr>
          <w:spacing w:val="-1"/>
        </w:rPr>
        <w:t> </w:t>
      </w:r>
      <w:r>
        <w:rPr/>
        <w:t>the</w:t>
      </w:r>
      <w:r>
        <w:rPr>
          <w:spacing w:val="-1"/>
        </w:rPr>
        <w:t> </w:t>
      </w:r>
      <w:r>
        <w:rPr/>
        <w:t>alternative</w:t>
      </w:r>
      <w:r>
        <w:rPr>
          <w:spacing w:val="-1"/>
        </w:rPr>
        <w:t> </w:t>
      </w:r>
      <w:r>
        <w:rPr/>
        <w:t>view</w:t>
      </w:r>
      <w:r>
        <w:rPr>
          <w:spacing w:val="-1"/>
        </w:rPr>
        <w:t> </w:t>
      </w:r>
      <w:r>
        <w:rPr/>
        <w:t>that</w:t>
      </w:r>
      <w:r>
        <w:rPr>
          <w:spacing w:val="-1"/>
        </w:rPr>
        <w:t> </w:t>
      </w:r>
      <w:r>
        <w:rPr/>
        <w:t>the</w:t>
      </w:r>
      <w:r>
        <w:rPr>
          <w:spacing w:val="-1"/>
        </w:rPr>
        <w:t> </w:t>
      </w:r>
      <w:r>
        <w:rPr/>
        <w:t>consumer’s</w:t>
      </w:r>
      <w:r>
        <w:rPr>
          <w:spacing w:val="-1"/>
        </w:rPr>
        <w:t> </w:t>
      </w:r>
      <w:r>
        <w:rPr/>
        <w:t>order</w:t>
      </w:r>
      <w:r>
        <w:rPr>
          <w:spacing w:val="-1"/>
        </w:rPr>
        <w:t> </w:t>
      </w:r>
      <w:r>
        <w:rPr/>
        <w:t>is</w:t>
      </w:r>
      <w:r>
        <w:rPr>
          <w:spacing w:val="-1"/>
        </w:rPr>
        <w:t> </w:t>
      </w:r>
      <w:r>
        <w:rPr/>
        <w:t>merely</w:t>
      </w:r>
      <w:r>
        <w:rPr>
          <w:spacing w:val="-1"/>
        </w:rPr>
        <w:t> </w:t>
      </w:r>
      <w:r>
        <w:rPr/>
        <w:t>the</w:t>
      </w:r>
      <w:r>
        <w:rPr>
          <w:spacing w:val="-1"/>
        </w:rPr>
        <w:t> </w:t>
      </w:r>
      <w:r>
        <w:rPr/>
        <w:t>offer</w:t>
      </w:r>
      <w:r>
        <w:rPr>
          <w:spacing w:val="-1"/>
        </w:rPr>
        <w:t> </w:t>
      </w:r>
      <w:r>
        <w:rPr/>
        <w:t>by</w:t>
      </w:r>
      <w:r>
        <w:rPr>
          <w:spacing w:val="-1"/>
        </w:rPr>
        <w:t> </w:t>
      </w:r>
      <w:r>
        <w:rPr/>
        <w:t>the</w:t>
      </w:r>
      <w:r>
        <w:rPr>
          <w:spacing w:val="-1"/>
        </w:rPr>
        <w:t> </w:t>
      </w:r>
      <w:r>
        <w:rPr/>
        <w:t>last</w:t>
      </w:r>
      <w:r>
        <w:rPr>
          <w:spacing w:val="-1"/>
        </w:rPr>
        <w:t> </w:t>
      </w:r>
      <w:r>
        <w:rPr/>
        <w:t>two</w:t>
      </w:r>
      <w:r>
        <w:rPr>
          <w:spacing w:val="-1"/>
        </w:rPr>
        <w:t> </w:t>
      </w:r>
      <w:r>
        <w:rPr/>
        <w:t>words of reg.14(5), which stipulates that if the trader fails to comply with regs 14(3)-(4), “the consumer is not bound by the contract </w:t>
      </w:r>
      <w:r>
        <w:rPr>
          <w:rFonts w:ascii="Arial" w:hAnsi="Arial"/>
          <w:i/>
        </w:rPr>
        <w:t>or order</w:t>
      </w:r>
      <w:r>
        <w:rPr/>
        <w:t>”.</w:t>
      </w:r>
    </w:p>
    <w:p>
      <w:pPr>
        <w:pStyle w:val="BodyText"/>
        <w:spacing w:before="5"/>
      </w:pPr>
    </w:p>
    <w:p>
      <w:pPr>
        <w:pStyle w:val="BodyText"/>
        <w:tabs>
          <w:tab w:pos="705" w:val="left" w:leader="none"/>
        </w:tabs>
        <w:ind w:left="165"/>
      </w:pPr>
      <w:bookmarkStart w:name="_bookmark821" w:id="823"/>
      <w:bookmarkEnd w:id="823"/>
      <w:r>
        <w:rPr/>
      </w:r>
      <w:hyperlink w:history="true" w:anchor="_bookmark787">
        <w:r>
          <w:rPr>
            <w:color w:val="005DA1"/>
            <w:spacing w:val="-4"/>
            <w:position w:val="5"/>
            <w:sz w:val="14"/>
            <w:u w:val="single" w:color="005DA1"/>
          </w:rPr>
          <w:t>419</w:t>
        </w:r>
      </w:hyperlink>
      <w:r>
        <w:rPr>
          <w:spacing w:val="-4"/>
          <w:position w:val="5"/>
          <w:sz w:val="14"/>
        </w:rPr>
        <w:t>.</w:t>
      </w:r>
      <w:r>
        <w:rPr>
          <w:position w:val="5"/>
          <w:sz w:val="14"/>
        </w:rPr>
        <w:tab/>
      </w:r>
      <w:r>
        <w:rPr/>
        <w:t>SI 2002/2013 regs 9, </w:t>
      </w:r>
      <w:r>
        <w:rPr>
          <w:spacing w:val="-2"/>
        </w:rPr>
        <w:t>11(2)(a).</w:t>
      </w:r>
    </w:p>
    <w:p>
      <w:pPr>
        <w:pStyle w:val="BodyText"/>
        <w:spacing w:before="9"/>
      </w:pPr>
    </w:p>
    <w:p>
      <w:pPr>
        <w:pStyle w:val="BodyText"/>
        <w:spacing w:line="235" w:lineRule="auto"/>
        <w:ind w:left="705" w:right="167" w:hanging="541"/>
        <w:jc w:val="both"/>
      </w:pPr>
      <w:bookmarkStart w:name="_bookmark822" w:id="824"/>
      <w:bookmarkEnd w:id="824"/>
      <w:r>
        <w:rPr/>
      </w:r>
      <w:hyperlink w:history="true" w:anchor="_bookmark788">
        <w:r>
          <w:rPr>
            <w:color w:val="005DA1"/>
            <w:position w:val="5"/>
            <w:sz w:val="14"/>
            <w:u w:val="single" w:color="005DA1"/>
          </w:rPr>
          <w:t>420</w:t>
        </w:r>
      </w:hyperlink>
      <w:r>
        <w:rPr>
          <w:position w:val="5"/>
          <w:sz w:val="14"/>
        </w:rPr>
        <w:t>.</w:t>
      </w:r>
      <w:r>
        <w:rPr>
          <w:spacing w:val="80"/>
          <w:position w:val="5"/>
          <w:sz w:val="14"/>
        </w:rPr>
        <w:t> </w:t>
      </w:r>
      <w:r>
        <w:rPr/>
        <w:t>See above paras 2-011 and 2-014. This is consistent with art.11 of the United </w:t>
      </w:r>
      <w:r>
        <w:rPr/>
        <w:t>Nations</w:t>
      </w:r>
      <w:r>
        <w:rPr>
          <w:spacing w:val="40"/>
        </w:rPr>
        <w:t> </w:t>
      </w:r>
      <w:r>
        <w:rPr/>
        <w:t>Convention on the Use of Electronic Communications in International Contracts. The Electronic Commerce (EC Directive) Regulations (SI 2002/2013) regs 9 and 11(1) requires the trader to clearly set out for their customers, prior to orders being placed, the procedure for concluding a contract and to allow consumers to “identify and correct input errors prior to the placing of an </w:t>
      </w:r>
      <w:r>
        <w:rPr>
          <w:spacing w:val="-2"/>
        </w:rPr>
        <w:t>order”.</w:t>
      </w:r>
    </w:p>
    <w:p>
      <w:pPr>
        <w:pStyle w:val="BodyText"/>
        <w:spacing w:before="8"/>
      </w:pPr>
    </w:p>
    <w:p>
      <w:pPr>
        <w:pStyle w:val="BodyText"/>
        <w:spacing w:line="235" w:lineRule="auto"/>
        <w:ind w:left="705" w:right="167" w:hanging="541"/>
        <w:jc w:val="both"/>
      </w:pPr>
      <w:bookmarkStart w:name="_bookmark823" w:id="825"/>
      <w:bookmarkEnd w:id="825"/>
      <w:r>
        <w:rPr/>
      </w:r>
      <w:hyperlink w:history="true" w:anchor="_bookmark789">
        <w:r>
          <w:rPr>
            <w:color w:val="005DA1"/>
            <w:position w:val="5"/>
            <w:sz w:val="14"/>
            <w:u w:val="single" w:color="005DA1"/>
          </w:rPr>
          <w:t>421</w:t>
        </w:r>
      </w:hyperlink>
      <w:r>
        <w:rPr>
          <w:position w:val="5"/>
          <w:sz w:val="14"/>
        </w:rPr>
        <w:t>.</w:t>
      </w:r>
      <w:r>
        <w:rPr>
          <w:spacing w:val="40"/>
          <w:position w:val="5"/>
          <w:sz w:val="14"/>
        </w:rPr>
        <w:t>  </w:t>
      </w:r>
      <w:r>
        <w:rPr>
          <w:rFonts w:ascii="Arial" w:hAnsi="Arial"/>
          <w:i/>
        </w:rPr>
        <w:t>[1893]</w:t>
      </w:r>
      <w:r>
        <w:rPr>
          <w:rFonts w:ascii="Arial" w:hAnsi="Arial"/>
          <w:i/>
          <w:spacing w:val="40"/>
        </w:rPr>
        <w:t> </w:t>
      </w:r>
      <w:r>
        <w:rPr>
          <w:rFonts w:ascii="Arial" w:hAnsi="Arial"/>
          <w:i/>
        </w:rPr>
        <w:t>1</w:t>
      </w:r>
      <w:r>
        <w:rPr>
          <w:rFonts w:ascii="Arial" w:hAnsi="Arial"/>
          <w:i/>
          <w:spacing w:val="40"/>
        </w:rPr>
        <w:t> </w:t>
      </w:r>
      <w:r>
        <w:rPr>
          <w:rFonts w:ascii="Arial" w:hAnsi="Arial"/>
          <w:i/>
        </w:rPr>
        <w:t>Q.B.</w:t>
      </w:r>
      <w:r>
        <w:rPr>
          <w:rFonts w:ascii="Arial" w:hAnsi="Arial"/>
          <w:i/>
          <w:spacing w:val="40"/>
        </w:rPr>
        <w:t> </w:t>
      </w:r>
      <w:r>
        <w:rPr>
          <w:rFonts w:ascii="Arial" w:hAnsi="Arial"/>
          <w:i/>
        </w:rPr>
        <w:t>256</w:t>
      </w:r>
      <w:r>
        <w:rPr/>
        <w:t>.</w:t>
      </w:r>
      <w:r>
        <w:rPr>
          <w:spacing w:val="40"/>
        </w:rPr>
        <w:t> </w:t>
      </w:r>
      <w:r>
        <w:rPr/>
        <w:t>Electronic</w:t>
      </w:r>
      <w:r>
        <w:rPr>
          <w:spacing w:val="40"/>
        </w:rPr>
        <w:t> </w:t>
      </w:r>
      <w:r>
        <w:rPr/>
        <w:t>Commerce</w:t>
      </w:r>
      <w:r>
        <w:rPr>
          <w:spacing w:val="40"/>
        </w:rPr>
        <w:t> </w:t>
      </w:r>
      <w:r>
        <w:rPr/>
        <w:t>(EC</w:t>
      </w:r>
      <w:r>
        <w:rPr>
          <w:spacing w:val="40"/>
        </w:rPr>
        <w:t> </w:t>
      </w:r>
      <w:r>
        <w:rPr/>
        <w:t>Directive)</w:t>
      </w:r>
      <w:r>
        <w:rPr>
          <w:spacing w:val="40"/>
        </w:rPr>
        <w:t> </w:t>
      </w:r>
      <w:r>
        <w:rPr/>
        <w:t>Regulations</w:t>
      </w:r>
      <w:r>
        <w:rPr>
          <w:spacing w:val="40"/>
        </w:rPr>
        <w:t> </w:t>
      </w:r>
      <w:r>
        <w:rPr/>
        <w:t>2002</w:t>
      </w:r>
      <w:r>
        <w:rPr>
          <w:spacing w:val="40"/>
        </w:rPr>
        <w:t> </w:t>
      </w:r>
      <w:r>
        <w:rPr/>
        <w:t>(SI</w:t>
      </w:r>
      <w:r>
        <w:rPr>
          <w:spacing w:val="40"/>
        </w:rPr>
        <w:t> </w:t>
      </w:r>
      <w:r>
        <w:rPr/>
        <w:t>2002/2013) (partly implementing Directive 2000/31/EC) reg.12 states that an “‘order’ may be, but need not be, the contractual offer …” for certain purposes specified in regs 9 and 11.</w:t>
      </w:r>
    </w:p>
    <w:p>
      <w:pPr>
        <w:pStyle w:val="BodyText"/>
        <w:spacing w:before="9"/>
      </w:pPr>
    </w:p>
    <w:p>
      <w:pPr>
        <w:pStyle w:val="BodyText"/>
        <w:tabs>
          <w:tab w:pos="705" w:val="left" w:leader="none"/>
        </w:tabs>
        <w:spacing w:line="235" w:lineRule="auto"/>
        <w:ind w:left="705" w:right="168" w:hanging="541"/>
      </w:pPr>
      <w:bookmarkStart w:name="_bookmark824" w:id="826"/>
      <w:bookmarkEnd w:id="826"/>
      <w:r>
        <w:rPr/>
      </w:r>
      <w:hyperlink w:history="true" w:anchor="_bookmark790">
        <w:r>
          <w:rPr>
            <w:color w:val="005DA1"/>
            <w:spacing w:val="-4"/>
            <w:position w:val="5"/>
            <w:sz w:val="14"/>
            <w:u w:val="single" w:color="005DA1"/>
          </w:rPr>
          <w:t>422</w:t>
        </w:r>
      </w:hyperlink>
      <w:r>
        <w:rPr>
          <w:spacing w:val="-4"/>
          <w:position w:val="5"/>
          <w:sz w:val="14"/>
        </w:rPr>
        <w:t>.</w:t>
      </w:r>
      <w:r>
        <w:rPr>
          <w:position w:val="5"/>
          <w:sz w:val="14"/>
        </w:rPr>
        <w:tab/>
      </w:r>
      <w:r>
        <w:rPr/>
        <w:t>See</w:t>
      </w:r>
      <w:r>
        <w:rPr>
          <w:spacing w:val="-4"/>
        </w:rPr>
        <w:t> </w:t>
      </w:r>
      <w:r>
        <w:rPr/>
        <w:t>Electronic</w:t>
      </w:r>
      <w:r>
        <w:rPr>
          <w:spacing w:val="-4"/>
        </w:rPr>
        <w:t> </w:t>
      </w:r>
      <w:r>
        <w:rPr/>
        <w:t>Commerce</w:t>
      </w:r>
      <w:r>
        <w:rPr>
          <w:spacing w:val="-4"/>
        </w:rPr>
        <w:t> </w:t>
      </w:r>
      <w:r>
        <w:rPr/>
        <w:t>(EC</w:t>
      </w:r>
      <w:r>
        <w:rPr>
          <w:spacing w:val="-4"/>
        </w:rPr>
        <w:t> </w:t>
      </w:r>
      <w:r>
        <w:rPr/>
        <w:t>Directive)</w:t>
      </w:r>
      <w:r>
        <w:rPr>
          <w:spacing w:val="-4"/>
        </w:rPr>
        <w:t> </w:t>
      </w:r>
      <w:r>
        <w:rPr/>
        <w:t>Regulations</w:t>
      </w:r>
      <w:r>
        <w:rPr>
          <w:spacing w:val="-4"/>
        </w:rPr>
        <w:t> </w:t>
      </w:r>
      <w:r>
        <w:rPr/>
        <w:t>2002</w:t>
      </w:r>
      <w:r>
        <w:rPr>
          <w:spacing w:val="-4"/>
        </w:rPr>
        <w:t> </w:t>
      </w:r>
      <w:r>
        <w:rPr/>
        <w:t>(SI</w:t>
      </w:r>
      <w:r>
        <w:rPr>
          <w:spacing w:val="-4"/>
        </w:rPr>
        <w:t> </w:t>
      </w:r>
      <w:r>
        <w:rPr/>
        <w:t>2002/2013)</w:t>
      </w:r>
      <w:r>
        <w:rPr>
          <w:spacing w:val="-4"/>
        </w:rPr>
        <w:t> </w:t>
      </w:r>
      <w:r>
        <w:rPr/>
        <w:t>(partly</w:t>
      </w:r>
      <w:r>
        <w:rPr>
          <w:spacing w:val="-4"/>
        </w:rPr>
        <w:t> </w:t>
      </w:r>
      <w:r>
        <w:rPr/>
        <w:t>implementing Directive 2000/31/EC) regs 9(1)-(2), 11 and 12.</w:t>
      </w:r>
    </w:p>
    <w:p>
      <w:pPr>
        <w:pStyle w:val="BodyText"/>
        <w:spacing w:before="9"/>
      </w:pPr>
    </w:p>
    <w:p>
      <w:pPr>
        <w:pStyle w:val="BodyText"/>
        <w:spacing w:line="235" w:lineRule="auto"/>
        <w:ind w:left="705" w:right="167" w:hanging="541"/>
        <w:jc w:val="both"/>
      </w:pPr>
      <w:bookmarkStart w:name="_bookmark825" w:id="827"/>
      <w:bookmarkEnd w:id="827"/>
      <w:r>
        <w:rPr/>
      </w:r>
      <w:hyperlink w:history="true" w:anchor="_bookmark791">
        <w:r>
          <w:rPr>
            <w:color w:val="005DA1"/>
            <w:position w:val="5"/>
            <w:sz w:val="14"/>
            <w:u w:val="single" w:color="005DA1"/>
          </w:rPr>
          <w:t>423</w:t>
        </w:r>
      </w:hyperlink>
      <w:r>
        <w:rPr>
          <w:position w:val="5"/>
          <w:sz w:val="14"/>
        </w:rPr>
        <w:t>.</w:t>
      </w:r>
      <w:r>
        <w:rPr>
          <w:spacing w:val="80"/>
          <w:position w:val="5"/>
          <w:sz w:val="14"/>
        </w:rPr>
        <w:t> </w:t>
      </w:r>
      <w:r>
        <w:rPr/>
        <w:t>SI</w:t>
      </w:r>
      <w:r>
        <w:rPr>
          <w:spacing w:val="40"/>
        </w:rPr>
        <w:t> </w:t>
      </w:r>
      <w:r>
        <w:rPr/>
        <w:t>2002/2013</w:t>
      </w:r>
      <w:r>
        <w:rPr>
          <w:spacing w:val="40"/>
        </w:rPr>
        <w:t> </w:t>
      </w:r>
      <w:r>
        <w:rPr/>
        <w:t>(implementing</w:t>
      </w:r>
      <w:r>
        <w:rPr>
          <w:spacing w:val="40"/>
        </w:rPr>
        <w:t> </w:t>
      </w:r>
      <w:r>
        <w:rPr/>
        <w:t>Directive</w:t>
      </w:r>
      <w:r>
        <w:rPr>
          <w:spacing w:val="40"/>
        </w:rPr>
        <w:t> </w:t>
      </w:r>
      <w:r>
        <w:rPr/>
        <w:t>2000/31/EC)</w:t>
      </w:r>
      <w:r>
        <w:rPr>
          <w:spacing w:val="40"/>
        </w:rPr>
        <w:t> </w:t>
      </w:r>
      <w:r>
        <w:rPr/>
        <w:t>reg.11(1)(a).</w:t>
      </w:r>
      <w:r>
        <w:rPr>
          <w:spacing w:val="40"/>
        </w:rPr>
        <w:t> </w:t>
      </w:r>
      <w:r>
        <w:rPr/>
        <w:t>Under</w:t>
      </w:r>
      <w:r>
        <w:rPr>
          <w:spacing w:val="40"/>
        </w:rPr>
        <w:t> </w:t>
      </w:r>
      <w:r>
        <w:rPr/>
        <w:t>the</w:t>
      </w:r>
      <w:r>
        <w:rPr>
          <w:spacing w:val="40"/>
        </w:rPr>
        <w:t> </w:t>
      </w:r>
      <w:r>
        <w:rPr/>
        <w:t>Consumer Contracts (Information, Cancellation and Additional Charges) Regulations 2013 (SI 2013/3134, replacing the Consumer Protection (Distance Selling) Regulations 2000 (SI 2000/2334) for contracts made on or after June 13, 2014) the customer will almost certainly have the right to cancel at this stage under regs 30-31.</w:t>
      </w:r>
    </w:p>
    <w:p>
      <w:pPr>
        <w:pStyle w:val="BodyText"/>
        <w:spacing w:before="4"/>
      </w:pPr>
    </w:p>
    <w:p>
      <w:pPr>
        <w:pStyle w:val="BodyText"/>
        <w:tabs>
          <w:tab w:pos="705" w:val="left" w:leader="none"/>
        </w:tabs>
        <w:ind w:left="165"/>
      </w:pPr>
      <w:bookmarkStart w:name="_bookmark826" w:id="828"/>
      <w:bookmarkEnd w:id="828"/>
      <w:r>
        <w:rPr/>
      </w:r>
      <w:hyperlink w:history="true" w:anchor="_bookmark792">
        <w:r>
          <w:rPr>
            <w:color w:val="005DA1"/>
            <w:spacing w:val="-4"/>
            <w:position w:val="5"/>
            <w:sz w:val="14"/>
            <w:u w:val="single" w:color="005DA1"/>
          </w:rPr>
          <w:t>424</w:t>
        </w:r>
      </w:hyperlink>
      <w:r>
        <w:rPr>
          <w:spacing w:val="-4"/>
          <w:position w:val="5"/>
          <w:sz w:val="14"/>
        </w:rPr>
        <w:t>.</w:t>
      </w:r>
      <w:r>
        <w:rPr>
          <w:position w:val="5"/>
          <w:sz w:val="14"/>
        </w:rPr>
        <w:tab/>
      </w:r>
      <w:r>
        <w:rPr/>
        <w:t>See above para.2-</w:t>
      </w:r>
      <w:r>
        <w:rPr>
          <w:spacing w:val="-4"/>
        </w:rPr>
        <w:t>044.</w:t>
      </w:r>
    </w:p>
    <w:p>
      <w:pPr>
        <w:pStyle w:val="BodyText"/>
        <w:spacing w:before="5"/>
      </w:pPr>
    </w:p>
    <w:p>
      <w:pPr>
        <w:pStyle w:val="BodyText"/>
        <w:tabs>
          <w:tab w:pos="705" w:val="left" w:leader="none"/>
        </w:tabs>
        <w:ind w:left="165"/>
      </w:pPr>
      <w:bookmarkStart w:name="_bookmark827" w:id="829"/>
      <w:bookmarkEnd w:id="829"/>
      <w:r>
        <w:rPr/>
      </w:r>
      <w:hyperlink w:history="true" w:anchor="_bookmark793">
        <w:r>
          <w:rPr>
            <w:color w:val="005DA1"/>
            <w:spacing w:val="-4"/>
            <w:position w:val="5"/>
            <w:sz w:val="14"/>
            <w:u w:val="single" w:color="005DA1"/>
          </w:rPr>
          <w:t>425</w:t>
        </w:r>
      </w:hyperlink>
      <w:r>
        <w:rPr>
          <w:spacing w:val="-4"/>
          <w:position w:val="5"/>
          <w:sz w:val="14"/>
        </w:rPr>
        <w:t>.</w:t>
      </w:r>
      <w:r>
        <w:rPr>
          <w:position w:val="5"/>
          <w:sz w:val="14"/>
        </w:rPr>
        <w:tab/>
      </w:r>
      <w:r>
        <w:rPr/>
        <w:t>See above para.2-</w:t>
      </w:r>
      <w:r>
        <w:rPr>
          <w:spacing w:val="-4"/>
        </w:rPr>
        <w:t>047.</w:t>
      </w:r>
    </w:p>
    <w:p>
      <w:pPr>
        <w:pStyle w:val="BodyText"/>
        <w:spacing w:before="5"/>
      </w:pPr>
    </w:p>
    <w:p>
      <w:pPr>
        <w:tabs>
          <w:tab w:pos="705" w:val="left" w:leader="none"/>
        </w:tabs>
        <w:spacing w:before="0"/>
        <w:ind w:left="165" w:right="0" w:firstLine="0"/>
        <w:jc w:val="left"/>
        <w:rPr>
          <w:sz w:val="20"/>
        </w:rPr>
      </w:pPr>
      <w:bookmarkStart w:name="_bookmark828" w:id="830"/>
      <w:bookmarkEnd w:id="830"/>
      <w:r>
        <w:rPr/>
      </w:r>
      <w:hyperlink w:history="true" w:anchor="_bookmark794">
        <w:r>
          <w:rPr>
            <w:color w:val="005DA1"/>
            <w:spacing w:val="-4"/>
            <w:position w:val="5"/>
            <w:sz w:val="14"/>
            <w:u w:val="single" w:color="005DA1"/>
          </w:rPr>
          <w:t>426</w:t>
        </w:r>
      </w:hyperlink>
      <w:r>
        <w:rPr>
          <w:spacing w:val="-4"/>
          <w:position w:val="5"/>
          <w:sz w:val="14"/>
        </w:rPr>
        <w:t>.</w:t>
      </w:r>
      <w:r>
        <w:rPr>
          <w:position w:val="5"/>
          <w:sz w:val="14"/>
        </w:rPr>
        <w:tab/>
      </w:r>
      <w:r>
        <w:rPr>
          <w:rFonts w:ascii="Arial"/>
          <w:i/>
          <w:sz w:val="20"/>
        </w:rPr>
        <w:t>[1955]</w:t>
      </w:r>
      <w:r>
        <w:rPr>
          <w:rFonts w:ascii="Arial"/>
          <w:i/>
          <w:spacing w:val="-2"/>
          <w:sz w:val="20"/>
        </w:rPr>
        <w:t> </w:t>
      </w:r>
      <w:r>
        <w:rPr>
          <w:rFonts w:ascii="Arial"/>
          <w:i/>
          <w:sz w:val="20"/>
        </w:rPr>
        <w:t>2 Q.B. </w:t>
      </w:r>
      <w:r>
        <w:rPr>
          <w:rFonts w:ascii="Arial"/>
          <w:i/>
          <w:spacing w:val="-4"/>
          <w:sz w:val="20"/>
        </w:rPr>
        <w:t>327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29" w:id="831"/>
      <w:bookmarkEnd w:id="831"/>
      <w:r>
        <w:rPr/>
      </w:r>
      <w:hyperlink w:history="true" w:anchor="_bookmark795">
        <w:r>
          <w:rPr>
            <w:color w:val="005DA1"/>
            <w:spacing w:val="-4"/>
            <w:position w:val="5"/>
            <w:sz w:val="14"/>
            <w:u w:val="single" w:color="005DA1"/>
          </w:rPr>
          <w:t>427</w:t>
        </w:r>
      </w:hyperlink>
      <w:r>
        <w:rPr>
          <w:spacing w:val="-4"/>
          <w:position w:val="5"/>
          <w:sz w:val="14"/>
        </w:rPr>
        <w:t>.</w:t>
      </w:r>
      <w:r>
        <w:rPr>
          <w:position w:val="5"/>
          <w:sz w:val="14"/>
        </w:rPr>
        <w:tab/>
      </w:r>
      <w:r>
        <w:rPr>
          <w:rFonts w:ascii="Arial"/>
          <w:i/>
          <w:sz w:val="20"/>
        </w:rPr>
        <w:t>[1983] 2 A.C. </w:t>
      </w:r>
      <w:r>
        <w:rPr>
          <w:rFonts w:ascii="Arial"/>
          <w:i/>
          <w:spacing w:val="-5"/>
          <w:sz w:val="20"/>
        </w:rPr>
        <w:t>34</w:t>
      </w:r>
      <w:r>
        <w:rPr>
          <w:spacing w:val="-5"/>
          <w:sz w:val="20"/>
        </w:rPr>
        <w:t>.</w:t>
      </w:r>
    </w:p>
    <w:p>
      <w:pPr>
        <w:pStyle w:val="BodyText"/>
        <w:spacing w:before="5"/>
      </w:pPr>
    </w:p>
    <w:p>
      <w:pPr>
        <w:pStyle w:val="BodyText"/>
        <w:tabs>
          <w:tab w:pos="705" w:val="left" w:leader="none"/>
        </w:tabs>
        <w:spacing w:before="1"/>
        <w:ind w:left="165"/>
      </w:pPr>
      <w:bookmarkStart w:name="_bookmark830" w:id="832"/>
      <w:bookmarkEnd w:id="832"/>
      <w:r>
        <w:rPr/>
      </w:r>
      <w:hyperlink w:history="true" w:anchor="_bookmark796">
        <w:r>
          <w:rPr>
            <w:color w:val="005DA1"/>
            <w:spacing w:val="-4"/>
            <w:position w:val="5"/>
            <w:sz w:val="14"/>
            <w:u w:val="single" w:color="005DA1"/>
          </w:rPr>
          <w:t>428</w:t>
        </w:r>
      </w:hyperlink>
      <w:r>
        <w:rPr>
          <w:spacing w:val="-4"/>
          <w:position w:val="5"/>
          <w:sz w:val="14"/>
        </w:rPr>
        <w:t>.</w:t>
      </w:r>
      <w:r>
        <w:rPr>
          <w:position w:val="5"/>
          <w:sz w:val="14"/>
        </w:rPr>
        <w:tab/>
      </w:r>
      <w:r>
        <w:rPr/>
        <w:t>See above paras 2-047—2-060, 2-</w:t>
      </w:r>
      <w:r>
        <w:rPr>
          <w:spacing w:val="-4"/>
        </w:rPr>
        <w:t>079.</w:t>
      </w:r>
    </w:p>
    <w:p>
      <w:pPr>
        <w:pStyle w:val="BodyText"/>
        <w:spacing w:before="4"/>
      </w:pPr>
    </w:p>
    <w:p>
      <w:pPr>
        <w:tabs>
          <w:tab w:pos="705" w:val="left" w:leader="none"/>
        </w:tabs>
        <w:spacing w:before="1"/>
        <w:ind w:left="165" w:right="0" w:firstLine="0"/>
        <w:jc w:val="left"/>
        <w:rPr>
          <w:sz w:val="20"/>
        </w:rPr>
      </w:pPr>
      <w:bookmarkStart w:name="_bookmark831" w:id="833"/>
      <w:bookmarkEnd w:id="833"/>
      <w:r>
        <w:rPr/>
      </w:r>
      <w:hyperlink w:history="true" w:anchor="_bookmark797">
        <w:r>
          <w:rPr>
            <w:color w:val="005DA1"/>
            <w:spacing w:val="-4"/>
            <w:position w:val="5"/>
            <w:sz w:val="14"/>
            <w:u w:val="single" w:color="005DA1"/>
          </w:rPr>
          <w:t>429</w:t>
        </w:r>
      </w:hyperlink>
      <w:r>
        <w:rPr>
          <w:spacing w:val="-4"/>
          <w:position w:val="5"/>
          <w:sz w:val="14"/>
        </w:rPr>
        <w:t>.</w:t>
      </w:r>
      <w:r>
        <w:rPr>
          <w:position w:val="5"/>
          <w:sz w:val="14"/>
        </w:rPr>
        <w:tab/>
      </w:r>
      <w:r>
        <w:rPr>
          <w:rFonts w:ascii="Arial"/>
          <w:i/>
          <w:sz w:val="20"/>
        </w:rPr>
        <w:t>[1983] 2 A.C. 34</w:t>
      </w:r>
      <w:r>
        <w:rPr>
          <w:rFonts w:ascii="Arial"/>
          <w:i/>
          <w:spacing w:val="-1"/>
          <w:sz w:val="20"/>
        </w:rPr>
        <w:t> </w:t>
      </w:r>
      <w:r>
        <w:rPr>
          <w:sz w:val="20"/>
        </w:rPr>
        <w:t>at </w:t>
      </w:r>
      <w:r>
        <w:rPr>
          <w:spacing w:val="-5"/>
          <w:sz w:val="20"/>
        </w:rPr>
        <w:t>42.</w:t>
      </w:r>
    </w:p>
    <w:p>
      <w:pPr>
        <w:pStyle w:val="BodyText"/>
        <w:spacing w:before="8"/>
      </w:pPr>
    </w:p>
    <w:p>
      <w:pPr>
        <w:tabs>
          <w:tab w:pos="705" w:val="left" w:leader="none"/>
        </w:tabs>
        <w:spacing w:line="235" w:lineRule="auto" w:before="0"/>
        <w:ind w:left="705" w:right="168" w:hanging="541"/>
        <w:jc w:val="left"/>
        <w:rPr>
          <w:sz w:val="20"/>
        </w:rPr>
      </w:pPr>
      <w:bookmarkStart w:name="_bookmark832" w:id="834"/>
      <w:bookmarkEnd w:id="834"/>
      <w:r>
        <w:rPr/>
      </w:r>
      <w:hyperlink w:history="true" w:anchor="_bookmark798">
        <w:r>
          <w:rPr>
            <w:color w:val="005DA1"/>
            <w:spacing w:val="-4"/>
            <w:position w:val="5"/>
            <w:sz w:val="14"/>
            <w:u w:val="single" w:color="005DA1"/>
          </w:rPr>
          <w:t>430</w:t>
        </w:r>
      </w:hyperlink>
      <w:r>
        <w:rPr>
          <w:spacing w:val="-4"/>
          <w:position w:val="5"/>
          <w:sz w:val="14"/>
        </w:rPr>
        <w:t>.</w:t>
      </w:r>
      <w:r>
        <w:rPr>
          <w:position w:val="5"/>
          <w:sz w:val="14"/>
        </w:rPr>
        <w:tab/>
      </w:r>
      <w:r>
        <w:rPr>
          <w:sz w:val="20"/>
        </w:rPr>
        <w:t>In</w:t>
      </w:r>
      <w:r>
        <w:rPr>
          <w:spacing w:val="40"/>
          <w:sz w:val="20"/>
        </w:rPr>
        <w:t> </w:t>
      </w:r>
      <w:r>
        <w:rPr>
          <w:rFonts w:ascii="Arial"/>
          <w:i/>
          <w:sz w:val="20"/>
        </w:rPr>
        <w:t>Entores</w:t>
      </w:r>
      <w:r>
        <w:rPr>
          <w:rFonts w:ascii="Arial"/>
          <w:i/>
          <w:spacing w:val="40"/>
          <w:sz w:val="20"/>
        </w:rPr>
        <w:t> </w:t>
      </w:r>
      <w:r>
        <w:rPr>
          <w:rFonts w:ascii="Arial"/>
          <w:i/>
          <w:sz w:val="20"/>
        </w:rPr>
        <w:t>v</w:t>
      </w:r>
      <w:r>
        <w:rPr>
          <w:rFonts w:ascii="Arial"/>
          <w:i/>
          <w:spacing w:val="40"/>
          <w:sz w:val="20"/>
        </w:rPr>
        <w:t> </w:t>
      </w:r>
      <w:r>
        <w:rPr>
          <w:rFonts w:ascii="Arial"/>
          <w:i/>
          <w:sz w:val="20"/>
        </w:rPr>
        <w:t>Miles</w:t>
      </w:r>
      <w:r>
        <w:rPr>
          <w:rFonts w:ascii="Arial"/>
          <w:i/>
          <w:spacing w:val="40"/>
          <w:sz w:val="20"/>
        </w:rPr>
        <w:t> </w:t>
      </w:r>
      <w:r>
        <w:rPr>
          <w:rFonts w:ascii="Arial"/>
          <w:i/>
          <w:sz w:val="20"/>
        </w:rPr>
        <w:t>Far</w:t>
      </w:r>
      <w:r>
        <w:rPr>
          <w:rFonts w:ascii="Arial"/>
          <w:i/>
          <w:spacing w:val="40"/>
          <w:sz w:val="20"/>
        </w:rPr>
        <w:t> </w:t>
      </w:r>
      <w:r>
        <w:rPr>
          <w:rFonts w:ascii="Arial"/>
          <w:i/>
          <w:sz w:val="20"/>
        </w:rPr>
        <w:t>East</w:t>
      </w:r>
      <w:r>
        <w:rPr>
          <w:rFonts w:ascii="Arial"/>
          <w:i/>
          <w:spacing w:val="40"/>
          <w:sz w:val="20"/>
        </w:rPr>
        <w:t> </w:t>
      </w:r>
      <w:r>
        <w:rPr>
          <w:rFonts w:ascii="Arial"/>
          <w:i/>
          <w:sz w:val="20"/>
        </w:rPr>
        <w:t>Corp</w:t>
      </w:r>
      <w:r>
        <w:rPr>
          <w:rFonts w:ascii="Arial"/>
          <w:i/>
          <w:spacing w:val="40"/>
          <w:sz w:val="20"/>
        </w:rPr>
        <w:t> </w:t>
      </w:r>
      <w:r>
        <w:rPr>
          <w:rFonts w:ascii="Arial"/>
          <w:i/>
          <w:sz w:val="20"/>
        </w:rPr>
        <w:t>[1955]</w:t>
      </w:r>
      <w:r>
        <w:rPr>
          <w:rFonts w:ascii="Arial"/>
          <w:i/>
          <w:spacing w:val="40"/>
          <w:sz w:val="20"/>
        </w:rPr>
        <w:t> </w:t>
      </w:r>
      <w:r>
        <w:rPr>
          <w:rFonts w:ascii="Arial"/>
          <w:i/>
          <w:sz w:val="20"/>
        </w:rPr>
        <w:t>2</w:t>
      </w:r>
      <w:r>
        <w:rPr>
          <w:rFonts w:ascii="Arial"/>
          <w:i/>
          <w:spacing w:val="40"/>
          <w:sz w:val="20"/>
        </w:rPr>
        <w:t> </w:t>
      </w:r>
      <w:r>
        <w:rPr>
          <w:rFonts w:ascii="Arial"/>
          <w:i/>
          <w:sz w:val="20"/>
        </w:rPr>
        <w:t>Q.B.</w:t>
      </w:r>
      <w:r>
        <w:rPr>
          <w:rFonts w:ascii="Arial"/>
          <w:i/>
          <w:spacing w:val="40"/>
          <w:sz w:val="20"/>
        </w:rPr>
        <w:t> </w:t>
      </w:r>
      <w:r>
        <w:rPr>
          <w:rFonts w:ascii="Arial"/>
          <w:i/>
          <w:sz w:val="20"/>
        </w:rPr>
        <w:t>327</w:t>
      </w:r>
      <w:r>
        <w:rPr>
          <w:rFonts w:ascii="Arial"/>
          <w:i/>
          <w:spacing w:val="40"/>
          <w:sz w:val="20"/>
        </w:rPr>
        <w:t> </w:t>
      </w:r>
      <w:r>
        <w:rPr>
          <w:sz w:val="20"/>
        </w:rPr>
        <w:t>Denning</w:t>
      </w:r>
      <w:r>
        <w:rPr>
          <w:spacing w:val="40"/>
          <w:sz w:val="20"/>
        </w:rPr>
        <w:t> </w:t>
      </w:r>
      <w:r>
        <w:rPr>
          <w:sz w:val="20"/>
        </w:rPr>
        <w:t>L.J.</w:t>
      </w:r>
      <w:r>
        <w:rPr>
          <w:spacing w:val="40"/>
          <w:sz w:val="20"/>
        </w:rPr>
        <w:t> </w:t>
      </w:r>
      <w:r>
        <w:rPr>
          <w:sz w:val="20"/>
        </w:rPr>
        <w:t>gives</w:t>
      </w:r>
      <w:r>
        <w:rPr>
          <w:spacing w:val="40"/>
          <w:sz w:val="20"/>
        </w:rPr>
        <w:t> </w:t>
      </w:r>
      <w:r>
        <w:rPr>
          <w:sz w:val="20"/>
        </w:rPr>
        <w:t>the</w:t>
      </w:r>
      <w:r>
        <w:rPr>
          <w:spacing w:val="40"/>
          <w:sz w:val="20"/>
        </w:rPr>
        <w:t> </w:t>
      </w:r>
      <w:r>
        <w:rPr>
          <w:sz w:val="20"/>
        </w:rPr>
        <w:t>examples</w:t>
      </w:r>
      <w:r>
        <w:rPr>
          <w:spacing w:val="40"/>
          <w:sz w:val="20"/>
        </w:rPr>
        <w:t> </w:t>
      </w:r>
      <w:r>
        <w:rPr>
          <w:sz w:val="20"/>
        </w:rPr>
        <w:t>of face-to-face and telephone communication and communication by telex.</w:t>
      </w:r>
    </w:p>
    <w:p>
      <w:pPr>
        <w:pStyle w:val="BodyText"/>
        <w:spacing w:before="6"/>
      </w:pPr>
    </w:p>
    <w:p>
      <w:pPr>
        <w:tabs>
          <w:tab w:pos="705" w:val="left" w:leader="none"/>
        </w:tabs>
        <w:spacing w:before="0"/>
        <w:ind w:left="165" w:right="0" w:firstLine="0"/>
        <w:jc w:val="left"/>
        <w:rPr>
          <w:sz w:val="20"/>
        </w:rPr>
      </w:pPr>
      <w:bookmarkStart w:name="_bookmark833" w:id="835"/>
      <w:bookmarkEnd w:id="835"/>
      <w:r>
        <w:rPr/>
      </w:r>
      <w:hyperlink w:history="true" w:anchor="_bookmark799">
        <w:r>
          <w:rPr>
            <w:color w:val="005DA1"/>
            <w:spacing w:val="-4"/>
            <w:position w:val="5"/>
            <w:sz w:val="14"/>
            <w:u w:val="single" w:color="005DA1"/>
          </w:rPr>
          <w:t>431</w:t>
        </w:r>
      </w:hyperlink>
      <w:r>
        <w:rPr>
          <w:spacing w:val="-4"/>
          <w:position w:val="5"/>
          <w:sz w:val="14"/>
        </w:rPr>
        <w:t>.</w:t>
      </w:r>
      <w:r>
        <w:rPr>
          <w:position w:val="5"/>
          <w:sz w:val="14"/>
        </w:rPr>
        <w:tab/>
      </w:r>
      <w:r>
        <w:rPr>
          <w:rFonts w:ascii="Arial"/>
          <w:i/>
          <w:sz w:val="20"/>
        </w:rPr>
        <w:t>[1983] 2 A.C. 34</w:t>
      </w:r>
      <w:r>
        <w:rPr>
          <w:rFonts w:ascii="Arial"/>
          <w:i/>
          <w:spacing w:val="-1"/>
          <w:sz w:val="20"/>
        </w:rPr>
        <w:t> </w:t>
      </w:r>
      <w:r>
        <w:rPr>
          <w:sz w:val="20"/>
        </w:rPr>
        <w:t>at </w:t>
      </w:r>
      <w:r>
        <w:rPr>
          <w:spacing w:val="-5"/>
          <w:sz w:val="20"/>
        </w:rPr>
        <w:t>42.</w:t>
      </w:r>
    </w:p>
    <w:p>
      <w:pPr>
        <w:pStyle w:val="BodyText"/>
        <w:spacing w:before="8"/>
      </w:pPr>
    </w:p>
    <w:p>
      <w:pPr>
        <w:pStyle w:val="BodyText"/>
        <w:spacing w:line="235" w:lineRule="auto" w:before="1"/>
        <w:ind w:left="705" w:right="167" w:hanging="541"/>
        <w:jc w:val="both"/>
      </w:pPr>
      <w:bookmarkStart w:name="_bookmark834" w:id="836"/>
      <w:bookmarkEnd w:id="836"/>
      <w:r>
        <w:rPr/>
      </w:r>
      <w:hyperlink w:history="true" w:anchor="_bookmark800">
        <w:r>
          <w:rPr>
            <w:color w:val="005DA1"/>
            <w:position w:val="5"/>
            <w:sz w:val="14"/>
            <w:u w:val="single" w:color="005DA1"/>
          </w:rPr>
          <w:t>432</w:t>
        </w:r>
      </w:hyperlink>
      <w:r>
        <w:rPr>
          <w:position w:val="5"/>
          <w:sz w:val="14"/>
        </w:rPr>
        <w:t>.</w:t>
      </w:r>
      <w:r>
        <w:rPr>
          <w:spacing w:val="40"/>
          <w:position w:val="5"/>
          <w:sz w:val="14"/>
        </w:rPr>
        <w:t>  </w:t>
      </w:r>
      <w:r>
        <w:rPr/>
        <w:t>See</w:t>
      </w:r>
      <w:r>
        <w:rPr>
          <w:spacing w:val="-1"/>
        </w:rPr>
        <w:t> </w:t>
      </w:r>
      <w:r>
        <w:rPr/>
        <w:t>the</w:t>
      </w:r>
      <w:r>
        <w:rPr>
          <w:spacing w:val="-1"/>
        </w:rPr>
        <w:t> </w:t>
      </w:r>
      <w:r>
        <w:rPr/>
        <w:t>UN</w:t>
      </w:r>
      <w:r>
        <w:rPr>
          <w:spacing w:val="-1"/>
        </w:rPr>
        <w:t> </w:t>
      </w:r>
      <w:r>
        <w:rPr/>
        <w:t>Convention</w:t>
      </w:r>
      <w:r>
        <w:rPr>
          <w:spacing w:val="-1"/>
        </w:rPr>
        <w:t> </w:t>
      </w:r>
      <w:r>
        <w:rPr/>
        <w:t>on</w:t>
      </w:r>
      <w:r>
        <w:rPr>
          <w:spacing w:val="-1"/>
        </w:rPr>
        <w:t> </w:t>
      </w:r>
      <w:r>
        <w:rPr/>
        <w:t>Contracts</w:t>
      </w:r>
      <w:r>
        <w:rPr>
          <w:spacing w:val="-1"/>
        </w:rPr>
        <w:t> </w:t>
      </w:r>
      <w:r>
        <w:rPr/>
        <w:t>for</w:t>
      </w:r>
      <w:r>
        <w:rPr>
          <w:spacing w:val="-1"/>
        </w:rPr>
        <w:t> </w:t>
      </w:r>
      <w:r>
        <w:rPr/>
        <w:t>the</w:t>
      </w:r>
      <w:r>
        <w:rPr>
          <w:spacing w:val="-1"/>
        </w:rPr>
        <w:t> </w:t>
      </w:r>
      <w:r>
        <w:rPr/>
        <w:t>International</w:t>
      </w:r>
      <w:r>
        <w:rPr>
          <w:spacing w:val="-1"/>
        </w:rPr>
        <w:t> </w:t>
      </w:r>
      <w:r>
        <w:rPr/>
        <w:t>Sale</w:t>
      </w:r>
      <w:r>
        <w:rPr>
          <w:spacing w:val="-1"/>
        </w:rPr>
        <w:t> </w:t>
      </w:r>
      <w:r>
        <w:rPr/>
        <w:t>of</w:t>
      </w:r>
      <w:r>
        <w:rPr>
          <w:spacing w:val="-1"/>
        </w:rPr>
        <w:t> </w:t>
      </w:r>
      <w:r>
        <w:rPr/>
        <w:t>Goods</w:t>
      </w:r>
      <w:r>
        <w:rPr>
          <w:spacing w:val="-1"/>
        </w:rPr>
        <w:t> </w:t>
      </w:r>
      <w:r>
        <w:rPr/>
        <w:t>art.24</w:t>
      </w:r>
      <w:r>
        <w:rPr>
          <w:spacing w:val="-1"/>
        </w:rPr>
        <w:t> </w:t>
      </w:r>
      <w:r>
        <w:rPr/>
        <w:t>as</w:t>
      </w:r>
      <w:r>
        <w:rPr>
          <w:spacing w:val="-1"/>
        </w:rPr>
        <w:t> </w:t>
      </w:r>
      <w:r>
        <w:rPr/>
        <w:t>interpreted</w:t>
      </w:r>
      <w:r>
        <w:rPr>
          <w:spacing w:val="-1"/>
        </w:rPr>
        <w:t> </w:t>
      </w:r>
      <w:r>
        <w:rPr/>
        <w:t>in CISG Advisory Council Opinion No.1, Electronic Communications under CISG (August 15, 2003), Opinion on art.24 and Opinion on art.18(2); UNIDROIT Principles of </w:t>
      </w:r>
      <w:r>
        <w:rPr/>
        <w:t>International Commercial Contracts art.1.303(3); US Restatement of Contact (1981) §68; Uniform Commercial Code §1-201(26); UN Model Law on Electronic Commerce art.15(2); US Uniform Computer Information Transactions Act s.102(a)(52)(B)(II); Australian Electronic Transactions Act 1999 (Cth) s.14(3).</w:t>
      </w:r>
    </w:p>
    <w:p>
      <w:pPr>
        <w:pStyle w:val="BodyText"/>
        <w:spacing w:before="7"/>
      </w:pPr>
    </w:p>
    <w:p>
      <w:pPr>
        <w:pStyle w:val="BodyText"/>
        <w:spacing w:line="235" w:lineRule="auto"/>
        <w:ind w:left="705" w:right="167" w:hanging="541"/>
        <w:jc w:val="both"/>
      </w:pPr>
      <w:bookmarkStart w:name="_bookmark835" w:id="837"/>
      <w:bookmarkEnd w:id="837"/>
      <w:r>
        <w:rPr/>
      </w:r>
      <w:hyperlink w:history="true" w:anchor="_bookmark801">
        <w:r>
          <w:rPr>
            <w:color w:val="005DA1"/>
            <w:position w:val="5"/>
            <w:sz w:val="14"/>
            <w:u w:val="single" w:color="005DA1"/>
          </w:rPr>
          <w:t>433</w:t>
        </w:r>
      </w:hyperlink>
      <w:r>
        <w:rPr>
          <w:position w:val="5"/>
          <w:sz w:val="14"/>
        </w:rPr>
        <w:t>.</w:t>
      </w:r>
      <w:r>
        <w:rPr>
          <w:spacing w:val="80"/>
          <w:position w:val="5"/>
          <w:sz w:val="14"/>
        </w:rPr>
        <w:t> </w:t>
      </w:r>
      <w:r>
        <w:rPr/>
        <w:t>See UN Convention on the Use of Electronic Communications in International </w:t>
      </w:r>
      <w:r>
        <w:rPr/>
        <w:t>Contracts</w:t>
      </w:r>
      <w:r>
        <w:rPr>
          <w:spacing w:val="40"/>
        </w:rPr>
        <w:t> </w:t>
      </w:r>
      <w:r>
        <w:rPr/>
        <w:t>art.10(2); the Electronic Commerce (EC Directive) Regulations 2000 (SI 2002/2013) </w:t>
      </w:r>
      <w:r>
        <w:rPr>
          <w:spacing w:val="-2"/>
        </w:rPr>
        <w:t>reg.11(2)(a).</w:t>
      </w:r>
    </w:p>
    <w:p>
      <w:pPr>
        <w:pStyle w:val="BodyText"/>
        <w:spacing w:before="9"/>
      </w:pPr>
    </w:p>
    <w:p>
      <w:pPr>
        <w:pStyle w:val="BodyText"/>
        <w:spacing w:line="235" w:lineRule="auto"/>
        <w:ind w:left="705" w:right="167" w:hanging="541"/>
        <w:jc w:val="both"/>
      </w:pPr>
      <w:bookmarkStart w:name="_bookmark836" w:id="838"/>
      <w:bookmarkEnd w:id="838"/>
      <w:r>
        <w:rPr/>
      </w:r>
      <w:hyperlink w:history="true" w:anchor="_bookmark802">
        <w:r>
          <w:rPr>
            <w:color w:val="005DA1"/>
            <w:position w:val="5"/>
            <w:sz w:val="14"/>
            <w:u w:val="single" w:color="005DA1"/>
          </w:rPr>
          <w:t>434</w:t>
        </w:r>
      </w:hyperlink>
      <w:r>
        <w:rPr>
          <w:position w:val="5"/>
          <w:sz w:val="14"/>
        </w:rPr>
        <w:t>.</w:t>
      </w:r>
      <w:r>
        <w:rPr>
          <w:spacing w:val="80"/>
          <w:position w:val="5"/>
          <w:sz w:val="14"/>
        </w:rPr>
        <w:t>  </w:t>
      </w:r>
      <w:r>
        <w:rPr/>
        <w:t>Although the offeror’s lack of access may also result from the operation of processes outside</w:t>
      </w:r>
      <w:r>
        <w:rPr>
          <w:spacing w:val="40"/>
        </w:rPr>
        <w:t> </w:t>
      </w:r>
      <w:r>
        <w:rPr/>
        <w:t>the offeror’s sphere of control (e.g. the offeror’s mail-client may not be able to process </w:t>
      </w:r>
      <w:r>
        <w:rPr/>
        <w:t>and display a message composed on the offeree’s mail-client), or due to the justifiable operation of the offeror’s anti-virus software.</w:t>
      </w:r>
    </w:p>
    <w:p>
      <w:pPr>
        <w:pStyle w:val="BodyText"/>
        <w:spacing w:after="0" w:line="235" w:lineRule="auto"/>
        <w:jc w:val="both"/>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803">
        <w:r>
          <w:rPr>
            <w:color w:val="005DA1"/>
            <w:position w:val="5"/>
            <w:sz w:val="14"/>
            <w:u w:val="single" w:color="005DA1"/>
          </w:rPr>
          <w:t>435</w:t>
        </w:r>
      </w:hyperlink>
      <w:r>
        <w:rPr>
          <w:position w:val="5"/>
          <w:sz w:val="14"/>
        </w:rPr>
        <w:t>.</w:t>
      </w:r>
      <w:r>
        <w:rPr>
          <w:spacing w:val="80"/>
          <w:position w:val="5"/>
          <w:sz w:val="14"/>
        </w:rPr>
        <w:t>  </w:t>
      </w:r>
      <w:r>
        <w:rPr>
          <w:sz w:val="20"/>
        </w:rPr>
        <w:t>See </w:t>
      </w:r>
      <w:r>
        <w:rPr>
          <w:rFonts w:ascii="Arial" w:hAnsi="Arial"/>
          <w:i/>
          <w:sz w:val="20"/>
        </w:rPr>
        <w:t>Tenax S.S. Co Ltd v The Brimnes (The Owners) (The Brimnes) [1974] EWCA Civ </w:t>
      </w:r>
      <w:r>
        <w:rPr>
          <w:rFonts w:ascii="Arial" w:hAnsi="Arial"/>
          <w:i/>
          <w:sz w:val="20"/>
        </w:rPr>
        <w:t>15,</w:t>
      </w:r>
      <w:r>
        <w:rPr>
          <w:rFonts w:ascii="Arial" w:hAnsi="Arial"/>
          <w:i/>
          <w:spacing w:val="40"/>
          <w:sz w:val="20"/>
        </w:rPr>
        <w:t> </w:t>
      </w:r>
      <w:r>
        <w:rPr>
          <w:rFonts w:ascii="Arial" w:hAnsi="Arial"/>
          <w:i/>
          <w:sz w:val="20"/>
        </w:rPr>
        <w:t>[1975] 1 Q.B. 929 (CA) </w:t>
      </w:r>
      <w:r>
        <w:rPr>
          <w:sz w:val="20"/>
        </w:rPr>
        <w:t>and </w:t>
      </w:r>
      <w:r>
        <w:rPr>
          <w:rFonts w:ascii="Arial" w:hAnsi="Arial"/>
          <w:i/>
          <w:sz w:val="20"/>
        </w:rPr>
        <w:t>Schelde Delta Shipping BV v Astart Shipping Ltd (The Pamela) [1995] 2 Lloyds’ Rep. 249 (QB)</w:t>
      </w:r>
      <w:r>
        <w:rPr>
          <w:sz w:val="20"/>
        </w:rPr>
        <w:t>.</w:t>
      </w:r>
    </w:p>
    <w:p>
      <w:pPr>
        <w:pStyle w:val="BodyText"/>
        <w:spacing w:before="5"/>
      </w:pPr>
    </w:p>
    <w:p>
      <w:pPr>
        <w:tabs>
          <w:tab w:pos="705" w:val="left" w:leader="none"/>
        </w:tabs>
        <w:spacing w:before="0"/>
        <w:ind w:left="165" w:right="0" w:firstLine="0"/>
        <w:jc w:val="left"/>
        <w:rPr>
          <w:sz w:val="20"/>
        </w:rPr>
      </w:pPr>
      <w:bookmarkStart w:name="_bookmark837" w:id="839"/>
      <w:bookmarkEnd w:id="839"/>
      <w:r>
        <w:rPr/>
      </w:r>
      <w:hyperlink w:history="true" w:anchor="_bookmark803">
        <w:r>
          <w:rPr>
            <w:color w:val="005DA1"/>
            <w:spacing w:val="-4"/>
            <w:position w:val="5"/>
            <w:sz w:val="14"/>
            <w:u w:val="single" w:color="005DA1"/>
          </w:rPr>
          <w:t>436</w:t>
        </w:r>
      </w:hyperlink>
      <w:r>
        <w:rPr>
          <w:spacing w:val="-4"/>
          <w:position w:val="5"/>
          <w:sz w:val="14"/>
        </w:rPr>
        <w:t>.</w:t>
      </w:r>
      <w:r>
        <w:rPr>
          <w:position w:val="5"/>
          <w:sz w:val="14"/>
        </w:rPr>
        <w:tab/>
      </w:r>
      <w:r>
        <w:rPr>
          <w:rFonts w:ascii="Arial" w:hAnsi="Arial"/>
          <w:i/>
          <w:sz w:val="20"/>
        </w:rPr>
        <w:t>Schelde Delta Shipping BV v Astart Shipping Ltd (The Pamela) [1995] 2 Lloyd’s Rep. 249, </w:t>
      </w:r>
      <w:r>
        <w:rPr>
          <w:rFonts w:ascii="Arial" w:hAnsi="Arial"/>
          <w:i/>
          <w:spacing w:val="-4"/>
          <w:sz w:val="20"/>
        </w:rPr>
        <w:t>252</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38" w:id="840"/>
      <w:bookmarkEnd w:id="840"/>
      <w:r>
        <w:rPr/>
      </w:r>
      <w:hyperlink w:history="true" w:anchor="_bookmark804">
        <w:r>
          <w:rPr>
            <w:color w:val="005DA1"/>
            <w:spacing w:val="-4"/>
            <w:position w:val="5"/>
            <w:sz w:val="14"/>
            <w:u w:val="single" w:color="005DA1"/>
          </w:rPr>
          <w:t>437</w:t>
        </w:r>
      </w:hyperlink>
      <w:r>
        <w:rPr>
          <w:spacing w:val="-4"/>
          <w:position w:val="5"/>
          <w:sz w:val="14"/>
        </w:rPr>
        <w:t>.</w:t>
      </w:r>
      <w:r>
        <w:rPr>
          <w:position w:val="5"/>
          <w:sz w:val="14"/>
        </w:rPr>
        <w:tab/>
      </w:r>
      <w:r>
        <w:rPr>
          <w:rFonts w:ascii="Arial"/>
          <w:i/>
          <w:sz w:val="20"/>
        </w:rPr>
        <w:t>[1955]</w:t>
      </w:r>
      <w:r>
        <w:rPr>
          <w:rFonts w:ascii="Arial"/>
          <w:i/>
          <w:spacing w:val="-2"/>
          <w:sz w:val="20"/>
        </w:rPr>
        <w:t> </w:t>
      </w:r>
      <w:r>
        <w:rPr>
          <w:rFonts w:ascii="Arial"/>
          <w:i/>
          <w:sz w:val="20"/>
        </w:rPr>
        <w:t>2 Q.B. </w:t>
      </w:r>
      <w:r>
        <w:rPr>
          <w:rFonts w:ascii="Arial"/>
          <w:i/>
          <w:spacing w:val="-4"/>
          <w:sz w:val="20"/>
        </w:rPr>
        <w:t>327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39" w:id="841"/>
      <w:bookmarkEnd w:id="841"/>
      <w:r>
        <w:rPr/>
      </w:r>
      <w:hyperlink w:history="true" w:anchor="_bookmark805">
        <w:r>
          <w:rPr>
            <w:color w:val="005DA1"/>
            <w:spacing w:val="-4"/>
            <w:position w:val="5"/>
            <w:sz w:val="14"/>
            <w:u w:val="single" w:color="005DA1"/>
          </w:rPr>
          <w:t>438</w:t>
        </w:r>
      </w:hyperlink>
      <w:r>
        <w:rPr>
          <w:spacing w:val="-4"/>
          <w:position w:val="5"/>
          <w:sz w:val="14"/>
        </w:rPr>
        <w:t>.</w:t>
      </w:r>
      <w:r>
        <w:rPr>
          <w:position w:val="5"/>
          <w:sz w:val="14"/>
        </w:rPr>
        <w:tab/>
      </w:r>
      <w:r>
        <w:rPr>
          <w:rFonts w:ascii="Arial"/>
          <w:i/>
          <w:sz w:val="20"/>
        </w:rPr>
        <w:t>[1983] 2 A.C. 34</w:t>
      </w:r>
      <w:r>
        <w:rPr>
          <w:rFonts w:ascii="Arial"/>
          <w:i/>
          <w:spacing w:val="-1"/>
          <w:sz w:val="20"/>
        </w:rPr>
        <w:t> </w:t>
      </w:r>
      <w:r>
        <w:rPr>
          <w:sz w:val="20"/>
        </w:rPr>
        <w:t>at </w:t>
      </w:r>
      <w:r>
        <w:rPr>
          <w:spacing w:val="-5"/>
          <w:sz w:val="20"/>
        </w:rPr>
        <w:t>43.</w:t>
      </w:r>
    </w:p>
    <w:p>
      <w:pPr>
        <w:pStyle w:val="BodyText"/>
        <w:spacing w:before="9"/>
      </w:pPr>
    </w:p>
    <w:p>
      <w:pPr>
        <w:pStyle w:val="BodyText"/>
        <w:spacing w:line="235" w:lineRule="auto"/>
        <w:ind w:left="705" w:right="167" w:hanging="541"/>
        <w:jc w:val="both"/>
      </w:pPr>
      <w:bookmarkStart w:name="_bookmark840" w:id="842"/>
      <w:bookmarkEnd w:id="842"/>
      <w:r>
        <w:rPr/>
      </w:r>
      <w:hyperlink w:history="true" w:anchor="_bookmark806">
        <w:r>
          <w:rPr>
            <w:color w:val="005DA1"/>
            <w:position w:val="5"/>
            <w:sz w:val="14"/>
            <w:u w:val="single" w:color="005DA1"/>
          </w:rPr>
          <w:t>439</w:t>
        </w:r>
      </w:hyperlink>
      <w:r>
        <w:rPr>
          <w:position w:val="5"/>
          <w:sz w:val="14"/>
        </w:rPr>
        <w:t>.</w:t>
      </w:r>
      <w:r>
        <w:rPr>
          <w:spacing w:val="80"/>
          <w:position w:val="5"/>
          <w:sz w:val="14"/>
        </w:rPr>
        <w:t>  </w:t>
      </w:r>
      <w:r>
        <w:rPr>
          <w:rFonts w:ascii="Arial" w:hAnsi="Arial"/>
          <w:i/>
        </w:rPr>
        <w:t>[1955] 2 Q.B. 327 </w:t>
      </w:r>
      <w:r>
        <w:rPr/>
        <w:t>at 332; he states that if a face-to-face oral acceptance is drowned out by </w:t>
      </w:r>
      <w:r>
        <w:rPr/>
        <w:t>a noisy aircraft flying overhead, the offeree must repeat his acceptance once the aircraft has passed if he wishes to make a contract; likewise, if the telephone goes “dead” before the acceptance is completed, the offeree must telephone back to complete the acceptance.</w:t>
      </w:r>
    </w:p>
    <w:p>
      <w:pPr>
        <w:pStyle w:val="BodyText"/>
        <w:spacing w:before="9"/>
      </w:pPr>
    </w:p>
    <w:p>
      <w:pPr>
        <w:pStyle w:val="BodyText"/>
        <w:spacing w:line="235" w:lineRule="auto"/>
        <w:ind w:left="705" w:right="167" w:hanging="541"/>
        <w:jc w:val="both"/>
      </w:pPr>
      <w:bookmarkStart w:name="_bookmark841" w:id="843"/>
      <w:bookmarkEnd w:id="843"/>
      <w:r>
        <w:rPr/>
      </w:r>
      <w:hyperlink w:history="true" w:anchor="_bookmark807">
        <w:r>
          <w:rPr>
            <w:color w:val="005DA1"/>
            <w:position w:val="5"/>
            <w:sz w:val="14"/>
            <w:u w:val="single" w:color="005DA1"/>
          </w:rPr>
          <w:t>440</w:t>
        </w:r>
      </w:hyperlink>
      <w:r>
        <w:rPr>
          <w:position w:val="5"/>
          <w:sz w:val="14"/>
        </w:rPr>
        <w:t>.</w:t>
      </w:r>
      <w:r>
        <w:rPr>
          <w:spacing w:val="80"/>
          <w:position w:val="5"/>
          <w:sz w:val="14"/>
        </w:rPr>
        <w:t> </w:t>
      </w:r>
      <w:r>
        <w:rPr>
          <w:rFonts w:ascii="Arial"/>
          <w:i/>
        </w:rPr>
        <w:t>[1955] 2 Q.B. 327 </w:t>
      </w:r>
      <w:r>
        <w:rPr/>
        <w:t>at 333; Denning L.J. states that if the offeree does not know that his communication has failed but the offeror knows or has reason to know e.g. because the ink of the receiving teleprinter runs out, the offeror recipient should alert the offeree sender of </w:t>
      </w:r>
      <w:r>
        <w:rPr/>
        <w:t>the problem, failing which, the offeror should be bound.</w:t>
      </w:r>
    </w:p>
    <w:p>
      <w:pPr>
        <w:pStyle w:val="BodyText"/>
        <w:spacing w:before="4"/>
      </w:pPr>
    </w:p>
    <w:p>
      <w:pPr>
        <w:tabs>
          <w:tab w:pos="705" w:val="left" w:leader="none"/>
        </w:tabs>
        <w:spacing w:before="0"/>
        <w:ind w:left="165" w:right="0" w:firstLine="0"/>
        <w:jc w:val="left"/>
        <w:rPr>
          <w:sz w:val="20"/>
        </w:rPr>
      </w:pPr>
      <w:bookmarkStart w:name="_bookmark842" w:id="844"/>
      <w:bookmarkEnd w:id="844"/>
      <w:r>
        <w:rPr/>
      </w:r>
      <w:hyperlink w:history="true" w:anchor="_bookmark808">
        <w:r>
          <w:rPr>
            <w:color w:val="005DA1"/>
            <w:spacing w:val="-4"/>
            <w:position w:val="5"/>
            <w:sz w:val="14"/>
            <w:u w:val="single" w:color="005DA1"/>
          </w:rPr>
          <w:t>441</w:t>
        </w:r>
      </w:hyperlink>
      <w:r>
        <w:rPr>
          <w:spacing w:val="-4"/>
          <w:position w:val="5"/>
          <w:sz w:val="14"/>
        </w:rPr>
        <w:t>.</w:t>
      </w:r>
      <w:r>
        <w:rPr>
          <w:position w:val="5"/>
          <w:sz w:val="14"/>
        </w:rPr>
        <w:tab/>
      </w:r>
      <w:r>
        <w:rPr>
          <w:rFonts w:ascii="Arial"/>
          <w:i/>
          <w:sz w:val="20"/>
        </w:rPr>
        <w:t>[1955]</w:t>
      </w:r>
      <w:r>
        <w:rPr>
          <w:rFonts w:ascii="Arial"/>
          <w:i/>
          <w:spacing w:val="-2"/>
          <w:sz w:val="20"/>
        </w:rPr>
        <w:t> </w:t>
      </w:r>
      <w:r>
        <w:rPr>
          <w:rFonts w:ascii="Arial"/>
          <w:i/>
          <w:sz w:val="20"/>
        </w:rPr>
        <w:t>2 Q.B. 327</w:t>
      </w:r>
      <w:r>
        <w:rPr>
          <w:rFonts w:ascii="Arial"/>
          <w:i/>
          <w:spacing w:val="-1"/>
          <w:sz w:val="20"/>
        </w:rPr>
        <w:t> </w:t>
      </w:r>
      <w:r>
        <w:rPr>
          <w:sz w:val="20"/>
        </w:rPr>
        <w:t>at </w:t>
      </w:r>
      <w:r>
        <w:rPr>
          <w:spacing w:val="-4"/>
          <w:sz w:val="20"/>
        </w:rPr>
        <w:t>333.</w:t>
      </w: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3. - The Acceptance</w:t>
      </w:r>
    </w:p>
    <w:p>
      <w:pPr>
        <w:spacing w:before="3"/>
        <w:ind w:left="3272" w:right="0" w:firstLine="0"/>
        <w:jc w:val="left"/>
        <w:rPr>
          <w:rFonts w:ascii="Arial"/>
          <w:b/>
          <w:sz w:val="24"/>
        </w:rPr>
      </w:pPr>
      <w:r>
        <w:rPr>
          <w:rFonts w:ascii="Arial"/>
          <w:b/>
          <w:sz w:val="24"/>
        </w:rPr>
        <w:t>(g) - Unilateral </w:t>
      </w:r>
      <w:r>
        <w:rPr>
          <w:rFonts w:ascii="Arial"/>
          <w:b/>
          <w:spacing w:val="-2"/>
          <w:sz w:val="24"/>
        </w:rPr>
        <w:t>Contracts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Introduction</w:t>
      </w:r>
    </w:p>
    <w:p>
      <w:pPr>
        <w:pStyle w:val="BodyText"/>
        <w:spacing w:before="41"/>
        <w:rPr>
          <w:rFonts w:ascii="Arial"/>
          <w:b/>
          <w:sz w:val="18"/>
        </w:rPr>
      </w:pPr>
    </w:p>
    <w:p>
      <w:pPr>
        <w:pStyle w:val="Heading2"/>
        <w:spacing w:before="1"/>
      </w:pPr>
      <w:r>
        <w:rPr/>
        <w:t>2-</w:t>
      </w:r>
      <w:r>
        <w:rPr>
          <w:spacing w:val="-5"/>
        </w:rPr>
        <w:t>082</w:t>
      </w:r>
    </w:p>
    <w:p>
      <w:pPr>
        <w:pStyle w:val="BodyText"/>
        <w:spacing w:line="235" w:lineRule="auto" w:before="202"/>
        <w:ind w:left="165" w:right="167"/>
        <w:jc w:val="both"/>
      </w:pPr>
      <w:r>
        <w:rPr/>
        <w:t>An</w:t>
      </w:r>
      <w:r>
        <w:rPr>
          <w:spacing w:val="-1"/>
        </w:rPr>
        <w:t> </w:t>
      </w:r>
      <w:r>
        <w:rPr/>
        <w:t>offer</w:t>
      </w:r>
      <w:r>
        <w:rPr>
          <w:spacing w:val="-1"/>
        </w:rPr>
        <w:t> </w:t>
      </w:r>
      <w:r>
        <w:rPr/>
        <w:t>of</w:t>
      </w:r>
      <w:r>
        <w:rPr>
          <w:spacing w:val="-1"/>
        </w:rPr>
        <w:t> </w:t>
      </w:r>
      <w:r>
        <w:rPr/>
        <w:t>a</w:t>
      </w:r>
      <w:r>
        <w:rPr>
          <w:spacing w:val="-1"/>
        </w:rPr>
        <w:t> </w:t>
      </w:r>
      <w:r>
        <w:rPr/>
        <w:t>unilateral</w:t>
      </w:r>
      <w:r>
        <w:rPr>
          <w:spacing w:val="-1"/>
        </w:rPr>
        <w:t> </w:t>
      </w:r>
      <w:r>
        <w:rPr/>
        <w:t>contract</w:t>
      </w:r>
      <w:r>
        <w:rPr>
          <w:spacing w:val="-1"/>
        </w:rPr>
        <w:t> </w:t>
      </w:r>
      <w:r>
        <w:rPr/>
        <w:t>is</w:t>
      </w:r>
      <w:r>
        <w:rPr>
          <w:spacing w:val="-1"/>
        </w:rPr>
        <w:t> </w:t>
      </w:r>
      <w:r>
        <w:rPr/>
        <w:t>made</w:t>
      </w:r>
      <w:r>
        <w:rPr>
          <w:spacing w:val="-1"/>
        </w:rPr>
        <w:t> </w:t>
      </w:r>
      <w:r>
        <w:rPr/>
        <w:t>when</w:t>
      </w:r>
      <w:r>
        <w:rPr>
          <w:spacing w:val="-1"/>
        </w:rPr>
        <w:t> </w:t>
      </w:r>
      <w:r>
        <w:rPr/>
        <w:t>one</w:t>
      </w:r>
      <w:r>
        <w:rPr>
          <w:spacing w:val="-1"/>
        </w:rPr>
        <w:t> </w:t>
      </w:r>
      <w:r>
        <w:rPr/>
        <w:t>party</w:t>
      </w:r>
      <w:r>
        <w:rPr>
          <w:spacing w:val="-1"/>
        </w:rPr>
        <w:t> </w:t>
      </w:r>
      <w:r>
        <w:rPr/>
        <w:t>promises</w:t>
      </w:r>
      <w:r>
        <w:rPr>
          <w:spacing w:val="-1"/>
        </w:rPr>
        <w:t> </w:t>
      </w:r>
      <w:r>
        <w:rPr/>
        <w:t>to</w:t>
      </w:r>
      <w:r>
        <w:rPr>
          <w:spacing w:val="-1"/>
        </w:rPr>
        <w:t> </w:t>
      </w:r>
      <w:r>
        <w:rPr/>
        <w:t>pay</w:t>
      </w:r>
      <w:r>
        <w:rPr>
          <w:spacing w:val="-1"/>
        </w:rPr>
        <w:t> </w:t>
      </w:r>
      <w:r>
        <w:rPr/>
        <w:t>the</w:t>
      </w:r>
      <w:r>
        <w:rPr>
          <w:spacing w:val="-1"/>
        </w:rPr>
        <w:t> </w:t>
      </w:r>
      <w:r>
        <w:rPr/>
        <w:t>other</w:t>
      </w:r>
      <w:r>
        <w:rPr>
          <w:spacing w:val="-1"/>
        </w:rPr>
        <w:t> </w:t>
      </w:r>
      <w:r>
        <w:rPr/>
        <w:t>a</w:t>
      </w:r>
      <w:r>
        <w:rPr>
          <w:spacing w:val="-1"/>
        </w:rPr>
        <w:t> </w:t>
      </w:r>
      <w:r>
        <w:rPr/>
        <w:t>sum</w:t>
      </w:r>
      <w:r>
        <w:rPr>
          <w:spacing w:val="-1"/>
        </w:rPr>
        <w:t> </w:t>
      </w:r>
      <w:r>
        <w:rPr/>
        <w:t>of</w:t>
      </w:r>
      <w:r>
        <w:rPr>
          <w:spacing w:val="-1"/>
        </w:rPr>
        <w:t> </w:t>
      </w:r>
      <w:r>
        <w:rPr/>
        <w:t>money</w:t>
      </w:r>
      <w:r>
        <w:rPr>
          <w:spacing w:val="-1"/>
        </w:rPr>
        <w:t> </w:t>
      </w:r>
      <w:r>
        <w:rPr/>
        <w:t>(or to do some other act, or to forbear from doing something) if the other will do (or forbear from doing) </w:t>
      </w:r>
      <w:bookmarkStart w:name="_bookmark843" w:id="845"/>
      <w:bookmarkEnd w:id="845"/>
      <w:r>
        <w:rPr/>
        <w:t>something</w:t>
      </w:r>
      <w:r>
        <w:rPr/>
        <w:t> without making any promise to that effect: for example where A promises to pay B £100 if B will walk from London to York </w:t>
      </w:r>
      <w:r>
        <w:rPr>
          <w:color w:val="005DA1"/>
          <w:u w:val="single" w:color="005DA1"/>
          <w:vertAlign w:val="superscript"/>
        </w:rPr>
        <w:t>442</w:t>
      </w:r>
      <w:r>
        <w:rPr>
          <w:color w:val="005DA1"/>
          <w:vertAlign w:val="baseline"/>
        </w:rPr>
        <w:t> </w:t>
      </w:r>
      <w:r>
        <w:rPr>
          <w:vertAlign w:val="baseline"/>
        </w:rPr>
        <w:t>or find and return A’s lost dog or give up smoking for a year. </w:t>
      </w:r>
      <w:r>
        <w:rPr>
          <w:color w:val="005DA1"/>
          <w:u w:val="single" w:color="005DA1"/>
          <w:vertAlign w:val="superscript"/>
        </w:rPr>
        <w:t>443</w:t>
      </w:r>
      <w:r>
        <w:rPr>
          <w:color w:val="005DA1"/>
          <w:vertAlign w:val="baseline"/>
        </w:rPr>
        <w:t> </w:t>
      </w:r>
      <w:r>
        <w:rPr>
          <w:vertAlign w:val="baseline"/>
        </w:rPr>
        <w:t>The contract in these cases is called “unilateral” because it arises without B’s having made any counter-promise to perform the stipulated act or forbearance; it is contrasted with a bilateral contract </w:t>
      </w:r>
      <w:bookmarkStart w:name="_bookmark844" w:id="846"/>
      <w:bookmarkEnd w:id="846"/>
      <w:r>
        <w:rPr>
          <w:vertAlign w:val="baseline"/>
        </w:rPr>
        <w:t>under</w:t>
      </w:r>
      <w:r>
        <w:rPr>
          <w:vertAlign w:val="baseline"/>
        </w:rPr>
        <w:t> which each party undertakes an obligation. The distinction between the two types of contract is not always clear cut </w:t>
      </w:r>
      <w:r>
        <w:rPr>
          <w:color w:val="005DA1"/>
          <w:u w:val="single" w:color="005DA1"/>
          <w:vertAlign w:val="superscript"/>
        </w:rPr>
        <w:t>444</w:t>
      </w:r>
      <w:r>
        <w:rPr>
          <w:vertAlign w:val="baseline"/>
        </w:rPr>
        <w:t>; but once a promise is classified as an offer of a unilateral contract, a number </w:t>
      </w:r>
      <w:bookmarkStart w:name="_bookmark845" w:id="847"/>
      <w:bookmarkEnd w:id="847"/>
      <w:r>
        <w:rPr>
          <w:vertAlign w:val="baseline"/>
        </w:rPr>
        <w:t>of</w:t>
      </w:r>
      <w:r>
        <w:rPr>
          <w:vertAlign w:val="baseline"/>
        </w:rPr>
        <w:t> rules apply to the acceptance of such an offer. First, the offer can be accepted by fully performing </w:t>
      </w:r>
      <w:bookmarkStart w:name="_bookmark846" w:id="848"/>
      <w:bookmarkEnd w:id="848"/>
      <w:r>
        <w:rPr>
          <w:vertAlign w:val="baseline"/>
        </w:rPr>
        <w:t>the</w:t>
      </w:r>
      <w:r>
        <w:rPr>
          <w:vertAlign w:val="baseline"/>
        </w:rPr>
        <w:t> required act or forbearance. </w:t>
      </w:r>
      <w:r>
        <w:rPr>
          <w:color w:val="005DA1"/>
          <w:u w:val="single" w:color="005DA1"/>
          <w:vertAlign w:val="superscript"/>
        </w:rPr>
        <w:t>445</w:t>
      </w:r>
      <w:r>
        <w:rPr>
          <w:color w:val="005DA1"/>
          <w:vertAlign w:val="baseline"/>
        </w:rPr>
        <w:t> </w:t>
      </w:r>
      <w:r>
        <w:rPr>
          <w:vertAlign w:val="baseline"/>
        </w:rPr>
        <w:t>Secondly, there is no need to give advance notice of such acceptance to the offeror. </w:t>
      </w:r>
      <w:r>
        <w:rPr>
          <w:color w:val="005DA1"/>
          <w:u w:val="single" w:color="005DA1"/>
          <w:vertAlign w:val="superscript"/>
        </w:rPr>
        <w:t>446</w:t>
      </w:r>
      <w:r>
        <w:rPr>
          <w:color w:val="005DA1"/>
          <w:vertAlign w:val="baseline"/>
        </w:rPr>
        <w:t> </w:t>
      </w:r>
      <w:r>
        <w:rPr>
          <w:vertAlign w:val="baseline"/>
        </w:rPr>
        <w:t>Thirdly, the offer can be accepted </w:t>
      </w:r>
      <w:r>
        <w:rPr>
          <w:rFonts w:ascii="Arial" w:hAnsi="Arial"/>
          <w:i/>
          <w:vertAlign w:val="baseline"/>
        </w:rPr>
        <w:t>only </w:t>
      </w:r>
      <w:r>
        <w:rPr>
          <w:vertAlign w:val="baseline"/>
        </w:rPr>
        <w:t>by performance and not by a </w:t>
      </w:r>
      <w:bookmarkStart w:name="_bookmark847" w:id="849"/>
      <w:bookmarkEnd w:id="849"/>
      <w:r>
        <w:rPr>
          <w:vertAlign w:val="baseline"/>
        </w:rPr>
        <w:t>counter</w:t>
      </w:r>
      <w:r>
        <w:rPr>
          <w:vertAlign w:val="baseline"/>
        </w:rPr>
        <w:t>-promise, since such a counter-promise would not be what the promisor had bargained for. And fourthly, the offer can, like all offers, be withdrawn before it is accepted. </w:t>
      </w:r>
      <w:r>
        <w:rPr>
          <w:color w:val="005DA1"/>
          <w:u w:val="single" w:color="005DA1"/>
          <w:vertAlign w:val="superscript"/>
        </w:rPr>
        <w:t>447</w:t>
      </w:r>
      <w:r>
        <w:rPr>
          <w:color w:val="005DA1"/>
          <w:vertAlign w:val="baseline"/>
        </w:rPr>
        <w:t> </w:t>
      </w:r>
      <w:r>
        <w:rPr>
          <w:vertAlign w:val="baseline"/>
        </w:rPr>
        <w:t>It is the application of this</w:t>
      </w:r>
      <w:r>
        <w:rPr>
          <w:spacing w:val="-2"/>
          <w:vertAlign w:val="baseline"/>
        </w:rPr>
        <w:t> </w:t>
      </w:r>
      <w:r>
        <w:rPr>
          <w:vertAlign w:val="baseline"/>
        </w:rPr>
        <w:t>fourth</w:t>
      </w:r>
      <w:r>
        <w:rPr>
          <w:spacing w:val="-2"/>
          <w:vertAlign w:val="baseline"/>
        </w:rPr>
        <w:t> </w:t>
      </w:r>
      <w:r>
        <w:rPr>
          <w:vertAlign w:val="baseline"/>
        </w:rPr>
        <w:t>rule</w:t>
      </w:r>
      <w:r>
        <w:rPr>
          <w:spacing w:val="-2"/>
          <w:vertAlign w:val="baseline"/>
        </w:rPr>
        <w:t> </w:t>
      </w:r>
      <w:r>
        <w:rPr>
          <w:vertAlign w:val="baseline"/>
        </w:rPr>
        <w:t>which</w:t>
      </w:r>
      <w:r>
        <w:rPr>
          <w:spacing w:val="-2"/>
          <w:vertAlign w:val="baseline"/>
        </w:rPr>
        <w:t> </w:t>
      </w:r>
      <w:r>
        <w:rPr>
          <w:vertAlign w:val="baseline"/>
        </w:rPr>
        <w:t>gives</w:t>
      </w:r>
      <w:r>
        <w:rPr>
          <w:spacing w:val="-2"/>
          <w:vertAlign w:val="baseline"/>
        </w:rPr>
        <w:t> </w:t>
      </w:r>
      <w:r>
        <w:rPr>
          <w:vertAlign w:val="baseline"/>
        </w:rPr>
        <w:t>rise</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greatest</w:t>
      </w:r>
      <w:r>
        <w:rPr>
          <w:spacing w:val="-2"/>
          <w:vertAlign w:val="baseline"/>
        </w:rPr>
        <w:t> </w:t>
      </w:r>
      <w:r>
        <w:rPr>
          <w:vertAlign w:val="baseline"/>
        </w:rPr>
        <w:t>difficulty,</w:t>
      </w:r>
      <w:r>
        <w:rPr>
          <w:spacing w:val="-2"/>
          <w:vertAlign w:val="baseline"/>
        </w:rPr>
        <w:t> </w:t>
      </w:r>
      <w:r>
        <w:rPr>
          <w:vertAlign w:val="baseline"/>
        </w:rPr>
        <w:t>for</w:t>
      </w:r>
      <w:r>
        <w:rPr>
          <w:spacing w:val="-2"/>
          <w:vertAlign w:val="baseline"/>
        </w:rPr>
        <w:t> </w:t>
      </w:r>
      <w:r>
        <w:rPr>
          <w:vertAlign w:val="baseline"/>
        </w:rPr>
        <w:t>it</w:t>
      </w:r>
      <w:r>
        <w:rPr>
          <w:spacing w:val="-2"/>
          <w:vertAlign w:val="baseline"/>
        </w:rPr>
        <w:t> </w:t>
      </w:r>
      <w:r>
        <w:rPr>
          <w:vertAlign w:val="baseline"/>
        </w:rPr>
        <w:t>raises</w:t>
      </w:r>
      <w:r>
        <w:rPr>
          <w:spacing w:val="-2"/>
          <w:vertAlign w:val="baseline"/>
        </w:rPr>
        <w:t> </w:t>
      </w:r>
      <w:r>
        <w:rPr>
          <w:vertAlign w:val="baseline"/>
        </w:rPr>
        <w:t>the</w:t>
      </w:r>
      <w:r>
        <w:rPr>
          <w:spacing w:val="-2"/>
          <w:vertAlign w:val="baseline"/>
        </w:rPr>
        <w:t> </w:t>
      </w:r>
      <w:r>
        <w:rPr>
          <w:vertAlign w:val="baseline"/>
        </w:rPr>
        <w:t>issue</w:t>
      </w:r>
      <w:r>
        <w:rPr>
          <w:spacing w:val="-2"/>
          <w:vertAlign w:val="baseline"/>
        </w:rPr>
        <w:t> </w:t>
      </w:r>
      <w:r>
        <w:rPr>
          <w:vertAlign w:val="baseline"/>
        </w:rPr>
        <w:t>of</w:t>
      </w:r>
      <w:r>
        <w:rPr>
          <w:spacing w:val="-2"/>
          <w:vertAlign w:val="baseline"/>
        </w:rPr>
        <w:t> </w:t>
      </w:r>
      <w:r>
        <w:rPr>
          <w:vertAlign w:val="baseline"/>
        </w:rPr>
        <w:t>fairness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offeree who has embarked on, but not completed, performance when the offeror attempts to withdraw his </w:t>
      </w:r>
      <w:r>
        <w:rPr>
          <w:spacing w:val="-2"/>
          <w:vertAlign w:val="baseline"/>
        </w:rPr>
        <w:t>offer.</w:t>
      </w:r>
    </w:p>
    <w:p>
      <w:pPr>
        <w:pStyle w:val="BodyText"/>
      </w:pPr>
    </w:p>
    <w:p>
      <w:pPr>
        <w:pStyle w:val="BodyText"/>
        <w:spacing w:before="32"/>
      </w:pPr>
    </w:p>
    <w:p>
      <w:pPr>
        <w:spacing w:before="1"/>
        <w:ind w:left="165" w:right="0" w:firstLine="0"/>
        <w:jc w:val="left"/>
        <w:rPr>
          <w:rFonts w:ascii="Arial"/>
          <w:b/>
          <w:sz w:val="18"/>
        </w:rPr>
      </w:pPr>
      <w:r>
        <w:rPr>
          <w:rFonts w:ascii="Arial"/>
          <w:b/>
          <w:sz w:val="18"/>
        </w:rPr>
        <w:t>Acceptance by part </w:t>
      </w:r>
      <w:r>
        <w:rPr>
          <w:rFonts w:ascii="Arial"/>
          <w:b/>
          <w:spacing w:val="-2"/>
          <w:sz w:val="18"/>
        </w:rPr>
        <w:t>performance</w:t>
      </w:r>
    </w:p>
    <w:p>
      <w:pPr>
        <w:pStyle w:val="BodyText"/>
        <w:spacing w:before="41"/>
        <w:rPr>
          <w:rFonts w:ascii="Arial"/>
          <w:b/>
          <w:sz w:val="18"/>
        </w:rPr>
      </w:pPr>
    </w:p>
    <w:p>
      <w:pPr>
        <w:pStyle w:val="Heading2"/>
      </w:pPr>
      <w:r>
        <w:rPr/>
        <w:t>2-</w:t>
      </w:r>
      <w:r>
        <w:rPr>
          <w:spacing w:val="-5"/>
        </w:rPr>
        <w:t>083</w:t>
      </w:r>
    </w:p>
    <w:p>
      <w:pPr>
        <w:pStyle w:val="BodyText"/>
        <w:spacing w:line="235" w:lineRule="auto" w:before="203"/>
        <w:ind w:left="165" w:right="167"/>
        <w:jc w:val="both"/>
      </w:pPr>
      <w:r>
        <w:rPr/>
        <w:t>It is disputed whether an offer of a unilateral contract can be withdrawn after the offeree has </w:t>
      </w:r>
      <w:r>
        <w:rPr>
          <w:rFonts w:ascii="Arial" w:hAnsi="Arial"/>
          <w:i/>
        </w:rPr>
        <w:t>partly </w:t>
      </w:r>
      <w:r>
        <w:rPr/>
        <w:t>performed the stipulated act or forbearance. The first question (to be discussed here) is whether at </w:t>
      </w:r>
      <w:bookmarkStart w:name="_bookmark848" w:id="850"/>
      <w:bookmarkEnd w:id="850"/>
      <w:r>
        <w:rPr/>
        <w:t>this</w:t>
      </w:r>
      <w:r>
        <w:rPr/>
        <w:t> stage the offeree has accepted the offer; the second (to be discussed in Ch.3) is whether (before full performance) he has provided any consideration for the offeror’s promise. </w:t>
      </w:r>
      <w:r>
        <w:rPr>
          <w:color w:val="005DA1"/>
          <w:u w:val="single" w:color="005DA1"/>
          <w:vertAlign w:val="superscript"/>
        </w:rPr>
        <w:t>448</w:t>
      </w:r>
      <w:r>
        <w:rPr>
          <w:color w:val="005DA1"/>
          <w:vertAlign w:val="baseline"/>
        </w:rPr>
        <w:t> </w:t>
      </w:r>
      <w:r>
        <w:rPr>
          <w:vertAlign w:val="baseline"/>
        </w:rPr>
        <w:t>With regard to </w:t>
      </w:r>
      <w:r>
        <w:rPr>
          <w:vertAlign w:val="baseline"/>
        </w:rPr>
        <w:t>the first question, one possible view is that there is no acceptance until the stipulated act or forbearance has been completely performed. This may, indeed, be the position where the offeror clearly intends to have a locus poenitentiae until then, and the offeror commences performance on that understanding. </w:t>
      </w:r>
      <w:bookmarkStart w:name="_bookmark849" w:id="851"/>
      <w:bookmarkEnd w:id="851"/>
      <w:r>
        <w:rPr>
          <w:vertAlign w:val="baseline"/>
        </w:rPr>
        <w:t>But</w:t>
      </w:r>
      <w:r>
        <w:rPr>
          <w:vertAlign w:val="baseline"/>
        </w:rPr>
        <w:t> in most cases the offeree will not intend to expose himself to the risk of withdrawal when he has partly performed, </w:t>
      </w:r>
      <w:r>
        <w:rPr>
          <w:color w:val="005DA1"/>
          <w:u w:val="single" w:color="005DA1"/>
          <w:vertAlign w:val="superscript"/>
        </w:rPr>
        <w:t>449</w:t>
      </w:r>
      <w:r>
        <w:rPr>
          <w:color w:val="005DA1"/>
          <w:vertAlign w:val="baseline"/>
        </w:rPr>
        <w:t> </w:t>
      </w:r>
      <w:r>
        <w:rPr>
          <w:vertAlign w:val="baseline"/>
        </w:rPr>
        <w:t>intends to complete performance and is able to do so. </w:t>
      </w:r>
      <w:r>
        <w:rPr>
          <w:color w:val="005DA1"/>
          <w:u w:val="single" w:color="005DA1"/>
          <w:vertAlign w:val="superscript"/>
        </w:rPr>
        <w:t>450</w:t>
      </w:r>
      <w:r>
        <w:rPr>
          <w:color w:val="005DA1"/>
          <w:vertAlign w:val="baseline"/>
        </w:rPr>
        <w:t> </w:t>
      </w:r>
      <w:r>
        <w:rPr>
          <w:vertAlign w:val="baseline"/>
        </w:rPr>
        <w:t>In such cases, the offeree’s position can be protected in two ways. The first is by distinguishing between two stages: (1) </w:t>
      </w:r>
      <w:bookmarkStart w:name="_bookmark850" w:id="852"/>
      <w:bookmarkEnd w:id="852"/>
      <w:r>
        <w:rPr>
          <w:vertAlign w:val="baseline"/>
        </w:rPr>
        <w:t>that</w:t>
      </w:r>
      <w:r>
        <w:rPr>
          <w:vertAlign w:val="baseline"/>
        </w:rPr>
        <w:t> at which the offer is accepted and (2) that at which the offeree has satisfied the conditions which </w:t>
      </w:r>
      <w:bookmarkStart w:name="_bookmark851" w:id="853"/>
      <w:bookmarkEnd w:id="853"/>
      <w:r>
        <w:rPr>
          <w:vertAlign w:val="baseline"/>
        </w:rPr>
        <w:t>must</w:t>
      </w:r>
      <w:r>
        <w:rPr>
          <w:vertAlign w:val="baseline"/>
        </w:rPr>
        <w:t> be satisfied before he can enforce the offeror’s promise. </w:t>
      </w:r>
      <w:r>
        <w:rPr>
          <w:color w:val="005DA1"/>
          <w:u w:val="single" w:color="005DA1"/>
          <w:vertAlign w:val="superscript"/>
        </w:rPr>
        <w:t>451</w:t>
      </w:r>
      <w:r>
        <w:rPr>
          <w:color w:val="005DA1"/>
          <w:vertAlign w:val="baseline"/>
        </w:rPr>
        <w:t> </w:t>
      </w:r>
      <w:r>
        <w:rPr>
          <w:vertAlign w:val="baseline"/>
        </w:rPr>
        <w:t>Where the contract is unilateral, the second</w:t>
      </w:r>
      <w:r>
        <w:rPr>
          <w:spacing w:val="-3"/>
          <w:vertAlign w:val="baseline"/>
        </w:rPr>
        <w:t> </w:t>
      </w:r>
      <w:r>
        <w:rPr>
          <w:vertAlign w:val="baseline"/>
        </w:rPr>
        <w:t>stage</w:t>
      </w:r>
      <w:r>
        <w:rPr>
          <w:spacing w:val="-3"/>
          <w:vertAlign w:val="baseline"/>
        </w:rPr>
        <w:t> </w:t>
      </w:r>
      <w:r>
        <w:rPr>
          <w:vertAlign w:val="baseline"/>
        </w:rPr>
        <w:t>is</w:t>
      </w:r>
      <w:r>
        <w:rPr>
          <w:spacing w:val="-3"/>
          <w:vertAlign w:val="baseline"/>
        </w:rPr>
        <w:t> </w:t>
      </w:r>
      <w:r>
        <w:rPr>
          <w:vertAlign w:val="baseline"/>
        </w:rPr>
        <w:t>not</w:t>
      </w:r>
      <w:r>
        <w:rPr>
          <w:spacing w:val="-3"/>
          <w:vertAlign w:val="baseline"/>
        </w:rPr>
        <w:t> </w:t>
      </w:r>
      <w:r>
        <w:rPr>
          <w:vertAlign w:val="baseline"/>
        </w:rPr>
        <w:t>reached</w:t>
      </w:r>
      <w:r>
        <w:rPr>
          <w:spacing w:val="-3"/>
          <w:vertAlign w:val="baseline"/>
        </w:rPr>
        <w:t> </w:t>
      </w:r>
      <w:r>
        <w:rPr>
          <w:vertAlign w:val="baseline"/>
        </w:rPr>
        <w:t>until</w:t>
      </w:r>
      <w:r>
        <w:rPr>
          <w:spacing w:val="-3"/>
          <w:vertAlign w:val="baseline"/>
        </w:rPr>
        <w:t> </w:t>
      </w:r>
      <w:r>
        <w:rPr>
          <w:vertAlign w:val="baseline"/>
        </w:rPr>
        <w:t>performance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stipulated</w:t>
      </w:r>
      <w:r>
        <w:rPr>
          <w:spacing w:val="-3"/>
          <w:vertAlign w:val="baseline"/>
        </w:rPr>
        <w:t> </w:t>
      </w:r>
      <w:r>
        <w:rPr>
          <w:vertAlign w:val="baseline"/>
        </w:rPr>
        <w:t>act</w:t>
      </w:r>
      <w:r>
        <w:rPr>
          <w:spacing w:val="-3"/>
          <w:vertAlign w:val="baseline"/>
        </w:rPr>
        <w:t> </w:t>
      </w:r>
      <w:r>
        <w:rPr>
          <w:vertAlign w:val="baseline"/>
        </w:rPr>
        <w:t>has</w:t>
      </w:r>
      <w:r>
        <w:rPr>
          <w:spacing w:val="-3"/>
          <w:vertAlign w:val="baseline"/>
        </w:rPr>
        <w:t> </w:t>
      </w:r>
      <w:r>
        <w:rPr>
          <w:vertAlign w:val="baseline"/>
        </w:rPr>
        <w:t>been</w:t>
      </w:r>
      <w:r>
        <w:rPr>
          <w:spacing w:val="-3"/>
          <w:vertAlign w:val="baseline"/>
        </w:rPr>
        <w:t> </w:t>
      </w:r>
      <w:r>
        <w:rPr>
          <w:vertAlign w:val="baseline"/>
        </w:rPr>
        <w:t>completed.</w:t>
      </w:r>
      <w:r>
        <w:rPr>
          <w:spacing w:val="-4"/>
          <w:vertAlign w:val="baseline"/>
        </w:rPr>
        <w:t> </w:t>
      </w:r>
      <w:r>
        <w:rPr>
          <w:color w:val="005DA1"/>
          <w:u w:val="single" w:color="005DA1"/>
          <w:vertAlign w:val="superscript"/>
        </w:rPr>
        <w:t>452</w:t>
      </w:r>
      <w:r>
        <w:rPr>
          <w:color w:val="005DA1"/>
          <w:spacing w:val="-3"/>
          <w:vertAlign w:val="baseline"/>
        </w:rPr>
        <w:t> </w:t>
      </w:r>
      <w:r>
        <w:rPr>
          <w:vertAlign w:val="baseline"/>
        </w:rPr>
        <w:t>But</w:t>
      </w:r>
      <w:r>
        <w:rPr>
          <w:spacing w:val="-3"/>
          <w:vertAlign w:val="baseline"/>
        </w:rPr>
        <w:t> </w:t>
      </w:r>
      <w:r>
        <w:rPr>
          <w:vertAlign w:val="baseline"/>
        </w:rPr>
        <w:t>it</w:t>
      </w:r>
      <w:r>
        <w:rPr>
          <w:spacing w:val="-3"/>
          <w:vertAlign w:val="baseline"/>
        </w:rPr>
        <w:t> </w:t>
      </w:r>
      <w:r>
        <w:rPr>
          <w:vertAlign w:val="baseline"/>
        </w:rPr>
        <w:t>may be that the first stage (of acceptance) can be reached as soon as the offeree has unequivocally</w:t>
      </w:r>
      <w:r>
        <w:rPr>
          <w:spacing w:val="40"/>
          <w:vertAlign w:val="baseline"/>
        </w:rPr>
        <w:t> </w:t>
      </w:r>
      <w:r>
        <w:rPr>
          <w:vertAlign w:val="baseline"/>
        </w:rPr>
        <w:t>begun performance of the stipulated act or abstention. If so, the part performance can amount to an acceptance so that the offer can no longer be withdrawn. Of course it may be difficult in fact to tell when</w:t>
      </w:r>
      <w:r>
        <w:rPr>
          <w:spacing w:val="37"/>
          <w:vertAlign w:val="baseline"/>
        </w:rPr>
        <w:t> </w:t>
      </w:r>
      <w:r>
        <w:rPr>
          <w:vertAlign w:val="baseline"/>
        </w:rPr>
        <w:t>performance</w:t>
      </w:r>
      <w:r>
        <w:rPr>
          <w:spacing w:val="37"/>
          <w:vertAlign w:val="baseline"/>
        </w:rPr>
        <w:t> </w:t>
      </w:r>
      <w:r>
        <w:rPr>
          <w:vertAlign w:val="baseline"/>
        </w:rPr>
        <w:t>has</w:t>
      </w:r>
      <w:r>
        <w:rPr>
          <w:spacing w:val="37"/>
          <w:vertAlign w:val="baseline"/>
        </w:rPr>
        <w:t> </w:t>
      </w:r>
      <w:r>
        <w:rPr>
          <w:vertAlign w:val="baseline"/>
        </w:rPr>
        <w:t>begun,</w:t>
      </w:r>
      <w:r>
        <w:rPr>
          <w:spacing w:val="37"/>
          <w:vertAlign w:val="baseline"/>
        </w:rPr>
        <w:t> </w:t>
      </w:r>
      <w:r>
        <w:rPr>
          <w:vertAlign w:val="baseline"/>
        </w:rPr>
        <w:t>particularly</w:t>
      </w:r>
      <w:r>
        <w:rPr>
          <w:spacing w:val="37"/>
          <w:vertAlign w:val="baseline"/>
        </w:rPr>
        <w:t> </w:t>
      </w:r>
      <w:r>
        <w:rPr>
          <w:vertAlign w:val="baseline"/>
        </w:rPr>
        <w:t>where</w:t>
      </w:r>
      <w:r>
        <w:rPr>
          <w:spacing w:val="37"/>
          <w:vertAlign w:val="baseline"/>
        </w:rPr>
        <w:t> </w:t>
      </w:r>
      <w:r>
        <w:rPr>
          <w:vertAlign w:val="baseline"/>
        </w:rPr>
        <w:t>the</w:t>
      </w:r>
      <w:r>
        <w:rPr>
          <w:spacing w:val="37"/>
          <w:vertAlign w:val="baseline"/>
        </w:rPr>
        <w:t> </w:t>
      </w:r>
      <w:r>
        <w:rPr>
          <w:vertAlign w:val="baseline"/>
        </w:rPr>
        <w:t>offer</w:t>
      </w:r>
      <w:r>
        <w:rPr>
          <w:spacing w:val="37"/>
          <w:vertAlign w:val="baseline"/>
        </w:rPr>
        <w:t> </w:t>
      </w:r>
      <w:r>
        <w:rPr>
          <w:vertAlign w:val="baseline"/>
        </w:rPr>
        <w:t>amounts</w:t>
      </w:r>
      <w:r>
        <w:rPr>
          <w:spacing w:val="37"/>
          <w:vertAlign w:val="baseline"/>
        </w:rPr>
        <w:t> </w:t>
      </w:r>
      <w:r>
        <w:rPr>
          <w:vertAlign w:val="baseline"/>
        </w:rPr>
        <w:t>to</w:t>
      </w:r>
      <w:r>
        <w:rPr>
          <w:spacing w:val="37"/>
          <w:vertAlign w:val="baseline"/>
        </w:rPr>
        <w:t> </w:t>
      </w:r>
      <w:r>
        <w:rPr>
          <w:vertAlign w:val="baseline"/>
        </w:rPr>
        <w:t>a</w:t>
      </w:r>
      <w:r>
        <w:rPr>
          <w:spacing w:val="37"/>
          <w:vertAlign w:val="baseline"/>
        </w:rPr>
        <w:t> </w:t>
      </w:r>
      <w:r>
        <w:rPr>
          <w:vertAlign w:val="baseline"/>
        </w:rPr>
        <w:t>promise</w:t>
      </w:r>
      <w:r>
        <w:rPr>
          <w:spacing w:val="37"/>
          <w:vertAlign w:val="baseline"/>
        </w:rPr>
        <w:t> </w:t>
      </w:r>
      <w:r>
        <w:rPr>
          <w:vertAlign w:val="baseline"/>
        </w:rPr>
        <w:t>in</w:t>
      </w:r>
      <w:r>
        <w:rPr>
          <w:spacing w:val="37"/>
          <w:vertAlign w:val="baseline"/>
        </w:rPr>
        <w:t> </w:t>
      </w:r>
      <w:r>
        <w:rPr>
          <w:vertAlign w:val="baseline"/>
        </w:rPr>
        <w:t>return</w:t>
      </w:r>
      <w:r>
        <w:rPr>
          <w:spacing w:val="37"/>
          <w:vertAlign w:val="baseline"/>
        </w:rPr>
        <w:t> </w:t>
      </w:r>
      <w:r>
        <w:rPr>
          <w:vertAlign w:val="baseline"/>
        </w:rPr>
        <w:t>for</w:t>
      </w:r>
      <w:r>
        <w:rPr>
          <w:spacing w:val="37"/>
          <w:vertAlign w:val="baseline"/>
        </w:rPr>
        <w:t> </w:t>
      </w:r>
      <w:r>
        <w:rPr>
          <w:spacing w:val="-5"/>
          <w:vertAlign w:val="baseline"/>
        </w:rPr>
        <w:t>an</w:t>
      </w:r>
    </w:p>
    <w:p>
      <w:pPr>
        <w:pStyle w:val="BodyText"/>
        <w:spacing w:after="0" w:line="235" w:lineRule="auto"/>
        <w:jc w:val="both"/>
        <w:sectPr>
          <w:headerReference w:type="default" r:id="rId15"/>
          <w:pgSz w:w="11900" w:h="16840"/>
          <w:pgMar w:header="971" w:footer="0" w:top="1300" w:bottom="280" w:left="1275" w:right="1275"/>
          <w:pgNumType w:start="1"/>
        </w:sectPr>
      </w:pPr>
    </w:p>
    <w:p>
      <w:pPr>
        <w:pStyle w:val="BodyText"/>
        <w:spacing w:line="235" w:lineRule="auto" w:before="110"/>
        <w:ind w:left="164" w:right="167"/>
        <w:jc w:val="both"/>
      </w:pPr>
      <w:bookmarkStart w:name="_bookmark852" w:id="854"/>
      <w:bookmarkEnd w:id="854"/>
      <w:r>
        <w:rPr/>
      </w:r>
      <w:r>
        <w:rPr/>
        <w:t>abstention. But once the conduct of the offeree has gone beyond mere preparation to perform, </w:t>
      </w:r>
      <w:r>
        <w:rPr/>
        <w:t>and </w:t>
      </w:r>
      <w:bookmarkStart w:name="_bookmark853" w:id="855"/>
      <w:bookmarkEnd w:id="855"/>
      <w:r>
        <w:rPr/>
        <w:t>amounts</w:t>
      </w:r>
      <w:r>
        <w:rPr>
          <w:spacing w:val="-3"/>
        </w:rPr>
        <w:t> </w:t>
      </w:r>
      <w:r>
        <w:rPr/>
        <w:t>to</w:t>
      </w:r>
      <w:r>
        <w:rPr>
          <w:spacing w:val="-3"/>
        </w:rPr>
        <w:t> </w:t>
      </w:r>
      <w:r>
        <w:rPr/>
        <w:t>actual</w:t>
      </w:r>
      <w:r>
        <w:rPr>
          <w:spacing w:val="-3"/>
        </w:rPr>
        <w:t> </w:t>
      </w:r>
      <w:r>
        <w:rPr/>
        <w:t>part</w:t>
      </w:r>
      <w:r>
        <w:rPr>
          <w:spacing w:val="-3"/>
        </w:rPr>
        <w:t> </w:t>
      </w:r>
      <w:r>
        <w:rPr/>
        <w:t>performance,</w:t>
      </w:r>
      <w:r>
        <w:rPr>
          <w:spacing w:val="-3"/>
        </w:rPr>
        <w:t> </w:t>
      </w:r>
      <w:r>
        <w:rPr/>
        <w:t>then</w:t>
      </w:r>
      <w:r>
        <w:rPr>
          <w:spacing w:val="-3"/>
        </w:rPr>
        <w:t> </w:t>
      </w:r>
      <w:r>
        <w:rPr/>
        <w:t>it</w:t>
      </w:r>
      <w:r>
        <w:rPr>
          <w:spacing w:val="-3"/>
        </w:rPr>
        <w:t> </w:t>
      </w:r>
      <w:r>
        <w:rPr/>
        <w:t>can</w:t>
      </w:r>
      <w:r>
        <w:rPr>
          <w:spacing w:val="-3"/>
        </w:rPr>
        <w:t> </w:t>
      </w:r>
      <w:r>
        <w:rPr/>
        <w:t>amount</w:t>
      </w:r>
      <w:r>
        <w:rPr>
          <w:spacing w:val="-3"/>
        </w:rPr>
        <w:t> </w:t>
      </w:r>
      <w:r>
        <w:rPr/>
        <w:t>to</w:t>
      </w:r>
      <w:r>
        <w:rPr>
          <w:spacing w:val="-3"/>
        </w:rPr>
        <w:t> </w:t>
      </w:r>
      <w:r>
        <w:rPr/>
        <w:t>an</w:t>
      </w:r>
      <w:r>
        <w:rPr>
          <w:spacing w:val="-3"/>
        </w:rPr>
        <w:t> </w:t>
      </w:r>
      <w:r>
        <w:rPr/>
        <w:t>acceptance,</w:t>
      </w:r>
      <w:r>
        <w:rPr>
          <w:spacing w:val="-3"/>
        </w:rPr>
        <w:t> </w:t>
      </w:r>
      <w:r>
        <w:rPr/>
        <w:t>so</w:t>
      </w:r>
      <w:r>
        <w:rPr>
          <w:spacing w:val="-3"/>
        </w:rPr>
        <w:t> </w:t>
      </w:r>
      <w:r>
        <w:rPr/>
        <w:t>that</w:t>
      </w:r>
      <w:r>
        <w:rPr>
          <w:spacing w:val="-3"/>
        </w:rPr>
        <w:t> </w:t>
      </w:r>
      <w:r>
        <w:rPr/>
        <w:t>as</w:t>
      </w:r>
      <w:r>
        <w:rPr>
          <w:spacing w:val="-3"/>
        </w:rPr>
        <w:t> </w:t>
      </w:r>
      <w:r>
        <w:rPr/>
        <w:t>a</w:t>
      </w:r>
      <w:r>
        <w:rPr>
          <w:spacing w:val="-3"/>
        </w:rPr>
        <w:t> </w:t>
      </w:r>
      <w:r>
        <w:rPr/>
        <w:t>general</w:t>
      </w:r>
      <w:r>
        <w:rPr>
          <w:spacing w:val="-3"/>
        </w:rPr>
        <w:t> </w:t>
      </w:r>
      <w:r>
        <w:rPr/>
        <w:t>rule</w:t>
      </w:r>
      <w:r>
        <w:rPr>
          <w:spacing w:val="-4"/>
        </w:rPr>
        <w:t> </w:t>
      </w:r>
      <w:r>
        <w:rPr>
          <w:color w:val="005DA1"/>
          <w:u w:val="single" w:color="005DA1"/>
          <w:vertAlign w:val="superscript"/>
        </w:rPr>
        <w:t>453</w:t>
      </w:r>
      <w:r>
        <w:rPr>
          <w:color w:val="005DA1"/>
          <w:vertAlign w:val="baseline"/>
        </w:rPr>
        <w:t> </w:t>
      </w:r>
      <w:r>
        <w:rPr>
          <w:vertAlign w:val="baseline"/>
        </w:rPr>
        <w:t>the offer can no longer be withdrawn. </w:t>
      </w:r>
      <w:r>
        <w:rPr>
          <w:color w:val="005DA1"/>
          <w:u w:val="single" w:color="005DA1"/>
          <w:vertAlign w:val="superscript"/>
        </w:rPr>
        <w:t>454</w:t>
      </w:r>
    </w:p>
    <w:p>
      <w:pPr>
        <w:pStyle w:val="BodyText"/>
        <w:spacing w:before="80"/>
      </w:pPr>
    </w:p>
    <w:p>
      <w:pPr>
        <w:pStyle w:val="Heading2"/>
        <w:spacing w:before="1"/>
      </w:pPr>
      <w:r>
        <w:rPr/>
        <w:t>2-</w:t>
      </w:r>
      <w:r>
        <w:rPr>
          <w:spacing w:val="-5"/>
        </w:rPr>
        <w:t>084</w:t>
      </w:r>
    </w:p>
    <w:p>
      <w:pPr>
        <w:pStyle w:val="BodyText"/>
        <w:spacing w:line="235" w:lineRule="auto" w:before="202"/>
        <w:ind w:left="165" w:right="167"/>
        <w:jc w:val="both"/>
      </w:pPr>
      <w:bookmarkStart w:name="_bookmark854" w:id="856"/>
      <w:bookmarkEnd w:id="856"/>
      <w:r>
        <w:rPr/>
      </w:r>
      <w:r>
        <w:rPr/>
        <w:t>Support</w:t>
      </w:r>
      <w:r>
        <w:rPr>
          <w:spacing w:val="-2"/>
        </w:rPr>
        <w:t> </w:t>
      </w:r>
      <w:r>
        <w:rPr/>
        <w:t>for</w:t>
      </w:r>
      <w:r>
        <w:rPr>
          <w:spacing w:val="-2"/>
        </w:rPr>
        <w:t> </w:t>
      </w:r>
      <w:r>
        <w:rPr/>
        <w:t>this</w:t>
      </w:r>
      <w:r>
        <w:rPr>
          <w:spacing w:val="-2"/>
        </w:rPr>
        <w:t> </w:t>
      </w:r>
      <w:r>
        <w:rPr/>
        <w:t>view</w:t>
      </w:r>
      <w:r>
        <w:rPr>
          <w:spacing w:val="-2"/>
        </w:rPr>
        <w:t> </w:t>
      </w:r>
      <w:r>
        <w:rPr/>
        <w:t>is</w:t>
      </w:r>
      <w:r>
        <w:rPr>
          <w:spacing w:val="-2"/>
        </w:rPr>
        <w:t> </w:t>
      </w:r>
      <w:r>
        <w:rPr/>
        <w:t>to</w:t>
      </w:r>
      <w:r>
        <w:rPr>
          <w:spacing w:val="-2"/>
        </w:rPr>
        <w:t> </w:t>
      </w:r>
      <w:r>
        <w:rPr/>
        <w:t>be</w:t>
      </w:r>
      <w:r>
        <w:rPr>
          <w:spacing w:val="-2"/>
        </w:rPr>
        <w:t> </w:t>
      </w:r>
      <w:r>
        <w:rPr/>
        <w:t>found</w:t>
      </w:r>
      <w:r>
        <w:rPr>
          <w:spacing w:val="-2"/>
        </w:rPr>
        <w:t> </w:t>
      </w:r>
      <w:r>
        <w:rPr/>
        <w:t>in</w:t>
      </w:r>
      <w:r>
        <w:rPr>
          <w:spacing w:val="-3"/>
        </w:rPr>
        <w:t> </w:t>
      </w:r>
      <w:r>
        <w:rPr>
          <w:rFonts w:ascii="Arial" w:hAnsi="Arial"/>
          <w:i/>
        </w:rPr>
        <w:t>Errington</w:t>
      </w:r>
      <w:r>
        <w:rPr>
          <w:rFonts w:ascii="Arial" w:hAnsi="Arial"/>
          <w:i/>
          <w:spacing w:val="-2"/>
        </w:rPr>
        <w:t> </w:t>
      </w:r>
      <w:r>
        <w:rPr>
          <w:rFonts w:ascii="Arial" w:hAnsi="Arial"/>
          <w:i/>
        </w:rPr>
        <w:t>v</w:t>
      </w:r>
      <w:r>
        <w:rPr>
          <w:rFonts w:ascii="Arial" w:hAnsi="Arial"/>
          <w:i/>
          <w:spacing w:val="-2"/>
        </w:rPr>
        <w:t> </w:t>
      </w:r>
      <w:r>
        <w:rPr>
          <w:rFonts w:ascii="Arial" w:hAnsi="Arial"/>
          <w:i/>
        </w:rPr>
        <w:t>Errington</w:t>
      </w:r>
      <w:r>
        <w:rPr/>
        <w:t>,</w:t>
      </w:r>
      <w:r>
        <w:rPr>
          <w:spacing w:val="-2"/>
        </w:rPr>
        <w:t> </w:t>
      </w:r>
      <w:r>
        <w:rPr>
          <w:color w:val="005DA1"/>
          <w:u w:val="single" w:color="005DA1"/>
          <w:vertAlign w:val="superscript"/>
        </w:rPr>
        <w:t>455</w:t>
      </w:r>
      <w:r>
        <w:rPr>
          <w:color w:val="005DA1"/>
          <w:spacing w:val="-2"/>
          <w:vertAlign w:val="baseline"/>
        </w:rPr>
        <w:t> </w:t>
      </w:r>
      <w:r>
        <w:rPr>
          <w:vertAlign w:val="baseline"/>
        </w:rPr>
        <w:t>where</w:t>
      </w:r>
      <w:r>
        <w:rPr>
          <w:spacing w:val="-2"/>
          <w:vertAlign w:val="baseline"/>
        </w:rPr>
        <w:t> </w:t>
      </w:r>
      <w:r>
        <w:rPr>
          <w:vertAlign w:val="baseline"/>
        </w:rPr>
        <w:t>a</w:t>
      </w:r>
      <w:r>
        <w:rPr>
          <w:spacing w:val="-2"/>
          <w:vertAlign w:val="baseline"/>
        </w:rPr>
        <w:t> </w:t>
      </w:r>
      <w:r>
        <w:rPr>
          <w:vertAlign w:val="baseline"/>
        </w:rPr>
        <w:t>father</w:t>
      </w:r>
      <w:r>
        <w:rPr>
          <w:spacing w:val="-2"/>
          <w:vertAlign w:val="baseline"/>
        </w:rPr>
        <w:t> </w:t>
      </w:r>
      <w:r>
        <w:rPr>
          <w:vertAlign w:val="baseline"/>
        </w:rPr>
        <w:t>bought</w:t>
      </w:r>
      <w:r>
        <w:rPr>
          <w:spacing w:val="-2"/>
          <w:vertAlign w:val="baseline"/>
        </w:rPr>
        <w:t> </w:t>
      </w:r>
      <w:r>
        <w:rPr>
          <w:vertAlign w:val="baseline"/>
        </w:rPr>
        <w:t>a</w:t>
      </w:r>
      <w:r>
        <w:rPr>
          <w:spacing w:val="-2"/>
          <w:vertAlign w:val="baseline"/>
        </w:rPr>
        <w:t> </w:t>
      </w:r>
      <w:r>
        <w:rPr>
          <w:vertAlign w:val="baseline"/>
        </w:rPr>
        <w:t>house,</w:t>
      </w:r>
      <w:r>
        <w:rPr>
          <w:spacing w:val="-2"/>
          <w:vertAlign w:val="baseline"/>
        </w:rPr>
        <w:t> </w:t>
      </w:r>
      <w:r>
        <w:rPr>
          <w:vertAlign w:val="baseline"/>
        </w:rPr>
        <w:t>subject to a mortgage, allowed his son and daughter-in-law to live in it, and told them that if they paid the mortgage instalments the house would be theirs when the mortgage was paid off. The couple started to live in the house and paid some of the mortgage instalments; but they did not bind themselves to</w:t>
      </w:r>
      <w:r>
        <w:rPr>
          <w:spacing w:val="40"/>
          <w:vertAlign w:val="baseline"/>
        </w:rPr>
        <w:t> </w:t>
      </w:r>
      <w:r>
        <w:rPr>
          <w:vertAlign w:val="baseline"/>
        </w:rPr>
        <w:t>go on making the payments. It was held that the arrangement amounted to a contract which could</w:t>
      </w:r>
      <w:r>
        <w:rPr>
          <w:spacing w:val="40"/>
          <w:vertAlign w:val="baseline"/>
        </w:rPr>
        <w:t> </w:t>
      </w:r>
      <w:r>
        <w:rPr>
          <w:vertAlign w:val="baseline"/>
        </w:rPr>
        <w:t>not, after the father’s death, be revoked by his personal representatives. Denning L.J. said:</w:t>
      </w:r>
    </w:p>
    <w:p>
      <w:pPr>
        <w:pStyle w:val="BodyText"/>
      </w:pPr>
    </w:p>
    <w:p>
      <w:pPr>
        <w:pStyle w:val="BodyText"/>
        <w:spacing w:before="124"/>
      </w:pPr>
    </w:p>
    <w:p>
      <w:pPr>
        <w:pStyle w:val="BodyText"/>
        <w:spacing w:line="235" w:lineRule="auto" w:before="1"/>
        <w:ind w:left="1245" w:right="167"/>
        <w:jc w:val="both"/>
      </w:pPr>
      <w:r>
        <w:rPr/>
        <w:t>“The father’s promise was a unilateral contract—a promise of the house in return for </w:t>
      </w:r>
      <w:r>
        <w:rPr/>
        <w:t>their act of paying the instalments. It could not be revoked by him once the couple entered on </w:t>
      </w:r>
      <w:bookmarkStart w:name="_bookmark855" w:id="857"/>
      <w:bookmarkEnd w:id="857"/>
      <w:r>
        <w:rPr/>
        <w:t>the</w:t>
      </w:r>
      <w:r>
        <w:rPr/>
        <w:t> performance of the act, but it would cease to bind him if they left it incomplete and unperformed.” </w:t>
      </w:r>
      <w:r>
        <w:rPr>
          <w:color w:val="005DA1"/>
          <w:u w:val="single" w:color="005DA1"/>
          <w:vertAlign w:val="superscript"/>
        </w:rPr>
        <w:t>456</w:t>
      </w:r>
    </w:p>
    <w:p>
      <w:pPr>
        <w:pStyle w:val="BodyText"/>
      </w:pPr>
    </w:p>
    <w:p>
      <w:pPr>
        <w:pStyle w:val="BodyText"/>
        <w:spacing w:before="205"/>
      </w:pPr>
    </w:p>
    <w:p>
      <w:pPr>
        <w:pStyle w:val="BodyText"/>
        <w:spacing w:line="235" w:lineRule="auto"/>
        <w:ind w:left="165" w:right="167"/>
        <w:jc w:val="both"/>
      </w:pPr>
      <w:bookmarkStart w:name="_bookmark856" w:id="858"/>
      <w:bookmarkEnd w:id="858"/>
      <w:r>
        <w:rPr/>
      </w:r>
      <w:r>
        <w:rPr/>
        <w:t>This dictum was cited with approval in </w:t>
      </w:r>
      <w:r>
        <w:rPr>
          <w:rFonts w:ascii="Arial" w:hAnsi="Arial"/>
          <w:i/>
        </w:rPr>
        <w:t>Soulsbury v Soulsbury </w:t>
      </w:r>
      <w:r>
        <w:rPr>
          <w:color w:val="005DA1"/>
          <w:u w:val="single" w:color="005DA1"/>
          <w:vertAlign w:val="superscript"/>
        </w:rPr>
        <w:t>457</w:t>
      </w:r>
      <w:r>
        <w:rPr>
          <w:color w:val="005DA1"/>
          <w:vertAlign w:val="baseline"/>
        </w:rPr>
        <w:t> </w:t>
      </w:r>
      <w:r>
        <w:rPr>
          <w:vertAlign w:val="baseline"/>
        </w:rPr>
        <w:t>where a husband (H) promised </w:t>
      </w:r>
      <w:r>
        <w:rPr>
          <w:vertAlign w:val="baseline"/>
        </w:rPr>
        <w:t>his former wife (W) to leave her £100,000 in his will if (1) during their joint lives, she did not enforce or </w:t>
      </w:r>
      <w:bookmarkStart w:name="_bookmark857" w:id="859"/>
      <w:bookmarkEnd w:id="859"/>
      <w:r>
        <w:rPr>
          <w:vertAlign w:val="baseline"/>
        </w:rPr>
        <w:t>seek</w:t>
      </w:r>
      <w:r>
        <w:rPr>
          <w:spacing w:val="5"/>
          <w:vertAlign w:val="baseline"/>
        </w:rPr>
        <w:t> </w:t>
      </w:r>
      <w:r>
        <w:rPr>
          <w:vertAlign w:val="baseline"/>
        </w:rPr>
        <w:t>to</w:t>
      </w:r>
      <w:r>
        <w:rPr>
          <w:spacing w:val="5"/>
          <w:vertAlign w:val="baseline"/>
        </w:rPr>
        <w:t> </w:t>
      </w:r>
      <w:r>
        <w:rPr>
          <w:vertAlign w:val="baseline"/>
        </w:rPr>
        <w:t>enforce</w:t>
      </w:r>
      <w:r>
        <w:rPr>
          <w:spacing w:val="5"/>
          <w:vertAlign w:val="baseline"/>
        </w:rPr>
        <w:t> </w:t>
      </w:r>
      <w:r>
        <w:rPr>
          <w:vertAlign w:val="baseline"/>
        </w:rPr>
        <w:t>a</w:t>
      </w:r>
      <w:r>
        <w:rPr>
          <w:spacing w:val="5"/>
          <w:vertAlign w:val="baseline"/>
        </w:rPr>
        <w:t> </w:t>
      </w:r>
      <w:r>
        <w:rPr>
          <w:vertAlign w:val="baseline"/>
        </w:rPr>
        <w:t>maintenance</w:t>
      </w:r>
      <w:r>
        <w:rPr>
          <w:spacing w:val="5"/>
          <w:vertAlign w:val="baseline"/>
        </w:rPr>
        <w:t> </w:t>
      </w:r>
      <w:r>
        <w:rPr>
          <w:vertAlign w:val="baseline"/>
        </w:rPr>
        <w:t>order</w:t>
      </w:r>
      <w:r>
        <w:rPr>
          <w:spacing w:val="5"/>
          <w:vertAlign w:val="baseline"/>
        </w:rPr>
        <w:t> </w:t>
      </w:r>
      <w:r>
        <w:rPr>
          <w:vertAlign w:val="baseline"/>
        </w:rPr>
        <w:t>which</w:t>
      </w:r>
      <w:r>
        <w:rPr>
          <w:spacing w:val="5"/>
          <w:vertAlign w:val="baseline"/>
        </w:rPr>
        <w:t> </w:t>
      </w:r>
      <w:r>
        <w:rPr>
          <w:vertAlign w:val="baseline"/>
        </w:rPr>
        <w:t>she</w:t>
      </w:r>
      <w:r>
        <w:rPr>
          <w:spacing w:val="5"/>
          <w:vertAlign w:val="baseline"/>
        </w:rPr>
        <w:t> </w:t>
      </w:r>
      <w:r>
        <w:rPr>
          <w:vertAlign w:val="baseline"/>
        </w:rPr>
        <w:t>had</w:t>
      </w:r>
      <w:r>
        <w:rPr>
          <w:spacing w:val="5"/>
          <w:vertAlign w:val="baseline"/>
        </w:rPr>
        <w:t> </w:t>
      </w:r>
      <w:r>
        <w:rPr>
          <w:vertAlign w:val="baseline"/>
        </w:rPr>
        <w:t>obtained</w:t>
      </w:r>
      <w:r>
        <w:rPr>
          <w:spacing w:val="5"/>
          <w:vertAlign w:val="baseline"/>
        </w:rPr>
        <w:t> </w:t>
      </w:r>
      <w:r>
        <w:rPr>
          <w:vertAlign w:val="baseline"/>
        </w:rPr>
        <w:t>against</w:t>
      </w:r>
      <w:r>
        <w:rPr>
          <w:spacing w:val="5"/>
          <w:vertAlign w:val="baseline"/>
        </w:rPr>
        <w:t> </w:t>
      </w:r>
      <w:r>
        <w:rPr>
          <w:vertAlign w:val="baseline"/>
        </w:rPr>
        <w:t>him</w:t>
      </w:r>
      <w:r>
        <w:rPr>
          <w:spacing w:val="5"/>
          <w:vertAlign w:val="baseline"/>
        </w:rPr>
        <w:t> </w:t>
      </w:r>
      <w:r>
        <w:rPr>
          <w:vertAlign w:val="baseline"/>
        </w:rPr>
        <w:t>in</w:t>
      </w:r>
      <w:r>
        <w:rPr>
          <w:spacing w:val="5"/>
          <w:vertAlign w:val="baseline"/>
        </w:rPr>
        <w:t> </w:t>
      </w:r>
      <w:r>
        <w:rPr>
          <w:vertAlign w:val="baseline"/>
        </w:rPr>
        <w:t>divorce</w:t>
      </w:r>
      <w:r>
        <w:rPr>
          <w:spacing w:val="5"/>
          <w:vertAlign w:val="baseline"/>
        </w:rPr>
        <w:t> </w:t>
      </w:r>
      <w:r>
        <w:rPr>
          <w:vertAlign w:val="baseline"/>
        </w:rPr>
        <w:t>proceedings</w:t>
      </w:r>
      <w:r>
        <w:rPr>
          <w:spacing w:val="5"/>
          <w:vertAlign w:val="baseline"/>
        </w:rPr>
        <w:t> </w:t>
      </w:r>
      <w:r>
        <w:rPr>
          <w:spacing w:val="-5"/>
          <w:vertAlign w:val="baseline"/>
        </w:rPr>
        <w:t>and</w:t>
      </w:r>
    </w:p>
    <w:p>
      <w:pPr>
        <w:pStyle w:val="BodyText"/>
        <w:spacing w:line="235" w:lineRule="auto"/>
        <w:ind w:left="164" w:right="167"/>
        <w:jc w:val="both"/>
      </w:pPr>
      <w:r>
        <w:rPr/>
        <w:t>(2) she survived him. </w:t>
      </w:r>
      <w:r>
        <w:rPr>
          <w:color w:val="005DA1"/>
          <w:u w:val="single" w:color="005DA1"/>
          <w:vertAlign w:val="superscript"/>
        </w:rPr>
        <w:t>458</w:t>
      </w:r>
      <w:r>
        <w:rPr>
          <w:color w:val="005DA1"/>
          <w:vertAlign w:val="baseline"/>
        </w:rPr>
        <w:t> </w:t>
      </w:r>
      <w:r>
        <w:rPr>
          <w:vertAlign w:val="baseline"/>
        </w:rPr>
        <w:t>Longmore L.J. described this promise as “a classic unilateral contract” and said that, in the case of such a contract,</w:t>
      </w:r>
    </w:p>
    <w:p>
      <w:pPr>
        <w:pStyle w:val="BodyText"/>
      </w:pPr>
    </w:p>
    <w:p>
      <w:pPr>
        <w:pStyle w:val="BodyText"/>
        <w:spacing w:before="125"/>
      </w:pPr>
    </w:p>
    <w:p>
      <w:pPr>
        <w:pStyle w:val="BodyText"/>
        <w:spacing w:line="235" w:lineRule="auto"/>
        <w:ind w:left="1244" w:right="167"/>
        <w:jc w:val="both"/>
      </w:pPr>
      <w:r>
        <w:rPr/>
        <w:t>“[o]nce the promisee acts on the promise by inhaling the smoke ball, by starting the walk </w:t>
      </w:r>
      <w:bookmarkStart w:name="_bookmark858" w:id="860"/>
      <w:bookmarkEnd w:id="860"/>
      <w:r>
        <w:rPr/>
        <w:t>to</w:t>
      </w:r>
      <w:r>
        <w:rPr/>
        <w:t> York or (as here) by not suing for the maintenance to which she was entitled, </w:t>
      </w:r>
      <w:r>
        <w:rPr/>
        <w:t>the promisor cannot revoke or withdraw his offer.” </w:t>
      </w:r>
      <w:r>
        <w:rPr>
          <w:color w:val="005DA1"/>
          <w:u w:val="single" w:color="005DA1"/>
          <w:vertAlign w:val="superscript"/>
        </w:rPr>
        <w:t>459</w:t>
      </w:r>
    </w:p>
    <w:p>
      <w:pPr>
        <w:pStyle w:val="BodyText"/>
        <w:spacing w:before="115"/>
      </w:pPr>
    </w:p>
    <w:p>
      <w:pPr>
        <w:pStyle w:val="BodyText"/>
        <w:spacing w:line="235" w:lineRule="auto"/>
        <w:ind w:left="164" w:right="168"/>
        <w:jc w:val="both"/>
      </w:pPr>
      <w:bookmarkStart w:name="_bookmark859" w:id="861"/>
      <w:bookmarkEnd w:id="861"/>
      <w:r>
        <w:rPr/>
      </w:r>
      <w:r>
        <w:rPr/>
        <w:t>He added that the present case was “stronger than </w:t>
      </w:r>
      <w:r>
        <w:rPr>
          <w:rFonts w:ascii="Arial" w:hAnsi="Arial"/>
          <w:i/>
        </w:rPr>
        <w:t>Errington </w:t>
      </w:r>
      <w:r>
        <w:rPr/>
        <w:t>since on [H’s] death [W] had completed all possible performance of the act required for the enforcement of [H’s] promise.” </w:t>
      </w:r>
      <w:r>
        <w:rPr>
          <w:color w:val="005DA1"/>
          <w:u w:val="single" w:color="005DA1"/>
          <w:vertAlign w:val="superscript"/>
        </w:rPr>
        <w:t>460</w:t>
      </w:r>
    </w:p>
    <w:p>
      <w:pPr>
        <w:pStyle w:val="BodyText"/>
        <w:spacing w:before="81"/>
      </w:pPr>
    </w:p>
    <w:p>
      <w:pPr>
        <w:pStyle w:val="Heading2"/>
      </w:pPr>
      <w:r>
        <w:rPr/>
        <w:t>2-</w:t>
      </w:r>
      <w:r>
        <w:rPr>
          <w:spacing w:val="-5"/>
        </w:rPr>
        <w:t>085</w:t>
      </w:r>
    </w:p>
    <w:p>
      <w:pPr>
        <w:pStyle w:val="BodyText"/>
        <w:spacing w:line="235" w:lineRule="auto" w:before="203"/>
        <w:ind w:left="165" w:right="167"/>
        <w:jc w:val="both"/>
      </w:pPr>
      <w:bookmarkStart w:name="_bookmark860" w:id="862"/>
      <w:bookmarkEnd w:id="862"/>
      <w:r>
        <w:rPr/>
      </w:r>
      <w:r>
        <w:rPr/>
        <w:t>An alternative analysis for the substantive position that the offeror cannot revoke once the offeree commences performance is contained in </w:t>
      </w:r>
      <w:r>
        <w:rPr>
          <w:rFonts w:ascii="Arial" w:hAnsi="Arial"/>
          <w:i/>
        </w:rPr>
        <w:t>Daulia Ltd v Four Millbank Nominees Ltd</w:t>
      </w:r>
      <w:r>
        <w:rPr/>
        <w:t>. </w:t>
      </w:r>
      <w:r>
        <w:rPr>
          <w:color w:val="005DA1"/>
          <w:u w:val="single" w:color="005DA1"/>
          <w:vertAlign w:val="superscript"/>
        </w:rPr>
        <w:t>461</w:t>
      </w:r>
      <w:r>
        <w:rPr>
          <w:color w:val="005DA1"/>
          <w:vertAlign w:val="baseline"/>
        </w:rPr>
        <w:t> </w:t>
      </w:r>
      <w:r>
        <w:rPr>
          <w:vertAlign w:val="baseline"/>
        </w:rPr>
        <w:t>Goff L.J. said that while the general rule is that an offeror “is entitled to require full performance of the condition which he has imposed and short of that he is not bound”, this is:</w:t>
      </w:r>
    </w:p>
    <w:p>
      <w:pPr>
        <w:pStyle w:val="BodyText"/>
      </w:pPr>
    </w:p>
    <w:p>
      <w:pPr>
        <w:pStyle w:val="BodyText"/>
        <w:spacing w:before="125"/>
      </w:pPr>
    </w:p>
    <w:p>
      <w:pPr>
        <w:pStyle w:val="BodyText"/>
        <w:spacing w:line="235" w:lineRule="auto"/>
        <w:ind w:left="1245" w:right="167"/>
        <w:jc w:val="both"/>
      </w:pPr>
      <w:r>
        <w:rPr/>
        <w:t>“subject to one important qualification, which stems from the fact that there must be </w:t>
      </w:r>
      <w:r>
        <w:rPr/>
        <w:t>an implied obligation on the part of the offeror not to prevent the condition becoming satisfied, which obligation it seems to me must arise as soon as the offeree starts to </w:t>
      </w:r>
      <w:bookmarkStart w:name="_bookmark861" w:id="863"/>
      <w:bookmarkEnd w:id="863"/>
      <w:r>
        <w:rPr/>
        <w:t>perform.</w:t>
      </w:r>
      <w:r>
        <w:rPr/>
        <w:t> Until then the offeror can revoke the whole thing, but once the offeree has embarked on performance it is too late for the offeror to revoke his offer.” </w:t>
      </w:r>
      <w:r>
        <w:rPr>
          <w:color w:val="005DA1"/>
          <w:u w:val="single" w:color="005DA1"/>
          <w:vertAlign w:val="superscript"/>
        </w:rPr>
        <w:t>462</w:t>
      </w:r>
    </w:p>
    <w:p>
      <w:pPr>
        <w:pStyle w:val="BodyText"/>
        <w:spacing w:before="115"/>
      </w:pPr>
    </w:p>
    <w:p>
      <w:pPr>
        <w:pStyle w:val="BodyText"/>
        <w:spacing w:line="235" w:lineRule="auto"/>
        <w:ind w:left="165" w:right="167"/>
        <w:jc w:val="both"/>
      </w:pPr>
      <w:r>
        <w:rPr/>
        <w:t>On</w:t>
      </w:r>
      <w:r>
        <w:rPr>
          <w:spacing w:val="-2"/>
        </w:rPr>
        <w:t> </w:t>
      </w:r>
      <w:r>
        <w:rPr/>
        <w:t>this</w:t>
      </w:r>
      <w:r>
        <w:rPr>
          <w:spacing w:val="-2"/>
        </w:rPr>
        <w:t> </w:t>
      </w:r>
      <w:r>
        <w:rPr/>
        <w:t>analysis,</w:t>
      </w:r>
      <w:r>
        <w:rPr>
          <w:spacing w:val="-2"/>
        </w:rPr>
        <w:t> </w:t>
      </w:r>
      <w:r>
        <w:rPr/>
        <w:t>the</w:t>
      </w:r>
      <w:r>
        <w:rPr>
          <w:spacing w:val="-2"/>
        </w:rPr>
        <w:t> </w:t>
      </w:r>
      <w:r>
        <w:rPr/>
        <w:t>offeror</w:t>
      </w:r>
      <w:r>
        <w:rPr>
          <w:spacing w:val="-2"/>
        </w:rPr>
        <w:t> </w:t>
      </w:r>
      <w:r>
        <w:rPr/>
        <w:t>makes</w:t>
      </w:r>
      <w:r>
        <w:rPr>
          <w:spacing w:val="-2"/>
        </w:rPr>
        <w:t> </w:t>
      </w:r>
      <w:r>
        <w:rPr/>
        <w:t>two</w:t>
      </w:r>
      <w:r>
        <w:rPr>
          <w:spacing w:val="-2"/>
        </w:rPr>
        <w:t> </w:t>
      </w:r>
      <w:r>
        <w:rPr/>
        <w:t>offers;</w:t>
      </w:r>
      <w:r>
        <w:rPr>
          <w:spacing w:val="-2"/>
        </w:rPr>
        <w:t> </w:t>
      </w:r>
      <w:r>
        <w:rPr/>
        <w:t>first,</w:t>
      </w:r>
      <w:r>
        <w:rPr>
          <w:spacing w:val="-2"/>
        </w:rPr>
        <w:t> </w:t>
      </w:r>
      <w:r>
        <w:rPr/>
        <w:t>the</w:t>
      </w:r>
      <w:r>
        <w:rPr>
          <w:spacing w:val="-2"/>
        </w:rPr>
        <w:t> </w:t>
      </w:r>
      <w:r>
        <w:rPr/>
        <w:t>main</w:t>
      </w:r>
      <w:r>
        <w:rPr>
          <w:spacing w:val="-2"/>
        </w:rPr>
        <w:t> </w:t>
      </w:r>
      <w:r>
        <w:rPr/>
        <w:t>offer</w:t>
      </w:r>
      <w:r>
        <w:rPr>
          <w:spacing w:val="-2"/>
        </w:rPr>
        <w:t> </w:t>
      </w:r>
      <w:r>
        <w:rPr/>
        <w:t>to</w:t>
      </w:r>
      <w:r>
        <w:rPr>
          <w:spacing w:val="-2"/>
        </w:rPr>
        <w:t> </w:t>
      </w:r>
      <w:r>
        <w:rPr/>
        <w:t>pay</w:t>
      </w:r>
      <w:r>
        <w:rPr>
          <w:spacing w:val="-2"/>
        </w:rPr>
        <w:t> </w:t>
      </w:r>
      <w:r>
        <w:rPr/>
        <w:t>(or</w:t>
      </w:r>
      <w:r>
        <w:rPr>
          <w:spacing w:val="-2"/>
        </w:rPr>
        <w:t> </w:t>
      </w:r>
      <w:r>
        <w:rPr/>
        <w:t>otherwise</w:t>
      </w:r>
      <w:r>
        <w:rPr>
          <w:spacing w:val="-2"/>
        </w:rPr>
        <w:t> </w:t>
      </w:r>
      <w:r>
        <w:rPr/>
        <w:t>perform)</w:t>
      </w:r>
      <w:r>
        <w:rPr>
          <w:spacing w:val="-2"/>
        </w:rPr>
        <w:t> </w:t>
      </w:r>
      <w:r>
        <w:rPr/>
        <w:t>on</w:t>
      </w:r>
      <w:r>
        <w:rPr>
          <w:spacing w:val="-2"/>
        </w:rPr>
        <w:t> </w:t>
      </w:r>
      <w:r>
        <w:rPr/>
        <w:t>the offeree’s completion of performance, and second, a separate collateral unilateral offer not to revoke the main offer once the offeree’s performance has commenced.</w:t>
      </w:r>
    </w:p>
    <w:p>
      <w:pPr>
        <w:pStyle w:val="BodyText"/>
      </w:pPr>
    </w:p>
    <w:p>
      <w:pPr>
        <w:pStyle w:val="BodyText"/>
        <w:spacing w:before="37"/>
      </w:pPr>
    </w:p>
    <w:p>
      <w:pPr>
        <w:spacing w:before="0"/>
        <w:ind w:left="165" w:right="0" w:firstLine="0"/>
        <w:jc w:val="left"/>
        <w:rPr>
          <w:rFonts w:ascii="Arial"/>
          <w:b/>
          <w:sz w:val="18"/>
        </w:rPr>
      </w:pPr>
      <w:r>
        <w:rPr>
          <w:rFonts w:ascii="Arial"/>
          <w:b/>
          <w:sz w:val="18"/>
        </w:rPr>
        <w:t>Continuing </w:t>
      </w:r>
      <w:r>
        <w:rPr>
          <w:rFonts w:ascii="Arial"/>
          <w:b/>
          <w:spacing w:val="-2"/>
          <w:sz w:val="18"/>
        </w:rPr>
        <w:t>guarantees</w:t>
      </w:r>
    </w:p>
    <w:p>
      <w:pPr>
        <w:pStyle w:val="BodyText"/>
        <w:spacing w:before="42"/>
        <w:rPr>
          <w:rFonts w:ascii="Arial"/>
          <w:b/>
          <w:sz w:val="18"/>
        </w:rPr>
      </w:pPr>
    </w:p>
    <w:p>
      <w:pPr>
        <w:pStyle w:val="Heading2"/>
      </w:pPr>
      <w:r>
        <w:rPr/>
        <w:t>2-</w:t>
      </w:r>
      <w:r>
        <w:rPr>
          <w:spacing w:val="-5"/>
        </w:rPr>
        <w:t>086</w:t>
      </w:r>
    </w:p>
    <w:p>
      <w:pPr>
        <w:pStyle w:val="Heading2"/>
        <w:spacing w:after="0"/>
        <w:sectPr>
          <w:pgSz w:w="11900" w:h="16840"/>
          <w:pgMar w:header="971" w:footer="0" w:top="1300" w:bottom="280" w:left="1275" w:right="1275"/>
        </w:sectPr>
      </w:pPr>
    </w:p>
    <w:p>
      <w:pPr>
        <w:pStyle w:val="BodyText"/>
        <w:spacing w:line="235" w:lineRule="auto" w:before="210"/>
        <w:ind w:left="164" w:right="167"/>
        <w:jc w:val="both"/>
      </w:pPr>
      <w:r>
        <w:rPr/>
        <w:t>The view that the offeree’s part performance of a unilateral contract can amount to an </w:t>
      </w:r>
      <w:r>
        <w:rPr/>
        <w:t>acceptance, either of the main offer or of a collateral offer not to revoke the main offer once the offeree commences performance of the condition of the main offer, and so deprive the offeror of the power to withdraw, is also supported by the law relating to continuing guarantees. These may be divisible, </w:t>
      </w:r>
      <w:bookmarkStart w:name="_bookmark862" w:id="864"/>
      <w:bookmarkEnd w:id="864"/>
      <w:r>
        <w:rPr/>
        <w:t>where</w:t>
      </w:r>
      <w:r>
        <w:rPr>
          <w:spacing w:val="-2"/>
        </w:rPr>
        <w:t> </w:t>
      </w:r>
      <w:r>
        <w:rPr/>
        <w:t>each</w:t>
      </w:r>
      <w:r>
        <w:rPr>
          <w:spacing w:val="-2"/>
        </w:rPr>
        <w:t> </w:t>
      </w:r>
      <w:r>
        <w:rPr/>
        <w:t>advance</w:t>
      </w:r>
      <w:r>
        <w:rPr>
          <w:spacing w:val="-2"/>
        </w:rPr>
        <w:t> </w:t>
      </w:r>
      <w:r>
        <w:rPr/>
        <w:t>constitutes</w:t>
      </w:r>
      <w:r>
        <w:rPr>
          <w:spacing w:val="-2"/>
        </w:rPr>
        <w:t> </w:t>
      </w:r>
      <w:r>
        <w:rPr/>
        <w:t>a</w:t>
      </w:r>
      <w:r>
        <w:rPr>
          <w:spacing w:val="-2"/>
        </w:rPr>
        <w:t> </w:t>
      </w:r>
      <w:r>
        <w:rPr/>
        <w:t>separate</w:t>
      </w:r>
      <w:r>
        <w:rPr>
          <w:spacing w:val="-2"/>
        </w:rPr>
        <w:t> </w:t>
      </w:r>
      <w:r>
        <w:rPr/>
        <w:t>transaction;</w:t>
      </w:r>
      <w:r>
        <w:rPr>
          <w:spacing w:val="-2"/>
        </w:rPr>
        <w:t> </w:t>
      </w:r>
      <w:r>
        <w:rPr/>
        <w:t>or</w:t>
      </w:r>
      <w:r>
        <w:rPr>
          <w:spacing w:val="-2"/>
        </w:rPr>
        <w:t> </w:t>
      </w:r>
      <w:r>
        <w:rPr/>
        <w:t>indivisible,</w:t>
      </w:r>
      <w:r>
        <w:rPr>
          <w:spacing w:val="-2"/>
        </w:rPr>
        <w:t> </w:t>
      </w:r>
      <w:r>
        <w:rPr/>
        <w:t>e.g.</w:t>
      </w:r>
      <w:r>
        <w:rPr>
          <w:spacing w:val="-2"/>
        </w:rPr>
        <w:t> </w:t>
      </w:r>
      <w:r>
        <w:rPr/>
        <w:t>where,</w:t>
      </w:r>
      <w:r>
        <w:rPr>
          <w:spacing w:val="-2"/>
        </w:rPr>
        <w:t> </w:t>
      </w:r>
      <w:r>
        <w:rPr/>
        <w:t>on</w:t>
      </w:r>
      <w:r>
        <w:rPr>
          <w:spacing w:val="-2"/>
        </w:rPr>
        <w:t> </w:t>
      </w:r>
      <w:r>
        <w:rPr/>
        <w:t>A’s</w:t>
      </w:r>
      <w:r>
        <w:rPr>
          <w:spacing w:val="-2"/>
        </w:rPr>
        <w:t> </w:t>
      </w:r>
      <w:r>
        <w:rPr/>
        <w:t>admission</w:t>
      </w:r>
      <w:r>
        <w:rPr>
          <w:spacing w:val="-2"/>
        </w:rPr>
        <w:t> </w:t>
      </w:r>
      <w:r>
        <w:rPr/>
        <w:t>to </w:t>
      </w:r>
      <w:bookmarkStart w:name="_bookmark863" w:id="865"/>
      <w:bookmarkEnd w:id="865"/>
      <w:r>
        <w:rPr/>
        <w:t>an</w:t>
      </w:r>
      <w:r>
        <w:rPr>
          <w:spacing w:val="-1"/>
        </w:rPr>
        <w:t> </w:t>
      </w:r>
      <w:r>
        <w:rPr/>
        <w:t>association,</w:t>
      </w:r>
      <w:r>
        <w:rPr>
          <w:spacing w:val="-1"/>
        </w:rPr>
        <w:t> </w:t>
      </w:r>
      <w:r>
        <w:rPr/>
        <w:t>B</w:t>
      </w:r>
      <w:r>
        <w:rPr>
          <w:spacing w:val="-1"/>
        </w:rPr>
        <w:t> </w:t>
      </w:r>
      <w:r>
        <w:rPr/>
        <w:t>guarantees</w:t>
      </w:r>
      <w:r>
        <w:rPr>
          <w:spacing w:val="-1"/>
        </w:rPr>
        <w:t> </w:t>
      </w:r>
      <w:r>
        <w:rPr/>
        <w:t>all</w:t>
      </w:r>
      <w:r>
        <w:rPr>
          <w:spacing w:val="-1"/>
        </w:rPr>
        <w:t> </w:t>
      </w:r>
      <w:r>
        <w:rPr/>
        <w:t>liabilities</w:t>
      </w:r>
      <w:r>
        <w:rPr>
          <w:spacing w:val="-1"/>
        </w:rPr>
        <w:t> </w:t>
      </w:r>
      <w:r>
        <w:rPr/>
        <w:t>which</w:t>
      </w:r>
      <w:r>
        <w:rPr>
          <w:spacing w:val="-1"/>
        </w:rPr>
        <w:t> </w:t>
      </w:r>
      <w:r>
        <w:rPr/>
        <w:t>A</w:t>
      </w:r>
      <w:r>
        <w:rPr>
          <w:spacing w:val="-1"/>
        </w:rPr>
        <w:t> </w:t>
      </w:r>
      <w:r>
        <w:rPr/>
        <w:t>may</w:t>
      </w:r>
      <w:r>
        <w:rPr>
          <w:spacing w:val="-1"/>
        </w:rPr>
        <w:t> </w:t>
      </w:r>
      <w:r>
        <w:rPr/>
        <w:t>incur</w:t>
      </w:r>
      <w:r>
        <w:rPr>
          <w:spacing w:val="-1"/>
        </w:rPr>
        <w:t> </w:t>
      </w:r>
      <w:r>
        <w:rPr/>
        <w:t>as</w:t>
      </w:r>
      <w:r>
        <w:rPr>
          <w:spacing w:val="-1"/>
        </w:rPr>
        <w:t> </w:t>
      </w:r>
      <w:r>
        <w:rPr/>
        <w:t>a</w:t>
      </w:r>
      <w:r>
        <w:rPr>
          <w:spacing w:val="-1"/>
        </w:rPr>
        <w:t> </w:t>
      </w:r>
      <w:r>
        <w:rPr/>
        <w:t>member</w:t>
      </w:r>
      <w:r>
        <w:rPr>
          <w:spacing w:val="-1"/>
        </w:rPr>
        <w:t> </w:t>
      </w:r>
      <w:r>
        <w:rPr/>
        <w:t>of</w:t>
      </w:r>
      <w:r>
        <w:rPr>
          <w:spacing w:val="-1"/>
        </w:rPr>
        <w:t> </w:t>
      </w:r>
      <w:r>
        <w:rPr/>
        <w:t>the</w:t>
      </w:r>
      <w:r>
        <w:rPr>
          <w:spacing w:val="-1"/>
        </w:rPr>
        <w:t> </w:t>
      </w:r>
      <w:r>
        <w:rPr/>
        <w:t>association.</w:t>
      </w:r>
      <w:r>
        <w:rPr>
          <w:spacing w:val="-2"/>
        </w:rPr>
        <w:t> </w:t>
      </w:r>
      <w:r>
        <w:rPr>
          <w:color w:val="005DA1"/>
          <w:u w:val="single" w:color="005DA1"/>
          <w:vertAlign w:val="superscript"/>
        </w:rPr>
        <w:t>463</w:t>
      </w:r>
      <w:r>
        <w:rPr>
          <w:color w:val="005DA1"/>
          <w:spacing w:val="-1"/>
          <w:vertAlign w:val="baseline"/>
        </w:rPr>
        <w:t> </w:t>
      </w:r>
      <w:r>
        <w:rPr>
          <w:vertAlign w:val="baseline"/>
        </w:rPr>
        <w:t>If</w:t>
      </w:r>
      <w:r>
        <w:rPr>
          <w:spacing w:val="-1"/>
          <w:vertAlign w:val="baseline"/>
        </w:rPr>
        <w:t> </w:t>
      </w:r>
      <w:r>
        <w:rPr>
          <w:vertAlign w:val="baseline"/>
        </w:rPr>
        <w:t>the guarantee is divisible, it can be revoked at any time with regard to future advances, </w:t>
      </w:r>
      <w:r>
        <w:rPr>
          <w:color w:val="005DA1"/>
          <w:u w:val="single" w:color="005DA1"/>
          <w:vertAlign w:val="superscript"/>
        </w:rPr>
        <w:t>464</w:t>
      </w:r>
      <w:r>
        <w:rPr>
          <w:color w:val="005DA1"/>
          <w:vertAlign w:val="baseline"/>
        </w:rPr>
        <w:t> </w:t>
      </w:r>
      <w:r>
        <w:rPr>
          <w:vertAlign w:val="baseline"/>
        </w:rPr>
        <w:t>but an </w:t>
      </w:r>
      <w:bookmarkStart w:name="_bookmark864" w:id="866"/>
      <w:bookmarkEnd w:id="866"/>
      <w:r>
        <w:rPr>
          <w:vertAlign w:val="baseline"/>
        </w:rPr>
        <w:t>indivisible</w:t>
      </w:r>
      <w:r>
        <w:rPr>
          <w:spacing w:val="-1"/>
          <w:vertAlign w:val="baseline"/>
        </w:rPr>
        <w:t> </w:t>
      </w:r>
      <w:r>
        <w:rPr>
          <w:vertAlign w:val="baseline"/>
        </w:rPr>
        <w:t>guarantee</w:t>
      </w:r>
      <w:r>
        <w:rPr>
          <w:spacing w:val="-1"/>
          <w:vertAlign w:val="baseline"/>
        </w:rPr>
        <w:t> </w:t>
      </w:r>
      <w:r>
        <w:rPr>
          <w:vertAlign w:val="baseline"/>
        </w:rPr>
        <w:t>cannot</w:t>
      </w:r>
      <w:r>
        <w:rPr>
          <w:spacing w:val="-1"/>
          <w:vertAlign w:val="baseline"/>
        </w:rPr>
        <w:t> </w:t>
      </w:r>
      <w:r>
        <w:rPr>
          <w:vertAlign w:val="baseline"/>
        </w:rPr>
        <w:t>be</w:t>
      </w:r>
      <w:r>
        <w:rPr>
          <w:spacing w:val="-1"/>
          <w:vertAlign w:val="baseline"/>
        </w:rPr>
        <w:t> </w:t>
      </w:r>
      <w:r>
        <w:rPr>
          <w:vertAlign w:val="baseline"/>
        </w:rPr>
        <w:t>revoked</w:t>
      </w:r>
      <w:r>
        <w:rPr>
          <w:spacing w:val="-1"/>
          <w:vertAlign w:val="baseline"/>
        </w:rPr>
        <w:t> </w:t>
      </w:r>
      <w:r>
        <w:rPr>
          <w:vertAlign w:val="baseline"/>
        </w:rPr>
        <w:t>once</w:t>
      </w:r>
      <w:r>
        <w:rPr>
          <w:spacing w:val="-1"/>
          <w:vertAlign w:val="baseline"/>
        </w:rPr>
        <w:t> </w:t>
      </w:r>
      <w:r>
        <w:rPr>
          <w:vertAlign w:val="baseline"/>
        </w:rPr>
        <w:t>the</w:t>
      </w:r>
      <w:r>
        <w:rPr>
          <w:spacing w:val="-1"/>
          <w:vertAlign w:val="baseline"/>
        </w:rPr>
        <w:t> </w:t>
      </w:r>
      <w:r>
        <w:rPr>
          <w:vertAlign w:val="baseline"/>
        </w:rPr>
        <w:t>creditor</w:t>
      </w:r>
      <w:r>
        <w:rPr>
          <w:spacing w:val="-1"/>
          <w:vertAlign w:val="baseline"/>
        </w:rPr>
        <w:t> </w:t>
      </w:r>
      <w:r>
        <w:rPr>
          <w:vertAlign w:val="baseline"/>
        </w:rPr>
        <w:t>has</w:t>
      </w:r>
      <w:r>
        <w:rPr>
          <w:spacing w:val="-1"/>
          <w:vertAlign w:val="baseline"/>
        </w:rPr>
        <w:t> </w:t>
      </w:r>
      <w:r>
        <w:rPr>
          <w:vertAlign w:val="baseline"/>
        </w:rPr>
        <w:t>begun</w:t>
      </w:r>
      <w:r>
        <w:rPr>
          <w:spacing w:val="-1"/>
          <w:vertAlign w:val="baseline"/>
        </w:rPr>
        <w:t> </w:t>
      </w:r>
      <w:r>
        <w:rPr>
          <w:vertAlign w:val="baseline"/>
        </w:rPr>
        <w:t>to</w:t>
      </w:r>
      <w:r>
        <w:rPr>
          <w:spacing w:val="-1"/>
          <w:vertAlign w:val="baseline"/>
        </w:rPr>
        <w:t> </w:t>
      </w:r>
      <w:r>
        <w:rPr>
          <w:vertAlign w:val="baseline"/>
        </w:rPr>
        <w:t>act</w:t>
      </w:r>
      <w:r>
        <w:rPr>
          <w:spacing w:val="-1"/>
          <w:vertAlign w:val="baseline"/>
        </w:rPr>
        <w:t> </w:t>
      </w:r>
      <w:r>
        <w:rPr>
          <w:vertAlign w:val="baseline"/>
        </w:rPr>
        <w:t>on</w:t>
      </w:r>
      <w:r>
        <w:rPr>
          <w:spacing w:val="-1"/>
          <w:vertAlign w:val="baseline"/>
        </w:rPr>
        <w:t> </w:t>
      </w:r>
      <w:r>
        <w:rPr>
          <w:vertAlign w:val="baseline"/>
        </w:rPr>
        <w:t>it</w:t>
      </w:r>
      <w:r>
        <w:rPr>
          <w:spacing w:val="-1"/>
          <w:vertAlign w:val="baseline"/>
        </w:rPr>
        <w:t> </w:t>
      </w:r>
      <w:r>
        <w:rPr>
          <w:vertAlign w:val="baseline"/>
        </w:rPr>
        <w:t>by</w:t>
      </w:r>
      <w:r>
        <w:rPr>
          <w:spacing w:val="-1"/>
          <w:vertAlign w:val="baseline"/>
        </w:rPr>
        <w:t> </w:t>
      </w:r>
      <w:r>
        <w:rPr>
          <w:vertAlign w:val="baseline"/>
        </w:rPr>
        <w:t>giving</w:t>
      </w:r>
      <w:r>
        <w:rPr>
          <w:spacing w:val="-1"/>
          <w:vertAlign w:val="baseline"/>
        </w:rPr>
        <w:t> </w:t>
      </w:r>
      <w:r>
        <w:rPr>
          <w:vertAlign w:val="baseline"/>
        </w:rPr>
        <w:t>credit</w:t>
      </w:r>
      <w:r>
        <w:rPr>
          <w:spacing w:val="-1"/>
          <w:vertAlign w:val="baseline"/>
        </w:rPr>
        <w:t> </w:t>
      </w:r>
      <w:r>
        <w:rPr>
          <w:vertAlign w:val="baseline"/>
        </w:rPr>
        <w:t>to</w:t>
      </w:r>
      <w:r>
        <w:rPr>
          <w:spacing w:val="-1"/>
          <w:vertAlign w:val="baseline"/>
        </w:rPr>
        <w:t> </w:t>
      </w:r>
      <w:r>
        <w:rPr>
          <w:vertAlign w:val="baseline"/>
        </w:rPr>
        <w:t>the principal debtor. </w:t>
      </w:r>
      <w:r>
        <w:rPr>
          <w:color w:val="005DA1"/>
          <w:u w:val="single" w:color="005DA1"/>
          <w:vertAlign w:val="superscript"/>
        </w:rPr>
        <w:t>465</w:t>
      </w:r>
      <w:r>
        <w:rPr>
          <w:color w:val="005DA1"/>
          <w:vertAlign w:val="baseline"/>
        </w:rPr>
        <w:t> </w:t>
      </w:r>
      <w:r>
        <w:rPr>
          <w:vertAlign w:val="baseline"/>
        </w:rPr>
        <w:t>This rule applies even though the contract of guarantee is unilateral, in the sense that the creditor has not made any promise to the guarantor (in return for the guarantee) to give credit to the principal debtor.</w:t>
      </w:r>
    </w:p>
    <w:p>
      <w:pPr>
        <w:pStyle w:val="BodyText"/>
      </w:pPr>
    </w:p>
    <w:p>
      <w:pPr>
        <w:pStyle w:val="BodyText"/>
        <w:spacing w:before="35"/>
      </w:pPr>
    </w:p>
    <w:p>
      <w:pPr>
        <w:spacing w:before="0"/>
        <w:ind w:left="164" w:right="0" w:firstLine="0"/>
        <w:jc w:val="left"/>
        <w:rPr>
          <w:rFonts w:ascii="Arial" w:hAnsi="Arial"/>
          <w:b/>
          <w:sz w:val="18"/>
        </w:rPr>
      </w:pPr>
      <w:r>
        <w:rPr>
          <w:rFonts w:ascii="Arial" w:hAnsi="Arial"/>
          <w:b/>
          <w:sz w:val="18"/>
        </w:rPr>
        <w:t>Bankers’ irrevocable </w:t>
      </w:r>
      <w:r>
        <w:rPr>
          <w:rFonts w:ascii="Arial" w:hAnsi="Arial"/>
          <w:b/>
          <w:spacing w:val="-2"/>
          <w:sz w:val="18"/>
        </w:rPr>
        <w:t>credits</w:t>
      </w:r>
    </w:p>
    <w:p>
      <w:pPr>
        <w:pStyle w:val="BodyText"/>
        <w:spacing w:before="41"/>
        <w:rPr>
          <w:rFonts w:ascii="Arial"/>
          <w:b/>
          <w:sz w:val="18"/>
        </w:rPr>
      </w:pPr>
    </w:p>
    <w:p>
      <w:pPr>
        <w:pStyle w:val="Heading2"/>
        <w:ind w:left="164"/>
      </w:pPr>
      <w:r>
        <w:rPr/>
        <w:t>2-</w:t>
      </w:r>
      <w:r>
        <w:rPr>
          <w:spacing w:val="-5"/>
        </w:rPr>
        <w:t>087</w:t>
      </w:r>
    </w:p>
    <w:p>
      <w:pPr>
        <w:pStyle w:val="BodyText"/>
        <w:spacing w:line="235" w:lineRule="auto" w:before="203"/>
        <w:ind w:left="164" w:right="167"/>
        <w:jc w:val="both"/>
      </w:pPr>
      <w:r>
        <w:rPr/>
        <w:t>The issue (or confirmation) by a bank of an irrevocable credit amounts to a promise to pay to the </w:t>
      </w:r>
      <w:bookmarkStart w:name="_bookmark865" w:id="867"/>
      <w:bookmarkEnd w:id="867"/>
      <w:r>
        <w:rPr/>
        <w:t>beneficiary</w:t>
      </w:r>
      <w:r>
        <w:rPr/>
        <w:t> a sum of money on certain conditions, usually if the beneficiary will present specified documents to the bank. </w:t>
      </w:r>
      <w:r>
        <w:rPr>
          <w:color w:val="005DA1"/>
          <w:u w:val="single" w:color="005DA1"/>
          <w:vertAlign w:val="superscript"/>
        </w:rPr>
        <w:t>466</w:t>
      </w:r>
      <w:r>
        <w:rPr>
          <w:color w:val="005DA1"/>
          <w:vertAlign w:val="baseline"/>
        </w:rPr>
        <w:t> </w:t>
      </w:r>
      <w:r>
        <w:rPr>
          <w:vertAlign w:val="baseline"/>
        </w:rPr>
        <w:t>Often the beneficiary is a seller of goods who will have done some act of part performance, e.g. in manufacturing or shipping the goods. As he makes no promise </w:t>
      </w:r>
      <w:r>
        <w:rPr>
          <w:rFonts w:ascii="Arial" w:hAnsi="Arial"/>
          <w:i/>
          <w:vertAlign w:val="baseline"/>
        </w:rPr>
        <w:t>to the bank</w:t>
      </w:r>
      <w:r>
        <w:rPr>
          <w:vertAlign w:val="baseline"/>
        </w:rPr>
        <w:t>, its liability to him might at first sight seem to be based on a unilateral contract between them. But </w:t>
      </w:r>
      <w:r>
        <w:rPr>
          <w:vertAlign w:val="baseline"/>
        </w:rPr>
        <w:t>the bank’s promise is regarded as binding as soon as it is communicated to the seller, i.e. before he has </w:t>
      </w:r>
      <w:bookmarkStart w:name="_bookmark866" w:id="868"/>
      <w:bookmarkEnd w:id="868"/>
      <w:r>
        <w:rPr>
          <w:vertAlign w:val="baseline"/>
        </w:rPr>
        <w:t>done</w:t>
      </w:r>
      <w:r>
        <w:rPr>
          <w:vertAlign w:val="baseline"/>
        </w:rPr>
        <w:t> any act of part performance or indeed done any other act of acceptance. The binding force of the promise is therefore not explicable in terms of acceptance of an offer of a unilateral contract. </w:t>
      </w:r>
      <w:r>
        <w:rPr>
          <w:color w:val="005DA1"/>
          <w:u w:val="single" w:color="005DA1"/>
          <w:vertAlign w:val="superscript"/>
        </w:rPr>
        <w:t>467</w:t>
      </w:r>
    </w:p>
    <w:p>
      <w:pPr>
        <w:pStyle w:val="BodyText"/>
      </w:pPr>
    </w:p>
    <w:p>
      <w:pPr>
        <w:pStyle w:val="BodyText"/>
        <w:spacing w:before="35"/>
      </w:pPr>
    </w:p>
    <w:p>
      <w:pPr>
        <w:spacing w:before="0"/>
        <w:ind w:left="165" w:right="0" w:firstLine="0"/>
        <w:jc w:val="left"/>
        <w:rPr>
          <w:rFonts w:ascii="Arial" w:hAnsi="Arial"/>
          <w:b/>
          <w:sz w:val="18"/>
        </w:rPr>
      </w:pPr>
      <w:r>
        <w:rPr>
          <w:rFonts w:ascii="Arial" w:hAnsi="Arial"/>
          <w:b/>
          <w:sz w:val="18"/>
        </w:rPr>
        <w:t>Estate agents’ </w:t>
      </w:r>
      <w:r>
        <w:rPr>
          <w:rFonts w:ascii="Arial" w:hAnsi="Arial"/>
          <w:b/>
          <w:spacing w:val="-2"/>
          <w:sz w:val="18"/>
        </w:rPr>
        <w:t>contracts</w:t>
      </w:r>
    </w:p>
    <w:p>
      <w:pPr>
        <w:pStyle w:val="BodyText"/>
        <w:spacing w:before="41"/>
        <w:rPr>
          <w:rFonts w:ascii="Arial"/>
          <w:b/>
          <w:sz w:val="18"/>
        </w:rPr>
      </w:pPr>
    </w:p>
    <w:p>
      <w:pPr>
        <w:pStyle w:val="Heading2"/>
        <w:spacing w:before="1"/>
      </w:pPr>
      <w:r>
        <w:rPr/>
        <w:t>2-</w:t>
      </w:r>
      <w:r>
        <w:rPr>
          <w:spacing w:val="-5"/>
        </w:rPr>
        <w:t>088</w:t>
      </w:r>
    </w:p>
    <w:p>
      <w:pPr>
        <w:pStyle w:val="BodyText"/>
        <w:spacing w:line="235" w:lineRule="auto" w:before="202"/>
        <w:ind w:left="164" w:right="167"/>
        <w:jc w:val="both"/>
      </w:pPr>
      <w:bookmarkStart w:name="_bookmark867" w:id="869"/>
      <w:bookmarkEnd w:id="869"/>
      <w:r>
        <w:rPr/>
      </w:r>
      <w:r>
        <w:rPr/>
        <w:t>A unilateral contract may arise where an estate agent is engaged to negotiate the sale of a house. </w:t>
      </w:r>
      <w:r>
        <w:rPr/>
        <w:t>In one case of this kind it was said that “No obligation is imposed on the agent to do anything”. </w:t>
      </w:r>
      <w:r>
        <w:rPr>
          <w:color w:val="005DA1"/>
          <w:u w:val="single" w:color="005DA1"/>
          <w:vertAlign w:val="superscript"/>
        </w:rPr>
        <w:t>468</w:t>
      </w:r>
      <w:r>
        <w:rPr>
          <w:color w:val="005DA1"/>
          <w:vertAlign w:val="baseline"/>
        </w:rPr>
        <w:t> </w:t>
      </w:r>
      <w:r>
        <w:rPr>
          <w:vertAlign w:val="baseline"/>
        </w:rPr>
        <w:t>If he succeeds in negotiating a sale, his claim for the agreed commission could be regarded as a claim based</w:t>
      </w:r>
      <w:r>
        <w:rPr>
          <w:spacing w:val="-1"/>
          <w:vertAlign w:val="baseline"/>
        </w:rPr>
        <w:t> </w:t>
      </w:r>
      <w:r>
        <w:rPr>
          <w:vertAlign w:val="baseline"/>
        </w:rPr>
        <w:t>on</w:t>
      </w:r>
      <w:r>
        <w:rPr>
          <w:spacing w:val="-1"/>
          <w:vertAlign w:val="baseline"/>
        </w:rPr>
        <w:t> </w:t>
      </w:r>
      <w:r>
        <w:rPr>
          <w:vertAlign w:val="baseline"/>
        </w:rPr>
        <w:t>a</w:t>
      </w:r>
      <w:r>
        <w:rPr>
          <w:spacing w:val="-1"/>
          <w:vertAlign w:val="baseline"/>
        </w:rPr>
        <w:t> </w:t>
      </w:r>
      <w:r>
        <w:rPr>
          <w:vertAlign w:val="baseline"/>
        </w:rPr>
        <w:t>unilateral</w:t>
      </w:r>
      <w:r>
        <w:rPr>
          <w:spacing w:val="-1"/>
          <w:vertAlign w:val="baseline"/>
        </w:rPr>
        <w:t> </w:t>
      </w:r>
      <w:r>
        <w:rPr>
          <w:vertAlign w:val="baseline"/>
        </w:rPr>
        <w:t>contract.</w:t>
      </w:r>
      <w:r>
        <w:rPr>
          <w:spacing w:val="-1"/>
          <w:vertAlign w:val="baseline"/>
        </w:rPr>
        <w:t> </w:t>
      </w:r>
      <w:r>
        <w:rPr>
          <w:vertAlign w:val="baseline"/>
        </w:rPr>
        <w:t>However,</w:t>
      </w:r>
      <w:r>
        <w:rPr>
          <w:spacing w:val="-1"/>
          <w:vertAlign w:val="baseline"/>
        </w:rPr>
        <w:t> </w:t>
      </w:r>
      <w:r>
        <w:rPr>
          <w:vertAlign w:val="baseline"/>
        </w:rPr>
        <w:t>it</w:t>
      </w:r>
      <w:r>
        <w:rPr>
          <w:spacing w:val="-1"/>
          <w:vertAlign w:val="baseline"/>
        </w:rPr>
        <w:t> </w:t>
      </w:r>
      <w:r>
        <w:rPr>
          <w:vertAlign w:val="baseline"/>
        </w:rPr>
        <w:t>is</w:t>
      </w:r>
      <w:r>
        <w:rPr>
          <w:spacing w:val="-1"/>
          <w:vertAlign w:val="baseline"/>
        </w:rPr>
        <w:t> </w:t>
      </w:r>
      <w:r>
        <w:rPr>
          <w:vertAlign w:val="baseline"/>
        </w:rPr>
        <w:t>well</w:t>
      </w:r>
      <w:r>
        <w:rPr>
          <w:spacing w:val="-1"/>
          <w:vertAlign w:val="baseline"/>
        </w:rPr>
        <w:t> </w:t>
      </w:r>
      <w:r>
        <w:rPr>
          <w:vertAlign w:val="baseline"/>
        </w:rPr>
        <w:t>settled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client</w:t>
      </w:r>
      <w:r>
        <w:rPr>
          <w:spacing w:val="-1"/>
          <w:vertAlign w:val="baseline"/>
        </w:rPr>
        <w:t> </w:t>
      </w:r>
      <w:r>
        <w:rPr>
          <w:vertAlign w:val="baseline"/>
        </w:rPr>
        <w:t>may</w:t>
      </w:r>
      <w:r>
        <w:rPr>
          <w:spacing w:val="-1"/>
          <w:vertAlign w:val="baseline"/>
        </w:rPr>
        <w:t> </w:t>
      </w:r>
      <w:r>
        <w:rPr>
          <w:vertAlign w:val="baseline"/>
        </w:rPr>
        <w:t>revoke</w:t>
      </w:r>
      <w:r>
        <w:rPr>
          <w:spacing w:val="-1"/>
          <w:vertAlign w:val="baseline"/>
        </w:rPr>
        <w:t> </w:t>
      </w:r>
      <w:r>
        <w:rPr>
          <w:vertAlign w:val="baseline"/>
        </w:rPr>
        <w:t>his</w:t>
      </w:r>
      <w:r>
        <w:rPr>
          <w:spacing w:val="-1"/>
          <w:vertAlign w:val="baseline"/>
        </w:rPr>
        <w:t> </w:t>
      </w:r>
      <w:r>
        <w:rPr>
          <w:vertAlign w:val="baseline"/>
        </w:rPr>
        <w:t>instructions,</w:t>
      </w:r>
      <w:r>
        <w:rPr>
          <w:spacing w:val="-1"/>
          <w:vertAlign w:val="baseline"/>
        </w:rPr>
        <w:t> </w:t>
      </w:r>
      <w:r>
        <w:rPr>
          <w:vertAlign w:val="baseline"/>
        </w:rPr>
        <w:t>or </w:t>
      </w:r>
      <w:bookmarkStart w:name="_bookmark868" w:id="870"/>
      <w:bookmarkEnd w:id="870"/>
      <w:r>
        <w:rPr>
          <w:vertAlign w:val="baseline"/>
        </w:rPr>
        <w:t>sell</w:t>
      </w:r>
      <w:r>
        <w:rPr>
          <w:vertAlign w:val="baseline"/>
        </w:rPr>
        <w:t> through another agent, or without any agent, in spite of the fact that the first agent has made considerable efforts to find a purchaser.</w:t>
      </w:r>
      <w:r>
        <w:rPr>
          <w:spacing w:val="-1"/>
          <w:vertAlign w:val="baseline"/>
        </w:rPr>
        <w:t> </w:t>
      </w:r>
      <w:r>
        <w:rPr>
          <w:color w:val="005DA1"/>
          <w:u w:val="single" w:color="005DA1"/>
          <w:vertAlign w:val="superscript"/>
        </w:rPr>
        <w:t>469</w:t>
      </w:r>
      <w:r>
        <w:rPr>
          <w:color w:val="005DA1"/>
          <w:spacing w:val="-1"/>
          <w:vertAlign w:val="baseline"/>
        </w:rPr>
        <w:t> </w:t>
      </w:r>
      <w:r>
        <w:rPr>
          <w:vertAlign w:val="baseline"/>
        </w:rPr>
        <w:t>It could be argued that this line of cases supports the view that, where a contract is unilateral, the offeror (i.e. in cases of the present kind, the client) can withdraw after part performance by the offeree (the agent). Alternatively, these cases can be</w:t>
      </w:r>
      <w:r>
        <w:rPr>
          <w:spacing w:val="80"/>
          <w:vertAlign w:val="baseline"/>
        </w:rPr>
        <w:t> </w:t>
      </w:r>
      <w:r>
        <w:rPr>
          <w:vertAlign w:val="baseline"/>
        </w:rPr>
        <w:t>regarded as one of the exceptional types of case in which, on the true construction of the offer, a</w:t>
      </w:r>
      <w:r>
        <w:rPr>
          <w:spacing w:val="40"/>
          <w:vertAlign w:val="baseline"/>
        </w:rPr>
        <w:t> </w:t>
      </w:r>
      <w:r>
        <w:rPr>
          <w:vertAlign w:val="baseline"/>
        </w:rPr>
        <w:t>locus poenitentiae is intended to be reserved to the client even after part performance by the agent. A </w:t>
      </w:r>
      <w:bookmarkStart w:name="_bookmark869" w:id="871"/>
      <w:bookmarkEnd w:id="871"/>
      <w:r>
        <w:rPr>
          <w:vertAlign w:val="baseline"/>
        </w:rPr>
        <w:t>commission</w:t>
      </w:r>
      <w:r>
        <w:rPr>
          <w:vertAlign w:val="baseline"/>
        </w:rPr>
        <w:t> is payable, however, where a defendant seller breaches an implied term that it would not do anything to prevent the claimant agent from earning the commission. </w:t>
      </w:r>
      <w:r>
        <w:rPr>
          <w:color w:val="005DA1"/>
          <w:u w:val="single" w:color="005DA1"/>
          <w:vertAlign w:val="superscript"/>
        </w:rPr>
        <w:t>470</w:t>
      </w:r>
      <w:r>
        <w:rPr>
          <w:color w:val="005DA1"/>
          <w:vertAlign w:val="baseline"/>
        </w:rPr>
        <w:t> </w:t>
      </w:r>
      <w:r>
        <w:rPr>
          <w:vertAlign w:val="baseline"/>
        </w:rPr>
        <w:t>This was the case where </w:t>
      </w:r>
      <w:bookmarkStart w:name="_bookmark870" w:id="872"/>
      <w:bookmarkEnd w:id="872"/>
      <w:r>
        <w:rPr>
          <w:vertAlign w:val="baseline"/>
        </w:rPr>
        <w:t>the</w:t>
      </w:r>
      <w:r>
        <w:rPr>
          <w:spacing w:val="-2"/>
          <w:vertAlign w:val="baseline"/>
        </w:rPr>
        <w:t> </w:t>
      </w:r>
      <w:r>
        <w:rPr>
          <w:vertAlign w:val="baseline"/>
        </w:rPr>
        <w:t>defendant</w:t>
      </w:r>
      <w:r>
        <w:rPr>
          <w:spacing w:val="-2"/>
          <w:vertAlign w:val="baseline"/>
        </w:rPr>
        <w:t> </w:t>
      </w:r>
      <w:r>
        <w:rPr>
          <w:vertAlign w:val="baseline"/>
        </w:rPr>
        <w:t>seller</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purchaser</w:t>
      </w:r>
      <w:r>
        <w:rPr>
          <w:spacing w:val="-2"/>
          <w:vertAlign w:val="baseline"/>
        </w:rPr>
        <w:t> </w:t>
      </w:r>
      <w:r>
        <w:rPr>
          <w:vertAlign w:val="baseline"/>
        </w:rPr>
        <w:t>had</w:t>
      </w:r>
      <w:r>
        <w:rPr>
          <w:spacing w:val="-2"/>
          <w:vertAlign w:val="baseline"/>
        </w:rPr>
        <w:t> </w:t>
      </w:r>
      <w:r>
        <w:rPr>
          <w:vertAlign w:val="baseline"/>
        </w:rPr>
        <w:t>got</w:t>
      </w:r>
      <w:r>
        <w:rPr>
          <w:spacing w:val="-2"/>
          <w:vertAlign w:val="baseline"/>
        </w:rPr>
        <w:t> </w:t>
      </w:r>
      <w:r>
        <w:rPr>
          <w:vertAlign w:val="baseline"/>
        </w:rPr>
        <w:t>together,</w:t>
      </w:r>
      <w:r>
        <w:rPr>
          <w:spacing w:val="-2"/>
          <w:vertAlign w:val="baseline"/>
        </w:rPr>
        <w:t> </w:t>
      </w:r>
      <w:r>
        <w:rPr>
          <w:vertAlign w:val="baseline"/>
        </w:rPr>
        <w:t>formed</w:t>
      </w:r>
      <w:r>
        <w:rPr>
          <w:spacing w:val="-2"/>
          <w:vertAlign w:val="baseline"/>
        </w:rPr>
        <w:t> </w:t>
      </w:r>
      <w:r>
        <w:rPr>
          <w:vertAlign w:val="baseline"/>
        </w:rPr>
        <w:t>a</w:t>
      </w:r>
      <w:r>
        <w:rPr>
          <w:spacing w:val="-2"/>
          <w:vertAlign w:val="baseline"/>
        </w:rPr>
        <w:t> </w:t>
      </w:r>
      <w:r>
        <w:rPr>
          <w:vertAlign w:val="baseline"/>
        </w:rPr>
        <w:t>new</w:t>
      </w:r>
      <w:r>
        <w:rPr>
          <w:spacing w:val="-2"/>
          <w:vertAlign w:val="baseline"/>
        </w:rPr>
        <w:t> </w:t>
      </w:r>
      <w:r>
        <w:rPr>
          <w:vertAlign w:val="baseline"/>
        </w:rPr>
        <w:t>vehicle,</w:t>
      </w:r>
      <w:r>
        <w:rPr>
          <w:spacing w:val="-2"/>
          <w:vertAlign w:val="baseline"/>
        </w:rPr>
        <w:t> </w:t>
      </w:r>
      <w:r>
        <w:rPr>
          <w:vertAlign w:val="baseline"/>
        </w:rPr>
        <w:t>transferred</w:t>
      </w:r>
      <w:r>
        <w:rPr>
          <w:spacing w:val="-2"/>
          <w:vertAlign w:val="baseline"/>
        </w:rPr>
        <w:t> </w:t>
      </w:r>
      <w:r>
        <w:rPr>
          <w:vertAlign w:val="baseline"/>
        </w:rPr>
        <w:t>the</w:t>
      </w:r>
      <w:r>
        <w:rPr>
          <w:spacing w:val="-2"/>
          <w:vertAlign w:val="baseline"/>
        </w:rPr>
        <w:t> </w:t>
      </w:r>
      <w:r>
        <w:rPr>
          <w:vertAlign w:val="baseline"/>
        </w:rPr>
        <w:t>benefit of</w:t>
      </w:r>
      <w:r>
        <w:rPr>
          <w:spacing w:val="13"/>
          <w:vertAlign w:val="baseline"/>
        </w:rPr>
        <w:t> </w:t>
      </w:r>
      <w:r>
        <w:rPr>
          <w:vertAlign w:val="baseline"/>
        </w:rPr>
        <w:t>the</w:t>
      </w:r>
      <w:r>
        <w:rPr>
          <w:spacing w:val="13"/>
          <w:vertAlign w:val="baseline"/>
        </w:rPr>
        <w:t> </w:t>
      </w:r>
      <w:r>
        <w:rPr>
          <w:vertAlign w:val="baseline"/>
        </w:rPr>
        <w:t>sale</w:t>
      </w:r>
      <w:r>
        <w:rPr>
          <w:spacing w:val="13"/>
          <w:vertAlign w:val="baseline"/>
        </w:rPr>
        <w:t> </w:t>
      </w:r>
      <w:r>
        <w:rPr>
          <w:vertAlign w:val="baseline"/>
        </w:rPr>
        <w:t>to</w:t>
      </w:r>
      <w:r>
        <w:rPr>
          <w:spacing w:val="13"/>
          <w:vertAlign w:val="baseline"/>
        </w:rPr>
        <w:t> </w:t>
      </w:r>
      <w:r>
        <w:rPr>
          <w:vertAlign w:val="baseline"/>
        </w:rPr>
        <w:t>that</w:t>
      </w:r>
      <w:r>
        <w:rPr>
          <w:spacing w:val="13"/>
          <w:vertAlign w:val="baseline"/>
        </w:rPr>
        <w:t> </w:t>
      </w:r>
      <w:r>
        <w:rPr>
          <w:vertAlign w:val="baseline"/>
        </w:rPr>
        <w:t>vehicle,</w:t>
      </w:r>
      <w:r>
        <w:rPr>
          <w:spacing w:val="13"/>
          <w:vertAlign w:val="baseline"/>
        </w:rPr>
        <w:t> </w:t>
      </w:r>
      <w:r>
        <w:rPr>
          <w:vertAlign w:val="baseline"/>
        </w:rPr>
        <w:t>for</w:t>
      </w:r>
      <w:r>
        <w:rPr>
          <w:spacing w:val="13"/>
          <w:vertAlign w:val="baseline"/>
        </w:rPr>
        <w:t> </w:t>
      </w:r>
      <w:r>
        <w:rPr>
          <w:vertAlign w:val="baseline"/>
        </w:rPr>
        <w:t>the</w:t>
      </w:r>
      <w:r>
        <w:rPr>
          <w:spacing w:val="13"/>
          <w:vertAlign w:val="baseline"/>
        </w:rPr>
        <w:t> </w:t>
      </w:r>
      <w:r>
        <w:rPr>
          <w:vertAlign w:val="baseline"/>
        </w:rPr>
        <w:t>sole</w:t>
      </w:r>
      <w:r>
        <w:rPr>
          <w:spacing w:val="13"/>
          <w:vertAlign w:val="baseline"/>
        </w:rPr>
        <w:t> </w:t>
      </w:r>
      <w:r>
        <w:rPr>
          <w:vertAlign w:val="baseline"/>
        </w:rPr>
        <w:t>or</w:t>
      </w:r>
      <w:r>
        <w:rPr>
          <w:spacing w:val="13"/>
          <w:vertAlign w:val="baseline"/>
        </w:rPr>
        <w:t> </w:t>
      </w:r>
      <w:r>
        <w:rPr>
          <w:vertAlign w:val="baseline"/>
        </w:rPr>
        <w:t>dominant</w:t>
      </w:r>
      <w:r>
        <w:rPr>
          <w:spacing w:val="13"/>
          <w:vertAlign w:val="baseline"/>
        </w:rPr>
        <w:t> </w:t>
      </w:r>
      <w:r>
        <w:rPr>
          <w:vertAlign w:val="baseline"/>
        </w:rPr>
        <w:t>motive</w:t>
      </w:r>
      <w:r>
        <w:rPr>
          <w:spacing w:val="13"/>
          <w:vertAlign w:val="baseline"/>
        </w:rPr>
        <w:t> </w:t>
      </w:r>
      <w:r>
        <w:rPr>
          <w:vertAlign w:val="baseline"/>
        </w:rPr>
        <w:t>of</w:t>
      </w:r>
      <w:r>
        <w:rPr>
          <w:spacing w:val="13"/>
          <w:vertAlign w:val="baseline"/>
        </w:rPr>
        <w:t> </w:t>
      </w:r>
      <w:r>
        <w:rPr>
          <w:vertAlign w:val="baseline"/>
        </w:rPr>
        <w:t>depriving</w:t>
      </w:r>
      <w:r>
        <w:rPr>
          <w:spacing w:val="13"/>
          <w:vertAlign w:val="baseline"/>
        </w:rPr>
        <w:t> </w:t>
      </w:r>
      <w:r>
        <w:rPr>
          <w:vertAlign w:val="baseline"/>
        </w:rPr>
        <w:t>the</w:t>
      </w:r>
      <w:r>
        <w:rPr>
          <w:spacing w:val="13"/>
          <w:vertAlign w:val="baseline"/>
        </w:rPr>
        <w:t> </w:t>
      </w:r>
      <w:r>
        <w:rPr>
          <w:vertAlign w:val="baseline"/>
        </w:rPr>
        <w:t>claimant</w:t>
      </w:r>
      <w:r>
        <w:rPr>
          <w:spacing w:val="13"/>
          <w:vertAlign w:val="baseline"/>
        </w:rPr>
        <w:t> </w:t>
      </w:r>
      <w:r>
        <w:rPr>
          <w:vertAlign w:val="baseline"/>
        </w:rPr>
        <w:t>of</w:t>
      </w:r>
      <w:r>
        <w:rPr>
          <w:spacing w:val="13"/>
          <w:vertAlign w:val="baseline"/>
        </w:rPr>
        <w:t> </w:t>
      </w:r>
      <w:r>
        <w:rPr>
          <w:spacing w:val="-2"/>
          <w:vertAlign w:val="baseline"/>
        </w:rPr>
        <w:t>commissions.</w:t>
      </w:r>
    </w:p>
    <w:p>
      <w:pPr>
        <w:spacing w:line="108" w:lineRule="exact" w:before="0"/>
        <w:ind w:left="165" w:right="0" w:firstLine="0"/>
        <w:jc w:val="left"/>
        <w:rPr>
          <w:sz w:val="12"/>
        </w:rPr>
      </w:pPr>
      <w:r>
        <w:rPr>
          <w:color w:val="005DA1"/>
          <w:spacing w:val="-5"/>
          <w:sz w:val="12"/>
          <w:u w:val="single" w:color="005DA1"/>
        </w:rPr>
        <w:t>471</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Estate agents appointed “sole </w:t>
      </w:r>
      <w:r>
        <w:rPr>
          <w:rFonts w:ascii="Arial" w:hAnsi="Arial"/>
          <w:b/>
          <w:spacing w:val="-2"/>
          <w:sz w:val="18"/>
        </w:rPr>
        <w:t>agents”</w:t>
      </w:r>
    </w:p>
    <w:p>
      <w:pPr>
        <w:pStyle w:val="BodyText"/>
        <w:spacing w:before="41"/>
        <w:rPr>
          <w:rFonts w:ascii="Arial"/>
          <w:b/>
          <w:sz w:val="18"/>
        </w:rPr>
      </w:pPr>
    </w:p>
    <w:p>
      <w:pPr>
        <w:pStyle w:val="Heading2"/>
        <w:spacing w:before="1"/>
      </w:pPr>
      <w:r>
        <w:rPr/>
        <w:t>2-</w:t>
      </w:r>
      <w:r>
        <w:rPr>
          <w:spacing w:val="-5"/>
        </w:rPr>
        <w:t>089</w:t>
      </w:r>
    </w:p>
    <w:p>
      <w:pPr>
        <w:pStyle w:val="BodyText"/>
        <w:spacing w:line="235" w:lineRule="auto" w:before="202"/>
        <w:ind w:left="165" w:right="167"/>
        <w:jc w:val="both"/>
      </w:pPr>
      <w:bookmarkStart w:name="_bookmark871" w:id="873"/>
      <w:bookmarkEnd w:id="873"/>
      <w:r>
        <w:rPr/>
      </w:r>
      <w:r>
        <w:rPr/>
        <w:t>There is a further group of cases in which persons appointed “sole agents” have been held entitled </w:t>
      </w:r>
      <w:r>
        <w:rPr/>
        <w:t>to damages when the client sold through another agent. </w:t>
      </w:r>
      <w:r>
        <w:rPr>
          <w:color w:val="005DA1"/>
          <w:u w:val="single" w:color="005DA1"/>
          <w:vertAlign w:val="superscript"/>
        </w:rPr>
        <w:t>472</w:t>
      </w:r>
      <w:r>
        <w:rPr>
          <w:color w:val="005DA1"/>
          <w:vertAlign w:val="baseline"/>
        </w:rPr>
        <w:t> </w:t>
      </w:r>
      <w:r>
        <w:rPr>
          <w:vertAlign w:val="baseline"/>
        </w:rPr>
        <w:t>However, these have been treated as cases </w:t>
      </w:r>
      <w:bookmarkStart w:name="_bookmark872" w:id="874"/>
      <w:bookmarkEnd w:id="874"/>
      <w:r>
        <w:rPr>
          <w:vertAlign w:val="baseline"/>
        </w:rPr>
        <w:t>of</w:t>
      </w:r>
      <w:r>
        <w:rPr>
          <w:vertAlign w:val="baseline"/>
        </w:rPr>
        <w:t> bilateral contracts, on the ground that the agents promised to use their best endeavours to effect a sale, </w:t>
      </w:r>
      <w:r>
        <w:rPr>
          <w:color w:val="005DA1"/>
          <w:u w:val="single" w:color="005DA1"/>
          <w:vertAlign w:val="superscript"/>
        </w:rPr>
        <w:t>473</w:t>
      </w:r>
      <w:r>
        <w:rPr>
          <w:color w:val="005DA1"/>
          <w:vertAlign w:val="baseline"/>
        </w:rPr>
        <w:t> </w:t>
      </w:r>
      <w:r>
        <w:rPr>
          <w:vertAlign w:val="baseline"/>
        </w:rPr>
        <w:t>or to bear advertising expenses. </w:t>
      </w:r>
      <w:r>
        <w:rPr>
          <w:color w:val="005DA1"/>
          <w:u w:val="single" w:color="005DA1"/>
          <w:vertAlign w:val="superscript"/>
        </w:rPr>
        <w:t>474</w:t>
      </w:r>
      <w:r>
        <w:rPr>
          <w:color w:val="005DA1"/>
          <w:vertAlign w:val="baseline"/>
        </w:rPr>
        <w:t> </w:t>
      </w:r>
      <w:r>
        <w:rPr>
          <w:vertAlign w:val="baseline"/>
        </w:rPr>
        <w:t>Such promises may be (and, it seems, commonly are) </w:t>
      </w:r>
      <w:bookmarkStart w:name="_bookmark873" w:id="875"/>
      <w:bookmarkEnd w:id="875"/>
      <w:r>
        <w:rPr>
          <w:vertAlign w:val="baseline"/>
        </w:rPr>
        <w:t>made</w:t>
      </w:r>
      <w:r>
        <w:rPr>
          <w:vertAlign w:val="baseline"/>
        </w:rPr>
        <w:t> by agents who are not sole agents at all, though the question whether a promise to use best endeavours is sufficiently certain to have any legal effect may still be an open one. </w:t>
      </w:r>
      <w:r>
        <w:rPr>
          <w:color w:val="005DA1"/>
          <w:u w:val="single" w:color="005DA1"/>
          <w:vertAlign w:val="superscript"/>
        </w:rPr>
        <w:t>475</w:t>
      </w:r>
      <w:r>
        <w:rPr>
          <w:color w:val="005DA1"/>
          <w:vertAlign w:val="baseline"/>
        </w:rPr>
        <w:t> </w:t>
      </w:r>
      <w:r>
        <w:rPr>
          <w:vertAlign w:val="baseline"/>
        </w:rPr>
        <w:t>The rules as to the revocability of the client’s promise would, it seems, apply whether the contract is regarded as a unilateral</w:t>
      </w:r>
      <w:r>
        <w:rPr>
          <w:spacing w:val="21"/>
          <w:vertAlign w:val="baseline"/>
        </w:rPr>
        <w:t> </w:t>
      </w:r>
      <w:r>
        <w:rPr>
          <w:vertAlign w:val="baseline"/>
        </w:rPr>
        <w:t>or</w:t>
      </w:r>
      <w:r>
        <w:rPr>
          <w:spacing w:val="21"/>
          <w:vertAlign w:val="baseline"/>
        </w:rPr>
        <w:t> </w:t>
      </w:r>
      <w:r>
        <w:rPr>
          <w:vertAlign w:val="baseline"/>
        </w:rPr>
        <w:t>as</w:t>
      </w:r>
      <w:r>
        <w:rPr>
          <w:spacing w:val="21"/>
          <w:vertAlign w:val="baseline"/>
        </w:rPr>
        <w:t> </w:t>
      </w:r>
      <w:r>
        <w:rPr>
          <w:vertAlign w:val="baseline"/>
        </w:rPr>
        <w:t>a</w:t>
      </w:r>
      <w:r>
        <w:rPr>
          <w:spacing w:val="21"/>
          <w:vertAlign w:val="baseline"/>
        </w:rPr>
        <w:t> </w:t>
      </w:r>
      <w:r>
        <w:rPr>
          <w:vertAlign w:val="baseline"/>
        </w:rPr>
        <w:t>bilateral</w:t>
      </w:r>
      <w:r>
        <w:rPr>
          <w:spacing w:val="21"/>
          <w:vertAlign w:val="baseline"/>
        </w:rPr>
        <w:t> </w:t>
      </w:r>
      <w:r>
        <w:rPr>
          <w:vertAlign w:val="baseline"/>
        </w:rPr>
        <w:t>one</w:t>
      </w:r>
      <w:r>
        <w:rPr>
          <w:spacing w:val="21"/>
          <w:vertAlign w:val="baseline"/>
        </w:rPr>
        <w:t> </w:t>
      </w:r>
      <w:r>
        <w:rPr>
          <w:vertAlign w:val="baseline"/>
        </w:rPr>
        <w:t>and</w:t>
      </w:r>
      <w:r>
        <w:rPr>
          <w:spacing w:val="21"/>
          <w:vertAlign w:val="baseline"/>
        </w:rPr>
        <w:t> </w:t>
      </w:r>
      <w:r>
        <w:rPr>
          <w:vertAlign w:val="baseline"/>
        </w:rPr>
        <w:t>accordingly</w:t>
      </w:r>
      <w:r>
        <w:rPr>
          <w:spacing w:val="21"/>
          <w:vertAlign w:val="baseline"/>
        </w:rPr>
        <w:t> </w:t>
      </w:r>
      <w:r>
        <w:rPr>
          <w:vertAlign w:val="baseline"/>
        </w:rPr>
        <w:t>it</w:t>
      </w:r>
      <w:r>
        <w:rPr>
          <w:spacing w:val="21"/>
          <w:vertAlign w:val="baseline"/>
        </w:rPr>
        <w:t> </w:t>
      </w:r>
      <w:r>
        <w:rPr>
          <w:vertAlign w:val="baseline"/>
        </w:rPr>
        <w:t>is</w:t>
      </w:r>
      <w:r>
        <w:rPr>
          <w:spacing w:val="21"/>
          <w:vertAlign w:val="baseline"/>
        </w:rPr>
        <w:t> </w:t>
      </w:r>
      <w:r>
        <w:rPr>
          <w:vertAlign w:val="baseline"/>
        </w:rPr>
        <w:t>doubtful</w:t>
      </w:r>
      <w:r>
        <w:rPr>
          <w:spacing w:val="21"/>
          <w:vertAlign w:val="baseline"/>
        </w:rPr>
        <w:t> </w:t>
      </w:r>
      <w:r>
        <w:rPr>
          <w:vertAlign w:val="baseline"/>
        </w:rPr>
        <w:t>whether</w:t>
      </w:r>
      <w:r>
        <w:rPr>
          <w:spacing w:val="21"/>
          <w:vertAlign w:val="baseline"/>
        </w:rPr>
        <w:t> </w:t>
      </w:r>
      <w:r>
        <w:rPr>
          <w:vertAlign w:val="baseline"/>
        </w:rPr>
        <w:t>the</w:t>
      </w:r>
      <w:r>
        <w:rPr>
          <w:spacing w:val="21"/>
          <w:vertAlign w:val="baseline"/>
        </w:rPr>
        <w:t> </w:t>
      </w:r>
      <w:r>
        <w:rPr>
          <w:vertAlign w:val="baseline"/>
        </w:rPr>
        <w:t>estate</w:t>
      </w:r>
      <w:r>
        <w:rPr>
          <w:spacing w:val="21"/>
          <w:vertAlign w:val="baseline"/>
        </w:rPr>
        <w:t> </w:t>
      </w:r>
      <w:r>
        <w:rPr>
          <w:vertAlign w:val="baseline"/>
        </w:rPr>
        <w:t>agency</w:t>
      </w:r>
      <w:r>
        <w:rPr>
          <w:spacing w:val="21"/>
          <w:vertAlign w:val="baseline"/>
        </w:rPr>
        <w:t> </w:t>
      </w:r>
      <w:r>
        <w:rPr>
          <w:vertAlign w:val="baseline"/>
        </w:rPr>
        <w:t>cases</w:t>
      </w:r>
      <w:r>
        <w:rPr>
          <w:spacing w:val="21"/>
          <w:vertAlign w:val="baseline"/>
        </w:rPr>
        <w:t> </w:t>
      </w:r>
      <w:r>
        <w:rPr>
          <w:spacing w:val="-4"/>
          <w:vertAlign w:val="baseline"/>
        </w:rPr>
        <w:t>shed</w:t>
      </w:r>
    </w:p>
    <w:p>
      <w:pPr>
        <w:pStyle w:val="BodyText"/>
        <w:spacing w:after="0" w:line="235" w:lineRule="auto"/>
        <w:jc w:val="both"/>
        <w:sectPr>
          <w:pgSz w:w="11900" w:h="16840"/>
          <w:pgMar w:header="971" w:footer="0" w:top="1300" w:bottom="280" w:left="1275" w:right="1275"/>
        </w:sectPr>
      </w:pPr>
    </w:p>
    <w:p>
      <w:pPr>
        <w:pStyle w:val="BodyText"/>
        <w:spacing w:before="106"/>
        <w:ind w:left="165"/>
        <w:jc w:val="both"/>
      </w:pPr>
      <w:r>
        <w:rPr/>
        <w:t>any light on the problems of acceptance in unilateral </w:t>
      </w:r>
      <w:r>
        <w:rPr>
          <w:spacing w:val="-2"/>
        </w:rPr>
        <w:t>contracts.</w:t>
      </w:r>
    </w:p>
    <w:p>
      <w:pPr>
        <w:pStyle w:val="BodyText"/>
      </w:pPr>
    </w:p>
    <w:p>
      <w:pPr>
        <w:pStyle w:val="BodyText"/>
        <w:spacing w:before="38"/>
      </w:pPr>
    </w:p>
    <w:p>
      <w:pPr>
        <w:spacing w:before="0"/>
        <w:ind w:left="165" w:right="0" w:firstLine="0"/>
        <w:jc w:val="both"/>
        <w:rPr>
          <w:rFonts w:ascii="Arial"/>
          <w:b/>
          <w:sz w:val="18"/>
        </w:rPr>
      </w:pPr>
      <w:r>
        <w:rPr>
          <w:rFonts w:ascii="Arial"/>
          <w:b/>
          <w:sz w:val="18"/>
        </w:rPr>
        <w:t>Unilateral contract becoming </w:t>
      </w:r>
      <w:r>
        <w:rPr>
          <w:rFonts w:ascii="Arial"/>
          <w:b/>
          <w:spacing w:val="-2"/>
          <w:sz w:val="18"/>
        </w:rPr>
        <w:t>bilateral</w:t>
      </w:r>
    </w:p>
    <w:p>
      <w:pPr>
        <w:pStyle w:val="BodyText"/>
        <w:spacing w:before="41"/>
        <w:rPr>
          <w:rFonts w:ascii="Arial"/>
          <w:b/>
          <w:sz w:val="18"/>
        </w:rPr>
      </w:pPr>
    </w:p>
    <w:p>
      <w:pPr>
        <w:pStyle w:val="Heading2"/>
      </w:pPr>
      <w:r>
        <w:rPr/>
        <w:t>2-</w:t>
      </w:r>
      <w:r>
        <w:rPr>
          <w:spacing w:val="-5"/>
        </w:rPr>
        <w:t>090</w:t>
      </w:r>
    </w:p>
    <w:p>
      <w:pPr>
        <w:pStyle w:val="BodyText"/>
        <w:spacing w:line="235" w:lineRule="auto" w:before="203"/>
        <w:ind w:left="164" w:right="167"/>
        <w:jc w:val="both"/>
      </w:pPr>
      <w:bookmarkStart w:name="_bookmark874" w:id="876"/>
      <w:bookmarkEnd w:id="876"/>
      <w:r>
        <w:rPr/>
      </w:r>
      <w:r>
        <w:rPr/>
        <w:t>A contract may be in its inception unilateral but become bilateral in the course of its performance. </w:t>
      </w:r>
      <w:r>
        <w:rPr>
          <w:color w:val="005DA1"/>
          <w:u w:val="single" w:color="005DA1"/>
          <w:vertAlign w:val="superscript"/>
        </w:rPr>
        <w:t>476</w:t>
      </w:r>
      <w:r>
        <w:rPr>
          <w:color w:val="005DA1"/>
          <w:vertAlign w:val="baseline"/>
        </w:rPr>
        <w:t> </w:t>
      </w:r>
      <w:r>
        <w:rPr>
          <w:vertAlign w:val="baseline"/>
        </w:rPr>
        <w:t>In the examples given in para.2-082 above, a bilateral contract would not indeed arise merely</w:t>
      </w:r>
      <w:r>
        <w:rPr>
          <w:spacing w:val="40"/>
          <w:vertAlign w:val="baseline"/>
        </w:rPr>
        <w:t> </w:t>
      </w:r>
      <w:r>
        <w:rPr>
          <w:vertAlign w:val="baseline"/>
        </w:rPr>
        <w:t>because the promisee had promised to perform the stipulated act or abstention (e.g. to walk to York). This is because the promisor has not bargained for a counter-promise, so that his offer cannot be accepted by promising to perform but only by actually performing (or by beginning to do so). But if A promises to pay B a sum of money in return for some service to be rendered by B (such as repainting </w:t>
      </w:r>
      <w:bookmarkStart w:name="_bookmark875" w:id="877"/>
      <w:bookmarkEnd w:id="877"/>
      <w:r>
        <w:rPr>
          <w:vertAlign w:val="baseline"/>
        </w:rPr>
        <w:t>A’s</w:t>
      </w:r>
      <w:r>
        <w:rPr>
          <w:vertAlign w:val="baseline"/>
        </w:rPr>
        <w:t> house) it is possible that B may, by beginning to render the service (e.g. by stripping off the old paint),</w:t>
      </w:r>
      <w:r>
        <w:rPr>
          <w:spacing w:val="-1"/>
          <w:vertAlign w:val="baseline"/>
        </w:rPr>
        <w:t> </w:t>
      </w:r>
      <w:r>
        <w:rPr>
          <w:vertAlign w:val="baseline"/>
        </w:rPr>
        <w:t>impliedly</w:t>
      </w:r>
      <w:r>
        <w:rPr>
          <w:spacing w:val="-1"/>
          <w:vertAlign w:val="baseline"/>
        </w:rPr>
        <w:t> </w:t>
      </w:r>
      <w:r>
        <w:rPr>
          <w:vertAlign w:val="baseline"/>
        </w:rPr>
        <w:t>promise</w:t>
      </w:r>
      <w:r>
        <w:rPr>
          <w:spacing w:val="-1"/>
          <w:vertAlign w:val="baseline"/>
        </w:rPr>
        <w:t> </w:t>
      </w:r>
      <w:r>
        <w:rPr>
          <w:color w:val="005DA1"/>
          <w:u w:val="single" w:color="005DA1"/>
          <w:vertAlign w:val="superscript"/>
        </w:rPr>
        <w:t>477</w:t>
      </w:r>
      <w:r>
        <w:rPr>
          <w:color w:val="005DA1"/>
          <w:spacing w:val="-1"/>
          <w:vertAlign w:val="baseline"/>
        </w:rPr>
        <w:t> </w:t>
      </w:r>
      <w:r>
        <w:rPr>
          <w:vertAlign w:val="baseline"/>
        </w:rPr>
        <w:t>to</w:t>
      </w:r>
      <w:r>
        <w:rPr>
          <w:spacing w:val="-1"/>
          <w:vertAlign w:val="baseline"/>
        </w:rPr>
        <w:t> </w:t>
      </w:r>
      <w:r>
        <w:rPr>
          <w:vertAlign w:val="baseline"/>
        </w:rPr>
        <w:t>complete</w:t>
      </w:r>
      <w:r>
        <w:rPr>
          <w:spacing w:val="-1"/>
          <w:vertAlign w:val="baseline"/>
        </w:rPr>
        <w:t> </w:t>
      </w:r>
      <w:r>
        <w:rPr>
          <w:vertAlign w:val="baseline"/>
        </w:rPr>
        <w:t>it.</w:t>
      </w:r>
      <w:r>
        <w:rPr>
          <w:spacing w:val="-1"/>
          <w:vertAlign w:val="baseline"/>
        </w:rPr>
        <w:t> </w:t>
      </w:r>
      <w:r>
        <w:rPr>
          <w:color w:val="005DA1"/>
          <w:u w:val="single" w:color="005DA1"/>
          <w:vertAlign w:val="superscript"/>
        </w:rPr>
        <w:t>478</w:t>
      </w:r>
      <w:r>
        <w:rPr>
          <w:color w:val="005DA1"/>
          <w:spacing w:val="-1"/>
          <w:vertAlign w:val="baseline"/>
        </w:rPr>
        <w:t> </w:t>
      </w:r>
      <w:r>
        <w:rPr>
          <w:vertAlign w:val="baseline"/>
        </w:rPr>
        <w:t>In</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case,</w:t>
      </w:r>
      <w:r>
        <w:rPr>
          <w:spacing w:val="-1"/>
          <w:vertAlign w:val="baseline"/>
        </w:rPr>
        <w:t> </w:t>
      </w:r>
      <w:r>
        <w:rPr>
          <w:vertAlign w:val="baseline"/>
        </w:rPr>
        <w:t>the</w:t>
      </w:r>
      <w:r>
        <w:rPr>
          <w:spacing w:val="-1"/>
          <w:vertAlign w:val="baseline"/>
        </w:rPr>
        <w:t> </w:t>
      </w:r>
      <w:r>
        <w:rPr>
          <w:vertAlign w:val="baseline"/>
        </w:rPr>
        <w:t>contract</w:t>
      </w:r>
      <w:r>
        <w:rPr>
          <w:spacing w:val="-1"/>
          <w:vertAlign w:val="baseline"/>
        </w:rPr>
        <w:t> </w:t>
      </w:r>
      <w:r>
        <w:rPr>
          <w:vertAlign w:val="baseline"/>
        </w:rPr>
        <w:t>would</w:t>
      </w:r>
      <w:r>
        <w:rPr>
          <w:spacing w:val="-1"/>
          <w:vertAlign w:val="baseline"/>
        </w:rPr>
        <w:t> </w:t>
      </w:r>
      <w:r>
        <w:rPr>
          <w:vertAlign w:val="baseline"/>
        </w:rPr>
        <w:t>at</w:t>
      </w:r>
      <w:r>
        <w:rPr>
          <w:spacing w:val="-1"/>
          <w:vertAlign w:val="baseline"/>
        </w:rPr>
        <w:t> </w:t>
      </w:r>
      <w:r>
        <w:rPr>
          <w:vertAlign w:val="baseline"/>
        </w:rPr>
        <w:t>this</w:t>
      </w:r>
      <w:r>
        <w:rPr>
          <w:spacing w:val="-1"/>
          <w:vertAlign w:val="baseline"/>
        </w:rPr>
        <w:t> </w:t>
      </w:r>
      <w:r>
        <w:rPr>
          <w:vertAlign w:val="baseline"/>
        </w:rPr>
        <w:t>stage</w:t>
      </w:r>
      <w:r>
        <w:rPr>
          <w:spacing w:val="-1"/>
          <w:vertAlign w:val="baseline"/>
        </w:rPr>
        <w:t> </w:t>
      </w:r>
      <w:r>
        <w:rPr>
          <w:vertAlign w:val="baseline"/>
        </w:rPr>
        <w:t>become bilateral, so that neither party could withdraw with impunity.</w:t>
      </w:r>
    </w:p>
    <w:p>
      <w:pPr>
        <w:pStyle w:val="BodyText"/>
      </w:pPr>
    </w:p>
    <w:p>
      <w:pPr>
        <w:pStyle w:val="BodyText"/>
        <w:spacing w:before="35"/>
      </w:pPr>
    </w:p>
    <w:p>
      <w:pPr>
        <w:spacing w:before="0"/>
        <w:ind w:left="164" w:right="0" w:firstLine="0"/>
        <w:jc w:val="both"/>
        <w:rPr>
          <w:rFonts w:ascii="Arial"/>
          <w:b/>
          <w:sz w:val="18"/>
        </w:rPr>
      </w:pPr>
      <w:r>
        <w:rPr>
          <w:rFonts w:ascii="Arial"/>
          <w:b/>
          <w:sz w:val="18"/>
        </w:rPr>
        <w:t>Extent of </w:t>
      </w:r>
      <w:r>
        <w:rPr>
          <w:rFonts w:ascii="Arial"/>
          <w:b/>
          <w:spacing w:val="-2"/>
          <w:sz w:val="18"/>
        </w:rPr>
        <w:t>liability</w:t>
      </w:r>
    </w:p>
    <w:p>
      <w:pPr>
        <w:pStyle w:val="BodyText"/>
        <w:spacing w:before="41"/>
        <w:rPr>
          <w:rFonts w:ascii="Arial"/>
          <w:b/>
          <w:sz w:val="18"/>
        </w:rPr>
      </w:pPr>
    </w:p>
    <w:p>
      <w:pPr>
        <w:pStyle w:val="Heading2"/>
        <w:ind w:left="164"/>
      </w:pPr>
      <w:r>
        <w:rPr/>
        <w:t>2-</w:t>
      </w:r>
      <w:r>
        <w:rPr>
          <w:spacing w:val="-5"/>
        </w:rPr>
        <w:t>091</w:t>
      </w:r>
    </w:p>
    <w:p>
      <w:pPr>
        <w:pStyle w:val="BodyText"/>
        <w:spacing w:line="235" w:lineRule="auto" w:before="203"/>
        <w:ind w:left="164" w:right="167"/>
        <w:jc w:val="both"/>
      </w:pPr>
      <w:r>
        <w:rPr/>
        <w:t>It is generally assumed that, where a unilateral contract takes the form of a promise to pay money, </w:t>
      </w:r>
      <w:r>
        <w:rPr/>
        <w:t>an offeror who purports to withdraw after part performance by the offeree must either be liable in full or not be liable at all. There, is, however, also an intermediate possibility. If, for example, the offer is </w:t>
      </w:r>
      <w:bookmarkStart w:name="_bookmark876" w:id="878"/>
      <w:bookmarkEnd w:id="878"/>
      <w:r>
        <w:rPr/>
        <w:t>withdrawn</w:t>
      </w:r>
      <w:r>
        <w:rPr/>
        <w:t> after the offeree has walked halfway to York, it is arguable that, on being notified of the </w:t>
      </w:r>
      <w:bookmarkStart w:name="_bookmark877" w:id="879"/>
      <w:bookmarkEnd w:id="879"/>
      <w:r>
        <w:rPr/>
        <w:t>withdrawal,</w:t>
      </w:r>
      <w:r>
        <w:rPr/>
        <w:t> he should desist and recover damages </w:t>
      </w:r>
      <w:r>
        <w:rPr>
          <w:color w:val="005DA1"/>
          <w:u w:val="single" w:color="005DA1"/>
          <w:vertAlign w:val="superscript"/>
        </w:rPr>
        <w:t>479</w:t>
      </w:r>
      <w:r>
        <w:rPr>
          <w:color w:val="005DA1"/>
          <w:vertAlign w:val="baseline"/>
        </w:rPr>
        <w:t> </w:t>
      </w:r>
      <w:r>
        <w:rPr>
          <w:vertAlign w:val="baseline"/>
        </w:rPr>
        <w:t>amounting to his expenses, or to the value of the chance of completing the walk, </w:t>
      </w:r>
      <w:r>
        <w:rPr>
          <w:color w:val="005DA1"/>
          <w:u w:val="single" w:color="005DA1"/>
          <w:vertAlign w:val="superscript"/>
        </w:rPr>
        <w:t>480</w:t>
      </w:r>
      <w:r>
        <w:rPr>
          <w:color w:val="005DA1"/>
          <w:vertAlign w:val="baseline"/>
        </w:rPr>
        <w:t> </w:t>
      </w:r>
      <w:r>
        <w:rPr>
          <w:vertAlign w:val="baseline"/>
        </w:rPr>
        <w:t>less the expenses saved by not completing it.</w:t>
      </w:r>
    </w:p>
    <w:p>
      <w:pPr>
        <w:pStyle w:val="BodyText"/>
      </w:pPr>
    </w:p>
    <w:p>
      <w:pPr>
        <w:pStyle w:val="BodyText"/>
        <w:spacing w:before="37"/>
      </w:pPr>
      <w:r>
        <w:rPr/>
        <mc:AlternateContent>
          <mc:Choice Requires="wps">
            <w:drawing>
              <wp:anchor distT="0" distB="0" distL="0" distR="0" allowOverlap="1" layoutInCell="1" locked="0" behindDoc="1" simplePos="0" relativeHeight="487607296">
                <wp:simplePos x="0" y="0"/>
                <wp:positionH relativeFrom="page">
                  <wp:posOffset>914400</wp:posOffset>
                </wp:positionH>
                <wp:positionV relativeFrom="paragraph">
                  <wp:posOffset>185352</wp:posOffset>
                </wp:positionV>
                <wp:extent cx="5724525" cy="1270"/>
                <wp:effectExtent l="0" t="0" r="0" b="0"/>
                <wp:wrapTopAndBottom/>
                <wp:docPr id="67" name="Graphic 67"/>
                <wp:cNvGraphicFramePr>
                  <a:graphicFrameLocks/>
                </wp:cNvGraphicFramePr>
                <a:graphic>
                  <a:graphicData uri="http://schemas.microsoft.com/office/word/2010/wordprocessingShape">
                    <wps:wsp>
                      <wps:cNvPr id="67" name="Graphic 6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94715pt;width:450.75pt;height:.1pt;mso-position-horizontal-relative:page;mso-position-vertical-relative:paragraph;z-index:-15709184;mso-wrap-distance-left:0;mso-wrap-distance-right:0" id="docshape20"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878" w:id="880"/>
      <w:bookmarkEnd w:id="880"/>
      <w:r>
        <w:rPr/>
      </w:r>
      <w:hyperlink w:history="true" w:anchor="_bookmark843">
        <w:r>
          <w:rPr>
            <w:color w:val="005DA1"/>
            <w:spacing w:val="-4"/>
            <w:position w:val="5"/>
            <w:sz w:val="14"/>
            <w:u w:val="single" w:color="005DA1"/>
          </w:rPr>
          <w:t>442</w:t>
        </w:r>
      </w:hyperlink>
      <w:r>
        <w:rPr>
          <w:spacing w:val="-4"/>
          <w:position w:val="5"/>
          <w:sz w:val="14"/>
        </w:rPr>
        <w:t>.</w:t>
      </w:r>
      <w:r>
        <w:rPr>
          <w:position w:val="5"/>
          <w:sz w:val="14"/>
        </w:rPr>
        <w:tab/>
      </w:r>
      <w:r>
        <w:rPr>
          <w:rFonts w:ascii="Arial"/>
          <w:i/>
          <w:sz w:val="20"/>
        </w:rPr>
        <w:t>Rogers</w:t>
      </w:r>
      <w:r>
        <w:rPr>
          <w:rFonts w:ascii="Arial"/>
          <w:i/>
          <w:spacing w:val="-1"/>
          <w:sz w:val="20"/>
        </w:rPr>
        <w:t> </w:t>
      </w:r>
      <w:r>
        <w:rPr>
          <w:rFonts w:ascii="Arial"/>
          <w:i/>
          <w:sz w:val="20"/>
        </w:rPr>
        <w:t>v Snow (1573) Dalison 94</w:t>
      </w:r>
      <w:r>
        <w:rPr>
          <w:sz w:val="20"/>
        </w:rPr>
        <w:t>; </w:t>
      </w:r>
      <w:r>
        <w:rPr>
          <w:rFonts w:ascii="Arial"/>
          <w:i/>
          <w:sz w:val="20"/>
        </w:rPr>
        <w:t>Great Northern Ry v Witham (1873) L.R. 9 C.P. 16, </w:t>
      </w:r>
      <w:r>
        <w:rPr>
          <w:rFonts w:ascii="Arial"/>
          <w:i/>
          <w:spacing w:val="-5"/>
          <w:sz w:val="20"/>
        </w:rPr>
        <w:t>19</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879" w:id="881"/>
      <w:bookmarkEnd w:id="881"/>
      <w:r>
        <w:rPr/>
      </w:r>
      <w:hyperlink w:history="true" w:anchor="_bookmark843">
        <w:r>
          <w:rPr>
            <w:color w:val="005DA1"/>
            <w:spacing w:val="-4"/>
            <w:position w:val="5"/>
            <w:sz w:val="14"/>
            <w:u w:val="single" w:color="005DA1"/>
          </w:rPr>
          <w:t>443</w:t>
        </w:r>
      </w:hyperlink>
      <w:r>
        <w:rPr>
          <w:spacing w:val="-4"/>
          <w:position w:val="5"/>
          <w:sz w:val="14"/>
        </w:rPr>
        <w:t>.</w:t>
      </w:r>
      <w:r>
        <w:rPr>
          <w:position w:val="5"/>
          <w:sz w:val="14"/>
        </w:rPr>
        <w:tab/>
      </w:r>
      <w:r>
        <w:rPr>
          <w:sz w:val="20"/>
        </w:rPr>
        <w:t>cf. </w:t>
      </w:r>
      <w:r>
        <w:rPr>
          <w:rFonts w:ascii="Arial"/>
          <w:i/>
          <w:sz w:val="20"/>
        </w:rPr>
        <w:t>Hamer v Sidway 124 N.Y. 538 </w:t>
      </w:r>
      <w:r>
        <w:rPr>
          <w:rFonts w:ascii="Arial"/>
          <w:i/>
          <w:spacing w:val="-2"/>
          <w:sz w:val="20"/>
        </w:rPr>
        <w:t>(1881)</w:t>
      </w:r>
      <w:r>
        <w:rPr>
          <w:spacing w:val="-2"/>
          <w:sz w:val="20"/>
        </w:rPr>
        <w:t>.</w:t>
      </w:r>
    </w:p>
    <w:p>
      <w:pPr>
        <w:pStyle w:val="BodyText"/>
        <w:spacing w:before="5"/>
      </w:pPr>
    </w:p>
    <w:p>
      <w:pPr>
        <w:pStyle w:val="BodyText"/>
        <w:tabs>
          <w:tab w:pos="705" w:val="left" w:leader="none"/>
        </w:tabs>
        <w:ind w:left="165"/>
      </w:pPr>
      <w:bookmarkStart w:name="_bookmark880" w:id="882"/>
      <w:bookmarkEnd w:id="882"/>
      <w:r>
        <w:rPr/>
      </w:r>
      <w:hyperlink w:history="true" w:anchor="_bookmark844">
        <w:r>
          <w:rPr>
            <w:color w:val="005DA1"/>
            <w:spacing w:val="-4"/>
            <w:position w:val="5"/>
            <w:sz w:val="14"/>
            <w:u w:val="single" w:color="005DA1"/>
          </w:rPr>
          <w:t>444</w:t>
        </w:r>
      </w:hyperlink>
      <w:r>
        <w:rPr>
          <w:spacing w:val="-4"/>
          <w:position w:val="5"/>
          <w:sz w:val="14"/>
        </w:rPr>
        <w:t>.</w:t>
      </w:r>
      <w:r>
        <w:rPr>
          <w:position w:val="5"/>
          <w:sz w:val="14"/>
        </w:rPr>
        <w:tab/>
      </w:r>
      <w:r>
        <w:rPr/>
        <w:t>See</w:t>
      </w:r>
      <w:r>
        <w:rPr>
          <w:spacing w:val="-2"/>
        </w:rPr>
        <w:t> </w:t>
      </w:r>
      <w:r>
        <w:rPr/>
        <w:t>below, para.2-</w:t>
      </w:r>
      <w:r>
        <w:rPr>
          <w:spacing w:val="-4"/>
        </w:rPr>
        <w:t>090.</w:t>
      </w:r>
    </w:p>
    <w:p>
      <w:pPr>
        <w:pStyle w:val="BodyText"/>
        <w:spacing w:before="9"/>
      </w:pPr>
    </w:p>
    <w:p>
      <w:pPr>
        <w:tabs>
          <w:tab w:pos="705" w:val="left" w:leader="none"/>
        </w:tabs>
        <w:spacing w:line="235" w:lineRule="auto" w:before="0"/>
        <w:ind w:left="705" w:right="168" w:hanging="541"/>
        <w:jc w:val="left"/>
        <w:rPr>
          <w:sz w:val="20"/>
        </w:rPr>
      </w:pPr>
      <w:bookmarkStart w:name="_bookmark881" w:id="883"/>
      <w:bookmarkEnd w:id="883"/>
      <w:r>
        <w:rPr/>
      </w:r>
      <w:hyperlink w:history="true" w:anchor="_bookmark845">
        <w:r>
          <w:rPr>
            <w:color w:val="005DA1"/>
            <w:spacing w:val="-4"/>
            <w:position w:val="5"/>
            <w:sz w:val="14"/>
            <w:u w:val="single" w:color="005DA1"/>
          </w:rPr>
          <w:t>445</w:t>
        </w:r>
      </w:hyperlink>
      <w:r>
        <w:rPr>
          <w:spacing w:val="-4"/>
          <w:position w:val="5"/>
          <w:sz w:val="14"/>
        </w:rPr>
        <w:t>.</w:t>
      </w:r>
      <w:r>
        <w:rPr>
          <w:position w:val="5"/>
          <w:sz w:val="14"/>
        </w:rPr>
        <w:tab/>
      </w:r>
      <w:r>
        <w:rPr>
          <w:sz w:val="20"/>
        </w:rPr>
        <w:t>See </w:t>
      </w:r>
      <w:r>
        <w:rPr>
          <w:rFonts w:ascii="Arial"/>
          <w:i/>
          <w:sz w:val="20"/>
        </w:rPr>
        <w:t>Daulia Ltd v Four Millbank Nominees Ltd [1978] Ch. 231, 238</w:t>
      </w:r>
      <w:r>
        <w:rPr>
          <w:sz w:val="20"/>
        </w:rPr>
        <w:t>; </w:t>
      </w:r>
      <w:r>
        <w:rPr>
          <w:rFonts w:ascii="Arial"/>
          <w:i/>
          <w:sz w:val="20"/>
        </w:rPr>
        <w:t>Harvela Investments Ltd </w:t>
      </w:r>
      <w:r>
        <w:rPr>
          <w:rFonts w:ascii="Arial"/>
          <w:i/>
          <w:sz w:val="20"/>
        </w:rPr>
        <w:t>v Royal Trust of Canada (C.I.) Ltd [1986] A.C. 207, 229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882" w:id="884"/>
      <w:bookmarkEnd w:id="884"/>
      <w:r>
        <w:rPr/>
      </w:r>
      <w:hyperlink w:history="true" w:anchor="_bookmark846">
        <w:r>
          <w:rPr>
            <w:color w:val="005DA1"/>
            <w:spacing w:val="-4"/>
            <w:position w:val="5"/>
            <w:sz w:val="14"/>
            <w:u w:val="single" w:color="005DA1"/>
          </w:rPr>
          <w:t>446</w:t>
        </w:r>
      </w:hyperlink>
      <w:r>
        <w:rPr>
          <w:spacing w:val="-4"/>
          <w:position w:val="5"/>
          <w:sz w:val="14"/>
        </w:rPr>
        <w:t>.</w:t>
      </w:r>
      <w:r>
        <w:rPr>
          <w:position w:val="5"/>
          <w:sz w:val="14"/>
        </w:rPr>
        <w:tab/>
      </w:r>
      <w:r>
        <w:rPr>
          <w:rFonts w:ascii="Arial"/>
          <w:i/>
          <w:sz w:val="20"/>
        </w:rPr>
        <w:t>Carlill v Carbolic Smoke Ball Co [1893] 1 Q.B. 256</w:t>
      </w:r>
      <w:r>
        <w:rPr>
          <w:sz w:val="20"/>
        </w:rPr>
        <w:t>; </w:t>
      </w:r>
      <w:r>
        <w:rPr>
          <w:rFonts w:ascii="Arial"/>
          <w:i/>
          <w:sz w:val="20"/>
        </w:rPr>
        <w:t>Bowerman v Association of British Travel</w:t>
      </w:r>
      <w:r>
        <w:rPr>
          <w:rFonts w:ascii="Arial"/>
          <w:i/>
          <w:spacing w:val="80"/>
          <w:sz w:val="20"/>
        </w:rPr>
        <w:t> </w:t>
      </w:r>
      <w:r>
        <w:rPr>
          <w:rFonts w:ascii="Arial"/>
          <w:i/>
          <w:sz w:val="20"/>
        </w:rPr>
        <w:t>Agents [1995] N.L.J. 1815</w:t>
      </w:r>
      <w:r>
        <w:rPr>
          <w:sz w:val="20"/>
        </w:rPr>
        <w:t>.</w:t>
      </w:r>
    </w:p>
    <w:p>
      <w:pPr>
        <w:pStyle w:val="BodyText"/>
        <w:spacing w:before="6"/>
      </w:pPr>
    </w:p>
    <w:p>
      <w:pPr>
        <w:tabs>
          <w:tab w:pos="705" w:val="left" w:leader="none"/>
        </w:tabs>
        <w:spacing w:before="0"/>
        <w:ind w:left="165" w:right="0" w:firstLine="0"/>
        <w:jc w:val="left"/>
        <w:rPr>
          <w:sz w:val="20"/>
        </w:rPr>
      </w:pPr>
      <w:bookmarkStart w:name="_bookmark883" w:id="885"/>
      <w:bookmarkEnd w:id="885"/>
      <w:r>
        <w:rPr/>
      </w:r>
      <w:hyperlink w:history="true" w:anchor="_bookmark847">
        <w:r>
          <w:rPr>
            <w:color w:val="005DA1"/>
            <w:spacing w:val="-4"/>
            <w:position w:val="5"/>
            <w:sz w:val="14"/>
            <w:u w:val="single" w:color="005DA1"/>
          </w:rPr>
          <w:t>447</w:t>
        </w:r>
      </w:hyperlink>
      <w:r>
        <w:rPr>
          <w:spacing w:val="-4"/>
          <w:position w:val="5"/>
          <w:sz w:val="14"/>
        </w:rPr>
        <w:t>.</w:t>
      </w:r>
      <w:r>
        <w:rPr>
          <w:position w:val="5"/>
          <w:sz w:val="14"/>
        </w:rPr>
        <w:tab/>
      </w:r>
      <w:r>
        <w:rPr>
          <w:sz w:val="20"/>
        </w:rPr>
        <w:t>Below, para.2-</w:t>
      </w:r>
      <w:r>
        <w:rPr>
          <w:spacing w:val="-4"/>
          <w:sz w:val="20"/>
        </w:rPr>
        <w:t>093.</w:t>
      </w:r>
    </w:p>
    <w:p>
      <w:pPr>
        <w:pStyle w:val="BodyText"/>
        <w:spacing w:before="5"/>
      </w:pPr>
    </w:p>
    <w:p>
      <w:pPr>
        <w:tabs>
          <w:tab w:pos="705" w:val="left" w:leader="none"/>
        </w:tabs>
        <w:spacing w:before="0"/>
        <w:ind w:left="165" w:right="0" w:firstLine="0"/>
        <w:jc w:val="left"/>
        <w:rPr>
          <w:sz w:val="20"/>
        </w:rPr>
      </w:pPr>
      <w:bookmarkStart w:name="_bookmark884" w:id="886"/>
      <w:bookmarkEnd w:id="886"/>
      <w:r>
        <w:rPr/>
      </w:r>
      <w:hyperlink w:history="true" w:anchor="_bookmark848">
        <w:r>
          <w:rPr>
            <w:color w:val="005DA1"/>
            <w:spacing w:val="-4"/>
            <w:position w:val="5"/>
            <w:sz w:val="14"/>
            <w:u w:val="single" w:color="005DA1"/>
          </w:rPr>
          <w:t>448</w:t>
        </w:r>
      </w:hyperlink>
      <w:r>
        <w:rPr>
          <w:spacing w:val="-4"/>
          <w:position w:val="5"/>
          <w:sz w:val="14"/>
        </w:rPr>
        <w:t>.</w:t>
      </w:r>
      <w:r>
        <w:rPr>
          <w:position w:val="5"/>
          <w:sz w:val="14"/>
        </w:rPr>
        <w:tab/>
      </w:r>
      <w:r>
        <w:rPr>
          <w:sz w:val="20"/>
        </w:rPr>
        <w:t>Below, para.4-</w:t>
      </w:r>
      <w:r>
        <w:rPr>
          <w:spacing w:val="-4"/>
          <w:sz w:val="20"/>
        </w:rPr>
        <w:t>191.</w:t>
      </w:r>
    </w:p>
    <w:p>
      <w:pPr>
        <w:pStyle w:val="BodyText"/>
        <w:spacing w:before="8"/>
      </w:pPr>
    </w:p>
    <w:p>
      <w:pPr>
        <w:spacing w:line="235" w:lineRule="auto" w:before="1"/>
        <w:ind w:left="705" w:right="167" w:hanging="541"/>
        <w:jc w:val="both"/>
        <w:rPr>
          <w:sz w:val="20"/>
        </w:rPr>
      </w:pPr>
      <w:bookmarkStart w:name="_bookmark885" w:id="887"/>
      <w:bookmarkEnd w:id="887"/>
      <w:r>
        <w:rPr/>
      </w:r>
      <w:hyperlink w:history="true" w:anchor="_bookmark849">
        <w:r>
          <w:rPr>
            <w:color w:val="005DA1"/>
            <w:position w:val="5"/>
            <w:sz w:val="14"/>
            <w:u w:val="single" w:color="005DA1"/>
          </w:rPr>
          <w:t>449</w:t>
        </w:r>
      </w:hyperlink>
      <w:r>
        <w:rPr>
          <w:position w:val="5"/>
          <w:sz w:val="14"/>
        </w:rPr>
        <w:t>.</w:t>
      </w:r>
      <w:r>
        <w:rPr>
          <w:spacing w:val="80"/>
          <w:position w:val="5"/>
          <w:sz w:val="14"/>
        </w:rPr>
        <w:t>  </w:t>
      </w:r>
      <w:r>
        <w:rPr>
          <w:sz w:val="20"/>
        </w:rPr>
        <w:t>Lord</w:t>
      </w:r>
      <w:r>
        <w:rPr>
          <w:spacing w:val="-2"/>
          <w:sz w:val="20"/>
        </w:rPr>
        <w:t> </w:t>
      </w:r>
      <w:r>
        <w:rPr>
          <w:sz w:val="20"/>
        </w:rPr>
        <w:t>Diplock</w:t>
      </w:r>
      <w:r>
        <w:rPr>
          <w:spacing w:val="-2"/>
          <w:sz w:val="20"/>
        </w:rPr>
        <w:t> </w:t>
      </w:r>
      <w:r>
        <w:rPr>
          <w:sz w:val="20"/>
        </w:rPr>
        <w:t>in</w:t>
      </w:r>
      <w:r>
        <w:rPr>
          <w:spacing w:val="-3"/>
          <w:sz w:val="20"/>
        </w:rPr>
        <w:t> </w:t>
      </w:r>
      <w:r>
        <w:rPr>
          <w:rFonts w:ascii="Arial"/>
          <w:i/>
          <w:sz w:val="20"/>
        </w:rPr>
        <w:t>Harvela</w:t>
      </w:r>
      <w:r>
        <w:rPr>
          <w:rFonts w:ascii="Arial"/>
          <w:i/>
          <w:spacing w:val="-2"/>
          <w:sz w:val="20"/>
        </w:rPr>
        <w:t> </w:t>
      </w:r>
      <w:r>
        <w:rPr>
          <w:rFonts w:ascii="Arial"/>
          <w:i/>
          <w:sz w:val="20"/>
        </w:rPr>
        <w:t>Investments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Royal</w:t>
      </w:r>
      <w:r>
        <w:rPr>
          <w:rFonts w:ascii="Arial"/>
          <w:i/>
          <w:spacing w:val="-2"/>
          <w:sz w:val="20"/>
        </w:rPr>
        <w:t> </w:t>
      </w:r>
      <w:r>
        <w:rPr>
          <w:rFonts w:ascii="Arial"/>
          <w:i/>
          <w:sz w:val="20"/>
        </w:rPr>
        <w:t>Trust</w:t>
      </w:r>
      <w:r>
        <w:rPr>
          <w:rFonts w:ascii="Arial"/>
          <w:i/>
          <w:spacing w:val="-2"/>
          <w:sz w:val="20"/>
        </w:rPr>
        <w:t> </w:t>
      </w:r>
      <w:r>
        <w:rPr>
          <w:rFonts w:ascii="Arial"/>
          <w:i/>
          <w:sz w:val="20"/>
        </w:rPr>
        <w:t>of</w:t>
      </w:r>
      <w:r>
        <w:rPr>
          <w:rFonts w:ascii="Arial"/>
          <w:i/>
          <w:spacing w:val="-2"/>
          <w:sz w:val="20"/>
        </w:rPr>
        <w:t> </w:t>
      </w:r>
      <w:r>
        <w:rPr>
          <w:rFonts w:ascii="Arial"/>
          <w:i/>
          <w:sz w:val="20"/>
        </w:rPr>
        <w:t>Canada</w:t>
      </w:r>
      <w:r>
        <w:rPr>
          <w:rFonts w:ascii="Arial"/>
          <w:i/>
          <w:spacing w:val="-2"/>
          <w:sz w:val="20"/>
        </w:rPr>
        <w:t> </w:t>
      </w:r>
      <w:r>
        <w:rPr>
          <w:rFonts w:ascii="Arial"/>
          <w:i/>
          <w:sz w:val="20"/>
        </w:rPr>
        <w:t>(C.I.)</w:t>
      </w:r>
      <w:r>
        <w:rPr>
          <w:rFonts w:ascii="Arial"/>
          <w:i/>
          <w:spacing w:val="-2"/>
          <w:sz w:val="20"/>
        </w:rPr>
        <w:t> </w:t>
      </w:r>
      <w:r>
        <w:rPr>
          <w:rFonts w:ascii="Arial"/>
          <w:i/>
          <w:sz w:val="20"/>
        </w:rPr>
        <w:t>Ltd</w:t>
      </w:r>
      <w:r>
        <w:rPr>
          <w:rFonts w:ascii="Arial"/>
          <w:i/>
          <w:spacing w:val="-2"/>
          <w:sz w:val="20"/>
        </w:rPr>
        <w:t> </w:t>
      </w:r>
      <w:r>
        <w:rPr>
          <w:rFonts w:ascii="Arial"/>
          <w:i/>
          <w:sz w:val="20"/>
        </w:rPr>
        <w:t>[1986]</w:t>
      </w:r>
      <w:r>
        <w:rPr>
          <w:rFonts w:ascii="Arial"/>
          <w:i/>
          <w:spacing w:val="-2"/>
          <w:sz w:val="20"/>
        </w:rPr>
        <w:t> </w:t>
      </w:r>
      <w:r>
        <w:rPr>
          <w:rFonts w:ascii="Arial"/>
          <w:i/>
          <w:sz w:val="20"/>
        </w:rPr>
        <w:t>A.C.</w:t>
      </w:r>
      <w:r>
        <w:rPr>
          <w:rFonts w:ascii="Arial"/>
          <w:i/>
          <w:spacing w:val="-2"/>
          <w:sz w:val="20"/>
        </w:rPr>
        <w:t> </w:t>
      </w:r>
      <w:r>
        <w:rPr>
          <w:rFonts w:ascii="Arial"/>
          <w:i/>
          <w:sz w:val="20"/>
        </w:rPr>
        <w:t>207,</w:t>
      </w:r>
      <w:r>
        <w:rPr>
          <w:rFonts w:ascii="Arial"/>
          <w:i/>
          <w:spacing w:val="-2"/>
          <w:sz w:val="20"/>
        </w:rPr>
        <w:t> </w:t>
      </w:r>
      <w:r>
        <w:rPr>
          <w:rFonts w:ascii="Arial"/>
          <w:i/>
          <w:sz w:val="20"/>
        </w:rPr>
        <w:t>224 </w:t>
      </w:r>
      <w:r>
        <w:rPr>
          <w:sz w:val="20"/>
        </w:rPr>
        <w:t>can be read as depriving the offeror of the power to withdraw as soon as his offer is communicated (i.e. before any performance by the offeree); but in that case the offeree had completely performed the required act by making the requested bid.</w:t>
      </w:r>
    </w:p>
    <w:p>
      <w:pPr>
        <w:pStyle w:val="BodyText"/>
        <w:spacing w:before="4"/>
      </w:pPr>
    </w:p>
    <w:p>
      <w:pPr>
        <w:tabs>
          <w:tab w:pos="705" w:val="left" w:leader="none"/>
        </w:tabs>
        <w:spacing w:before="0"/>
        <w:ind w:left="165" w:right="0" w:firstLine="0"/>
        <w:jc w:val="left"/>
        <w:rPr>
          <w:sz w:val="20"/>
        </w:rPr>
      </w:pPr>
      <w:bookmarkStart w:name="_bookmark886" w:id="888"/>
      <w:bookmarkEnd w:id="888"/>
      <w:r>
        <w:rPr/>
      </w:r>
      <w:hyperlink w:history="true" w:anchor="_bookmark849">
        <w:r>
          <w:rPr>
            <w:color w:val="005DA1"/>
            <w:spacing w:val="-4"/>
            <w:position w:val="5"/>
            <w:sz w:val="14"/>
            <w:u w:val="single" w:color="005DA1"/>
          </w:rPr>
          <w:t>450</w:t>
        </w:r>
      </w:hyperlink>
      <w:r>
        <w:rPr>
          <w:spacing w:val="-4"/>
          <w:position w:val="5"/>
          <w:sz w:val="14"/>
        </w:rPr>
        <w:t>.</w:t>
      </w:r>
      <w:r>
        <w:rPr>
          <w:position w:val="5"/>
          <w:sz w:val="14"/>
        </w:rPr>
        <w:tab/>
      </w:r>
      <w:r>
        <w:rPr>
          <w:sz w:val="20"/>
        </w:rPr>
        <w:t>See n.444 </w:t>
      </w:r>
      <w:r>
        <w:rPr>
          <w:spacing w:val="-2"/>
          <w:sz w:val="20"/>
        </w:rPr>
        <w:t>below.</w:t>
      </w:r>
    </w:p>
    <w:p>
      <w:pPr>
        <w:pStyle w:val="BodyText"/>
        <w:spacing w:before="5"/>
      </w:pPr>
    </w:p>
    <w:p>
      <w:pPr>
        <w:tabs>
          <w:tab w:pos="705" w:val="left" w:leader="none"/>
        </w:tabs>
        <w:spacing w:before="0"/>
        <w:ind w:left="165" w:right="0" w:firstLine="0"/>
        <w:jc w:val="left"/>
        <w:rPr>
          <w:sz w:val="20"/>
        </w:rPr>
      </w:pPr>
      <w:bookmarkStart w:name="_bookmark887" w:id="889"/>
      <w:bookmarkEnd w:id="889"/>
      <w:r>
        <w:rPr/>
      </w:r>
      <w:hyperlink w:history="true" w:anchor="_bookmark850">
        <w:r>
          <w:rPr>
            <w:color w:val="005DA1"/>
            <w:spacing w:val="-4"/>
            <w:position w:val="5"/>
            <w:sz w:val="14"/>
            <w:u w:val="single" w:color="005DA1"/>
          </w:rPr>
          <w:t>451</w:t>
        </w:r>
      </w:hyperlink>
      <w:r>
        <w:rPr>
          <w:spacing w:val="-4"/>
          <w:position w:val="5"/>
          <w:sz w:val="14"/>
        </w:rPr>
        <w:t>.</w:t>
      </w:r>
      <w:r>
        <w:rPr>
          <w:position w:val="5"/>
          <w:sz w:val="14"/>
        </w:rPr>
        <w:tab/>
      </w:r>
      <w:r>
        <w:rPr>
          <w:sz w:val="20"/>
        </w:rPr>
        <w:t>Pollock,</w:t>
      </w:r>
      <w:r>
        <w:rPr>
          <w:spacing w:val="-4"/>
          <w:sz w:val="20"/>
        </w:rPr>
        <w:t> </w:t>
      </w:r>
      <w:r>
        <w:rPr>
          <w:rFonts w:ascii="Arial"/>
          <w:i/>
          <w:sz w:val="20"/>
        </w:rPr>
        <w:t>Principles of Contract</w:t>
      </w:r>
      <w:r>
        <w:rPr>
          <w:sz w:val="20"/>
        </w:rPr>
        <w:t>, 13th edn (1950), </w:t>
      </w:r>
      <w:r>
        <w:rPr>
          <w:spacing w:val="-2"/>
          <w:sz w:val="20"/>
        </w:rPr>
        <w:t>p.19.</w:t>
      </w:r>
    </w:p>
    <w:p>
      <w:pPr>
        <w:pStyle w:val="BodyText"/>
        <w:spacing w:before="5"/>
      </w:pPr>
    </w:p>
    <w:p>
      <w:pPr>
        <w:pStyle w:val="BodyText"/>
        <w:tabs>
          <w:tab w:pos="705" w:val="left" w:leader="none"/>
        </w:tabs>
        <w:ind w:left="165"/>
      </w:pPr>
      <w:bookmarkStart w:name="_bookmark888" w:id="890"/>
      <w:bookmarkEnd w:id="890"/>
      <w:r>
        <w:rPr/>
      </w:r>
      <w:hyperlink w:history="true" w:anchor="_bookmark851">
        <w:r>
          <w:rPr>
            <w:color w:val="005DA1"/>
            <w:spacing w:val="-4"/>
            <w:position w:val="5"/>
            <w:sz w:val="14"/>
            <w:u w:val="single" w:color="005DA1"/>
          </w:rPr>
          <w:t>452</w:t>
        </w:r>
      </w:hyperlink>
      <w:r>
        <w:rPr>
          <w:spacing w:val="-4"/>
          <w:position w:val="5"/>
          <w:sz w:val="14"/>
        </w:rPr>
        <w:t>.</w:t>
      </w:r>
      <w:r>
        <w:rPr>
          <w:position w:val="5"/>
          <w:sz w:val="14"/>
        </w:rPr>
        <w:tab/>
      </w:r>
      <w:r>
        <w:rPr/>
        <w:t>For a quasi-exception, see para.2-091 </w:t>
      </w:r>
      <w:r>
        <w:rPr>
          <w:spacing w:val="-2"/>
        </w:rPr>
        <w:t>below.</w:t>
      </w:r>
    </w:p>
    <w:p>
      <w:pPr>
        <w:pStyle w:val="BodyText"/>
        <w:spacing w:before="5"/>
      </w:pPr>
    </w:p>
    <w:p>
      <w:pPr>
        <w:pStyle w:val="BodyText"/>
        <w:tabs>
          <w:tab w:pos="705" w:val="left" w:leader="none"/>
        </w:tabs>
        <w:ind w:left="165"/>
      </w:pPr>
      <w:bookmarkStart w:name="_bookmark889" w:id="891"/>
      <w:bookmarkEnd w:id="891"/>
      <w:r>
        <w:rPr/>
      </w:r>
      <w:hyperlink w:history="true" w:anchor="_bookmark852">
        <w:r>
          <w:rPr>
            <w:color w:val="005DA1"/>
            <w:spacing w:val="-4"/>
            <w:position w:val="5"/>
            <w:sz w:val="14"/>
            <w:u w:val="single" w:color="005DA1"/>
          </w:rPr>
          <w:t>453</w:t>
        </w:r>
      </w:hyperlink>
      <w:r>
        <w:rPr>
          <w:spacing w:val="-4"/>
          <w:position w:val="5"/>
          <w:sz w:val="14"/>
        </w:rPr>
        <w:t>.</w:t>
      </w:r>
      <w:r>
        <w:rPr>
          <w:position w:val="5"/>
          <w:sz w:val="14"/>
        </w:rPr>
        <w:tab/>
      </w:r>
      <w:r>
        <w:rPr/>
        <w:t>i.e.</w:t>
      </w:r>
      <w:r>
        <w:rPr>
          <w:spacing w:val="18"/>
        </w:rPr>
        <w:t> </w:t>
      </w:r>
      <w:r>
        <w:rPr/>
        <w:t>so</w:t>
      </w:r>
      <w:r>
        <w:rPr>
          <w:spacing w:val="18"/>
        </w:rPr>
        <w:t> </w:t>
      </w:r>
      <w:r>
        <w:rPr/>
        <w:t>long</w:t>
      </w:r>
      <w:r>
        <w:rPr>
          <w:spacing w:val="18"/>
        </w:rPr>
        <w:t> </w:t>
      </w:r>
      <w:r>
        <w:rPr/>
        <w:t>as</w:t>
      </w:r>
      <w:r>
        <w:rPr>
          <w:spacing w:val="18"/>
        </w:rPr>
        <w:t> </w:t>
      </w:r>
      <w:r>
        <w:rPr/>
        <w:t>no</w:t>
      </w:r>
      <w:r>
        <w:rPr>
          <w:spacing w:val="18"/>
        </w:rPr>
        <w:t> </w:t>
      </w:r>
      <w:r>
        <w:rPr/>
        <w:t>locus</w:t>
      </w:r>
      <w:r>
        <w:rPr>
          <w:spacing w:val="18"/>
        </w:rPr>
        <w:t> </w:t>
      </w:r>
      <w:r>
        <w:rPr/>
        <w:t>poenitentiae</w:t>
      </w:r>
      <w:r>
        <w:rPr>
          <w:spacing w:val="18"/>
        </w:rPr>
        <w:t> </w:t>
      </w:r>
      <w:r>
        <w:rPr/>
        <w:t>has</w:t>
      </w:r>
      <w:r>
        <w:rPr>
          <w:spacing w:val="18"/>
        </w:rPr>
        <w:t> </w:t>
      </w:r>
      <w:r>
        <w:rPr/>
        <w:t>been</w:t>
      </w:r>
      <w:r>
        <w:rPr>
          <w:spacing w:val="18"/>
        </w:rPr>
        <w:t> </w:t>
      </w:r>
      <w:r>
        <w:rPr/>
        <w:t>reserved</w:t>
      </w:r>
      <w:r>
        <w:rPr>
          <w:spacing w:val="18"/>
        </w:rPr>
        <w:t> </w:t>
      </w:r>
      <w:r>
        <w:rPr/>
        <w:t>and</w:t>
      </w:r>
      <w:r>
        <w:rPr>
          <w:spacing w:val="18"/>
        </w:rPr>
        <w:t> </w:t>
      </w:r>
      <w:r>
        <w:rPr/>
        <w:t>so</w:t>
      </w:r>
      <w:r>
        <w:rPr>
          <w:spacing w:val="18"/>
        </w:rPr>
        <w:t> </w:t>
      </w:r>
      <w:r>
        <w:rPr/>
        <w:t>long</w:t>
      </w:r>
      <w:r>
        <w:rPr>
          <w:spacing w:val="18"/>
        </w:rPr>
        <w:t> </w:t>
      </w:r>
      <w:r>
        <w:rPr/>
        <w:t>as</w:t>
      </w:r>
      <w:r>
        <w:rPr>
          <w:spacing w:val="18"/>
        </w:rPr>
        <w:t> </w:t>
      </w:r>
      <w:r>
        <w:rPr/>
        <w:t>performance</w:t>
      </w:r>
      <w:r>
        <w:rPr>
          <w:spacing w:val="18"/>
        </w:rPr>
        <w:t> </w:t>
      </w:r>
      <w:r>
        <w:rPr>
          <w:spacing w:val="-2"/>
        </w:rPr>
        <w:t>remains</w:t>
      </w:r>
    </w:p>
    <w:p>
      <w:pPr>
        <w:pStyle w:val="BodyText"/>
        <w:spacing w:after="0"/>
        <w:sectPr>
          <w:pgSz w:w="11900" w:h="16840"/>
          <w:pgMar w:header="971" w:footer="0" w:top="1300" w:bottom="280" w:left="1275" w:right="1275"/>
        </w:sectPr>
      </w:pPr>
    </w:p>
    <w:p>
      <w:pPr>
        <w:pStyle w:val="BodyText"/>
        <w:spacing w:line="235" w:lineRule="auto" w:before="170"/>
        <w:ind w:left="705" w:right="167"/>
        <w:jc w:val="both"/>
      </w:pPr>
      <w:r>
        <w:rPr/>
        <w:t>within the offeree’s power: see </w:t>
      </w:r>
      <w:r>
        <w:rPr>
          <w:rFonts w:ascii="Arial" w:hAnsi="Arial"/>
          <w:i/>
        </w:rPr>
        <w:t>Morrison S.S. Co v The Crown (1924) 20 Ll.L. Rep. 283 </w:t>
      </w:r>
      <w:r>
        <w:rPr/>
        <w:t>(where the House of Lords held that the offer could be withdrawn, in spite of the fact that the </w:t>
      </w:r>
      <w:r>
        <w:rPr/>
        <w:t>offeree had taken steps towards performance, as the acts of foreign governments had made it impossible for the offeree to complete performance).</w:t>
      </w:r>
    </w:p>
    <w:p>
      <w:pPr>
        <w:pStyle w:val="BodyText"/>
        <w:spacing w:before="9"/>
      </w:pPr>
    </w:p>
    <w:p>
      <w:pPr>
        <w:pStyle w:val="BodyText"/>
        <w:spacing w:line="235" w:lineRule="auto"/>
        <w:ind w:left="705" w:right="167" w:hanging="541"/>
        <w:jc w:val="both"/>
      </w:pPr>
      <w:bookmarkStart w:name="_bookmark890" w:id="892"/>
      <w:bookmarkEnd w:id="892"/>
      <w:r>
        <w:rPr/>
      </w:r>
      <w:hyperlink w:history="true" w:anchor="_bookmark853">
        <w:r>
          <w:rPr>
            <w:color w:val="005DA1"/>
            <w:position w:val="5"/>
            <w:sz w:val="14"/>
            <w:u w:val="single" w:color="005DA1"/>
          </w:rPr>
          <w:t>454</w:t>
        </w:r>
      </w:hyperlink>
      <w:r>
        <w:rPr>
          <w:position w:val="5"/>
          <w:sz w:val="14"/>
        </w:rPr>
        <w:t>.</w:t>
      </w:r>
      <w:r>
        <w:rPr>
          <w:spacing w:val="80"/>
          <w:position w:val="5"/>
          <w:sz w:val="14"/>
        </w:rPr>
        <w:t>  </w:t>
      </w:r>
      <w:r>
        <w:rPr/>
        <w:t>The</w:t>
      </w:r>
      <w:r>
        <w:rPr>
          <w:spacing w:val="40"/>
        </w:rPr>
        <w:t> </w:t>
      </w:r>
      <w:r>
        <w:rPr/>
        <w:t>corresponding</w:t>
      </w:r>
      <w:r>
        <w:rPr>
          <w:spacing w:val="40"/>
        </w:rPr>
        <w:t> </w:t>
      </w:r>
      <w:r>
        <w:rPr/>
        <w:t>paragraph</w:t>
      </w:r>
      <w:r>
        <w:rPr>
          <w:spacing w:val="40"/>
        </w:rPr>
        <w:t> </w:t>
      </w:r>
      <w:r>
        <w:rPr/>
        <w:t>of</w:t>
      </w:r>
      <w:r>
        <w:rPr>
          <w:spacing w:val="40"/>
        </w:rPr>
        <w:t> </w:t>
      </w:r>
      <w:r>
        <w:rPr/>
        <w:t>the</w:t>
      </w:r>
      <w:r>
        <w:rPr>
          <w:spacing w:val="40"/>
        </w:rPr>
        <w:t> </w:t>
      </w:r>
      <w:r>
        <w:rPr/>
        <w:t>above</w:t>
      </w:r>
      <w:r>
        <w:rPr>
          <w:spacing w:val="40"/>
        </w:rPr>
        <w:t> </w:t>
      </w:r>
      <w:r>
        <w:rPr/>
        <w:t>text</w:t>
      </w:r>
      <w:r>
        <w:rPr>
          <w:spacing w:val="40"/>
        </w:rPr>
        <w:t> </w:t>
      </w:r>
      <w:r>
        <w:rPr/>
        <w:t>in</w:t>
      </w:r>
      <w:r>
        <w:rPr>
          <w:spacing w:val="40"/>
        </w:rPr>
        <w:t> </w:t>
      </w:r>
      <w:r>
        <w:rPr/>
        <w:t>the</w:t>
      </w:r>
      <w:r>
        <w:rPr>
          <w:spacing w:val="40"/>
        </w:rPr>
        <w:t> </w:t>
      </w:r>
      <w:r>
        <w:rPr/>
        <w:t>29th</w:t>
      </w:r>
      <w:r>
        <w:rPr>
          <w:spacing w:val="40"/>
        </w:rPr>
        <w:t> </w:t>
      </w:r>
      <w:r>
        <w:rPr/>
        <w:t>edition</w:t>
      </w:r>
      <w:r>
        <w:rPr>
          <w:spacing w:val="40"/>
        </w:rPr>
        <w:t> </w:t>
      </w:r>
      <w:r>
        <w:rPr/>
        <w:t>of</w:t>
      </w:r>
      <w:r>
        <w:rPr>
          <w:spacing w:val="40"/>
        </w:rPr>
        <w:t> </w:t>
      </w:r>
      <w:r>
        <w:rPr/>
        <w:t>this</w:t>
      </w:r>
      <w:r>
        <w:rPr>
          <w:spacing w:val="40"/>
        </w:rPr>
        <w:t> </w:t>
      </w:r>
      <w:r>
        <w:rPr/>
        <w:t>book</w:t>
      </w:r>
      <w:r>
        <w:rPr>
          <w:spacing w:val="40"/>
        </w:rPr>
        <w:t> </w:t>
      </w:r>
      <w:r>
        <w:rPr/>
        <w:t>is</w:t>
      </w:r>
      <w:r>
        <w:rPr>
          <w:spacing w:val="40"/>
        </w:rPr>
        <w:t> </w:t>
      </w:r>
      <w:r>
        <w:rPr/>
        <w:t>(among others)</w:t>
      </w:r>
      <w:r>
        <w:rPr>
          <w:spacing w:val="-1"/>
        </w:rPr>
        <w:t> </w:t>
      </w:r>
      <w:r>
        <w:rPr/>
        <w:t>cited</w:t>
      </w:r>
      <w:r>
        <w:rPr>
          <w:spacing w:val="-1"/>
        </w:rPr>
        <w:t> </w:t>
      </w:r>
      <w:r>
        <w:rPr/>
        <w:t>with</w:t>
      </w:r>
      <w:r>
        <w:rPr>
          <w:spacing w:val="-1"/>
        </w:rPr>
        <w:t> </w:t>
      </w:r>
      <w:r>
        <w:rPr/>
        <w:t>approval</w:t>
      </w:r>
      <w:r>
        <w:rPr>
          <w:spacing w:val="-1"/>
        </w:rPr>
        <w:t> </w:t>
      </w:r>
      <w:r>
        <w:rPr/>
        <w:t>in</w:t>
      </w:r>
      <w:r>
        <w:rPr>
          <w:spacing w:val="-1"/>
        </w:rPr>
        <w:t> </w:t>
      </w:r>
      <w:r>
        <w:rPr>
          <w:rFonts w:ascii="Arial"/>
          <w:i/>
        </w:rPr>
        <w:t>Schweppe</w:t>
      </w:r>
      <w:r>
        <w:rPr>
          <w:rFonts w:ascii="Arial"/>
          <w:i/>
          <w:spacing w:val="-1"/>
        </w:rPr>
        <w:t> </w:t>
      </w:r>
      <w:r>
        <w:rPr>
          <w:rFonts w:ascii="Arial"/>
          <w:i/>
        </w:rPr>
        <w:t>v</w:t>
      </w:r>
      <w:r>
        <w:rPr>
          <w:rFonts w:ascii="Arial"/>
          <w:i/>
          <w:spacing w:val="-1"/>
        </w:rPr>
        <w:t> </w:t>
      </w:r>
      <w:r>
        <w:rPr>
          <w:rFonts w:ascii="Arial"/>
          <w:i/>
        </w:rPr>
        <w:t>Harper</w:t>
      </w:r>
      <w:r>
        <w:rPr>
          <w:rFonts w:ascii="Arial"/>
          <w:i/>
          <w:spacing w:val="-1"/>
        </w:rPr>
        <w:t> </w:t>
      </w:r>
      <w:r>
        <w:rPr>
          <w:rFonts w:ascii="Arial"/>
          <w:i/>
        </w:rPr>
        <w:t>[2008]</w:t>
      </w:r>
      <w:r>
        <w:rPr>
          <w:rFonts w:ascii="Arial"/>
          <w:i/>
          <w:spacing w:val="-1"/>
        </w:rPr>
        <w:t> </w:t>
      </w:r>
      <w:r>
        <w:rPr>
          <w:rFonts w:ascii="Arial"/>
          <w:i/>
        </w:rPr>
        <w:t>EWCA</w:t>
      </w:r>
      <w:r>
        <w:rPr>
          <w:rFonts w:ascii="Arial"/>
          <w:i/>
          <w:spacing w:val="-1"/>
        </w:rPr>
        <w:t> </w:t>
      </w:r>
      <w:r>
        <w:rPr>
          <w:rFonts w:ascii="Arial"/>
          <w:i/>
        </w:rPr>
        <w:t>Civ</w:t>
      </w:r>
      <w:r>
        <w:rPr>
          <w:rFonts w:ascii="Arial"/>
          <w:i/>
          <w:spacing w:val="-1"/>
        </w:rPr>
        <w:t> </w:t>
      </w:r>
      <w:r>
        <w:rPr>
          <w:rFonts w:ascii="Arial"/>
          <w:i/>
        </w:rPr>
        <w:t>442</w:t>
      </w:r>
      <w:r>
        <w:rPr>
          <w:rFonts w:ascii="Arial"/>
          <w:i/>
          <w:spacing w:val="-1"/>
        </w:rPr>
        <w:t> </w:t>
      </w:r>
      <w:r>
        <w:rPr/>
        <w:t>at</w:t>
      </w:r>
      <w:r>
        <w:rPr>
          <w:spacing w:val="-1"/>
        </w:rPr>
        <w:t> </w:t>
      </w:r>
      <w:r>
        <w:rPr/>
        <w:t>[41]</w:t>
      </w:r>
      <w:r>
        <w:rPr>
          <w:spacing w:val="-1"/>
        </w:rPr>
        <w:t> </w:t>
      </w:r>
      <w:r>
        <w:rPr/>
        <w:t>by</w:t>
      </w:r>
      <w:r>
        <w:rPr>
          <w:spacing w:val="-1"/>
        </w:rPr>
        <w:t> </w:t>
      </w:r>
      <w:r>
        <w:rPr/>
        <w:t>Waller</w:t>
      </w:r>
      <w:r>
        <w:rPr>
          <w:spacing w:val="-1"/>
        </w:rPr>
        <w:t> </w:t>
      </w:r>
      <w:r>
        <w:rPr/>
        <w:t>L.J.</w:t>
      </w:r>
      <w:r>
        <w:rPr>
          <w:spacing w:val="-1"/>
        </w:rPr>
        <w:t> </w:t>
      </w:r>
      <w:r>
        <w:rPr/>
        <w:t>in a dissenting judgment, but the issue on which he dissented was the different one, whether the agreement</w:t>
      </w:r>
      <w:r>
        <w:rPr>
          <w:spacing w:val="16"/>
        </w:rPr>
        <w:t> </w:t>
      </w:r>
      <w:r>
        <w:rPr/>
        <w:t>lacked</w:t>
      </w:r>
      <w:r>
        <w:rPr>
          <w:spacing w:val="18"/>
        </w:rPr>
        <w:t> </w:t>
      </w:r>
      <w:r>
        <w:rPr/>
        <w:t>contractual</w:t>
      </w:r>
      <w:r>
        <w:rPr>
          <w:spacing w:val="18"/>
        </w:rPr>
        <w:t> </w:t>
      </w:r>
      <w:r>
        <w:rPr/>
        <w:t>force</w:t>
      </w:r>
      <w:r>
        <w:rPr>
          <w:spacing w:val="18"/>
        </w:rPr>
        <w:t> </w:t>
      </w:r>
      <w:r>
        <w:rPr/>
        <w:t>for</w:t>
      </w:r>
      <w:r>
        <w:rPr>
          <w:spacing w:val="18"/>
        </w:rPr>
        <w:t> </w:t>
      </w:r>
      <w:r>
        <w:rPr/>
        <w:t>want</w:t>
      </w:r>
      <w:r>
        <w:rPr>
          <w:spacing w:val="18"/>
        </w:rPr>
        <w:t> </w:t>
      </w:r>
      <w:r>
        <w:rPr/>
        <w:t>of</w:t>
      </w:r>
      <w:r>
        <w:rPr>
          <w:spacing w:val="18"/>
        </w:rPr>
        <w:t> </w:t>
      </w:r>
      <w:r>
        <w:rPr/>
        <w:t>certainty:</w:t>
      </w:r>
      <w:r>
        <w:rPr>
          <w:spacing w:val="18"/>
        </w:rPr>
        <w:t> </w:t>
      </w:r>
      <w:r>
        <w:rPr/>
        <w:t>see</w:t>
      </w:r>
      <w:r>
        <w:rPr>
          <w:spacing w:val="18"/>
        </w:rPr>
        <w:t> </w:t>
      </w:r>
      <w:r>
        <w:rPr/>
        <w:t>below,</w:t>
      </w:r>
      <w:r>
        <w:rPr>
          <w:spacing w:val="18"/>
        </w:rPr>
        <w:t> </w:t>
      </w:r>
      <w:r>
        <w:rPr/>
        <w:t>para.2-150</w:t>
      </w:r>
      <w:r>
        <w:rPr>
          <w:spacing w:val="18"/>
        </w:rPr>
        <w:t> </w:t>
      </w:r>
      <w:r>
        <w:rPr/>
        <w:t>n.795.</w:t>
      </w:r>
      <w:r>
        <w:rPr>
          <w:spacing w:val="18"/>
        </w:rPr>
        <w:t> </w:t>
      </w:r>
      <w:r>
        <w:rPr>
          <w:spacing w:val="-2"/>
        </w:rPr>
        <w:t>Dyson</w:t>
      </w:r>
    </w:p>
    <w:p>
      <w:pPr>
        <w:pStyle w:val="BodyText"/>
        <w:spacing w:line="235" w:lineRule="auto"/>
        <w:ind w:left="705" w:right="167"/>
        <w:jc w:val="both"/>
      </w:pPr>
      <w:r>
        <w:rPr/>
        <w:t>L.J. at [62] treated the alleged contract as bilateral, while Sir Robin Auld at [77] left open the question whether, if it had come into existence, the contract would have been “bilateral or unilateral”. See also the American Law Institute’s Restatement of the Law, </w:t>
      </w:r>
      <w:r>
        <w:rPr/>
        <w:t>Contracts (hereinafter calledRestatement, Contracts), § 45, and Restatement of the Law, 2d, </w:t>
      </w:r>
      <w:r>
        <w:rPr/>
        <w:t>Contracts (hereinafter called Restatement, 2d, Contracts), § 45. The Restatement, 2d, Contracts, § </w:t>
      </w:r>
      <w:r>
        <w:rPr/>
        <w:t>12 abandons the distinction between bilateral and unilateral contracts, and in § 45 </w:t>
      </w:r>
      <w:r>
        <w:rPr/>
        <w:t>substitutes “option</w:t>
      </w:r>
      <w:r>
        <w:rPr>
          <w:spacing w:val="40"/>
        </w:rPr>
        <w:t> </w:t>
      </w:r>
      <w:r>
        <w:rPr/>
        <w:t>contract”</w:t>
      </w:r>
      <w:r>
        <w:rPr>
          <w:spacing w:val="40"/>
        </w:rPr>
        <w:t> </w:t>
      </w:r>
      <w:r>
        <w:rPr/>
        <w:t>where</w:t>
      </w:r>
      <w:r>
        <w:rPr>
          <w:spacing w:val="40"/>
        </w:rPr>
        <w:t> </w:t>
      </w:r>
      <w:r>
        <w:rPr/>
        <w:t>formerly</w:t>
      </w:r>
      <w:r>
        <w:rPr>
          <w:spacing w:val="40"/>
        </w:rPr>
        <w:t> </w:t>
      </w:r>
      <w:r>
        <w:rPr/>
        <w:t>“unilateral</w:t>
      </w:r>
      <w:r>
        <w:rPr>
          <w:spacing w:val="40"/>
        </w:rPr>
        <w:t> </w:t>
      </w:r>
      <w:r>
        <w:rPr/>
        <w:t>contract”</w:t>
      </w:r>
      <w:r>
        <w:rPr>
          <w:spacing w:val="40"/>
        </w:rPr>
        <w:t> </w:t>
      </w:r>
      <w:r>
        <w:rPr/>
        <w:t>had</w:t>
      </w:r>
      <w:r>
        <w:rPr>
          <w:spacing w:val="40"/>
        </w:rPr>
        <w:t> </w:t>
      </w:r>
      <w:r>
        <w:rPr/>
        <w:t>been</w:t>
      </w:r>
      <w:r>
        <w:rPr>
          <w:spacing w:val="40"/>
        </w:rPr>
        <w:t> </w:t>
      </w:r>
      <w:r>
        <w:rPr/>
        <w:t>used.</w:t>
      </w:r>
      <w:r>
        <w:rPr>
          <w:spacing w:val="40"/>
        </w:rPr>
        <w:t> </w:t>
      </w:r>
      <w:r>
        <w:rPr/>
        <w:t>See</w:t>
      </w:r>
      <w:r>
        <w:rPr>
          <w:spacing w:val="40"/>
        </w:rPr>
        <w:t> </w:t>
      </w:r>
      <w:r>
        <w:rPr/>
        <w:t>also</w:t>
      </w:r>
      <w:r>
        <w:rPr>
          <w:spacing w:val="85"/>
        </w:rPr>
        <w:t> </w:t>
      </w:r>
      <w:r>
        <w:rPr/>
        <w:t>below, </w:t>
      </w:r>
      <w:r>
        <w:rPr>
          <w:spacing w:val="-2"/>
        </w:rPr>
        <w:t>para.4-011.</w:t>
      </w:r>
    </w:p>
    <w:p>
      <w:pPr>
        <w:pStyle w:val="BodyText"/>
        <w:spacing w:before="1"/>
      </w:pPr>
    </w:p>
    <w:p>
      <w:pPr>
        <w:spacing w:line="227" w:lineRule="exact" w:before="0"/>
        <w:ind w:left="165" w:right="0" w:firstLine="0"/>
        <w:jc w:val="both"/>
        <w:rPr>
          <w:rFonts w:ascii="Arial"/>
          <w:i/>
          <w:sz w:val="20"/>
        </w:rPr>
      </w:pPr>
      <w:bookmarkStart w:name="_bookmark891" w:id="893"/>
      <w:bookmarkEnd w:id="893"/>
      <w:r>
        <w:rPr/>
      </w:r>
      <w:hyperlink w:history="true" w:anchor="_bookmark854">
        <w:r>
          <w:rPr>
            <w:color w:val="005DA1"/>
            <w:position w:val="5"/>
            <w:sz w:val="14"/>
            <w:u w:val="single" w:color="005DA1"/>
          </w:rPr>
          <w:t>455</w:t>
        </w:r>
      </w:hyperlink>
      <w:r>
        <w:rPr>
          <w:position w:val="5"/>
          <w:sz w:val="14"/>
        </w:rPr>
        <w:t>.</w:t>
      </w:r>
      <w:r>
        <w:rPr>
          <w:spacing w:val="75"/>
          <w:w w:val="150"/>
          <w:position w:val="5"/>
          <w:sz w:val="14"/>
        </w:rPr>
        <w:t>  </w:t>
      </w:r>
      <w:r>
        <w:rPr>
          <w:rFonts w:ascii="Arial"/>
          <w:i/>
          <w:sz w:val="20"/>
        </w:rPr>
        <w:t>[1952]</w:t>
      </w:r>
      <w:r>
        <w:rPr>
          <w:rFonts w:ascii="Arial"/>
          <w:i/>
          <w:spacing w:val="16"/>
          <w:sz w:val="20"/>
        </w:rPr>
        <w:t> </w:t>
      </w:r>
      <w:r>
        <w:rPr>
          <w:rFonts w:ascii="Arial"/>
          <w:i/>
          <w:sz w:val="20"/>
        </w:rPr>
        <w:t>1</w:t>
      </w:r>
      <w:r>
        <w:rPr>
          <w:rFonts w:ascii="Arial"/>
          <w:i/>
          <w:spacing w:val="16"/>
          <w:sz w:val="20"/>
        </w:rPr>
        <w:t> </w:t>
      </w:r>
      <w:r>
        <w:rPr>
          <w:rFonts w:ascii="Arial"/>
          <w:i/>
          <w:sz w:val="20"/>
        </w:rPr>
        <w:t>K.B.</w:t>
      </w:r>
      <w:r>
        <w:rPr>
          <w:rFonts w:ascii="Arial"/>
          <w:i/>
          <w:spacing w:val="16"/>
          <w:sz w:val="20"/>
        </w:rPr>
        <w:t> </w:t>
      </w:r>
      <w:r>
        <w:rPr>
          <w:rFonts w:ascii="Arial"/>
          <w:i/>
          <w:sz w:val="20"/>
        </w:rPr>
        <w:t>290</w:t>
      </w:r>
      <w:r>
        <w:rPr>
          <w:sz w:val="20"/>
        </w:rPr>
        <w:t>;</w:t>
      </w:r>
      <w:r>
        <w:rPr>
          <w:spacing w:val="16"/>
          <w:sz w:val="20"/>
        </w:rPr>
        <w:t> </w:t>
      </w:r>
      <w:r>
        <w:rPr>
          <w:sz w:val="20"/>
        </w:rPr>
        <w:t>doubted</w:t>
      </w:r>
      <w:r>
        <w:rPr>
          <w:spacing w:val="16"/>
          <w:sz w:val="20"/>
        </w:rPr>
        <w:t> </w:t>
      </w:r>
      <w:r>
        <w:rPr>
          <w:sz w:val="20"/>
        </w:rPr>
        <w:t>on</w:t>
      </w:r>
      <w:r>
        <w:rPr>
          <w:spacing w:val="16"/>
          <w:sz w:val="20"/>
        </w:rPr>
        <w:t> </w:t>
      </w:r>
      <w:r>
        <w:rPr>
          <w:sz w:val="20"/>
        </w:rPr>
        <w:t>other</w:t>
      </w:r>
      <w:r>
        <w:rPr>
          <w:spacing w:val="16"/>
          <w:sz w:val="20"/>
        </w:rPr>
        <w:t> </w:t>
      </w:r>
      <w:r>
        <w:rPr>
          <w:sz w:val="20"/>
        </w:rPr>
        <w:t>points</w:t>
      </w:r>
      <w:r>
        <w:rPr>
          <w:spacing w:val="15"/>
          <w:sz w:val="20"/>
        </w:rPr>
        <w:t> </w:t>
      </w:r>
      <w:r>
        <w:rPr>
          <w:sz w:val="20"/>
        </w:rPr>
        <w:t>in</w:t>
      </w:r>
      <w:r>
        <w:rPr>
          <w:spacing w:val="16"/>
          <w:sz w:val="20"/>
        </w:rPr>
        <w:t> </w:t>
      </w:r>
      <w:r>
        <w:rPr>
          <w:rFonts w:ascii="Arial"/>
          <w:i/>
          <w:sz w:val="20"/>
        </w:rPr>
        <w:t>National</w:t>
      </w:r>
      <w:r>
        <w:rPr>
          <w:rFonts w:ascii="Arial"/>
          <w:i/>
          <w:spacing w:val="16"/>
          <w:sz w:val="20"/>
        </w:rPr>
        <w:t> </w:t>
      </w:r>
      <w:r>
        <w:rPr>
          <w:rFonts w:ascii="Arial"/>
          <w:i/>
          <w:sz w:val="20"/>
        </w:rPr>
        <w:t>Provincial</w:t>
      </w:r>
      <w:r>
        <w:rPr>
          <w:rFonts w:ascii="Arial"/>
          <w:i/>
          <w:spacing w:val="16"/>
          <w:sz w:val="20"/>
        </w:rPr>
        <w:t> </w:t>
      </w:r>
      <w:r>
        <w:rPr>
          <w:rFonts w:ascii="Arial"/>
          <w:i/>
          <w:sz w:val="20"/>
        </w:rPr>
        <w:t>Bank</w:t>
      </w:r>
      <w:r>
        <w:rPr>
          <w:rFonts w:ascii="Arial"/>
          <w:i/>
          <w:spacing w:val="16"/>
          <w:sz w:val="20"/>
        </w:rPr>
        <w:t> </w:t>
      </w:r>
      <w:r>
        <w:rPr>
          <w:rFonts w:ascii="Arial"/>
          <w:i/>
          <w:sz w:val="20"/>
        </w:rPr>
        <w:t>Ltd</w:t>
      </w:r>
      <w:r>
        <w:rPr>
          <w:rFonts w:ascii="Arial"/>
          <w:i/>
          <w:spacing w:val="16"/>
          <w:sz w:val="20"/>
        </w:rPr>
        <w:t> </w:t>
      </w:r>
      <w:r>
        <w:rPr>
          <w:rFonts w:ascii="Arial"/>
          <w:i/>
          <w:sz w:val="20"/>
        </w:rPr>
        <w:t>v</w:t>
      </w:r>
      <w:r>
        <w:rPr>
          <w:rFonts w:ascii="Arial"/>
          <w:i/>
          <w:spacing w:val="16"/>
          <w:sz w:val="20"/>
        </w:rPr>
        <w:t> </w:t>
      </w:r>
      <w:r>
        <w:rPr>
          <w:rFonts w:ascii="Arial"/>
          <w:i/>
          <w:sz w:val="20"/>
        </w:rPr>
        <w:t>Ainsworth</w:t>
      </w:r>
      <w:r>
        <w:rPr>
          <w:rFonts w:ascii="Arial"/>
          <w:i/>
          <w:spacing w:val="16"/>
          <w:sz w:val="20"/>
        </w:rPr>
        <w:t> </w:t>
      </w:r>
      <w:r>
        <w:rPr>
          <w:rFonts w:ascii="Arial"/>
          <w:i/>
          <w:spacing w:val="-2"/>
          <w:sz w:val="20"/>
        </w:rPr>
        <w:t>[1965]</w:t>
      </w:r>
    </w:p>
    <w:p>
      <w:pPr>
        <w:spacing w:line="235" w:lineRule="auto" w:before="2"/>
        <w:ind w:left="705" w:right="168" w:firstLine="0"/>
        <w:jc w:val="both"/>
        <w:rPr>
          <w:sz w:val="20"/>
        </w:rPr>
      </w:pPr>
      <w:r>
        <w:rPr>
          <w:rFonts w:ascii="Arial"/>
          <w:i/>
          <w:sz w:val="20"/>
        </w:rPr>
        <w:t>A.C. 1175, 1239-1240, 1251-1252 </w:t>
      </w:r>
      <w:r>
        <w:rPr>
          <w:sz w:val="20"/>
        </w:rPr>
        <w:t>and in </w:t>
      </w:r>
      <w:r>
        <w:rPr>
          <w:rFonts w:ascii="Arial"/>
          <w:i/>
          <w:sz w:val="20"/>
        </w:rPr>
        <w:t>Ashburn Anstalt v Arnold [1989] Ch. 1, 17 </w:t>
      </w:r>
      <w:r>
        <w:rPr>
          <w:sz w:val="20"/>
        </w:rPr>
        <w:t>(overruled on another ground in </w:t>
      </w:r>
      <w:r>
        <w:rPr>
          <w:rFonts w:ascii="Arial"/>
          <w:i/>
          <w:sz w:val="20"/>
        </w:rPr>
        <w:t>Prudential Assurance Co Ltd v London Residuary Body [1992] A.C. </w:t>
      </w:r>
      <w:r>
        <w:rPr>
          <w:rFonts w:ascii="Arial"/>
          <w:i/>
          <w:sz w:val="20"/>
        </w:rPr>
        <w:t>386</w:t>
      </w:r>
      <w:r>
        <w:rPr>
          <w:sz w:val="20"/>
        </w:rPr>
        <w:t>). For another possible illustration, see </w:t>
      </w:r>
      <w:r>
        <w:rPr>
          <w:rFonts w:ascii="Arial"/>
          <w:i/>
          <w:sz w:val="20"/>
        </w:rPr>
        <w:t>Beaton v McDivitt (1988) 13 N.S.W.L.R. 162, 175</w:t>
      </w:r>
      <w:r>
        <w:rPr>
          <w:sz w:val="20"/>
        </w:rPr>
        <w:t>.</w:t>
      </w:r>
    </w:p>
    <w:p>
      <w:pPr>
        <w:pStyle w:val="BodyText"/>
        <w:spacing w:before="5"/>
      </w:pPr>
    </w:p>
    <w:p>
      <w:pPr>
        <w:tabs>
          <w:tab w:pos="705" w:val="left" w:leader="none"/>
        </w:tabs>
        <w:spacing w:before="0"/>
        <w:ind w:left="165" w:right="0" w:firstLine="0"/>
        <w:jc w:val="left"/>
        <w:rPr>
          <w:sz w:val="20"/>
        </w:rPr>
      </w:pPr>
      <w:bookmarkStart w:name="_bookmark892" w:id="894"/>
      <w:bookmarkEnd w:id="894"/>
      <w:r>
        <w:rPr/>
      </w:r>
      <w:hyperlink w:history="true" w:anchor="_bookmark855">
        <w:r>
          <w:rPr>
            <w:color w:val="005DA1"/>
            <w:spacing w:val="-4"/>
            <w:position w:val="5"/>
            <w:sz w:val="14"/>
            <w:u w:val="single" w:color="005DA1"/>
          </w:rPr>
          <w:t>456</w:t>
        </w:r>
      </w:hyperlink>
      <w:r>
        <w:rPr>
          <w:spacing w:val="-4"/>
          <w:position w:val="5"/>
          <w:sz w:val="14"/>
        </w:rPr>
        <w:t>.</w:t>
      </w:r>
      <w:r>
        <w:rPr>
          <w:position w:val="5"/>
          <w:sz w:val="14"/>
        </w:rPr>
        <w:tab/>
      </w:r>
      <w:r>
        <w:rPr>
          <w:rFonts w:ascii="Arial"/>
          <w:i/>
          <w:sz w:val="20"/>
        </w:rPr>
        <w:t>[1952]</w:t>
      </w:r>
      <w:r>
        <w:rPr>
          <w:rFonts w:ascii="Arial"/>
          <w:i/>
          <w:spacing w:val="-1"/>
          <w:sz w:val="20"/>
        </w:rPr>
        <w:t> </w:t>
      </w:r>
      <w:r>
        <w:rPr>
          <w:rFonts w:ascii="Arial"/>
          <w:i/>
          <w:sz w:val="20"/>
        </w:rPr>
        <w:t>1 K.B. 290, 295</w:t>
      </w:r>
      <w:r>
        <w:rPr>
          <w:sz w:val="20"/>
        </w:rPr>
        <w:t>. cf. </w:t>
      </w:r>
      <w:r>
        <w:rPr>
          <w:rFonts w:ascii="Arial"/>
          <w:i/>
          <w:sz w:val="20"/>
        </w:rPr>
        <w:t>Daulia Ltd v Four Millbank Nominees Ltd [1978] Ch. 231, </w:t>
      </w:r>
      <w:r>
        <w:rPr>
          <w:rFonts w:ascii="Arial"/>
          <w:i/>
          <w:spacing w:val="-4"/>
          <w:sz w:val="20"/>
        </w:rPr>
        <w:t>239</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93" w:id="895"/>
      <w:bookmarkEnd w:id="895"/>
      <w:r>
        <w:rPr/>
      </w:r>
      <w:hyperlink w:history="true" w:anchor="_bookmark856">
        <w:r>
          <w:rPr>
            <w:color w:val="005DA1"/>
            <w:spacing w:val="-4"/>
            <w:position w:val="5"/>
            <w:sz w:val="14"/>
            <w:u w:val="single" w:color="005DA1"/>
          </w:rPr>
          <w:t>457</w:t>
        </w:r>
      </w:hyperlink>
      <w:r>
        <w:rPr>
          <w:spacing w:val="-4"/>
          <w:position w:val="5"/>
          <w:sz w:val="14"/>
        </w:rPr>
        <w:t>.</w:t>
      </w:r>
      <w:r>
        <w:rPr>
          <w:position w:val="5"/>
          <w:sz w:val="14"/>
        </w:rPr>
        <w:tab/>
      </w:r>
      <w:r>
        <w:rPr>
          <w:rFonts w:ascii="Arial"/>
          <w:i/>
          <w:sz w:val="20"/>
        </w:rPr>
        <w:t>[2007] EWCA Civ 969 [2008] 2 W.L.R. 874</w:t>
      </w:r>
      <w:r>
        <w:rPr>
          <w:rFonts w:ascii="Arial"/>
          <w:i/>
          <w:spacing w:val="-1"/>
          <w:sz w:val="20"/>
        </w:rPr>
        <w:t> </w:t>
      </w:r>
      <w:r>
        <w:rPr>
          <w:sz w:val="20"/>
        </w:rPr>
        <w:t>at </w:t>
      </w:r>
      <w:r>
        <w:rPr>
          <w:spacing w:val="-4"/>
          <w:sz w:val="20"/>
        </w:rPr>
        <w:t>[50].</w:t>
      </w:r>
    </w:p>
    <w:p>
      <w:pPr>
        <w:pStyle w:val="BodyText"/>
        <w:spacing w:before="8"/>
      </w:pPr>
    </w:p>
    <w:p>
      <w:pPr>
        <w:tabs>
          <w:tab w:pos="705" w:val="left" w:leader="none"/>
        </w:tabs>
        <w:spacing w:line="235" w:lineRule="auto" w:before="1"/>
        <w:ind w:left="705" w:right="168" w:hanging="541"/>
        <w:jc w:val="left"/>
        <w:rPr>
          <w:sz w:val="20"/>
        </w:rPr>
      </w:pPr>
      <w:bookmarkStart w:name="_bookmark894" w:id="896"/>
      <w:bookmarkEnd w:id="896"/>
      <w:r>
        <w:rPr/>
      </w:r>
      <w:hyperlink w:history="true" w:anchor="_bookmark857">
        <w:r>
          <w:rPr>
            <w:color w:val="005DA1"/>
            <w:spacing w:val="-4"/>
            <w:position w:val="5"/>
            <w:sz w:val="14"/>
            <w:u w:val="single" w:color="005DA1"/>
          </w:rPr>
          <w:t>458</w:t>
        </w:r>
      </w:hyperlink>
      <w:r>
        <w:rPr>
          <w:spacing w:val="-4"/>
          <w:position w:val="5"/>
          <w:sz w:val="14"/>
        </w:rPr>
        <w:t>.</w:t>
      </w:r>
      <w:r>
        <w:rPr>
          <w:position w:val="5"/>
          <w:sz w:val="14"/>
        </w:rPr>
        <w:tab/>
      </w:r>
      <w:r>
        <w:rPr>
          <w:rFonts w:ascii="Arial"/>
          <w:i/>
          <w:sz w:val="20"/>
        </w:rPr>
        <w:t>[2007]</w:t>
      </w:r>
      <w:r>
        <w:rPr>
          <w:rFonts w:ascii="Arial"/>
          <w:i/>
          <w:spacing w:val="20"/>
          <w:sz w:val="20"/>
        </w:rPr>
        <w:t> </w:t>
      </w:r>
      <w:r>
        <w:rPr>
          <w:rFonts w:ascii="Arial"/>
          <w:i/>
          <w:sz w:val="20"/>
        </w:rPr>
        <w:t>EWCA</w:t>
      </w:r>
      <w:r>
        <w:rPr>
          <w:rFonts w:ascii="Arial"/>
          <w:i/>
          <w:spacing w:val="20"/>
          <w:sz w:val="20"/>
        </w:rPr>
        <w:t> </w:t>
      </w:r>
      <w:r>
        <w:rPr>
          <w:rFonts w:ascii="Arial"/>
          <w:i/>
          <w:sz w:val="20"/>
        </w:rPr>
        <w:t>Civ</w:t>
      </w:r>
      <w:r>
        <w:rPr>
          <w:rFonts w:ascii="Arial"/>
          <w:i/>
          <w:spacing w:val="20"/>
          <w:sz w:val="20"/>
        </w:rPr>
        <w:t> </w:t>
      </w:r>
      <w:r>
        <w:rPr>
          <w:rFonts w:ascii="Arial"/>
          <w:i/>
          <w:sz w:val="20"/>
        </w:rPr>
        <w:t>969</w:t>
      </w:r>
      <w:r>
        <w:rPr>
          <w:rFonts w:ascii="Arial"/>
          <w:i/>
          <w:spacing w:val="20"/>
          <w:sz w:val="20"/>
        </w:rPr>
        <w:t> </w:t>
      </w:r>
      <w:r>
        <w:rPr>
          <w:sz w:val="20"/>
        </w:rPr>
        <w:t>at</w:t>
      </w:r>
      <w:r>
        <w:rPr>
          <w:spacing w:val="20"/>
          <w:sz w:val="20"/>
        </w:rPr>
        <w:t> </w:t>
      </w:r>
      <w:r>
        <w:rPr>
          <w:sz w:val="20"/>
        </w:rPr>
        <w:t>[10];</w:t>
      </w:r>
      <w:r>
        <w:rPr>
          <w:spacing w:val="20"/>
          <w:sz w:val="20"/>
        </w:rPr>
        <w:t> </w:t>
      </w:r>
      <w:r>
        <w:rPr>
          <w:sz w:val="20"/>
        </w:rPr>
        <w:t>cf.</w:t>
      </w:r>
      <w:r>
        <w:rPr>
          <w:spacing w:val="20"/>
          <w:sz w:val="20"/>
        </w:rPr>
        <w:t> </w:t>
      </w:r>
      <w:r>
        <w:rPr>
          <w:sz w:val="20"/>
        </w:rPr>
        <w:t>at</w:t>
      </w:r>
      <w:r>
        <w:rPr>
          <w:spacing w:val="20"/>
          <w:sz w:val="20"/>
        </w:rPr>
        <w:t> </w:t>
      </w:r>
      <w:r>
        <w:rPr>
          <w:sz w:val="20"/>
        </w:rPr>
        <w:t>[22],</w:t>
      </w:r>
      <w:r>
        <w:rPr>
          <w:spacing w:val="20"/>
          <w:sz w:val="20"/>
        </w:rPr>
        <w:t> </w:t>
      </w:r>
      <w:r>
        <w:rPr>
          <w:sz w:val="20"/>
        </w:rPr>
        <w:t>where</w:t>
      </w:r>
      <w:r>
        <w:rPr>
          <w:spacing w:val="20"/>
          <w:sz w:val="20"/>
        </w:rPr>
        <w:t> </w:t>
      </w:r>
      <w:r>
        <w:rPr>
          <w:sz w:val="20"/>
        </w:rPr>
        <w:t>the</w:t>
      </w:r>
      <w:r>
        <w:rPr>
          <w:spacing w:val="20"/>
          <w:sz w:val="20"/>
        </w:rPr>
        <w:t> </w:t>
      </w:r>
      <w:r>
        <w:rPr>
          <w:sz w:val="20"/>
        </w:rPr>
        <w:t>condition</w:t>
      </w:r>
      <w:r>
        <w:rPr>
          <w:spacing w:val="20"/>
          <w:sz w:val="20"/>
        </w:rPr>
        <w:t> </w:t>
      </w:r>
      <w:r>
        <w:rPr>
          <w:sz w:val="20"/>
        </w:rPr>
        <w:t>of</w:t>
      </w:r>
      <w:r>
        <w:rPr>
          <w:spacing w:val="20"/>
          <w:sz w:val="20"/>
        </w:rPr>
        <w:t> </w:t>
      </w:r>
      <w:r>
        <w:rPr>
          <w:sz w:val="20"/>
        </w:rPr>
        <w:t>survivorship</w:t>
      </w:r>
      <w:r>
        <w:rPr>
          <w:spacing w:val="20"/>
          <w:sz w:val="20"/>
        </w:rPr>
        <w:t> </w:t>
      </w:r>
      <w:r>
        <w:rPr>
          <w:sz w:val="20"/>
        </w:rPr>
        <w:t>is</w:t>
      </w:r>
      <w:r>
        <w:rPr>
          <w:spacing w:val="20"/>
          <w:sz w:val="20"/>
        </w:rPr>
        <w:t> </w:t>
      </w:r>
      <w:r>
        <w:rPr>
          <w:sz w:val="20"/>
        </w:rPr>
        <w:t>not</w:t>
      </w:r>
      <w:r>
        <w:rPr>
          <w:spacing w:val="20"/>
          <w:sz w:val="20"/>
        </w:rPr>
        <w:t> </w:t>
      </w:r>
      <w:r>
        <w:rPr>
          <w:sz w:val="20"/>
        </w:rPr>
        <w:t>expressly </w:t>
      </w:r>
      <w:r>
        <w:rPr>
          <w:spacing w:val="-2"/>
          <w:sz w:val="20"/>
        </w:rPr>
        <w:t>stated.</w:t>
      </w:r>
    </w:p>
    <w:p>
      <w:pPr>
        <w:pStyle w:val="BodyText"/>
        <w:spacing w:before="5"/>
      </w:pPr>
    </w:p>
    <w:p>
      <w:pPr>
        <w:tabs>
          <w:tab w:pos="705" w:val="left" w:leader="none"/>
        </w:tabs>
        <w:spacing w:before="0"/>
        <w:ind w:left="165" w:right="0" w:firstLine="0"/>
        <w:jc w:val="left"/>
        <w:rPr>
          <w:sz w:val="20"/>
        </w:rPr>
      </w:pPr>
      <w:bookmarkStart w:name="_bookmark895" w:id="897"/>
      <w:bookmarkEnd w:id="897"/>
      <w:r>
        <w:rPr/>
      </w:r>
      <w:hyperlink w:history="true" w:anchor="_bookmark858">
        <w:r>
          <w:rPr>
            <w:color w:val="005DA1"/>
            <w:spacing w:val="-4"/>
            <w:position w:val="5"/>
            <w:sz w:val="14"/>
            <w:u w:val="single" w:color="005DA1"/>
          </w:rPr>
          <w:t>459</w:t>
        </w:r>
      </w:hyperlink>
      <w:r>
        <w:rPr>
          <w:spacing w:val="-4"/>
          <w:position w:val="5"/>
          <w:sz w:val="14"/>
        </w:rPr>
        <w:t>.</w:t>
      </w:r>
      <w:r>
        <w:rPr>
          <w:position w:val="5"/>
          <w:sz w:val="14"/>
        </w:rPr>
        <w:tab/>
      </w:r>
      <w:r>
        <w:rPr>
          <w:rFonts w:ascii="Arial"/>
          <w:i/>
          <w:sz w:val="20"/>
        </w:rPr>
        <w:t>[2007] EWCA Civ 969</w:t>
      </w:r>
      <w:r>
        <w:rPr>
          <w:rFonts w:ascii="Arial"/>
          <w:i/>
          <w:spacing w:val="-1"/>
          <w:sz w:val="20"/>
        </w:rPr>
        <w:t> </w:t>
      </w:r>
      <w:r>
        <w:rPr>
          <w:sz w:val="20"/>
        </w:rPr>
        <w:t>at </w:t>
      </w:r>
      <w:r>
        <w:rPr>
          <w:spacing w:val="-2"/>
          <w:sz w:val="20"/>
        </w:rPr>
        <w:t>[49].</w:t>
      </w:r>
    </w:p>
    <w:p>
      <w:pPr>
        <w:pStyle w:val="BodyText"/>
        <w:spacing w:before="5"/>
      </w:pPr>
    </w:p>
    <w:p>
      <w:pPr>
        <w:tabs>
          <w:tab w:pos="705" w:val="left" w:leader="none"/>
        </w:tabs>
        <w:spacing w:before="0"/>
        <w:ind w:left="165" w:right="0" w:firstLine="0"/>
        <w:jc w:val="left"/>
        <w:rPr>
          <w:sz w:val="20"/>
        </w:rPr>
      </w:pPr>
      <w:bookmarkStart w:name="_bookmark896" w:id="898"/>
      <w:bookmarkEnd w:id="898"/>
      <w:r>
        <w:rPr/>
      </w:r>
      <w:hyperlink w:history="true" w:anchor="_bookmark859">
        <w:r>
          <w:rPr>
            <w:color w:val="005DA1"/>
            <w:spacing w:val="-4"/>
            <w:position w:val="5"/>
            <w:sz w:val="14"/>
            <w:u w:val="single" w:color="005DA1"/>
          </w:rPr>
          <w:t>460</w:t>
        </w:r>
      </w:hyperlink>
      <w:r>
        <w:rPr>
          <w:spacing w:val="-4"/>
          <w:position w:val="5"/>
          <w:sz w:val="14"/>
        </w:rPr>
        <w:t>.</w:t>
      </w:r>
      <w:r>
        <w:rPr>
          <w:position w:val="5"/>
          <w:sz w:val="14"/>
        </w:rPr>
        <w:tab/>
      </w:r>
      <w:r>
        <w:rPr>
          <w:rFonts w:ascii="Arial"/>
          <w:i/>
          <w:sz w:val="20"/>
        </w:rPr>
        <w:t>[2007] EWCA Civ 969</w:t>
      </w:r>
      <w:r>
        <w:rPr>
          <w:rFonts w:ascii="Arial"/>
          <w:i/>
          <w:spacing w:val="-1"/>
          <w:sz w:val="20"/>
        </w:rPr>
        <w:t> </w:t>
      </w:r>
      <w:r>
        <w:rPr>
          <w:sz w:val="20"/>
        </w:rPr>
        <w:t>at </w:t>
      </w:r>
      <w:r>
        <w:rPr>
          <w:spacing w:val="-2"/>
          <w:sz w:val="20"/>
        </w:rPr>
        <w:t>[50].</w:t>
      </w:r>
    </w:p>
    <w:p>
      <w:pPr>
        <w:pStyle w:val="BodyText"/>
        <w:spacing w:before="5"/>
      </w:pPr>
    </w:p>
    <w:p>
      <w:pPr>
        <w:tabs>
          <w:tab w:pos="705" w:val="left" w:leader="none"/>
        </w:tabs>
        <w:spacing w:before="0"/>
        <w:ind w:left="165" w:right="0" w:firstLine="0"/>
        <w:jc w:val="left"/>
        <w:rPr>
          <w:sz w:val="20"/>
        </w:rPr>
      </w:pPr>
      <w:bookmarkStart w:name="_bookmark897" w:id="899"/>
      <w:bookmarkEnd w:id="899"/>
      <w:r>
        <w:rPr/>
      </w:r>
      <w:hyperlink w:history="true" w:anchor="_bookmark860">
        <w:r>
          <w:rPr>
            <w:color w:val="005DA1"/>
            <w:spacing w:val="-4"/>
            <w:position w:val="5"/>
            <w:sz w:val="14"/>
            <w:u w:val="single" w:color="005DA1"/>
          </w:rPr>
          <w:t>461</w:t>
        </w:r>
      </w:hyperlink>
      <w:r>
        <w:rPr>
          <w:spacing w:val="-4"/>
          <w:position w:val="5"/>
          <w:sz w:val="14"/>
        </w:rPr>
        <w:t>.</w:t>
      </w:r>
      <w:r>
        <w:rPr>
          <w:position w:val="5"/>
          <w:sz w:val="14"/>
        </w:rPr>
        <w:tab/>
      </w:r>
      <w:r>
        <w:rPr>
          <w:rFonts w:ascii="Arial"/>
          <w:i/>
          <w:sz w:val="20"/>
        </w:rPr>
        <w:t>[1978]</w:t>
      </w:r>
      <w:r>
        <w:rPr>
          <w:rFonts w:ascii="Arial"/>
          <w:i/>
          <w:spacing w:val="-2"/>
          <w:sz w:val="20"/>
        </w:rPr>
        <w:t> </w:t>
      </w:r>
      <w:r>
        <w:rPr>
          <w:rFonts w:ascii="Arial"/>
          <w:i/>
          <w:sz w:val="20"/>
        </w:rPr>
        <w:t>Ch. </w:t>
      </w:r>
      <w:r>
        <w:rPr>
          <w:rFonts w:ascii="Arial"/>
          <w:i/>
          <w:spacing w:val="-4"/>
          <w:sz w:val="20"/>
        </w:rPr>
        <w:t>231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898" w:id="900"/>
      <w:bookmarkEnd w:id="900"/>
      <w:r>
        <w:rPr/>
      </w:r>
      <w:hyperlink w:history="true" w:anchor="_bookmark861">
        <w:r>
          <w:rPr>
            <w:color w:val="005DA1"/>
            <w:spacing w:val="-4"/>
            <w:position w:val="5"/>
            <w:sz w:val="14"/>
            <w:u w:val="single" w:color="005DA1"/>
          </w:rPr>
          <w:t>462</w:t>
        </w:r>
      </w:hyperlink>
      <w:r>
        <w:rPr>
          <w:spacing w:val="-4"/>
          <w:position w:val="5"/>
          <w:sz w:val="14"/>
        </w:rPr>
        <w:t>.</w:t>
      </w:r>
      <w:r>
        <w:rPr>
          <w:position w:val="5"/>
          <w:sz w:val="14"/>
        </w:rPr>
        <w:tab/>
      </w:r>
      <w:r>
        <w:rPr>
          <w:rFonts w:ascii="Arial"/>
          <w:i/>
          <w:sz w:val="20"/>
        </w:rPr>
        <w:t>[1978] Ch. 231</w:t>
      </w:r>
      <w:r>
        <w:rPr>
          <w:rFonts w:ascii="Arial"/>
          <w:i/>
          <w:spacing w:val="-1"/>
          <w:sz w:val="20"/>
        </w:rPr>
        <w:t> </w:t>
      </w:r>
      <w:r>
        <w:rPr>
          <w:sz w:val="20"/>
        </w:rPr>
        <w:t>at </w:t>
      </w:r>
      <w:r>
        <w:rPr>
          <w:spacing w:val="-4"/>
          <w:sz w:val="20"/>
        </w:rPr>
        <w:t>239.</w:t>
      </w:r>
    </w:p>
    <w:p>
      <w:pPr>
        <w:pStyle w:val="BodyText"/>
        <w:spacing w:before="5"/>
      </w:pPr>
    </w:p>
    <w:p>
      <w:pPr>
        <w:tabs>
          <w:tab w:pos="705" w:val="left" w:leader="none"/>
        </w:tabs>
        <w:spacing w:before="0"/>
        <w:ind w:left="165" w:right="0" w:firstLine="0"/>
        <w:jc w:val="left"/>
        <w:rPr>
          <w:sz w:val="20"/>
        </w:rPr>
      </w:pPr>
      <w:bookmarkStart w:name="_bookmark899" w:id="901"/>
      <w:bookmarkEnd w:id="901"/>
      <w:r>
        <w:rPr/>
      </w:r>
      <w:hyperlink w:history="true" w:anchor="_bookmark862">
        <w:r>
          <w:rPr>
            <w:color w:val="005DA1"/>
            <w:spacing w:val="-4"/>
            <w:position w:val="5"/>
            <w:sz w:val="14"/>
            <w:u w:val="single" w:color="005DA1"/>
          </w:rPr>
          <w:t>463</w:t>
        </w:r>
      </w:hyperlink>
      <w:r>
        <w:rPr>
          <w:spacing w:val="-4"/>
          <w:position w:val="5"/>
          <w:sz w:val="14"/>
        </w:rPr>
        <w:t>.</w:t>
      </w:r>
      <w:r>
        <w:rPr>
          <w:position w:val="5"/>
          <w:sz w:val="14"/>
        </w:rPr>
        <w:tab/>
      </w:r>
      <w:r>
        <w:rPr>
          <w:sz w:val="20"/>
        </w:rPr>
        <w:t>As in</w:t>
      </w:r>
      <w:r>
        <w:rPr>
          <w:spacing w:val="-1"/>
          <w:sz w:val="20"/>
        </w:rPr>
        <w:t> </w:t>
      </w:r>
      <w:r>
        <w:rPr>
          <w:rFonts w:ascii="Arial" w:hAnsi="Arial"/>
          <w:i/>
          <w:sz w:val="20"/>
        </w:rPr>
        <w:t>Lloyd’s v Harper (1880) 16 Ch. D. </w:t>
      </w:r>
      <w:r>
        <w:rPr>
          <w:rFonts w:ascii="Arial" w:hAnsi="Arial"/>
          <w:i/>
          <w:spacing w:val="-4"/>
          <w:sz w:val="20"/>
        </w:rPr>
        <w:t>290</w:t>
      </w:r>
      <w:r>
        <w:rPr>
          <w:spacing w:val="-4"/>
          <w:sz w:val="20"/>
        </w:rPr>
        <w:t>.</w:t>
      </w:r>
    </w:p>
    <w:p>
      <w:pPr>
        <w:pStyle w:val="BodyText"/>
        <w:spacing w:before="9"/>
      </w:pPr>
    </w:p>
    <w:p>
      <w:pPr>
        <w:spacing w:line="235" w:lineRule="auto" w:before="0"/>
        <w:ind w:left="705" w:right="167" w:hanging="541"/>
        <w:jc w:val="both"/>
        <w:rPr>
          <w:sz w:val="20"/>
        </w:rPr>
      </w:pPr>
      <w:bookmarkStart w:name="_bookmark900" w:id="902"/>
      <w:bookmarkEnd w:id="902"/>
      <w:r>
        <w:rPr/>
      </w:r>
      <w:hyperlink w:history="true" w:anchor="_bookmark863">
        <w:r>
          <w:rPr>
            <w:color w:val="005DA1"/>
            <w:position w:val="5"/>
            <w:sz w:val="14"/>
            <w:u w:val="single" w:color="005DA1"/>
          </w:rPr>
          <w:t>464</w:t>
        </w:r>
      </w:hyperlink>
      <w:r>
        <w:rPr>
          <w:position w:val="5"/>
          <w:sz w:val="14"/>
        </w:rPr>
        <w:t>.</w:t>
      </w:r>
      <w:r>
        <w:rPr>
          <w:spacing w:val="40"/>
          <w:position w:val="5"/>
          <w:sz w:val="14"/>
        </w:rPr>
        <w:t>  </w:t>
      </w:r>
      <w:r>
        <w:rPr>
          <w:sz w:val="20"/>
        </w:rPr>
        <w:t>As in </w:t>
      </w:r>
      <w:r>
        <w:rPr>
          <w:rFonts w:ascii="Arial"/>
          <w:i/>
          <w:sz w:val="20"/>
        </w:rPr>
        <w:t>Offord v Davies (1862) 12 C.B.(N.S.) 748</w:t>
      </w:r>
      <w:r>
        <w:rPr>
          <w:sz w:val="20"/>
        </w:rPr>
        <w:t>. An obscure passage in the argument at 753 </w:t>
      </w:r>
      <w:r>
        <w:rPr>
          <w:sz w:val="20"/>
        </w:rPr>
        <w:t>is inconclusive</w:t>
      </w:r>
      <w:r>
        <w:rPr>
          <w:spacing w:val="-2"/>
          <w:sz w:val="20"/>
        </w:rPr>
        <w:t> </w:t>
      </w:r>
      <w:r>
        <w:rPr>
          <w:sz w:val="20"/>
        </w:rPr>
        <w:t>on</w:t>
      </w:r>
      <w:r>
        <w:rPr>
          <w:spacing w:val="-2"/>
          <w:sz w:val="20"/>
        </w:rPr>
        <w:t> </w:t>
      </w:r>
      <w:r>
        <w:rPr>
          <w:sz w:val="20"/>
        </w:rPr>
        <w:t>the</w:t>
      </w:r>
      <w:r>
        <w:rPr>
          <w:spacing w:val="-2"/>
          <w:sz w:val="20"/>
        </w:rPr>
        <w:t> </w:t>
      </w:r>
      <w:r>
        <w:rPr>
          <w:sz w:val="20"/>
        </w:rPr>
        <w:t>general</w:t>
      </w:r>
      <w:r>
        <w:rPr>
          <w:spacing w:val="-2"/>
          <w:sz w:val="20"/>
        </w:rPr>
        <w:t> </w:t>
      </w:r>
      <w:r>
        <w:rPr>
          <w:sz w:val="20"/>
        </w:rPr>
        <w:t>question</w:t>
      </w:r>
      <w:r>
        <w:rPr>
          <w:spacing w:val="-2"/>
          <w:sz w:val="20"/>
        </w:rPr>
        <w:t> </w:t>
      </w:r>
      <w:r>
        <w:rPr>
          <w:sz w:val="20"/>
        </w:rPr>
        <w:t>of</w:t>
      </w:r>
      <w:r>
        <w:rPr>
          <w:spacing w:val="-2"/>
          <w:sz w:val="20"/>
        </w:rPr>
        <w:t> </w:t>
      </w:r>
      <w:r>
        <w:rPr>
          <w:sz w:val="20"/>
        </w:rPr>
        <w:t>acceptance</w:t>
      </w:r>
      <w:r>
        <w:rPr>
          <w:spacing w:val="-2"/>
          <w:sz w:val="20"/>
        </w:rPr>
        <w:t> </w:t>
      </w:r>
      <w:r>
        <w:rPr>
          <w:sz w:val="20"/>
        </w:rPr>
        <w:t>in</w:t>
      </w:r>
      <w:r>
        <w:rPr>
          <w:spacing w:val="-2"/>
          <w:sz w:val="20"/>
        </w:rPr>
        <w:t> </w:t>
      </w:r>
      <w:r>
        <w:rPr>
          <w:sz w:val="20"/>
        </w:rPr>
        <w:t>unilateral</w:t>
      </w:r>
      <w:r>
        <w:rPr>
          <w:spacing w:val="-2"/>
          <w:sz w:val="20"/>
        </w:rPr>
        <w:t> </w:t>
      </w:r>
      <w:r>
        <w:rPr>
          <w:sz w:val="20"/>
        </w:rPr>
        <w:t>contracts;</w:t>
      </w:r>
      <w:r>
        <w:rPr>
          <w:spacing w:val="-2"/>
          <w:sz w:val="20"/>
        </w:rPr>
        <w:t> </w:t>
      </w:r>
      <w:r>
        <w:rPr>
          <w:sz w:val="20"/>
        </w:rPr>
        <w:t>cf.</w:t>
      </w:r>
      <w:r>
        <w:rPr>
          <w:spacing w:val="-2"/>
          <w:sz w:val="20"/>
        </w:rPr>
        <w:t> </w:t>
      </w:r>
      <w:r>
        <w:rPr>
          <w:sz w:val="20"/>
        </w:rPr>
        <w:t>below,</w:t>
      </w:r>
      <w:r>
        <w:rPr>
          <w:spacing w:val="-2"/>
          <w:sz w:val="20"/>
        </w:rPr>
        <w:t> </w:t>
      </w:r>
      <w:r>
        <w:rPr>
          <w:sz w:val="20"/>
        </w:rPr>
        <w:t>para.2-090 </w:t>
      </w:r>
      <w:r>
        <w:rPr>
          <w:spacing w:val="-2"/>
          <w:sz w:val="20"/>
        </w:rPr>
        <w:t>n.467.</w:t>
      </w:r>
    </w:p>
    <w:p>
      <w:pPr>
        <w:pStyle w:val="BodyText"/>
        <w:spacing w:before="9"/>
      </w:pPr>
    </w:p>
    <w:p>
      <w:pPr>
        <w:spacing w:line="235" w:lineRule="auto" w:before="0"/>
        <w:ind w:left="705" w:right="167" w:hanging="541"/>
        <w:jc w:val="both"/>
        <w:rPr>
          <w:sz w:val="20"/>
        </w:rPr>
      </w:pPr>
      <w:bookmarkStart w:name="_bookmark901" w:id="903"/>
      <w:bookmarkEnd w:id="903"/>
      <w:r>
        <w:rPr/>
      </w:r>
      <w:hyperlink w:history="true" w:anchor="_bookmark864">
        <w:r>
          <w:rPr>
            <w:color w:val="005DA1"/>
            <w:position w:val="5"/>
            <w:sz w:val="14"/>
            <w:u w:val="single" w:color="005DA1"/>
          </w:rPr>
          <w:t>465</w:t>
        </w:r>
      </w:hyperlink>
      <w:r>
        <w:rPr>
          <w:position w:val="5"/>
          <w:sz w:val="14"/>
        </w:rPr>
        <w:t>.</w:t>
      </w:r>
      <w:r>
        <w:rPr>
          <w:spacing w:val="40"/>
          <w:position w:val="5"/>
          <w:sz w:val="14"/>
        </w:rPr>
        <w:t>  </w:t>
      </w:r>
      <w:r>
        <w:rPr>
          <w:rFonts w:ascii="Arial" w:hAnsi="Arial"/>
          <w:i/>
          <w:sz w:val="20"/>
        </w:rPr>
        <w:t>Lloyd’s v Harper (1880) 16 Ch. D. 290</w:t>
      </w:r>
      <w:r>
        <w:rPr>
          <w:sz w:val="20"/>
        </w:rPr>
        <w:t>. cf. </w:t>
      </w:r>
      <w:r>
        <w:rPr>
          <w:rFonts w:ascii="Arial" w:hAnsi="Arial"/>
          <w:i/>
          <w:sz w:val="20"/>
        </w:rPr>
        <w:t>National Merchant Building Society v Bellamy </w:t>
      </w:r>
      <w:r>
        <w:rPr>
          <w:rFonts w:ascii="Arial" w:hAnsi="Arial"/>
          <w:i/>
          <w:sz w:val="20"/>
        </w:rPr>
        <w:t>[2013] EWCA Civ 452, [2013] 2 All E.R. (Comm) 674</w:t>
      </w:r>
      <w:r>
        <w:rPr>
          <w:sz w:val="20"/>
        </w:rPr>
        <w:t>, distinguishing between (i) a guarantee of a debtor’s liability under a specific contract and (ii) a guarantee of obligations arising out of a course of dealing between debtor and creditor and not linked to the debtor’s credit limit under the contract between debtor and creditor when the guarantee was given. The Court of Appeal held that a guarantee of “all sums which are or may hereafter be owing” was, on its true construction, of the second of the above two kinds. No issue arose in this case as of the revocability of the guarantee.</w:t>
      </w:r>
    </w:p>
    <w:p>
      <w:pPr>
        <w:pStyle w:val="BodyText"/>
        <w:spacing w:before="3"/>
      </w:pPr>
    </w:p>
    <w:p>
      <w:pPr>
        <w:pStyle w:val="BodyText"/>
        <w:tabs>
          <w:tab w:pos="705" w:val="left" w:leader="none"/>
        </w:tabs>
        <w:ind w:left="165"/>
      </w:pPr>
      <w:bookmarkStart w:name="_bookmark902" w:id="904"/>
      <w:bookmarkEnd w:id="904"/>
      <w:r>
        <w:rPr/>
      </w:r>
      <w:hyperlink w:history="true" w:anchor="_bookmark865">
        <w:r>
          <w:rPr>
            <w:color w:val="005DA1"/>
            <w:spacing w:val="-4"/>
            <w:position w:val="5"/>
            <w:sz w:val="14"/>
            <w:u w:val="single" w:color="005DA1"/>
          </w:rPr>
          <w:t>466</w:t>
        </w:r>
      </w:hyperlink>
      <w:r>
        <w:rPr>
          <w:spacing w:val="-4"/>
          <w:position w:val="5"/>
          <w:sz w:val="14"/>
        </w:rPr>
        <w:t>.</w:t>
      </w:r>
      <w:r>
        <w:rPr>
          <w:position w:val="5"/>
          <w:sz w:val="14"/>
        </w:rPr>
        <w:tab/>
      </w:r>
      <w:r>
        <w:rPr/>
        <w:t>See below, Vol.II, para.34-</w:t>
      </w:r>
      <w:r>
        <w:rPr>
          <w:spacing w:val="-4"/>
        </w:rPr>
        <w:t>447.</w:t>
      </w:r>
    </w:p>
    <w:p>
      <w:pPr>
        <w:pStyle w:val="BodyText"/>
        <w:spacing w:before="5"/>
      </w:pPr>
    </w:p>
    <w:p>
      <w:pPr>
        <w:pStyle w:val="BodyText"/>
        <w:tabs>
          <w:tab w:pos="705" w:val="left" w:leader="none"/>
        </w:tabs>
        <w:ind w:left="165"/>
      </w:pPr>
      <w:bookmarkStart w:name="_bookmark903" w:id="905"/>
      <w:bookmarkEnd w:id="905"/>
      <w:r>
        <w:rPr/>
      </w:r>
      <w:hyperlink w:history="true" w:anchor="_bookmark866">
        <w:r>
          <w:rPr>
            <w:color w:val="005DA1"/>
            <w:spacing w:val="-4"/>
            <w:position w:val="5"/>
            <w:sz w:val="14"/>
            <w:u w:val="single" w:color="005DA1"/>
          </w:rPr>
          <w:t>467</w:t>
        </w:r>
      </w:hyperlink>
      <w:r>
        <w:rPr>
          <w:spacing w:val="-4"/>
          <w:position w:val="5"/>
          <w:sz w:val="14"/>
        </w:rPr>
        <w:t>.</w:t>
      </w:r>
      <w:r>
        <w:rPr>
          <w:position w:val="5"/>
          <w:sz w:val="14"/>
        </w:rPr>
        <w:tab/>
      </w:r>
      <w:r>
        <w:rPr/>
        <w:t>Vol.II, para.34-</w:t>
      </w:r>
      <w:r>
        <w:rPr>
          <w:spacing w:val="-4"/>
        </w:rPr>
        <w:t>505.</w:t>
      </w:r>
    </w:p>
    <w:p>
      <w:pPr>
        <w:pStyle w:val="BodyText"/>
        <w:spacing w:before="9"/>
      </w:pPr>
    </w:p>
    <w:p>
      <w:pPr>
        <w:spacing w:line="235" w:lineRule="auto" w:before="0"/>
        <w:ind w:left="705" w:right="167" w:hanging="541"/>
        <w:jc w:val="both"/>
        <w:rPr>
          <w:sz w:val="20"/>
        </w:rPr>
      </w:pPr>
      <w:bookmarkStart w:name="_bookmark904" w:id="906"/>
      <w:bookmarkEnd w:id="906"/>
      <w:r>
        <w:rPr/>
      </w:r>
      <w:hyperlink w:history="true" w:anchor="_bookmark867">
        <w:r>
          <w:rPr>
            <w:color w:val="005DA1"/>
            <w:position w:val="5"/>
            <w:sz w:val="14"/>
            <w:u w:val="single" w:color="005DA1"/>
          </w:rPr>
          <w:t>468</w:t>
        </w:r>
      </w:hyperlink>
      <w:r>
        <w:rPr>
          <w:position w:val="5"/>
          <w:sz w:val="14"/>
        </w:rPr>
        <w:t>.</w:t>
      </w:r>
      <w:r>
        <w:rPr>
          <w:spacing w:val="80"/>
          <w:position w:val="5"/>
          <w:sz w:val="14"/>
        </w:rPr>
        <w:t> </w:t>
      </w:r>
      <w:r>
        <w:rPr>
          <w:rFonts w:ascii="Arial" w:hAnsi="Arial"/>
          <w:i/>
          <w:sz w:val="20"/>
        </w:rPr>
        <w:t>Luxor (Eastbourne) Ltd v Cooper [1941] A.C. 108, 124</w:t>
      </w:r>
      <w:r>
        <w:rPr>
          <w:sz w:val="20"/>
        </w:rPr>
        <w:t>. But in fact he may promise to do something:</w:t>
      </w:r>
      <w:r>
        <w:rPr>
          <w:spacing w:val="-1"/>
          <w:sz w:val="20"/>
        </w:rPr>
        <w:t> </w:t>
      </w:r>
      <w:r>
        <w:rPr>
          <w:sz w:val="20"/>
        </w:rPr>
        <w:t>see</w:t>
      </w:r>
      <w:r>
        <w:rPr>
          <w:spacing w:val="-1"/>
          <w:sz w:val="20"/>
        </w:rPr>
        <w:t> </w:t>
      </w:r>
      <w:r>
        <w:rPr>
          <w:sz w:val="20"/>
        </w:rPr>
        <w:t>below,</w:t>
      </w:r>
      <w:r>
        <w:rPr>
          <w:spacing w:val="-1"/>
          <w:sz w:val="20"/>
        </w:rPr>
        <w:t> </w:t>
      </w:r>
      <w:r>
        <w:rPr>
          <w:sz w:val="20"/>
        </w:rPr>
        <w:t>at</w:t>
      </w:r>
      <w:r>
        <w:rPr>
          <w:spacing w:val="-1"/>
          <w:sz w:val="20"/>
        </w:rPr>
        <w:t> </w:t>
      </w:r>
      <w:r>
        <w:rPr>
          <w:sz w:val="20"/>
        </w:rPr>
        <w:t>nn.462</w:t>
      </w:r>
      <w:r>
        <w:rPr>
          <w:spacing w:val="-1"/>
          <w:sz w:val="20"/>
        </w:rPr>
        <w:t> </w:t>
      </w:r>
      <w:r>
        <w:rPr>
          <w:sz w:val="20"/>
        </w:rPr>
        <w:t>and</w:t>
      </w:r>
      <w:r>
        <w:rPr>
          <w:spacing w:val="-1"/>
          <w:sz w:val="20"/>
        </w:rPr>
        <w:t> </w:t>
      </w:r>
      <w:r>
        <w:rPr>
          <w:sz w:val="20"/>
        </w:rPr>
        <w:t>463;</w:t>
      </w:r>
      <w:r>
        <w:rPr>
          <w:spacing w:val="-1"/>
          <w:sz w:val="20"/>
        </w:rPr>
        <w:t> </w:t>
      </w:r>
      <w:r>
        <w:rPr>
          <w:sz w:val="20"/>
        </w:rPr>
        <w:t>cf.</w:t>
      </w:r>
      <w:r>
        <w:rPr>
          <w:spacing w:val="-1"/>
          <w:sz w:val="20"/>
        </w:rPr>
        <w:t> </w:t>
      </w:r>
      <w:r>
        <w:rPr>
          <w:sz w:val="20"/>
        </w:rPr>
        <w:t>Murdoch</w:t>
      </w:r>
      <w:r>
        <w:rPr>
          <w:spacing w:val="-1"/>
          <w:sz w:val="20"/>
        </w:rPr>
        <w:t> </w:t>
      </w:r>
      <w:r>
        <w:rPr>
          <w:sz w:val="20"/>
        </w:rPr>
        <w:t>(1975)</w:t>
      </w:r>
      <w:r>
        <w:rPr>
          <w:spacing w:val="-1"/>
          <w:sz w:val="20"/>
        </w:rPr>
        <w:t> </w:t>
      </w:r>
      <w:r>
        <w:rPr>
          <w:sz w:val="20"/>
        </w:rPr>
        <w:t>91</w:t>
      </w:r>
      <w:r>
        <w:rPr>
          <w:spacing w:val="-1"/>
          <w:sz w:val="20"/>
        </w:rPr>
        <w:t> </w:t>
      </w:r>
      <w:r>
        <w:rPr>
          <w:sz w:val="20"/>
        </w:rPr>
        <w:t>L.Q.R.</w:t>
      </w:r>
      <w:r>
        <w:rPr>
          <w:spacing w:val="-1"/>
          <w:sz w:val="20"/>
        </w:rPr>
        <w:t> </w:t>
      </w:r>
      <w:r>
        <w:rPr>
          <w:sz w:val="20"/>
        </w:rPr>
        <w:t>357.</w:t>
      </w:r>
      <w:r>
        <w:rPr>
          <w:spacing w:val="-1"/>
          <w:sz w:val="20"/>
        </w:rPr>
        <w:t> </w:t>
      </w:r>
      <w:r>
        <w:rPr>
          <w:sz w:val="20"/>
        </w:rPr>
        <w:t>“Obligation”</w:t>
      </w:r>
      <w:r>
        <w:rPr>
          <w:spacing w:val="-1"/>
          <w:sz w:val="20"/>
        </w:rPr>
        <w:t> </w:t>
      </w:r>
      <w:r>
        <w:rPr>
          <w:sz w:val="20"/>
        </w:rPr>
        <w:t>in</w:t>
      </w:r>
      <w:r>
        <w:rPr>
          <w:spacing w:val="-1"/>
          <w:sz w:val="20"/>
        </w:rPr>
        <w:t> </w:t>
      </w:r>
      <w:r>
        <w:rPr>
          <w:sz w:val="20"/>
        </w:rPr>
        <w:t>the dictum</w:t>
      </w:r>
      <w:r>
        <w:rPr>
          <w:spacing w:val="29"/>
          <w:sz w:val="20"/>
        </w:rPr>
        <w:t> </w:t>
      </w:r>
      <w:r>
        <w:rPr>
          <w:sz w:val="20"/>
        </w:rPr>
        <w:t>quoted</w:t>
      </w:r>
      <w:r>
        <w:rPr>
          <w:spacing w:val="29"/>
          <w:sz w:val="20"/>
        </w:rPr>
        <w:t> </w:t>
      </w:r>
      <w:r>
        <w:rPr>
          <w:sz w:val="20"/>
        </w:rPr>
        <w:t>in</w:t>
      </w:r>
      <w:r>
        <w:rPr>
          <w:spacing w:val="29"/>
          <w:sz w:val="20"/>
        </w:rPr>
        <w:t> </w:t>
      </w:r>
      <w:r>
        <w:rPr>
          <w:sz w:val="20"/>
        </w:rPr>
        <w:t>the</w:t>
      </w:r>
      <w:r>
        <w:rPr>
          <w:spacing w:val="29"/>
          <w:sz w:val="20"/>
        </w:rPr>
        <w:t> </w:t>
      </w:r>
      <w:r>
        <w:rPr>
          <w:sz w:val="20"/>
        </w:rPr>
        <w:t>text</w:t>
      </w:r>
      <w:r>
        <w:rPr>
          <w:spacing w:val="29"/>
          <w:sz w:val="20"/>
        </w:rPr>
        <w:t> </w:t>
      </w:r>
      <w:r>
        <w:rPr>
          <w:sz w:val="20"/>
        </w:rPr>
        <w:t>above</w:t>
      </w:r>
      <w:r>
        <w:rPr>
          <w:spacing w:val="29"/>
          <w:sz w:val="20"/>
        </w:rPr>
        <w:t> </w:t>
      </w:r>
      <w:r>
        <w:rPr>
          <w:sz w:val="20"/>
        </w:rPr>
        <w:t>refers</w:t>
      </w:r>
      <w:r>
        <w:rPr>
          <w:spacing w:val="29"/>
          <w:sz w:val="20"/>
        </w:rPr>
        <w:t> </w:t>
      </w:r>
      <w:r>
        <w:rPr>
          <w:sz w:val="20"/>
        </w:rPr>
        <w:t>to</w:t>
      </w:r>
      <w:r>
        <w:rPr>
          <w:spacing w:val="29"/>
          <w:sz w:val="20"/>
        </w:rPr>
        <w:t> </w:t>
      </w:r>
      <w:r>
        <w:rPr>
          <w:sz w:val="20"/>
        </w:rPr>
        <w:t>obligations</w:t>
      </w:r>
      <w:r>
        <w:rPr>
          <w:spacing w:val="29"/>
          <w:sz w:val="20"/>
        </w:rPr>
        <w:t> </w:t>
      </w:r>
      <w:r>
        <w:rPr>
          <w:sz w:val="20"/>
        </w:rPr>
        <w:t>under</w:t>
      </w:r>
      <w:r>
        <w:rPr>
          <w:spacing w:val="29"/>
          <w:sz w:val="20"/>
        </w:rPr>
        <w:t> </w:t>
      </w:r>
      <w:r>
        <w:rPr>
          <w:sz w:val="20"/>
        </w:rPr>
        <w:t>any</w:t>
      </w:r>
      <w:r>
        <w:rPr>
          <w:spacing w:val="29"/>
          <w:sz w:val="20"/>
        </w:rPr>
        <w:t> </w:t>
      </w:r>
      <w:r>
        <w:rPr>
          <w:sz w:val="20"/>
        </w:rPr>
        <w:t>contract</w:t>
      </w:r>
      <w:r>
        <w:rPr>
          <w:spacing w:val="29"/>
          <w:sz w:val="20"/>
        </w:rPr>
        <w:t> </w:t>
      </w:r>
      <w:r>
        <w:rPr>
          <w:sz w:val="20"/>
        </w:rPr>
        <w:t>between</w:t>
      </w:r>
      <w:r>
        <w:rPr>
          <w:spacing w:val="29"/>
          <w:sz w:val="20"/>
        </w:rPr>
        <w:t> </w:t>
      </w:r>
      <w:r>
        <w:rPr>
          <w:sz w:val="20"/>
        </w:rPr>
        <w:t>agent</w:t>
      </w:r>
      <w:r>
        <w:rPr>
          <w:spacing w:val="29"/>
          <w:sz w:val="20"/>
        </w:rPr>
        <w:t> </w:t>
      </w:r>
      <w:r>
        <w:rPr>
          <w:spacing w:val="-5"/>
          <w:sz w:val="20"/>
        </w:rPr>
        <w:t>and</w:t>
      </w:r>
    </w:p>
    <w:p>
      <w:pPr>
        <w:spacing w:after="0" w:line="235" w:lineRule="auto"/>
        <w:jc w:val="both"/>
        <w:rPr>
          <w:sz w:val="20"/>
        </w:rPr>
        <w:sectPr>
          <w:pgSz w:w="11900" w:h="16840"/>
          <w:pgMar w:header="971" w:footer="0" w:top="1300" w:bottom="280" w:left="1275" w:right="1275"/>
        </w:sectPr>
      </w:pPr>
    </w:p>
    <w:p>
      <w:pPr>
        <w:pStyle w:val="BodyText"/>
        <w:spacing w:before="106"/>
        <w:ind w:left="705"/>
      </w:pPr>
      <w:r>
        <w:rPr/>
        <w:t>client (as distinct from obligations that may be imposed on the agent by </w:t>
      </w:r>
      <w:r>
        <w:rPr>
          <w:spacing w:val="-2"/>
        </w:rPr>
        <w:t>legislation).</w:t>
      </w:r>
    </w:p>
    <w:p>
      <w:pPr>
        <w:pStyle w:val="BodyText"/>
        <w:spacing w:before="5"/>
      </w:pPr>
    </w:p>
    <w:p>
      <w:pPr>
        <w:pStyle w:val="BodyText"/>
        <w:tabs>
          <w:tab w:pos="705" w:val="left" w:leader="none"/>
        </w:tabs>
        <w:spacing w:before="1"/>
        <w:ind w:left="165"/>
      </w:pPr>
      <w:bookmarkStart w:name="_bookmark905" w:id="907"/>
      <w:bookmarkEnd w:id="907"/>
      <w:r>
        <w:rPr/>
      </w:r>
      <w:hyperlink w:history="true" w:anchor="_bookmark868">
        <w:r>
          <w:rPr>
            <w:color w:val="005DA1"/>
            <w:spacing w:val="-4"/>
            <w:position w:val="5"/>
            <w:sz w:val="14"/>
            <w:u w:val="single" w:color="005DA1"/>
          </w:rPr>
          <w:t>469</w:t>
        </w:r>
      </w:hyperlink>
      <w:r>
        <w:rPr>
          <w:spacing w:val="-4"/>
          <w:position w:val="5"/>
          <w:sz w:val="14"/>
        </w:rPr>
        <w:t>.</w:t>
      </w:r>
      <w:r>
        <w:rPr>
          <w:position w:val="5"/>
          <w:sz w:val="14"/>
        </w:rPr>
        <w:tab/>
      </w:r>
      <w:r>
        <w:rPr/>
        <w:t>Below, Vol.II, paras 31-140, 31-</w:t>
      </w:r>
      <w:r>
        <w:rPr>
          <w:spacing w:val="-4"/>
        </w:rPr>
        <w:t>150.</w:t>
      </w:r>
    </w:p>
    <w:p>
      <w:pPr>
        <w:pStyle w:val="BodyText"/>
        <w:spacing w:before="4"/>
      </w:pPr>
    </w:p>
    <w:p>
      <w:pPr>
        <w:tabs>
          <w:tab w:pos="705" w:val="left" w:leader="none"/>
        </w:tabs>
        <w:spacing w:before="1"/>
        <w:ind w:left="165" w:right="0" w:firstLine="0"/>
        <w:jc w:val="left"/>
        <w:rPr>
          <w:sz w:val="20"/>
        </w:rPr>
      </w:pPr>
      <w:bookmarkStart w:name="_bookmark906" w:id="908"/>
      <w:bookmarkEnd w:id="908"/>
      <w:r>
        <w:rPr/>
      </w:r>
      <w:hyperlink w:history="true" w:anchor="_bookmark869">
        <w:r>
          <w:rPr>
            <w:color w:val="005DA1"/>
            <w:spacing w:val="-4"/>
            <w:position w:val="5"/>
            <w:sz w:val="14"/>
            <w:u w:val="single" w:color="005DA1"/>
          </w:rPr>
          <w:t>470</w:t>
        </w:r>
      </w:hyperlink>
      <w:r>
        <w:rPr>
          <w:spacing w:val="-4"/>
          <w:position w:val="5"/>
          <w:sz w:val="14"/>
        </w:rPr>
        <w:t>.</w:t>
      </w:r>
      <w:r>
        <w:rPr>
          <w:position w:val="5"/>
          <w:sz w:val="14"/>
        </w:rPr>
        <w:tab/>
      </w:r>
      <w:r>
        <w:rPr>
          <w:rFonts w:ascii="Arial"/>
          <w:i/>
          <w:sz w:val="20"/>
        </w:rPr>
        <w:t>Alpha Trading Ltd v Dunnshaw-Patten Ltd [1981] Q.B. </w:t>
      </w:r>
      <w:r>
        <w:rPr>
          <w:rFonts w:ascii="Arial"/>
          <w:i/>
          <w:spacing w:val="-4"/>
          <w:sz w:val="20"/>
        </w:rPr>
        <w:t>290</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07" w:id="909"/>
      <w:bookmarkEnd w:id="909"/>
      <w:r>
        <w:rPr/>
      </w:r>
      <w:hyperlink w:history="true" w:anchor="_bookmark870">
        <w:r>
          <w:rPr>
            <w:color w:val="005DA1"/>
            <w:spacing w:val="-4"/>
            <w:position w:val="5"/>
            <w:sz w:val="14"/>
            <w:u w:val="single" w:color="005DA1"/>
          </w:rPr>
          <w:t>471</w:t>
        </w:r>
      </w:hyperlink>
      <w:r>
        <w:rPr>
          <w:spacing w:val="-4"/>
          <w:position w:val="5"/>
          <w:sz w:val="14"/>
        </w:rPr>
        <w:t>.</w:t>
      </w:r>
      <w:r>
        <w:rPr>
          <w:position w:val="5"/>
          <w:sz w:val="14"/>
        </w:rPr>
        <w:tab/>
      </w:r>
      <w:r>
        <w:rPr>
          <w:rFonts w:ascii="Arial"/>
          <w:i/>
          <w:sz w:val="20"/>
        </w:rPr>
        <w:t>C</w:t>
      </w:r>
      <w:r>
        <w:rPr>
          <w:rFonts w:ascii="Arial"/>
          <w:i/>
          <w:spacing w:val="-2"/>
          <w:sz w:val="20"/>
        </w:rPr>
        <w:t> </w:t>
      </w:r>
      <w:r>
        <w:rPr>
          <w:rFonts w:ascii="Arial"/>
          <w:i/>
          <w:sz w:val="20"/>
        </w:rPr>
        <w:t>Christo &amp; Co Ltd v Marathon Advisory Service Ltd [2015] EWHC 1971 </w:t>
      </w:r>
      <w:r>
        <w:rPr>
          <w:rFonts w:ascii="Arial"/>
          <w:i/>
          <w:spacing w:val="-2"/>
          <w:sz w:val="20"/>
        </w:rPr>
        <w:t>(QB)</w:t>
      </w:r>
      <w:r>
        <w:rPr>
          <w:spacing w:val="-2"/>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908" w:id="910"/>
      <w:bookmarkEnd w:id="910"/>
      <w:r>
        <w:rPr/>
      </w:r>
      <w:hyperlink w:history="true" w:anchor="_bookmark871">
        <w:r>
          <w:rPr>
            <w:color w:val="005DA1"/>
            <w:spacing w:val="-4"/>
            <w:position w:val="5"/>
            <w:sz w:val="14"/>
            <w:u w:val="single" w:color="005DA1"/>
          </w:rPr>
          <w:t>472</w:t>
        </w:r>
      </w:hyperlink>
      <w:r>
        <w:rPr>
          <w:spacing w:val="-4"/>
          <w:position w:val="5"/>
          <w:sz w:val="14"/>
        </w:rPr>
        <w:t>.</w:t>
      </w:r>
      <w:r>
        <w:rPr>
          <w:position w:val="5"/>
          <w:sz w:val="14"/>
        </w:rPr>
        <w:tab/>
      </w:r>
      <w:r>
        <w:rPr>
          <w:rFonts w:ascii="Arial"/>
          <w:i/>
          <w:sz w:val="20"/>
        </w:rPr>
        <w:t>Hampton</w:t>
      </w:r>
      <w:r>
        <w:rPr>
          <w:rFonts w:ascii="Arial"/>
          <w:i/>
          <w:spacing w:val="-1"/>
          <w:sz w:val="20"/>
        </w:rPr>
        <w:t> </w:t>
      </w:r>
      <w:r>
        <w:rPr>
          <w:rFonts w:ascii="Arial"/>
          <w:i/>
          <w:sz w:val="20"/>
        </w:rPr>
        <w:t>&amp;</w:t>
      </w:r>
      <w:r>
        <w:rPr>
          <w:rFonts w:ascii="Arial"/>
          <w:i/>
          <w:spacing w:val="-1"/>
          <w:sz w:val="20"/>
        </w:rPr>
        <w:t> </w:t>
      </w:r>
      <w:r>
        <w:rPr>
          <w:rFonts w:ascii="Arial"/>
          <w:i/>
          <w:sz w:val="20"/>
        </w:rPr>
        <w:t>Sons</w:t>
      </w:r>
      <w:r>
        <w:rPr>
          <w:rFonts w:ascii="Arial"/>
          <w:i/>
          <w:spacing w:val="-1"/>
          <w:sz w:val="20"/>
        </w:rPr>
        <w:t> </w:t>
      </w:r>
      <w:r>
        <w:rPr>
          <w:rFonts w:ascii="Arial"/>
          <w:i/>
          <w:sz w:val="20"/>
        </w:rPr>
        <w:t>v</w:t>
      </w:r>
      <w:r>
        <w:rPr>
          <w:rFonts w:ascii="Arial"/>
          <w:i/>
          <w:spacing w:val="-1"/>
          <w:sz w:val="20"/>
        </w:rPr>
        <w:t> </w:t>
      </w:r>
      <w:r>
        <w:rPr>
          <w:rFonts w:ascii="Arial"/>
          <w:i/>
          <w:sz w:val="20"/>
        </w:rPr>
        <w:t>George</w:t>
      </w:r>
      <w:r>
        <w:rPr>
          <w:rFonts w:ascii="Arial"/>
          <w:i/>
          <w:spacing w:val="-1"/>
          <w:sz w:val="20"/>
        </w:rPr>
        <w:t> </w:t>
      </w:r>
      <w:r>
        <w:rPr>
          <w:rFonts w:ascii="Arial"/>
          <w:i/>
          <w:sz w:val="20"/>
        </w:rPr>
        <w:t>[1939]</w:t>
      </w:r>
      <w:r>
        <w:rPr>
          <w:rFonts w:ascii="Arial"/>
          <w:i/>
          <w:spacing w:val="-1"/>
          <w:sz w:val="20"/>
        </w:rPr>
        <w:t> </w:t>
      </w:r>
      <w:r>
        <w:rPr>
          <w:rFonts w:ascii="Arial"/>
          <w:i/>
          <w:sz w:val="20"/>
        </w:rPr>
        <w:t>3</w:t>
      </w:r>
      <w:r>
        <w:rPr>
          <w:rFonts w:ascii="Arial"/>
          <w:i/>
          <w:spacing w:val="-1"/>
          <w:sz w:val="20"/>
        </w:rPr>
        <w:t> </w:t>
      </w:r>
      <w:r>
        <w:rPr>
          <w:rFonts w:ascii="Arial"/>
          <w:i/>
          <w:sz w:val="20"/>
        </w:rPr>
        <w:t>All</w:t>
      </w:r>
      <w:r>
        <w:rPr>
          <w:rFonts w:ascii="Arial"/>
          <w:i/>
          <w:spacing w:val="-1"/>
          <w:sz w:val="20"/>
        </w:rPr>
        <w:t> </w:t>
      </w:r>
      <w:r>
        <w:rPr>
          <w:rFonts w:ascii="Arial"/>
          <w:i/>
          <w:sz w:val="20"/>
        </w:rPr>
        <w:t>E.R.</w:t>
      </w:r>
      <w:r>
        <w:rPr>
          <w:rFonts w:ascii="Arial"/>
          <w:i/>
          <w:spacing w:val="-1"/>
          <w:sz w:val="20"/>
        </w:rPr>
        <w:t> </w:t>
      </w:r>
      <w:r>
        <w:rPr>
          <w:rFonts w:ascii="Arial"/>
          <w:i/>
          <w:sz w:val="20"/>
        </w:rPr>
        <w:t>627</w:t>
      </w:r>
      <w:r>
        <w:rPr>
          <w:sz w:val="20"/>
        </w:rPr>
        <w:t>;</w:t>
      </w:r>
      <w:r>
        <w:rPr>
          <w:spacing w:val="-1"/>
          <w:sz w:val="20"/>
        </w:rPr>
        <w:t> </w:t>
      </w:r>
      <w:r>
        <w:rPr>
          <w:rFonts w:ascii="Arial"/>
          <w:i/>
          <w:sz w:val="20"/>
        </w:rPr>
        <w:t>Christopher</w:t>
      </w:r>
      <w:r>
        <w:rPr>
          <w:rFonts w:ascii="Arial"/>
          <w:i/>
          <w:spacing w:val="-1"/>
          <w:sz w:val="20"/>
        </w:rPr>
        <w:t> </w:t>
      </w:r>
      <w:r>
        <w:rPr>
          <w:rFonts w:ascii="Arial"/>
          <w:i/>
          <w:sz w:val="20"/>
        </w:rPr>
        <w:t>v</w:t>
      </w:r>
      <w:r>
        <w:rPr>
          <w:rFonts w:ascii="Arial"/>
          <w:i/>
          <w:spacing w:val="-1"/>
          <w:sz w:val="20"/>
        </w:rPr>
        <w:t> </w:t>
      </w:r>
      <w:r>
        <w:rPr>
          <w:rFonts w:ascii="Arial"/>
          <w:i/>
          <w:sz w:val="20"/>
        </w:rPr>
        <w:t>Essig</w:t>
      </w:r>
      <w:r>
        <w:rPr>
          <w:rFonts w:ascii="Arial"/>
          <w:i/>
          <w:spacing w:val="-1"/>
          <w:sz w:val="20"/>
        </w:rPr>
        <w:t> </w:t>
      </w:r>
      <w:r>
        <w:rPr>
          <w:rFonts w:ascii="Arial"/>
          <w:i/>
          <w:sz w:val="20"/>
        </w:rPr>
        <w:t>[1958]</w:t>
      </w:r>
      <w:r>
        <w:rPr>
          <w:rFonts w:ascii="Arial"/>
          <w:i/>
          <w:spacing w:val="-1"/>
          <w:sz w:val="20"/>
        </w:rPr>
        <w:t> </w:t>
      </w:r>
      <w:r>
        <w:rPr>
          <w:rFonts w:ascii="Arial"/>
          <w:i/>
          <w:sz w:val="20"/>
        </w:rPr>
        <w:t>W.N.</w:t>
      </w:r>
      <w:r>
        <w:rPr>
          <w:rFonts w:ascii="Arial"/>
          <w:i/>
          <w:spacing w:val="-1"/>
          <w:sz w:val="20"/>
        </w:rPr>
        <w:t> </w:t>
      </w:r>
      <w:r>
        <w:rPr>
          <w:rFonts w:ascii="Arial"/>
          <w:i/>
          <w:sz w:val="20"/>
        </w:rPr>
        <w:t>461</w:t>
      </w:r>
      <w:r>
        <w:rPr>
          <w:sz w:val="20"/>
        </w:rPr>
        <w:t>;</w:t>
      </w:r>
      <w:r>
        <w:rPr>
          <w:spacing w:val="-1"/>
          <w:sz w:val="20"/>
        </w:rPr>
        <w:t> </w:t>
      </w:r>
      <w:r>
        <w:rPr>
          <w:sz w:val="20"/>
        </w:rPr>
        <w:t>and</w:t>
      </w:r>
      <w:r>
        <w:rPr>
          <w:spacing w:val="-1"/>
          <w:sz w:val="20"/>
        </w:rPr>
        <w:t> </w:t>
      </w:r>
      <w:r>
        <w:rPr>
          <w:sz w:val="20"/>
        </w:rPr>
        <w:t>see below, Vol.II, para.31-150.</w:t>
      </w:r>
    </w:p>
    <w:p>
      <w:pPr>
        <w:pStyle w:val="BodyText"/>
        <w:spacing w:before="9"/>
      </w:pPr>
    </w:p>
    <w:p>
      <w:pPr>
        <w:spacing w:line="235" w:lineRule="auto" w:before="1"/>
        <w:ind w:left="705" w:right="168" w:hanging="541"/>
        <w:jc w:val="both"/>
        <w:rPr>
          <w:sz w:val="20"/>
        </w:rPr>
      </w:pPr>
      <w:bookmarkStart w:name="_bookmark909" w:id="911"/>
      <w:bookmarkEnd w:id="911"/>
      <w:r>
        <w:rPr/>
      </w:r>
      <w:hyperlink w:history="true" w:anchor="_bookmark872">
        <w:r>
          <w:rPr>
            <w:color w:val="005DA1"/>
            <w:position w:val="5"/>
            <w:sz w:val="14"/>
            <w:u w:val="single" w:color="005DA1"/>
          </w:rPr>
          <w:t>473</w:t>
        </w:r>
      </w:hyperlink>
      <w:r>
        <w:rPr>
          <w:position w:val="5"/>
          <w:sz w:val="14"/>
        </w:rPr>
        <w:t>.</w:t>
      </w:r>
      <w:r>
        <w:rPr>
          <w:spacing w:val="40"/>
          <w:position w:val="5"/>
          <w:sz w:val="14"/>
        </w:rPr>
        <w:t>  </w:t>
      </w:r>
      <w:r>
        <w:rPr>
          <w:rFonts w:ascii="Arial"/>
          <w:i/>
          <w:sz w:val="20"/>
        </w:rPr>
        <w:t>Christopher v Essig</w:t>
      </w:r>
      <w:r>
        <w:rPr>
          <w:sz w:val="20"/>
        </w:rPr>
        <w:t>, above, n.461; </w:t>
      </w:r>
      <w:r>
        <w:rPr>
          <w:rFonts w:ascii="Arial"/>
          <w:i/>
          <w:sz w:val="20"/>
        </w:rPr>
        <w:t>John McCann &amp; Co v Pow [1974] 1 W.L.R. 1643, 1647</w:t>
      </w:r>
      <w:r>
        <w:rPr>
          <w:sz w:val="20"/>
        </w:rPr>
        <w:t>. In </w:t>
      </w:r>
      <w:r>
        <w:rPr>
          <w:rFonts w:ascii="Arial"/>
          <w:i/>
          <w:sz w:val="20"/>
        </w:rPr>
        <w:t>Wood v Lucy, Lady Duff-Gordon 222 N.Y. 88; 118 N.E. 214 (1917) </w:t>
      </w:r>
      <w:r>
        <w:rPr>
          <w:sz w:val="20"/>
        </w:rPr>
        <w:t>it was held that such </w:t>
      </w:r>
      <w:r>
        <w:rPr>
          <w:sz w:val="20"/>
        </w:rPr>
        <w:t>a promise could be implied.</w:t>
      </w:r>
    </w:p>
    <w:p>
      <w:pPr>
        <w:pStyle w:val="BodyText"/>
        <w:spacing w:before="8"/>
      </w:pPr>
    </w:p>
    <w:p>
      <w:pPr>
        <w:spacing w:line="235" w:lineRule="auto" w:before="1"/>
        <w:ind w:left="705" w:right="167" w:hanging="541"/>
        <w:jc w:val="both"/>
        <w:rPr>
          <w:sz w:val="20"/>
        </w:rPr>
      </w:pPr>
      <w:bookmarkStart w:name="_bookmark910" w:id="912"/>
      <w:bookmarkEnd w:id="912"/>
      <w:r>
        <w:rPr/>
      </w:r>
      <w:hyperlink w:history="true" w:anchor="_bookmark872">
        <w:r>
          <w:rPr>
            <w:color w:val="005DA1"/>
            <w:position w:val="5"/>
            <w:sz w:val="14"/>
            <w:u w:val="single" w:color="005DA1"/>
          </w:rPr>
          <w:t>474</w:t>
        </w:r>
      </w:hyperlink>
      <w:r>
        <w:rPr>
          <w:position w:val="5"/>
          <w:sz w:val="14"/>
        </w:rPr>
        <w:t>.</w:t>
      </w:r>
      <w:r>
        <w:rPr>
          <w:spacing w:val="80"/>
          <w:w w:val="150"/>
          <w:position w:val="5"/>
          <w:sz w:val="14"/>
        </w:rPr>
        <w:t> </w:t>
      </w:r>
      <w:r>
        <w:rPr>
          <w:sz w:val="20"/>
        </w:rPr>
        <w:t>cf. </w:t>
      </w:r>
      <w:r>
        <w:rPr>
          <w:rFonts w:ascii="Arial" w:hAnsi="Arial"/>
          <w:i/>
          <w:sz w:val="20"/>
        </w:rPr>
        <w:t>Bentall, Horsley &amp; Baldry v Vicary [1931] 1 K.B. 253 </w:t>
      </w:r>
      <w:r>
        <w:rPr>
          <w:sz w:val="20"/>
        </w:rPr>
        <w:t>(where it was held that the owner committed no breach of a “sole agency” agreement by selling it without the intervention of a second agent).</w:t>
      </w:r>
    </w:p>
    <w:p>
      <w:pPr>
        <w:pStyle w:val="BodyText"/>
        <w:spacing w:before="4"/>
      </w:pPr>
    </w:p>
    <w:p>
      <w:pPr>
        <w:pStyle w:val="BodyText"/>
        <w:tabs>
          <w:tab w:pos="705" w:val="left" w:leader="none"/>
        </w:tabs>
        <w:spacing w:before="1"/>
        <w:ind w:left="165"/>
      </w:pPr>
      <w:bookmarkStart w:name="_bookmark911" w:id="913"/>
      <w:bookmarkEnd w:id="913"/>
      <w:r>
        <w:rPr/>
      </w:r>
      <w:hyperlink w:history="true" w:anchor="_bookmark873">
        <w:r>
          <w:rPr>
            <w:color w:val="005DA1"/>
            <w:spacing w:val="-4"/>
            <w:position w:val="5"/>
            <w:sz w:val="14"/>
            <w:u w:val="single" w:color="005DA1"/>
          </w:rPr>
          <w:t>475</w:t>
        </w:r>
      </w:hyperlink>
      <w:r>
        <w:rPr>
          <w:spacing w:val="-4"/>
          <w:position w:val="5"/>
          <w:sz w:val="14"/>
        </w:rPr>
        <w:t>.</w:t>
      </w:r>
      <w:r>
        <w:rPr>
          <w:position w:val="5"/>
          <w:sz w:val="14"/>
        </w:rPr>
        <w:tab/>
      </w:r>
      <w:r>
        <w:rPr/>
        <w:t>Below,</w:t>
      </w:r>
      <w:r>
        <w:rPr>
          <w:spacing w:val="-2"/>
        </w:rPr>
        <w:t> </w:t>
      </w:r>
      <w:r>
        <w:rPr/>
        <w:t>paras 2-143—2-</w:t>
      </w:r>
      <w:r>
        <w:rPr>
          <w:spacing w:val="-4"/>
        </w:rPr>
        <w:t>145.</w:t>
      </w:r>
    </w:p>
    <w:p>
      <w:pPr>
        <w:pStyle w:val="BodyText"/>
        <w:spacing w:before="8"/>
      </w:pPr>
    </w:p>
    <w:p>
      <w:pPr>
        <w:spacing w:line="235" w:lineRule="auto" w:before="0"/>
        <w:ind w:left="705" w:right="167" w:hanging="541"/>
        <w:jc w:val="both"/>
        <w:rPr>
          <w:sz w:val="20"/>
        </w:rPr>
      </w:pPr>
      <w:bookmarkStart w:name="_bookmark912" w:id="914"/>
      <w:bookmarkEnd w:id="914"/>
      <w:r>
        <w:rPr/>
      </w:r>
      <w:hyperlink w:history="true" w:anchor="_bookmark874">
        <w:r>
          <w:rPr>
            <w:color w:val="005DA1"/>
            <w:position w:val="5"/>
            <w:sz w:val="14"/>
            <w:u w:val="single" w:color="005DA1"/>
          </w:rPr>
          <w:t>476</w:t>
        </w:r>
      </w:hyperlink>
      <w:r>
        <w:rPr>
          <w:position w:val="5"/>
          <w:sz w:val="14"/>
        </w:rPr>
        <w:t>.</w:t>
      </w:r>
      <w:r>
        <w:rPr>
          <w:spacing w:val="80"/>
          <w:position w:val="5"/>
          <w:sz w:val="14"/>
        </w:rPr>
        <w:t>  </w:t>
      </w:r>
      <w:r>
        <w:rPr>
          <w:rFonts w:ascii="Arial" w:hAnsi="Arial"/>
          <w:i/>
          <w:sz w:val="20"/>
        </w:rPr>
        <w:t>New</w:t>
      </w:r>
      <w:r>
        <w:rPr>
          <w:rFonts w:ascii="Arial" w:hAnsi="Arial"/>
          <w:i/>
          <w:spacing w:val="39"/>
          <w:sz w:val="20"/>
        </w:rPr>
        <w:t> </w:t>
      </w:r>
      <w:r>
        <w:rPr>
          <w:rFonts w:ascii="Arial" w:hAnsi="Arial"/>
          <w:i/>
          <w:sz w:val="20"/>
        </w:rPr>
        <w:t>Zealand</w:t>
      </w:r>
      <w:r>
        <w:rPr>
          <w:rFonts w:ascii="Arial" w:hAnsi="Arial"/>
          <w:i/>
          <w:spacing w:val="39"/>
          <w:sz w:val="20"/>
        </w:rPr>
        <w:t> </w:t>
      </w:r>
      <w:r>
        <w:rPr>
          <w:rFonts w:ascii="Arial" w:hAnsi="Arial"/>
          <w:i/>
          <w:sz w:val="20"/>
        </w:rPr>
        <w:t>Shipping</w:t>
      </w:r>
      <w:r>
        <w:rPr>
          <w:rFonts w:ascii="Arial" w:hAnsi="Arial"/>
          <w:i/>
          <w:spacing w:val="39"/>
          <w:sz w:val="20"/>
        </w:rPr>
        <w:t> </w:t>
      </w:r>
      <w:r>
        <w:rPr>
          <w:rFonts w:ascii="Arial" w:hAnsi="Arial"/>
          <w:i/>
          <w:sz w:val="20"/>
        </w:rPr>
        <w:t>Co</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A.N.</w:t>
      </w:r>
      <w:r>
        <w:rPr>
          <w:rFonts w:ascii="Arial" w:hAnsi="Arial"/>
          <w:i/>
          <w:spacing w:val="39"/>
          <w:sz w:val="20"/>
        </w:rPr>
        <w:t> </w:t>
      </w:r>
      <w:r>
        <w:rPr>
          <w:rFonts w:ascii="Arial" w:hAnsi="Arial"/>
          <w:i/>
          <w:sz w:val="20"/>
        </w:rPr>
        <w:t>Satterthwaite</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(The</w:t>
      </w:r>
      <w:r>
        <w:rPr>
          <w:rFonts w:ascii="Arial" w:hAnsi="Arial"/>
          <w:i/>
          <w:spacing w:val="39"/>
          <w:sz w:val="20"/>
        </w:rPr>
        <w:t> </w:t>
      </w:r>
      <w:r>
        <w:rPr>
          <w:rFonts w:ascii="Arial" w:hAnsi="Arial"/>
          <w:i/>
          <w:sz w:val="20"/>
        </w:rPr>
        <w:t>Eurymedon)</w:t>
      </w:r>
      <w:r>
        <w:rPr>
          <w:rFonts w:ascii="Arial" w:hAnsi="Arial"/>
          <w:i/>
          <w:spacing w:val="39"/>
          <w:sz w:val="20"/>
        </w:rPr>
        <w:t> </w:t>
      </w:r>
      <w:r>
        <w:rPr>
          <w:rFonts w:ascii="Arial" w:hAnsi="Arial"/>
          <w:i/>
          <w:sz w:val="20"/>
        </w:rPr>
        <w:t>[1975]</w:t>
      </w:r>
      <w:r>
        <w:rPr>
          <w:rFonts w:ascii="Arial" w:hAnsi="Arial"/>
          <w:i/>
          <w:spacing w:val="39"/>
          <w:sz w:val="20"/>
        </w:rPr>
        <w:t> </w:t>
      </w:r>
      <w:r>
        <w:rPr>
          <w:rFonts w:ascii="Arial" w:hAnsi="Arial"/>
          <w:i/>
          <w:sz w:val="20"/>
        </w:rPr>
        <w:t>A.C.</w:t>
      </w:r>
      <w:r>
        <w:rPr>
          <w:rFonts w:ascii="Arial" w:hAnsi="Arial"/>
          <w:i/>
          <w:spacing w:val="39"/>
          <w:sz w:val="20"/>
        </w:rPr>
        <w:t> </w:t>
      </w:r>
      <w:r>
        <w:rPr>
          <w:rFonts w:ascii="Arial" w:hAnsi="Arial"/>
          <w:i/>
          <w:sz w:val="20"/>
        </w:rPr>
        <w:t>154, 167-168 </w:t>
      </w:r>
      <w:r>
        <w:rPr>
          <w:sz w:val="20"/>
        </w:rPr>
        <w:t>(“a bargain initially unilateral but capable of becoming mutual”); cf. </w:t>
      </w:r>
      <w:r>
        <w:rPr>
          <w:rFonts w:ascii="Arial" w:hAnsi="Arial"/>
          <w:i/>
          <w:sz w:val="20"/>
        </w:rPr>
        <w:t>The Mahkutai</w:t>
      </w:r>
      <w:r>
        <w:rPr>
          <w:rFonts w:ascii="Arial" w:hAnsi="Arial"/>
          <w:i/>
          <w:spacing w:val="40"/>
          <w:sz w:val="20"/>
        </w:rPr>
        <w:t> </w:t>
      </w:r>
      <w:r>
        <w:rPr>
          <w:rFonts w:ascii="Arial" w:hAnsi="Arial"/>
          <w:i/>
          <w:sz w:val="20"/>
        </w:rPr>
        <w:t>[1996]</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650,</w:t>
      </w:r>
      <w:r>
        <w:rPr>
          <w:rFonts w:ascii="Arial" w:hAnsi="Arial"/>
          <w:i/>
          <w:spacing w:val="-1"/>
          <w:sz w:val="20"/>
        </w:rPr>
        <w:t> </w:t>
      </w:r>
      <w:r>
        <w:rPr>
          <w:rFonts w:ascii="Arial" w:hAnsi="Arial"/>
          <w:i/>
          <w:sz w:val="20"/>
        </w:rPr>
        <w:t>664</w:t>
      </w:r>
      <w:r>
        <w:rPr>
          <w:sz w:val="20"/>
        </w:rPr>
        <w:t>,</w:t>
      </w:r>
      <w:r>
        <w:rPr>
          <w:spacing w:val="-1"/>
          <w:sz w:val="20"/>
        </w:rPr>
        <w:t> </w:t>
      </w:r>
      <w:r>
        <w:rPr>
          <w:sz w:val="20"/>
        </w:rPr>
        <w:t>treating</w:t>
      </w:r>
      <w:r>
        <w:rPr>
          <w:spacing w:val="-1"/>
          <w:sz w:val="20"/>
        </w:rPr>
        <w:t> </w:t>
      </w:r>
      <w:r>
        <w:rPr>
          <w:sz w:val="20"/>
        </w:rPr>
        <w:t>the</w:t>
      </w:r>
      <w:r>
        <w:rPr>
          <w:spacing w:val="-1"/>
          <w:sz w:val="20"/>
        </w:rPr>
        <w:t> </w:t>
      </w:r>
      <w:r>
        <w:rPr>
          <w:sz w:val="20"/>
        </w:rPr>
        <w:t>contract</w:t>
      </w:r>
      <w:r>
        <w:rPr>
          <w:spacing w:val="-1"/>
          <w:sz w:val="20"/>
        </w:rPr>
        <w:t> </w:t>
      </w:r>
      <w:r>
        <w:rPr>
          <w:sz w:val="20"/>
        </w:rPr>
        <w:t>in</w:t>
      </w:r>
      <w:r>
        <w:rPr>
          <w:spacing w:val="-1"/>
          <w:sz w:val="20"/>
        </w:rPr>
        <w:t> </w:t>
      </w:r>
      <w:r>
        <w:rPr>
          <w:rFonts w:ascii="Arial" w:hAnsi="Arial"/>
          <w:i/>
          <w:sz w:val="20"/>
        </w:rPr>
        <w:t>The</w:t>
      </w:r>
      <w:r>
        <w:rPr>
          <w:rFonts w:ascii="Arial" w:hAnsi="Arial"/>
          <w:i/>
          <w:spacing w:val="-1"/>
          <w:sz w:val="20"/>
        </w:rPr>
        <w:t> </w:t>
      </w:r>
      <w:r>
        <w:rPr>
          <w:rFonts w:ascii="Arial" w:hAnsi="Arial"/>
          <w:i/>
          <w:sz w:val="20"/>
        </w:rPr>
        <w:t>Eurymedon</w:t>
      </w:r>
      <w:r>
        <w:rPr>
          <w:rFonts w:ascii="Arial" w:hAnsi="Arial"/>
          <w:i/>
          <w:spacing w:val="-1"/>
          <w:sz w:val="20"/>
        </w:rPr>
        <w:t> </w:t>
      </w:r>
      <w:r>
        <w:rPr>
          <w:sz w:val="20"/>
        </w:rPr>
        <w:t>as</w:t>
      </w:r>
      <w:r>
        <w:rPr>
          <w:spacing w:val="-1"/>
          <w:sz w:val="20"/>
        </w:rPr>
        <w:t> </w:t>
      </w:r>
      <w:r>
        <w:rPr>
          <w:sz w:val="20"/>
        </w:rPr>
        <w:t>“nowadays</w:t>
      </w:r>
      <w:r>
        <w:rPr>
          <w:spacing w:val="-1"/>
          <w:sz w:val="20"/>
        </w:rPr>
        <w:t> </w:t>
      </w:r>
      <w:r>
        <w:rPr>
          <w:sz w:val="20"/>
        </w:rPr>
        <w:t>bilateral”;</w:t>
      </w:r>
      <w:r>
        <w:rPr>
          <w:spacing w:val="-1"/>
          <w:sz w:val="20"/>
        </w:rPr>
        <w:t> </w:t>
      </w:r>
      <w:r>
        <w:rPr>
          <w:sz w:val="20"/>
        </w:rPr>
        <w:t>but</w:t>
      </w:r>
      <w:r>
        <w:rPr>
          <w:spacing w:val="-1"/>
          <w:sz w:val="20"/>
        </w:rPr>
        <w:t> </w:t>
      </w:r>
      <w:r>
        <w:rPr>
          <w:sz w:val="20"/>
        </w:rPr>
        <w:t>this description should not be understood as meaning that the contract imposed on the offeree any executory obligations to the offeror: </w:t>
      </w:r>
      <w:r>
        <w:rPr>
          <w:rFonts w:ascii="Arial" w:hAnsi="Arial"/>
          <w:i/>
          <w:sz w:val="20"/>
        </w:rPr>
        <w:t>Hombourg Houtimport BV v Agrosin Private Ltd (The Starsin)</w:t>
      </w:r>
      <w:r>
        <w:rPr>
          <w:rFonts w:ascii="Arial" w:hAnsi="Arial"/>
          <w:i/>
          <w:spacing w:val="41"/>
          <w:sz w:val="20"/>
        </w:rPr>
        <w:t> </w:t>
      </w:r>
      <w:r>
        <w:rPr>
          <w:rFonts w:ascii="Arial" w:hAnsi="Arial"/>
          <w:i/>
          <w:sz w:val="20"/>
        </w:rPr>
        <w:t>[2003]</w:t>
      </w:r>
      <w:r>
        <w:rPr>
          <w:rFonts w:ascii="Arial" w:hAnsi="Arial"/>
          <w:i/>
          <w:spacing w:val="43"/>
          <w:sz w:val="20"/>
        </w:rPr>
        <w:t> </w:t>
      </w:r>
      <w:r>
        <w:rPr>
          <w:rFonts w:ascii="Arial" w:hAnsi="Arial"/>
          <w:i/>
          <w:sz w:val="20"/>
        </w:rPr>
        <w:t>UKHL</w:t>
      </w:r>
      <w:r>
        <w:rPr>
          <w:rFonts w:ascii="Arial" w:hAnsi="Arial"/>
          <w:i/>
          <w:spacing w:val="43"/>
          <w:sz w:val="20"/>
        </w:rPr>
        <w:t> </w:t>
      </w:r>
      <w:r>
        <w:rPr>
          <w:rFonts w:ascii="Arial" w:hAnsi="Arial"/>
          <w:i/>
          <w:sz w:val="20"/>
        </w:rPr>
        <w:t>13,</w:t>
      </w:r>
      <w:r>
        <w:rPr>
          <w:rFonts w:ascii="Arial" w:hAnsi="Arial"/>
          <w:i/>
          <w:spacing w:val="43"/>
          <w:sz w:val="20"/>
        </w:rPr>
        <w:t> </w:t>
      </w:r>
      <w:r>
        <w:rPr>
          <w:rFonts w:ascii="Arial" w:hAnsi="Arial"/>
          <w:i/>
          <w:sz w:val="20"/>
        </w:rPr>
        <w:t>[2004]</w:t>
      </w:r>
      <w:r>
        <w:rPr>
          <w:rFonts w:ascii="Arial" w:hAnsi="Arial"/>
          <w:i/>
          <w:spacing w:val="43"/>
          <w:sz w:val="20"/>
        </w:rPr>
        <w:t> </w:t>
      </w:r>
      <w:r>
        <w:rPr>
          <w:rFonts w:ascii="Arial" w:hAnsi="Arial"/>
          <w:i/>
          <w:sz w:val="20"/>
        </w:rPr>
        <w:t>1</w:t>
      </w:r>
      <w:r>
        <w:rPr>
          <w:rFonts w:ascii="Arial" w:hAnsi="Arial"/>
          <w:i/>
          <w:spacing w:val="43"/>
          <w:sz w:val="20"/>
        </w:rPr>
        <w:t> </w:t>
      </w:r>
      <w:r>
        <w:rPr>
          <w:rFonts w:ascii="Arial" w:hAnsi="Arial"/>
          <w:i/>
          <w:sz w:val="20"/>
        </w:rPr>
        <w:t>A.C.</w:t>
      </w:r>
      <w:r>
        <w:rPr>
          <w:rFonts w:ascii="Arial" w:hAnsi="Arial"/>
          <w:i/>
          <w:spacing w:val="43"/>
          <w:sz w:val="20"/>
        </w:rPr>
        <w:t> </w:t>
      </w:r>
      <w:r>
        <w:rPr>
          <w:rFonts w:ascii="Arial" w:hAnsi="Arial"/>
          <w:i/>
          <w:sz w:val="20"/>
        </w:rPr>
        <w:t>715</w:t>
      </w:r>
      <w:r>
        <w:rPr>
          <w:rFonts w:ascii="Arial" w:hAnsi="Arial"/>
          <w:i/>
          <w:spacing w:val="42"/>
          <w:sz w:val="20"/>
        </w:rPr>
        <w:t> </w:t>
      </w:r>
      <w:r>
        <w:rPr>
          <w:sz w:val="20"/>
        </w:rPr>
        <w:t>at</w:t>
      </w:r>
      <w:r>
        <w:rPr>
          <w:spacing w:val="43"/>
          <w:sz w:val="20"/>
        </w:rPr>
        <w:t> </w:t>
      </w:r>
      <w:r>
        <w:rPr>
          <w:sz w:val="20"/>
        </w:rPr>
        <w:t>[34],</w:t>
      </w:r>
      <w:r>
        <w:rPr>
          <w:spacing w:val="43"/>
          <w:sz w:val="20"/>
        </w:rPr>
        <w:t> </w:t>
      </w:r>
      <w:r>
        <w:rPr>
          <w:sz w:val="20"/>
        </w:rPr>
        <w:t>[59],</w:t>
      </w:r>
      <w:r>
        <w:rPr>
          <w:spacing w:val="43"/>
          <w:sz w:val="20"/>
        </w:rPr>
        <w:t> </w:t>
      </w:r>
      <w:r>
        <w:rPr>
          <w:sz w:val="20"/>
        </w:rPr>
        <w:t>[93],</w:t>
      </w:r>
      <w:r>
        <w:rPr>
          <w:spacing w:val="43"/>
          <w:sz w:val="20"/>
        </w:rPr>
        <w:t> </w:t>
      </w:r>
      <w:r>
        <w:rPr>
          <w:sz w:val="20"/>
        </w:rPr>
        <w:t>[153]</w:t>
      </w:r>
      <w:r>
        <w:rPr>
          <w:spacing w:val="43"/>
          <w:sz w:val="20"/>
        </w:rPr>
        <w:t> </w:t>
      </w:r>
      <w:r>
        <w:rPr>
          <w:sz w:val="20"/>
        </w:rPr>
        <w:t>and</w:t>
      </w:r>
      <w:r>
        <w:rPr>
          <w:spacing w:val="43"/>
          <w:sz w:val="20"/>
        </w:rPr>
        <w:t> </w:t>
      </w:r>
      <w:r>
        <w:rPr>
          <w:sz w:val="20"/>
        </w:rPr>
        <w:t>[196],</w:t>
      </w:r>
      <w:r>
        <w:rPr>
          <w:spacing w:val="43"/>
          <w:sz w:val="20"/>
        </w:rPr>
        <w:t> </w:t>
      </w:r>
      <w:r>
        <w:rPr>
          <w:sz w:val="20"/>
        </w:rPr>
        <w:t>where</w:t>
      </w:r>
      <w:r>
        <w:rPr>
          <w:spacing w:val="43"/>
          <w:sz w:val="20"/>
        </w:rPr>
        <w:t> </w:t>
      </w:r>
      <w:r>
        <w:rPr>
          <w:spacing w:val="-5"/>
          <w:sz w:val="20"/>
        </w:rPr>
        <w:t>the</w:t>
      </w:r>
    </w:p>
    <w:p>
      <w:pPr>
        <w:spacing w:line="235" w:lineRule="auto" w:before="0"/>
        <w:ind w:left="705" w:right="168" w:firstLine="0"/>
        <w:jc w:val="both"/>
        <w:rPr>
          <w:sz w:val="20"/>
        </w:rPr>
      </w:pPr>
      <w:r>
        <w:rPr>
          <w:sz w:val="20"/>
        </w:rPr>
        <w:t>contract is described as “unilateral”. See also Treitel, </w:t>
      </w:r>
      <w:r>
        <w:rPr>
          <w:rFonts w:ascii="Arial" w:hAnsi="Arial"/>
          <w:i/>
          <w:sz w:val="20"/>
        </w:rPr>
        <w:t>Carver on Bills of Lading</w:t>
      </w:r>
      <w:r>
        <w:rPr>
          <w:sz w:val="20"/>
        </w:rPr>
        <w:t>, 3rd edn (2011) </w:t>
      </w:r>
      <w:r>
        <w:rPr>
          <w:spacing w:val="-2"/>
          <w:sz w:val="20"/>
        </w:rPr>
        <w:t>para.7-052.</w:t>
      </w:r>
    </w:p>
    <w:p>
      <w:pPr>
        <w:pStyle w:val="BodyText"/>
        <w:spacing w:before="7"/>
      </w:pPr>
    </w:p>
    <w:p>
      <w:pPr>
        <w:pStyle w:val="BodyText"/>
        <w:spacing w:line="235" w:lineRule="auto"/>
        <w:ind w:left="705" w:right="167" w:hanging="541"/>
        <w:jc w:val="both"/>
      </w:pPr>
      <w:bookmarkStart w:name="_bookmark913" w:id="915"/>
      <w:bookmarkEnd w:id="915"/>
      <w:r>
        <w:rPr/>
      </w:r>
      <w:hyperlink w:history="true" w:anchor="_bookmark875">
        <w:r>
          <w:rPr>
            <w:color w:val="005DA1"/>
            <w:position w:val="5"/>
            <w:sz w:val="14"/>
            <w:u w:val="single" w:color="005DA1"/>
          </w:rPr>
          <w:t>477</w:t>
        </w:r>
      </w:hyperlink>
      <w:r>
        <w:rPr>
          <w:position w:val="5"/>
          <w:sz w:val="14"/>
        </w:rPr>
        <w:t>.</w:t>
      </w:r>
      <w:r>
        <w:rPr>
          <w:spacing w:val="80"/>
          <w:position w:val="5"/>
          <w:sz w:val="14"/>
        </w:rPr>
        <w:t> </w:t>
      </w:r>
      <w:r>
        <w:rPr/>
        <w:t>It has, indeed, been suggested that it is “impossible to imply terms … which impose </w:t>
      </w:r>
      <w:r>
        <w:rPr/>
        <w:t>legal obligations … into a unilateral contract” (</w:t>
      </w:r>
      <w:r>
        <w:rPr>
          <w:rFonts w:ascii="Arial" w:hAnsi="Arial"/>
          <w:i/>
        </w:rPr>
        <w:t>Little v Courage (1995) 70 P. &amp; C.R. 469, 474</w:t>
      </w:r>
      <w:r>
        <w:rPr/>
        <w:t>). The reason for this view seems to be that such an implication would destroy the unilateral character of the contract by imposing an obligation on the promisee. But there is, it is submitted, no good reason why an intention to undertake such an obligation should not be inferred from the</w:t>
      </w:r>
      <w:r>
        <w:rPr>
          <w:spacing w:val="40"/>
        </w:rPr>
        <w:t> </w:t>
      </w:r>
      <w:r>
        <w:rPr/>
        <w:t>conduct of the promisee </w:t>
      </w:r>
      <w:r>
        <w:rPr>
          <w:rFonts w:ascii="Arial" w:hAnsi="Arial"/>
          <w:i/>
        </w:rPr>
        <w:t>after </w:t>
      </w:r>
      <w:r>
        <w:rPr/>
        <w:t>the unilateral contract has come into existence. This possibility is recognised in the dictum from </w:t>
      </w:r>
      <w:r>
        <w:rPr>
          <w:rFonts w:ascii="Arial" w:hAnsi="Arial"/>
          <w:i/>
        </w:rPr>
        <w:t>The Eurymedon </w:t>
      </w:r>
      <w:r>
        <w:rPr/>
        <w:t>cited in n.465 above and by the example given</w:t>
      </w:r>
      <w:r>
        <w:rPr>
          <w:spacing w:val="40"/>
        </w:rPr>
        <w:t> </w:t>
      </w:r>
      <w:r>
        <w:rPr/>
        <w:t>in the text to this note.</w:t>
      </w:r>
    </w:p>
    <w:p>
      <w:pPr>
        <w:pStyle w:val="BodyText"/>
        <w:spacing w:before="7"/>
      </w:pPr>
    </w:p>
    <w:p>
      <w:pPr>
        <w:spacing w:line="235" w:lineRule="auto" w:before="0"/>
        <w:ind w:left="705" w:right="167" w:hanging="541"/>
        <w:jc w:val="both"/>
        <w:rPr>
          <w:sz w:val="20"/>
        </w:rPr>
      </w:pPr>
      <w:bookmarkStart w:name="_bookmark914" w:id="916"/>
      <w:bookmarkEnd w:id="916"/>
      <w:r>
        <w:rPr/>
      </w:r>
      <w:hyperlink w:history="true" w:anchor="_bookmark875">
        <w:r>
          <w:rPr>
            <w:color w:val="005DA1"/>
            <w:position w:val="5"/>
            <w:sz w:val="14"/>
            <w:u w:val="single" w:color="005DA1"/>
          </w:rPr>
          <w:t>478</w:t>
        </w:r>
      </w:hyperlink>
      <w:r>
        <w:rPr>
          <w:position w:val="5"/>
          <w:sz w:val="14"/>
        </w:rPr>
        <w:t>.</w:t>
      </w:r>
      <w:r>
        <w:rPr>
          <w:spacing w:val="40"/>
          <w:position w:val="5"/>
          <w:sz w:val="14"/>
        </w:rPr>
        <w:t>  </w:t>
      </w:r>
      <w:r>
        <w:rPr>
          <w:sz w:val="20"/>
        </w:rPr>
        <w:t>See </w:t>
      </w:r>
      <w:r>
        <w:rPr>
          <w:rFonts w:ascii="Arial" w:hAnsi="Arial"/>
          <w:i/>
          <w:sz w:val="20"/>
        </w:rPr>
        <w:t>The Unique Mariner [1979] 2 Lloyd’s Rep. 37, 51-2</w:t>
      </w:r>
      <w:r>
        <w:rPr>
          <w:sz w:val="20"/>
        </w:rPr>
        <w:t>; </w:t>
      </w:r>
      <w:r>
        <w:rPr>
          <w:rFonts w:ascii="Arial" w:hAnsi="Arial"/>
          <w:i/>
          <w:sz w:val="20"/>
        </w:rPr>
        <w:t>Smit International Singapore Pte Ltd </w:t>
      </w:r>
      <w:r>
        <w:rPr>
          <w:rFonts w:ascii="Arial" w:hAnsi="Arial"/>
          <w:i/>
          <w:sz w:val="20"/>
        </w:rPr>
        <w:t>v Kurnia Dewi Shipping SA (The Kurnia Dewi) [1997] 1 Lloyd’s Rep. 553, 559</w:t>
      </w:r>
      <w:r>
        <w:rPr>
          <w:sz w:val="20"/>
        </w:rPr>
        <w:t>; contrast </w:t>
      </w:r>
      <w:r>
        <w:rPr>
          <w:rFonts w:ascii="Arial" w:hAnsi="Arial"/>
          <w:i/>
          <w:sz w:val="20"/>
        </w:rPr>
        <w:t>B.S.C. v Cleveland Bridge &amp; Engineering Co Ltd [1984] 1 All E.R. 504, 510-511</w:t>
      </w:r>
      <w:r>
        <w:rPr>
          <w:sz w:val="20"/>
        </w:rPr>
        <w:t>, where such an implied promise was negatived by the fact that the terms of a bilateral contract were still under negotiation and were never agreed. It is not clear whether the situation discussed in </w:t>
      </w:r>
      <w:r>
        <w:rPr>
          <w:rFonts w:ascii="Arial" w:hAnsi="Arial"/>
          <w:i/>
          <w:sz w:val="20"/>
        </w:rPr>
        <w:t>Offord v Davies (1862) 12 C.B.N.S. 748, 753 </w:t>
      </w:r>
      <w:r>
        <w:rPr>
          <w:sz w:val="20"/>
        </w:rPr>
        <w:t>falls into the category of a unilateral or into that of a bilateral contract.</w:t>
      </w:r>
    </w:p>
    <w:p>
      <w:pPr>
        <w:pStyle w:val="BodyText"/>
        <w:spacing w:before="8"/>
      </w:pPr>
    </w:p>
    <w:p>
      <w:pPr>
        <w:spacing w:line="235" w:lineRule="auto" w:before="0"/>
        <w:ind w:left="705" w:right="167" w:hanging="541"/>
        <w:jc w:val="both"/>
        <w:rPr>
          <w:sz w:val="20"/>
        </w:rPr>
      </w:pPr>
      <w:bookmarkStart w:name="_bookmark915" w:id="917"/>
      <w:bookmarkEnd w:id="917"/>
      <w:r>
        <w:rPr/>
      </w:r>
      <w:hyperlink w:history="true" w:anchor="_bookmark876">
        <w:r>
          <w:rPr>
            <w:color w:val="005DA1"/>
            <w:position w:val="5"/>
            <w:sz w:val="14"/>
            <w:u w:val="single" w:color="005DA1"/>
          </w:rPr>
          <w:t>479</w:t>
        </w:r>
      </w:hyperlink>
      <w:r>
        <w:rPr>
          <w:position w:val="5"/>
          <w:sz w:val="14"/>
        </w:rPr>
        <w:t>.</w:t>
      </w:r>
      <w:r>
        <w:rPr>
          <w:spacing w:val="80"/>
          <w:position w:val="5"/>
          <w:sz w:val="14"/>
        </w:rPr>
        <w:t>  </w:t>
      </w:r>
      <w:r>
        <w:rPr>
          <w:sz w:val="20"/>
        </w:rPr>
        <w:t>Unless the offeree has a “substantial or legitimate interest” in completing the walk, this may be the law under the principles laid down in </w:t>
      </w:r>
      <w:r>
        <w:rPr>
          <w:rFonts w:ascii="Arial" w:hAnsi="Arial"/>
          <w:i/>
          <w:sz w:val="20"/>
        </w:rPr>
        <w:t>White &amp; Carter (Councils) Ltd v McGregor [1962] </w:t>
      </w:r>
      <w:r>
        <w:rPr>
          <w:rFonts w:ascii="Arial" w:hAnsi="Arial"/>
          <w:i/>
          <w:sz w:val="20"/>
        </w:rPr>
        <w:t>A.C. 413</w:t>
      </w:r>
      <w:r>
        <w:rPr>
          <w:sz w:val="20"/>
        </w:rPr>
        <w:t>, below, para.26-106.</w:t>
      </w:r>
    </w:p>
    <w:p>
      <w:pPr>
        <w:pStyle w:val="BodyText"/>
        <w:spacing w:before="8"/>
      </w:pPr>
    </w:p>
    <w:p>
      <w:pPr>
        <w:pStyle w:val="BodyText"/>
        <w:spacing w:line="235" w:lineRule="auto" w:before="1"/>
        <w:ind w:left="705" w:right="167" w:hanging="541"/>
        <w:jc w:val="both"/>
      </w:pPr>
      <w:bookmarkStart w:name="_bookmark916" w:id="918"/>
      <w:bookmarkEnd w:id="918"/>
      <w:r>
        <w:rPr/>
      </w:r>
      <w:hyperlink w:history="true" w:anchor="_bookmark877">
        <w:r>
          <w:rPr>
            <w:color w:val="005DA1"/>
            <w:position w:val="5"/>
            <w:sz w:val="14"/>
            <w:u w:val="single" w:color="005DA1"/>
          </w:rPr>
          <w:t>480</w:t>
        </w:r>
      </w:hyperlink>
      <w:r>
        <w:rPr>
          <w:position w:val="5"/>
          <w:sz w:val="14"/>
        </w:rPr>
        <w:t>.</w:t>
      </w:r>
      <w:r>
        <w:rPr>
          <w:spacing w:val="80"/>
          <w:position w:val="5"/>
          <w:sz w:val="14"/>
        </w:rPr>
        <w:t>  </w:t>
      </w:r>
      <w:r>
        <w:rPr/>
        <w:t>The</w:t>
      </w:r>
      <w:r>
        <w:rPr>
          <w:spacing w:val="-1"/>
        </w:rPr>
        <w:t> </w:t>
      </w:r>
      <w:r>
        <w:rPr/>
        <w:t>suggestion</w:t>
      </w:r>
      <w:r>
        <w:rPr>
          <w:spacing w:val="-1"/>
        </w:rPr>
        <w:t> </w:t>
      </w:r>
      <w:r>
        <w:rPr/>
        <w:t>made</w:t>
      </w:r>
      <w:r>
        <w:rPr>
          <w:spacing w:val="-1"/>
        </w:rPr>
        <w:t> </w:t>
      </w:r>
      <w:r>
        <w:rPr/>
        <w:t>in</w:t>
      </w:r>
      <w:r>
        <w:rPr>
          <w:spacing w:val="-1"/>
        </w:rPr>
        <w:t> </w:t>
      </w:r>
      <w:r>
        <w:rPr/>
        <w:t>the</w:t>
      </w:r>
      <w:r>
        <w:rPr>
          <w:spacing w:val="-1"/>
        </w:rPr>
        <w:t> </w:t>
      </w:r>
      <w:r>
        <w:rPr/>
        <w:t>text</w:t>
      </w:r>
      <w:r>
        <w:rPr>
          <w:spacing w:val="-1"/>
        </w:rPr>
        <w:t> </w:t>
      </w:r>
      <w:r>
        <w:rPr/>
        <w:t>above</w:t>
      </w:r>
      <w:r>
        <w:rPr>
          <w:spacing w:val="-1"/>
        </w:rPr>
        <w:t> </w:t>
      </w:r>
      <w:r>
        <w:rPr/>
        <w:t>is</w:t>
      </w:r>
      <w:r>
        <w:rPr>
          <w:spacing w:val="-1"/>
        </w:rPr>
        <w:t> </w:t>
      </w:r>
      <w:r>
        <w:rPr/>
        <w:t>adopted</w:t>
      </w:r>
      <w:r>
        <w:rPr>
          <w:spacing w:val="-1"/>
        </w:rPr>
        <w:t> </w:t>
      </w:r>
      <w:r>
        <w:rPr/>
        <w:t>in</w:t>
      </w:r>
      <w:r>
        <w:rPr>
          <w:spacing w:val="-2"/>
        </w:rPr>
        <w:t> </w:t>
      </w:r>
      <w:r>
        <w:rPr>
          <w:rFonts w:ascii="Arial"/>
          <w:i/>
        </w:rPr>
        <w:t>Schweppe</w:t>
      </w:r>
      <w:r>
        <w:rPr>
          <w:rFonts w:ascii="Arial"/>
          <w:i/>
          <w:spacing w:val="-1"/>
        </w:rPr>
        <w:t> </w:t>
      </w:r>
      <w:r>
        <w:rPr>
          <w:rFonts w:ascii="Arial"/>
          <w:i/>
        </w:rPr>
        <w:t>v</w:t>
      </w:r>
      <w:r>
        <w:rPr>
          <w:rFonts w:ascii="Arial"/>
          <w:i/>
          <w:spacing w:val="-1"/>
        </w:rPr>
        <w:t> </w:t>
      </w:r>
      <w:r>
        <w:rPr>
          <w:rFonts w:ascii="Arial"/>
          <w:i/>
        </w:rPr>
        <w:t>Harper</w:t>
      </w:r>
      <w:r>
        <w:rPr>
          <w:rFonts w:ascii="Arial"/>
          <w:i/>
          <w:spacing w:val="-1"/>
        </w:rPr>
        <w:t> </w:t>
      </w:r>
      <w:r>
        <w:rPr>
          <w:rFonts w:ascii="Arial"/>
          <w:i/>
        </w:rPr>
        <w:t>[2008]</w:t>
      </w:r>
      <w:r>
        <w:rPr>
          <w:rFonts w:ascii="Arial"/>
          <w:i/>
          <w:spacing w:val="-1"/>
        </w:rPr>
        <w:t> </w:t>
      </w:r>
      <w:r>
        <w:rPr>
          <w:rFonts w:ascii="Arial"/>
          <w:i/>
        </w:rPr>
        <w:t>EWCA</w:t>
      </w:r>
      <w:r>
        <w:rPr>
          <w:rFonts w:ascii="Arial"/>
          <w:i/>
          <w:spacing w:val="-1"/>
        </w:rPr>
        <w:t> </w:t>
      </w:r>
      <w:r>
        <w:rPr>
          <w:rFonts w:ascii="Arial"/>
          <w:i/>
        </w:rPr>
        <w:t>Civ</w:t>
      </w:r>
      <w:r>
        <w:rPr>
          <w:rFonts w:ascii="Arial"/>
          <w:i/>
          <w:spacing w:val="-1"/>
        </w:rPr>
        <w:t> </w:t>
      </w:r>
      <w:r>
        <w:rPr>
          <w:rFonts w:ascii="Arial"/>
          <w:i/>
        </w:rPr>
        <w:t>442 </w:t>
      </w:r>
      <w:r>
        <w:rPr/>
        <w:t>at [51]-[54] by Waller L.J. who dissented on the different issue, whether the agreement was sufficiently certain to have contractual force: see below, para.2-150 n.795.</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1"/>
        <w:rPr>
          <w:rFonts w:ascii="Arial"/>
          <w:b/>
          <w:sz w:val="18"/>
        </w:rPr>
      </w:pPr>
    </w:p>
    <w:p>
      <w:pPr>
        <w:pStyle w:val="Heading2"/>
        <w:spacing w:before="1"/>
      </w:pPr>
      <w:r>
        <w:rPr/>
        <w:t>2-</w:t>
      </w:r>
      <w:r>
        <w:rPr>
          <w:spacing w:val="-5"/>
        </w:rPr>
        <w:t>092</w:t>
      </w:r>
    </w:p>
    <w:p>
      <w:pPr>
        <w:pStyle w:val="BodyText"/>
        <w:spacing w:line="235" w:lineRule="auto" w:before="202"/>
        <w:ind w:left="165" w:right="167"/>
        <w:jc w:val="both"/>
      </w:pPr>
      <w:r>
        <w:rPr/>
        <w:t>An offer may be terminated by withdrawal, rejection, lapse of time, occurrence of a condition, death and supervening incapacity. These methods of termination will be discussed in the paragraphs </w:t>
      </w:r>
      <w:r>
        <w:rPr/>
        <w:t>that </w:t>
      </w:r>
      <w:r>
        <w:rPr>
          <w:spacing w:val="-2"/>
        </w:rPr>
        <w:t>follow.</w:t>
      </w:r>
    </w:p>
    <w:p>
      <w:pPr>
        <w:pStyle w:val="BodyText"/>
        <w:spacing w:before="11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16"/>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spacing w:before="194"/>
        <w:ind w:left="3778" w:right="0" w:firstLine="0"/>
        <w:jc w:val="left"/>
        <w:rPr>
          <w:rFonts w:ascii="Arial"/>
          <w:b/>
          <w:sz w:val="24"/>
        </w:rPr>
      </w:pPr>
      <w:r>
        <w:rPr>
          <w:rFonts w:ascii="Arial"/>
          <w:b/>
          <w:sz w:val="24"/>
        </w:rPr>
        <w:t>(a) - </w:t>
      </w:r>
      <w:r>
        <w:rPr>
          <w:rFonts w:ascii="Arial"/>
          <w:b/>
          <w:spacing w:val="-2"/>
          <w:sz w:val="24"/>
        </w:rPr>
        <w:t>Withdrawal</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General </w:t>
      </w:r>
      <w:r>
        <w:rPr>
          <w:rFonts w:ascii="Arial"/>
          <w:b/>
          <w:spacing w:val="-4"/>
          <w:sz w:val="18"/>
        </w:rPr>
        <w:t>rule</w:t>
      </w:r>
    </w:p>
    <w:p>
      <w:pPr>
        <w:pStyle w:val="BodyText"/>
        <w:spacing w:before="42"/>
        <w:rPr>
          <w:rFonts w:ascii="Arial"/>
          <w:b/>
          <w:sz w:val="18"/>
        </w:rPr>
      </w:pPr>
    </w:p>
    <w:p>
      <w:pPr>
        <w:pStyle w:val="Heading2"/>
      </w:pPr>
      <w:r>
        <w:rPr/>
        <w:t>2-</w:t>
      </w:r>
      <w:r>
        <w:rPr>
          <w:spacing w:val="-5"/>
        </w:rPr>
        <w:t>093</w:t>
      </w:r>
    </w:p>
    <w:p>
      <w:pPr>
        <w:pStyle w:val="BodyText"/>
        <w:spacing w:line="235" w:lineRule="auto" w:before="202"/>
        <w:ind w:left="165" w:right="167"/>
        <w:jc w:val="both"/>
      </w:pPr>
      <w:bookmarkStart w:name="_bookmark917" w:id="919"/>
      <w:bookmarkEnd w:id="919"/>
      <w:r>
        <w:rPr/>
      </w:r>
      <w:bookmarkStart w:name="_bookmark918" w:id="920"/>
      <w:bookmarkEnd w:id="920"/>
      <w:r>
        <w:rPr/>
      </w:r>
      <w:r>
        <w:rPr/>
        <w:t>The general rule is that an offer may be withdrawn at any time before it is accepted. </w:t>
      </w:r>
      <w:r>
        <w:rPr>
          <w:color w:val="005DA1"/>
          <w:u w:val="single" w:color="005DA1"/>
          <w:vertAlign w:val="superscript"/>
        </w:rPr>
        <w:t>481</w:t>
      </w:r>
      <w:r>
        <w:rPr>
          <w:color w:val="005DA1"/>
          <w:vertAlign w:val="baseline"/>
        </w:rPr>
        <w:t> </w:t>
      </w:r>
      <w:r>
        <w:rPr>
          <w:vertAlign w:val="baseline"/>
        </w:rPr>
        <w:t>The rule </w:t>
      </w:r>
      <w:bookmarkStart w:name="_bookmark919" w:id="921"/>
      <w:bookmarkEnd w:id="921"/>
      <w:r>
        <w:rPr>
          <w:vertAlign w:val="baseline"/>
        </w:rPr>
        <w:t>applies</w:t>
      </w:r>
      <w:r>
        <w:rPr>
          <w:vertAlign w:val="baseline"/>
        </w:rPr>
        <w:t> even if the offeror has promised to keep the offer open for a specified time, </w:t>
      </w:r>
      <w:r>
        <w:rPr>
          <w:color w:val="005DA1"/>
          <w:u w:val="single" w:color="005DA1"/>
          <w:vertAlign w:val="superscript"/>
        </w:rPr>
        <w:t>482</w:t>
      </w:r>
      <w:r>
        <w:rPr>
          <w:color w:val="005DA1"/>
          <w:vertAlign w:val="baseline"/>
        </w:rPr>
        <w:t> </w:t>
      </w:r>
      <w:r>
        <w:rPr>
          <w:vertAlign w:val="baseline"/>
        </w:rPr>
        <w:t>for such a promise is unsupported by consideration </w:t>
      </w:r>
      <w:r>
        <w:rPr>
          <w:color w:val="005DA1"/>
          <w:u w:val="single" w:color="005DA1"/>
          <w:vertAlign w:val="superscript"/>
        </w:rPr>
        <w:t>483</w:t>
      </w:r>
      <w:r>
        <w:rPr>
          <w:color w:val="005DA1"/>
          <w:vertAlign w:val="baseline"/>
        </w:rPr>
        <w:t> </w:t>
      </w:r>
      <w:r>
        <w:rPr>
          <w:vertAlign w:val="baseline"/>
        </w:rPr>
        <w:t>and is therefore not binding. Thus, in </w:t>
      </w:r>
      <w:r>
        <w:rPr>
          <w:rFonts w:ascii="Arial" w:hAnsi="Arial"/>
          <w:i/>
          <w:vertAlign w:val="baseline"/>
        </w:rPr>
        <w:t>Routledge v Grant </w:t>
      </w:r>
      <w:r>
        <w:rPr>
          <w:color w:val="005DA1"/>
          <w:u w:val="single" w:color="005DA1"/>
          <w:vertAlign w:val="superscript"/>
        </w:rPr>
        <w:t>484</w:t>
      </w:r>
      <w:r>
        <w:rPr>
          <w:color w:val="005DA1"/>
          <w:vertAlign w:val="baseline"/>
        </w:rPr>
        <w:t> </w:t>
      </w:r>
      <w:r>
        <w:rPr>
          <w:vertAlign w:val="baseline"/>
        </w:rPr>
        <w:t>the defendant offered to buy</w:t>
      </w:r>
      <w:r>
        <w:rPr>
          <w:spacing w:val="-1"/>
          <w:vertAlign w:val="baseline"/>
        </w:rPr>
        <w:t> </w:t>
      </w:r>
      <w:r>
        <w:rPr>
          <w:vertAlign w:val="baseline"/>
        </w:rPr>
        <w:t>a house, giving the offeree six</w:t>
      </w:r>
      <w:r>
        <w:rPr>
          <w:spacing w:val="-1"/>
          <w:vertAlign w:val="baseline"/>
        </w:rPr>
        <w:t> </w:t>
      </w:r>
      <w:r>
        <w:rPr>
          <w:vertAlign w:val="baseline"/>
        </w:rPr>
        <w:t>weeks for a definite answer; and</w:t>
      </w:r>
      <w:r>
        <w:rPr>
          <w:spacing w:val="-1"/>
          <w:vertAlign w:val="baseline"/>
        </w:rPr>
        <w:t> </w:t>
      </w:r>
      <w:r>
        <w:rPr>
          <w:vertAlign w:val="baseline"/>
        </w:rPr>
        <w:t>it was </w:t>
      </w:r>
      <w:bookmarkStart w:name="_bookmark920" w:id="922"/>
      <w:bookmarkEnd w:id="922"/>
      <w:r>
        <w:rPr>
          <w:vertAlign w:val="baseline"/>
        </w:rPr>
        <w:t>held</w:t>
      </w:r>
      <w:r>
        <w:rPr>
          <w:vertAlign w:val="baseline"/>
        </w:rPr>
        <w:t> that the defendant was free to withdraw at any time before acceptance even though the six weeks had not expired. Likewise, in </w:t>
      </w:r>
      <w:r>
        <w:rPr>
          <w:rFonts w:ascii="Arial" w:hAnsi="Arial"/>
          <w:i/>
          <w:vertAlign w:val="baseline"/>
        </w:rPr>
        <w:t>Dickinson v Dodds </w:t>
      </w:r>
      <w:r>
        <w:rPr>
          <w:color w:val="005DA1"/>
          <w:u w:val="single" w:color="005DA1"/>
          <w:vertAlign w:val="superscript"/>
        </w:rPr>
        <w:t>485</w:t>
      </w:r>
      <w:r>
        <w:rPr>
          <w:color w:val="005DA1"/>
          <w:vertAlign w:val="baseline"/>
        </w:rPr>
        <w:t> </w:t>
      </w:r>
      <w:r>
        <w:rPr>
          <w:vertAlign w:val="baseline"/>
        </w:rPr>
        <w:t>the defendant offered to sell land to </w:t>
      </w:r>
      <w:r>
        <w:rPr>
          <w:vertAlign w:val="baseline"/>
        </w:rPr>
        <w:t>the offeree and said that the offer was to be “left over till Friday”. It was held that he could nevertheless withdraw before Friday.</w:t>
      </w:r>
    </w:p>
    <w:p>
      <w:pPr>
        <w:pStyle w:val="BodyText"/>
      </w:pPr>
    </w:p>
    <w:p>
      <w:pPr>
        <w:pStyle w:val="BodyText"/>
        <w:spacing w:before="36"/>
      </w:pPr>
    </w:p>
    <w:p>
      <w:pPr>
        <w:spacing w:before="0"/>
        <w:ind w:left="165" w:right="0" w:firstLine="0"/>
        <w:jc w:val="left"/>
        <w:rPr>
          <w:rFonts w:ascii="Arial"/>
          <w:b/>
          <w:sz w:val="18"/>
        </w:rPr>
      </w:pPr>
      <w:r>
        <w:rPr>
          <w:rFonts w:ascii="Arial"/>
          <w:b/>
          <w:sz w:val="18"/>
        </w:rPr>
        <w:t>Communication of withdrawal generally </w:t>
      </w:r>
      <w:r>
        <w:rPr>
          <w:rFonts w:ascii="Arial"/>
          <w:b/>
          <w:spacing w:val="-2"/>
          <w:sz w:val="18"/>
        </w:rPr>
        <w:t>required</w:t>
      </w:r>
    </w:p>
    <w:p>
      <w:pPr>
        <w:pStyle w:val="BodyText"/>
        <w:spacing w:before="41"/>
        <w:rPr>
          <w:rFonts w:ascii="Arial"/>
          <w:b/>
          <w:sz w:val="18"/>
        </w:rPr>
      </w:pPr>
    </w:p>
    <w:p>
      <w:pPr>
        <w:pStyle w:val="Heading2"/>
      </w:pPr>
      <w:r>
        <w:rPr/>
        <w:t>2-</w:t>
      </w:r>
      <w:r>
        <w:rPr>
          <w:spacing w:val="-5"/>
        </w:rPr>
        <w:t>094</w:t>
      </w:r>
    </w:p>
    <w:p>
      <w:pPr>
        <w:pStyle w:val="BodyText"/>
        <w:spacing w:line="235" w:lineRule="auto" w:before="203"/>
        <w:ind w:left="165" w:right="167"/>
        <w:jc w:val="both"/>
      </w:pPr>
      <w:bookmarkStart w:name="_bookmark921" w:id="923"/>
      <w:bookmarkEnd w:id="923"/>
      <w:r>
        <w:rPr/>
      </w:r>
      <w:r>
        <w:rPr/>
        <w:t>An offer cannot be withdrawn merely by acting inconsistently with it: for example, an offer to sell</w:t>
      </w:r>
      <w:r>
        <w:rPr>
          <w:spacing w:val="40"/>
        </w:rPr>
        <w:t> </w:t>
      </w:r>
      <w:r>
        <w:rPr/>
        <w:t>goods to A is not withdrawn by selling them to B. </w:t>
      </w:r>
      <w:r>
        <w:rPr>
          <w:color w:val="005DA1"/>
          <w:u w:val="single" w:color="005DA1"/>
          <w:vertAlign w:val="superscript"/>
        </w:rPr>
        <w:t>486</w:t>
      </w:r>
      <w:r>
        <w:rPr>
          <w:color w:val="005DA1"/>
          <w:vertAlign w:val="baseline"/>
        </w:rPr>
        <w:t> </w:t>
      </w:r>
      <w:r>
        <w:rPr>
          <w:vertAlign w:val="baseline"/>
        </w:rPr>
        <w:t>If A accepts the offer before he has notice of the subsequent</w:t>
      </w:r>
      <w:r>
        <w:rPr>
          <w:spacing w:val="-1"/>
          <w:vertAlign w:val="baseline"/>
        </w:rPr>
        <w:t> </w:t>
      </w:r>
      <w:r>
        <w:rPr>
          <w:vertAlign w:val="baseline"/>
        </w:rPr>
        <w:t>sale,</w:t>
      </w:r>
      <w:r>
        <w:rPr>
          <w:spacing w:val="-1"/>
          <w:vertAlign w:val="baseline"/>
        </w:rPr>
        <w:t> </w:t>
      </w:r>
      <w:r>
        <w:rPr>
          <w:vertAlign w:val="baseline"/>
        </w:rPr>
        <w:t>he</w:t>
      </w:r>
      <w:r>
        <w:rPr>
          <w:spacing w:val="-1"/>
          <w:vertAlign w:val="baseline"/>
        </w:rPr>
        <w:t> </w:t>
      </w:r>
      <w:r>
        <w:rPr>
          <w:vertAlign w:val="baseline"/>
        </w:rPr>
        <w:t>will</w:t>
      </w:r>
      <w:r>
        <w:rPr>
          <w:spacing w:val="-1"/>
          <w:vertAlign w:val="baseline"/>
        </w:rPr>
        <w:t> </w:t>
      </w:r>
      <w:r>
        <w:rPr>
          <w:vertAlign w:val="baseline"/>
        </w:rPr>
        <w:t>be</w:t>
      </w:r>
      <w:r>
        <w:rPr>
          <w:spacing w:val="-1"/>
          <w:vertAlign w:val="baseline"/>
        </w:rPr>
        <w:t> </w:t>
      </w:r>
      <w:r>
        <w:rPr>
          <w:vertAlign w:val="baseline"/>
        </w:rPr>
        <w:t>entitled</w:t>
      </w:r>
      <w:r>
        <w:rPr>
          <w:spacing w:val="-1"/>
          <w:vertAlign w:val="baseline"/>
        </w:rPr>
        <w:t> </w:t>
      </w:r>
      <w:r>
        <w:rPr>
          <w:vertAlign w:val="baseline"/>
        </w:rPr>
        <w:t>to</w:t>
      </w:r>
      <w:r>
        <w:rPr>
          <w:spacing w:val="-1"/>
          <w:vertAlign w:val="baseline"/>
        </w:rPr>
        <w:t> </w:t>
      </w:r>
      <w:r>
        <w:rPr>
          <w:vertAlign w:val="baseline"/>
        </w:rPr>
        <w:t>damages</w:t>
      </w:r>
      <w:r>
        <w:rPr>
          <w:spacing w:val="-1"/>
          <w:vertAlign w:val="baseline"/>
        </w:rPr>
        <w:t> </w:t>
      </w:r>
      <w:r>
        <w:rPr>
          <w:vertAlign w:val="baseline"/>
        </w:rPr>
        <w:t>(though</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goods</w:t>
      </w:r>
      <w:r>
        <w:rPr>
          <w:spacing w:val="-1"/>
          <w:vertAlign w:val="baseline"/>
        </w:rPr>
        <w:t> </w:t>
      </w:r>
      <w:r>
        <w:rPr>
          <w:vertAlign w:val="baseline"/>
        </w:rPr>
        <w:t>themselves).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effective </w:t>
      </w:r>
      <w:bookmarkStart w:name="_bookmark922" w:id="924"/>
      <w:bookmarkEnd w:id="924"/>
      <w:r>
        <w:rPr>
          <w:vertAlign w:val="baseline"/>
        </w:rPr>
        <w:t>in</w:t>
      </w:r>
      <w:r>
        <w:rPr>
          <w:spacing w:val="-1"/>
          <w:vertAlign w:val="baseline"/>
        </w:rPr>
        <w:t> </w:t>
      </w:r>
      <w:r>
        <w:rPr>
          <w:vertAlign w:val="baseline"/>
        </w:rPr>
        <w:t>law,</w:t>
      </w:r>
      <w:r>
        <w:rPr>
          <w:spacing w:val="-1"/>
          <w:vertAlign w:val="baseline"/>
        </w:rPr>
        <w:t> </w:t>
      </w:r>
      <w:r>
        <w:rPr>
          <w:vertAlign w:val="baseline"/>
        </w:rPr>
        <w:t>a</w:t>
      </w:r>
      <w:r>
        <w:rPr>
          <w:spacing w:val="-1"/>
          <w:vertAlign w:val="baseline"/>
        </w:rPr>
        <w:t> </w:t>
      </w:r>
      <w:r>
        <w:rPr>
          <w:vertAlign w:val="baseline"/>
        </w:rPr>
        <w:t>withdrawal</w:t>
      </w:r>
      <w:r>
        <w:rPr>
          <w:spacing w:val="-1"/>
          <w:vertAlign w:val="baseline"/>
        </w:rPr>
        <w:t> </w:t>
      </w:r>
      <w:r>
        <w:rPr>
          <w:vertAlign w:val="baseline"/>
        </w:rPr>
        <w:t>must,</w:t>
      </w:r>
      <w:r>
        <w:rPr>
          <w:spacing w:val="-1"/>
          <w:vertAlign w:val="baseline"/>
        </w:rPr>
        <w:t> </w:t>
      </w:r>
      <w:r>
        <w:rPr>
          <w:vertAlign w:val="baseline"/>
        </w:rPr>
        <w:t>in</w:t>
      </w:r>
      <w:r>
        <w:rPr>
          <w:spacing w:val="-1"/>
          <w:vertAlign w:val="baseline"/>
        </w:rPr>
        <w:t> </w:t>
      </w:r>
      <w:r>
        <w:rPr>
          <w:vertAlign w:val="baseline"/>
        </w:rPr>
        <w:t>general,</w:t>
      </w:r>
      <w:r>
        <w:rPr>
          <w:spacing w:val="-1"/>
          <w:vertAlign w:val="baseline"/>
        </w:rPr>
        <w:t> </w:t>
      </w:r>
      <w:r>
        <w:rPr>
          <w:vertAlign w:val="baseline"/>
        </w:rPr>
        <w:t>be</w:t>
      </w:r>
      <w:r>
        <w:rPr>
          <w:spacing w:val="-1"/>
          <w:vertAlign w:val="baseline"/>
        </w:rPr>
        <w:t> </w:t>
      </w:r>
      <w:r>
        <w:rPr>
          <w:vertAlign w:val="baseline"/>
        </w:rPr>
        <w:t>communicated</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offeree:</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notice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withdrawal must actually reach the offeree. </w:t>
      </w:r>
      <w:r>
        <w:rPr>
          <w:color w:val="005DA1"/>
          <w:u w:val="single" w:color="005DA1"/>
          <w:vertAlign w:val="superscript"/>
        </w:rPr>
        <w:t>487</w:t>
      </w:r>
      <w:r>
        <w:rPr>
          <w:color w:val="005DA1"/>
          <w:vertAlign w:val="baseline"/>
        </w:rPr>
        <w:t> </w:t>
      </w:r>
      <w:r>
        <w:rPr>
          <w:vertAlign w:val="baseline"/>
        </w:rPr>
        <w:t>This requirement of communication applies to withdrawals sent </w:t>
      </w:r>
      <w:bookmarkStart w:name="_bookmark923" w:id="925"/>
      <w:bookmarkEnd w:id="925"/>
      <w:r>
        <w:rPr>
          <w:vertAlign w:val="baseline"/>
        </w:rPr>
        <w:t>through</w:t>
      </w:r>
      <w:r>
        <w:rPr>
          <w:vertAlign w:val="baseline"/>
        </w:rPr>
        <w:t> the post and by telegram as well as to those sent by other methods. In </w:t>
      </w:r>
      <w:r>
        <w:rPr>
          <w:rFonts w:ascii="Arial"/>
          <w:i/>
          <w:vertAlign w:val="baseline"/>
        </w:rPr>
        <w:t>Byrne &amp; Co v Van Tienhoven </w:t>
      </w:r>
      <w:r>
        <w:rPr>
          <w:color w:val="005DA1"/>
          <w:u w:val="single" w:color="005DA1"/>
          <w:vertAlign w:val="superscript"/>
        </w:rPr>
        <w:t>488</w:t>
      </w:r>
      <w:r>
        <w:rPr>
          <w:color w:val="005DA1"/>
          <w:vertAlign w:val="baseline"/>
        </w:rPr>
        <w:t> </w:t>
      </w:r>
      <w:r>
        <w:rPr>
          <w:vertAlign w:val="baseline"/>
        </w:rPr>
        <w:t>an offer to sell tinplates was posted in Cardiff on October 1 and reached the offerees in New York on October 11; on the same day, the offerees accepted the offer by a telegram, which they confirmed by a letter posted on October 15. Meanwhile, on October 8, the offerors had posted a letter withdrawing their offer; this letter reached the offerees on the October 20. It was held that this </w:t>
      </w:r>
      <w:bookmarkStart w:name="_bookmark924" w:id="926"/>
      <w:bookmarkEnd w:id="926"/>
      <w:r>
        <w:rPr>
          <w:vertAlign w:val="baseline"/>
        </w:rPr>
        <w:t>withdrawal</w:t>
      </w:r>
      <w:r>
        <w:rPr>
          <w:spacing w:val="11"/>
          <w:vertAlign w:val="baseline"/>
        </w:rPr>
        <w:t> </w:t>
      </w:r>
      <w:r>
        <w:rPr>
          <w:vertAlign w:val="baseline"/>
        </w:rPr>
        <w:t>did</w:t>
      </w:r>
      <w:r>
        <w:rPr>
          <w:spacing w:val="13"/>
          <w:vertAlign w:val="baseline"/>
        </w:rPr>
        <w:t> </w:t>
      </w:r>
      <w:r>
        <w:rPr>
          <w:vertAlign w:val="baseline"/>
        </w:rPr>
        <w:t>not</w:t>
      </w:r>
      <w:r>
        <w:rPr>
          <w:spacing w:val="13"/>
          <w:vertAlign w:val="baseline"/>
        </w:rPr>
        <w:t> </w:t>
      </w:r>
      <w:r>
        <w:rPr>
          <w:vertAlign w:val="baseline"/>
        </w:rPr>
        <w:t>take</w:t>
      </w:r>
      <w:r>
        <w:rPr>
          <w:spacing w:val="13"/>
          <w:vertAlign w:val="baseline"/>
        </w:rPr>
        <w:t> </w:t>
      </w:r>
      <w:r>
        <w:rPr>
          <w:vertAlign w:val="baseline"/>
        </w:rPr>
        <w:t>effect</w:t>
      </w:r>
      <w:r>
        <w:rPr>
          <w:spacing w:val="13"/>
          <w:vertAlign w:val="baseline"/>
        </w:rPr>
        <w:t> </w:t>
      </w:r>
      <w:r>
        <w:rPr>
          <w:vertAlign w:val="baseline"/>
        </w:rPr>
        <w:t>on</w:t>
      </w:r>
      <w:r>
        <w:rPr>
          <w:spacing w:val="13"/>
          <w:vertAlign w:val="baseline"/>
        </w:rPr>
        <w:t> </w:t>
      </w:r>
      <w:r>
        <w:rPr>
          <w:vertAlign w:val="baseline"/>
        </w:rPr>
        <w:t>posting:</w:t>
      </w:r>
      <w:r>
        <w:rPr>
          <w:spacing w:val="13"/>
          <w:vertAlign w:val="baseline"/>
        </w:rPr>
        <w:t> </w:t>
      </w:r>
      <w:r>
        <w:rPr>
          <w:vertAlign w:val="baseline"/>
        </w:rPr>
        <w:t>it</w:t>
      </w:r>
      <w:r>
        <w:rPr>
          <w:spacing w:val="13"/>
          <w:vertAlign w:val="baseline"/>
        </w:rPr>
        <w:t> </w:t>
      </w:r>
      <w:r>
        <w:rPr>
          <w:vertAlign w:val="baseline"/>
        </w:rPr>
        <w:t>took</w:t>
      </w:r>
      <w:r>
        <w:rPr>
          <w:spacing w:val="13"/>
          <w:vertAlign w:val="baseline"/>
        </w:rPr>
        <w:t> </w:t>
      </w:r>
      <w:r>
        <w:rPr>
          <w:vertAlign w:val="baseline"/>
        </w:rPr>
        <w:t>effect</w:t>
      </w:r>
      <w:r>
        <w:rPr>
          <w:spacing w:val="13"/>
          <w:vertAlign w:val="baseline"/>
        </w:rPr>
        <w:t> </w:t>
      </w:r>
      <w:r>
        <w:rPr>
          <w:vertAlign w:val="baseline"/>
        </w:rPr>
        <w:t>only</w:t>
      </w:r>
      <w:r>
        <w:rPr>
          <w:spacing w:val="13"/>
          <w:vertAlign w:val="baseline"/>
        </w:rPr>
        <w:t> </w:t>
      </w:r>
      <w:r>
        <w:rPr>
          <w:vertAlign w:val="baseline"/>
        </w:rPr>
        <w:t>when</w:t>
      </w:r>
      <w:r>
        <w:rPr>
          <w:spacing w:val="13"/>
          <w:vertAlign w:val="baseline"/>
        </w:rPr>
        <w:t> </w:t>
      </w:r>
      <w:r>
        <w:rPr>
          <w:vertAlign w:val="baseline"/>
        </w:rPr>
        <w:t>it</w:t>
      </w:r>
      <w:r>
        <w:rPr>
          <w:spacing w:val="13"/>
          <w:vertAlign w:val="baseline"/>
        </w:rPr>
        <w:t> </w:t>
      </w:r>
      <w:r>
        <w:rPr>
          <w:vertAlign w:val="baseline"/>
        </w:rPr>
        <w:t>reached</w:t>
      </w:r>
      <w:r>
        <w:rPr>
          <w:spacing w:val="13"/>
          <w:vertAlign w:val="baseline"/>
        </w:rPr>
        <w:t> </w:t>
      </w:r>
      <w:r>
        <w:rPr>
          <w:vertAlign w:val="baseline"/>
        </w:rPr>
        <w:t>the</w:t>
      </w:r>
      <w:r>
        <w:rPr>
          <w:spacing w:val="13"/>
          <w:vertAlign w:val="baseline"/>
        </w:rPr>
        <w:t> </w:t>
      </w:r>
      <w:r>
        <w:rPr>
          <w:vertAlign w:val="baseline"/>
        </w:rPr>
        <w:t>offerees</w:t>
      </w:r>
      <w:r>
        <w:rPr>
          <w:spacing w:val="13"/>
          <w:vertAlign w:val="baseline"/>
        </w:rPr>
        <w:t> </w:t>
      </w:r>
      <w:r>
        <w:rPr>
          <w:vertAlign w:val="baseline"/>
        </w:rPr>
        <w:t>on</w:t>
      </w:r>
      <w:r>
        <w:rPr>
          <w:spacing w:val="13"/>
          <w:vertAlign w:val="baseline"/>
        </w:rPr>
        <w:t> </w:t>
      </w:r>
      <w:r>
        <w:rPr>
          <w:spacing w:val="-2"/>
          <w:vertAlign w:val="baseline"/>
        </w:rPr>
        <w:t>October</w:t>
      </w:r>
    </w:p>
    <w:p>
      <w:pPr>
        <w:pStyle w:val="BodyText"/>
        <w:spacing w:line="235" w:lineRule="auto"/>
        <w:ind w:left="165" w:right="167"/>
        <w:jc w:val="both"/>
      </w:pPr>
      <w:r>
        <w:rPr/>
        <w:t>20. As the acceptance had been posted on October 15, there was a binding contract </w:t>
      </w:r>
      <w:r>
        <w:rPr>
          <w:color w:val="005DA1"/>
          <w:u w:val="single" w:color="005DA1"/>
          <w:vertAlign w:val="superscript"/>
        </w:rPr>
        <w:t>489</w:t>
      </w:r>
      <w:r>
        <w:rPr>
          <w:color w:val="005DA1"/>
          <w:vertAlign w:val="baseline"/>
        </w:rPr>
        <w:t> </w:t>
      </w:r>
      <w:r>
        <w:rPr>
          <w:vertAlign w:val="baseline"/>
        </w:rPr>
        <w:t>even though the parties were demonstrably never in agreement; for when the offerees first learnt (on October 11) of the defendants’ offer the defendants had already (on October 8) ceased to intend to deal with the </w:t>
      </w:r>
      <w:r>
        <w:rPr>
          <w:spacing w:val="-2"/>
          <w:vertAlign w:val="baseline"/>
        </w:rPr>
        <w:t>offerees.</w:t>
      </w:r>
    </w:p>
    <w:p>
      <w:pPr>
        <w:pStyle w:val="BodyText"/>
      </w:pPr>
    </w:p>
    <w:p>
      <w:pPr>
        <w:pStyle w:val="BodyText"/>
        <w:spacing w:before="33"/>
      </w:pPr>
    </w:p>
    <w:p>
      <w:pPr>
        <w:spacing w:before="0"/>
        <w:ind w:left="165" w:right="0" w:firstLine="0"/>
        <w:jc w:val="left"/>
        <w:rPr>
          <w:rFonts w:ascii="Arial"/>
          <w:b/>
          <w:sz w:val="18"/>
        </w:rPr>
      </w:pPr>
      <w:r>
        <w:rPr>
          <w:rFonts w:ascii="Arial"/>
          <w:b/>
          <w:sz w:val="18"/>
        </w:rPr>
        <w:t>Communication need not come from </w:t>
      </w:r>
      <w:r>
        <w:rPr>
          <w:rFonts w:ascii="Arial"/>
          <w:b/>
          <w:spacing w:val="-2"/>
          <w:sz w:val="18"/>
        </w:rPr>
        <w:t>offeror</w:t>
      </w:r>
    </w:p>
    <w:p>
      <w:pPr>
        <w:pStyle w:val="BodyText"/>
        <w:spacing w:before="41"/>
        <w:rPr>
          <w:rFonts w:ascii="Arial"/>
          <w:b/>
          <w:sz w:val="18"/>
        </w:rPr>
      </w:pPr>
    </w:p>
    <w:p>
      <w:pPr>
        <w:pStyle w:val="Heading2"/>
      </w:pPr>
      <w:r>
        <w:rPr/>
        <w:t>2-</w:t>
      </w:r>
      <w:r>
        <w:rPr>
          <w:spacing w:val="-5"/>
        </w:rPr>
        <w:t>095</w:t>
      </w:r>
    </w:p>
    <w:p>
      <w:pPr>
        <w:pStyle w:val="BodyText"/>
        <w:spacing w:line="235" w:lineRule="auto" w:before="203"/>
        <w:ind w:left="165" w:right="167"/>
        <w:jc w:val="both"/>
      </w:pPr>
      <w:bookmarkStart w:name="_bookmark925" w:id="927"/>
      <w:bookmarkEnd w:id="927"/>
      <w:r>
        <w:rPr/>
      </w:r>
      <w:r>
        <w:rPr/>
        <w:t>Although the withdrawal of an offer must, in general, be communicated </w:t>
      </w:r>
      <w:r>
        <w:rPr>
          <w:rFonts w:ascii="Arial"/>
          <w:i/>
        </w:rPr>
        <w:t>to the offeree</w:t>
      </w:r>
      <w:r>
        <w:rPr/>
        <w:t>, </w:t>
      </w:r>
      <w:r>
        <w:rPr>
          <w:color w:val="005DA1"/>
          <w:u w:val="single" w:color="005DA1"/>
          <w:vertAlign w:val="superscript"/>
        </w:rPr>
        <w:t>490</w:t>
      </w:r>
      <w:r>
        <w:rPr>
          <w:color w:val="005DA1"/>
          <w:vertAlign w:val="baseline"/>
        </w:rPr>
        <w:t> </w:t>
      </w:r>
      <w:r>
        <w:rPr>
          <w:vertAlign w:val="baseline"/>
        </w:rPr>
        <w:t>the </w:t>
      </w:r>
      <w:bookmarkStart w:name="_bookmark926" w:id="928"/>
      <w:bookmarkEnd w:id="928"/>
      <w:r>
        <w:rPr>
          <w:vertAlign w:val="baseline"/>
        </w:rPr>
        <w:t>communication</w:t>
      </w:r>
      <w:r>
        <w:rPr>
          <w:vertAlign w:val="baseline"/>
        </w:rPr>
        <w:t> need not come </w:t>
      </w:r>
      <w:r>
        <w:rPr>
          <w:rFonts w:ascii="Arial"/>
          <w:i/>
          <w:vertAlign w:val="baseline"/>
        </w:rPr>
        <w:t>from the offeror</w:t>
      </w:r>
      <w:r>
        <w:rPr>
          <w:vertAlign w:val="baseline"/>
        </w:rPr>
        <w:t>: it is sufficient if the offeree knows from any </w:t>
      </w:r>
      <w:r>
        <w:rPr>
          <w:vertAlign w:val="baseline"/>
        </w:rPr>
        <w:t>reliable source that the offeror no longer intends to deal with him. In </w:t>
      </w:r>
      <w:r>
        <w:rPr>
          <w:rFonts w:ascii="Arial"/>
          <w:i/>
          <w:vertAlign w:val="baseline"/>
        </w:rPr>
        <w:t>Dickinson v Dodds </w:t>
      </w:r>
      <w:r>
        <w:rPr>
          <w:color w:val="005DA1"/>
          <w:u w:val="single" w:color="005DA1"/>
          <w:vertAlign w:val="superscript"/>
        </w:rPr>
        <w:t>491</w:t>
      </w:r>
      <w:r>
        <w:rPr>
          <w:color w:val="005DA1"/>
          <w:vertAlign w:val="baseline"/>
        </w:rPr>
        <w:t> </w:t>
      </w:r>
      <w:r>
        <w:rPr>
          <w:vertAlign w:val="baseline"/>
        </w:rPr>
        <w:t>it was accordingly held</w:t>
      </w:r>
      <w:r>
        <w:rPr>
          <w:spacing w:val="18"/>
          <w:vertAlign w:val="baseline"/>
        </w:rPr>
        <w:t> </w:t>
      </w:r>
      <w:r>
        <w:rPr>
          <w:vertAlign w:val="baseline"/>
        </w:rPr>
        <w:t>that</w:t>
      </w:r>
      <w:r>
        <w:rPr>
          <w:spacing w:val="18"/>
          <w:vertAlign w:val="baseline"/>
        </w:rPr>
        <w:t> </w:t>
      </w:r>
      <w:r>
        <w:rPr>
          <w:vertAlign w:val="baseline"/>
        </w:rPr>
        <w:t>an</w:t>
      </w:r>
      <w:r>
        <w:rPr>
          <w:spacing w:val="18"/>
          <w:vertAlign w:val="baseline"/>
        </w:rPr>
        <w:t> </w:t>
      </w:r>
      <w:r>
        <w:rPr>
          <w:vertAlign w:val="baseline"/>
        </w:rPr>
        <w:t>offer</w:t>
      </w:r>
      <w:r>
        <w:rPr>
          <w:spacing w:val="18"/>
          <w:vertAlign w:val="baseline"/>
        </w:rPr>
        <w:t> </w:t>
      </w:r>
      <w:r>
        <w:rPr>
          <w:vertAlign w:val="baseline"/>
        </w:rPr>
        <w:t>to</w:t>
      </w:r>
      <w:r>
        <w:rPr>
          <w:spacing w:val="18"/>
          <w:vertAlign w:val="baseline"/>
        </w:rPr>
        <w:t> </w:t>
      </w:r>
      <w:r>
        <w:rPr>
          <w:vertAlign w:val="baseline"/>
        </w:rPr>
        <w:t>sell</w:t>
      </w:r>
      <w:r>
        <w:rPr>
          <w:spacing w:val="18"/>
          <w:vertAlign w:val="baseline"/>
        </w:rPr>
        <w:t> </w:t>
      </w:r>
      <w:r>
        <w:rPr>
          <w:vertAlign w:val="baseline"/>
        </w:rPr>
        <w:t>land</w:t>
      </w:r>
      <w:r>
        <w:rPr>
          <w:spacing w:val="18"/>
          <w:vertAlign w:val="baseline"/>
        </w:rPr>
        <w:t> </w:t>
      </w:r>
      <w:r>
        <w:rPr>
          <w:vertAlign w:val="baseline"/>
        </w:rPr>
        <w:t>could</w:t>
      </w:r>
      <w:r>
        <w:rPr>
          <w:spacing w:val="18"/>
          <w:vertAlign w:val="baseline"/>
        </w:rPr>
        <w:t> </w:t>
      </w:r>
      <w:r>
        <w:rPr>
          <w:vertAlign w:val="baseline"/>
        </w:rPr>
        <w:t>not</w:t>
      </w:r>
      <w:r>
        <w:rPr>
          <w:spacing w:val="18"/>
          <w:vertAlign w:val="baseline"/>
        </w:rPr>
        <w:t> </w:t>
      </w:r>
      <w:r>
        <w:rPr>
          <w:vertAlign w:val="baseline"/>
        </w:rPr>
        <w:t>be</w:t>
      </w:r>
      <w:r>
        <w:rPr>
          <w:spacing w:val="18"/>
          <w:vertAlign w:val="baseline"/>
        </w:rPr>
        <w:t> </w:t>
      </w:r>
      <w:r>
        <w:rPr>
          <w:vertAlign w:val="baseline"/>
        </w:rPr>
        <w:t>accepted</w:t>
      </w:r>
      <w:r>
        <w:rPr>
          <w:spacing w:val="18"/>
          <w:vertAlign w:val="baseline"/>
        </w:rPr>
        <w:t> </w:t>
      </w:r>
      <w:r>
        <w:rPr>
          <w:vertAlign w:val="baseline"/>
        </w:rPr>
        <w:t>after</w:t>
      </w:r>
      <w:r>
        <w:rPr>
          <w:spacing w:val="18"/>
          <w:vertAlign w:val="baseline"/>
        </w:rPr>
        <w:t> </w:t>
      </w:r>
      <w:r>
        <w:rPr>
          <w:vertAlign w:val="baseline"/>
        </w:rPr>
        <w:t>a</w:t>
      </w:r>
      <w:r>
        <w:rPr>
          <w:spacing w:val="18"/>
          <w:vertAlign w:val="baseline"/>
        </w:rPr>
        <w:t> </w:t>
      </w:r>
      <w:r>
        <w:rPr>
          <w:vertAlign w:val="baseline"/>
        </w:rPr>
        <w:t>third</w:t>
      </w:r>
      <w:r>
        <w:rPr>
          <w:spacing w:val="18"/>
          <w:vertAlign w:val="baseline"/>
        </w:rPr>
        <w:t> </w:t>
      </w:r>
      <w:r>
        <w:rPr>
          <w:vertAlign w:val="baseline"/>
        </w:rPr>
        <w:t>party</w:t>
      </w:r>
      <w:r>
        <w:rPr>
          <w:spacing w:val="18"/>
          <w:vertAlign w:val="baseline"/>
        </w:rPr>
        <w:t> </w:t>
      </w:r>
      <w:r>
        <w:rPr>
          <w:vertAlign w:val="baseline"/>
        </w:rPr>
        <w:t>informed</w:t>
      </w:r>
      <w:r>
        <w:rPr>
          <w:spacing w:val="18"/>
          <w:vertAlign w:val="baseline"/>
        </w:rPr>
        <w:t> </w:t>
      </w:r>
      <w:r>
        <w:rPr>
          <w:vertAlign w:val="baseline"/>
        </w:rPr>
        <w:t>the</w:t>
      </w:r>
      <w:r>
        <w:rPr>
          <w:spacing w:val="18"/>
          <w:vertAlign w:val="baseline"/>
        </w:rPr>
        <w:t> </w:t>
      </w:r>
      <w:r>
        <w:rPr>
          <w:vertAlign w:val="baseline"/>
        </w:rPr>
        <w:t>offeree</w:t>
      </w:r>
      <w:r>
        <w:rPr>
          <w:spacing w:val="18"/>
          <w:vertAlign w:val="baseline"/>
        </w:rPr>
        <w:t> </w:t>
      </w:r>
      <w:r>
        <w:rPr>
          <w:vertAlign w:val="baseline"/>
        </w:rPr>
        <w:t>that</w:t>
      </w:r>
      <w:r>
        <w:rPr>
          <w:spacing w:val="18"/>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offeror had been offering or agreeing to sell the land to another third party. The judgments stress </w:t>
      </w:r>
      <w:r>
        <w:rPr/>
        <w:t>the fact that there is, in such circumstances, no agreement between the parties; but this would also be </w:t>
      </w:r>
      <w:bookmarkStart w:name="_bookmark927" w:id="929"/>
      <w:bookmarkEnd w:id="929"/>
      <w:r>
        <w:rPr/>
        <w:t>true</w:t>
      </w:r>
      <w:r>
        <w:rPr/>
        <w:t> even if the offeree had accepted the offer in ignorance of the offeror’s change of mind. Yet in the latter case there can be a contract, as </w:t>
      </w:r>
      <w:r>
        <w:rPr>
          <w:rFonts w:ascii="Arial" w:hAnsi="Arial"/>
          <w:i/>
        </w:rPr>
        <w:t>Byrne &amp; Co v Van Tienhoven </w:t>
      </w:r>
      <w:r>
        <w:rPr>
          <w:color w:val="005DA1"/>
          <w:u w:val="single" w:color="005DA1"/>
          <w:vertAlign w:val="superscript"/>
        </w:rPr>
        <w:t>492</w:t>
      </w:r>
      <w:r>
        <w:rPr>
          <w:color w:val="005DA1"/>
          <w:vertAlign w:val="baseline"/>
        </w:rPr>
        <w:t> </w:t>
      </w:r>
      <w:r>
        <w:rPr>
          <w:vertAlign w:val="baseline"/>
        </w:rPr>
        <w:t>shows. The rule that communication of withdrawal need not come from the offeror can be a source of uncertainty, making</w:t>
      </w:r>
      <w:r>
        <w:rPr>
          <w:spacing w:val="80"/>
          <w:vertAlign w:val="baseline"/>
        </w:rPr>
        <w:t> </w:t>
      </w:r>
      <w:r>
        <w:rPr>
          <w:vertAlign w:val="baseline"/>
        </w:rPr>
        <w:t>it hard for the offeree to tell exactly when the offer is withdrawn. For example, in </w:t>
      </w:r>
      <w:r>
        <w:rPr>
          <w:rFonts w:ascii="Arial" w:hAnsi="Arial"/>
          <w:i/>
          <w:vertAlign w:val="baseline"/>
        </w:rPr>
        <w:t>Dickinson v Dodds </w:t>
      </w:r>
      <w:r>
        <w:rPr>
          <w:vertAlign w:val="baseline"/>
        </w:rPr>
        <w:t>it is not clear whether such acceptance was precluded when the offeree knew that the offeror had (a) sold the land to a third party or (b) started negotiations for its sale to a third party or (c) had simply decided not to sell it to the offeree.</w:t>
      </w:r>
    </w:p>
    <w:p>
      <w:pPr>
        <w:pStyle w:val="BodyText"/>
      </w:pPr>
    </w:p>
    <w:p>
      <w:pPr>
        <w:pStyle w:val="BodyText"/>
        <w:spacing w:before="35"/>
      </w:pPr>
    </w:p>
    <w:p>
      <w:pPr>
        <w:spacing w:before="0"/>
        <w:ind w:left="164" w:right="0" w:firstLine="0"/>
        <w:jc w:val="both"/>
        <w:rPr>
          <w:rFonts w:ascii="Arial"/>
          <w:b/>
          <w:sz w:val="18"/>
        </w:rPr>
      </w:pPr>
      <w:r>
        <w:rPr>
          <w:rFonts w:ascii="Arial"/>
          <w:b/>
          <w:sz w:val="18"/>
        </w:rPr>
        <w:t>Exceptions to the requirement of </w:t>
      </w:r>
      <w:r>
        <w:rPr>
          <w:rFonts w:ascii="Arial"/>
          <w:b/>
          <w:spacing w:val="-2"/>
          <w:sz w:val="18"/>
        </w:rPr>
        <w:t>communication</w:t>
      </w:r>
    </w:p>
    <w:p>
      <w:pPr>
        <w:pStyle w:val="BodyText"/>
        <w:spacing w:before="42"/>
        <w:rPr>
          <w:rFonts w:ascii="Arial"/>
          <w:b/>
          <w:sz w:val="18"/>
        </w:rPr>
      </w:pPr>
    </w:p>
    <w:p>
      <w:pPr>
        <w:pStyle w:val="Heading2"/>
        <w:ind w:left="164"/>
      </w:pPr>
      <w:r>
        <w:rPr/>
        <w:t>2-</w:t>
      </w:r>
      <w:r>
        <w:rPr>
          <w:spacing w:val="-5"/>
        </w:rPr>
        <w:t>096</w:t>
      </w:r>
    </w:p>
    <w:p>
      <w:pPr>
        <w:pStyle w:val="BodyText"/>
        <w:spacing w:line="235" w:lineRule="auto" w:before="202"/>
        <w:ind w:left="165" w:right="168"/>
        <w:jc w:val="both"/>
      </w:pPr>
      <w:bookmarkStart w:name="_bookmark928" w:id="930"/>
      <w:bookmarkEnd w:id="930"/>
      <w:r>
        <w:rPr/>
      </w:r>
      <w:r>
        <w:rPr/>
        <w:t>If the general rule means that notice of withdrawal must actually be “brought to the mind of” </w:t>
      </w:r>
      <w:r>
        <w:rPr>
          <w:color w:val="005DA1"/>
          <w:u w:val="single" w:color="005DA1"/>
          <w:vertAlign w:val="superscript"/>
        </w:rPr>
        <w:t>493</w:t>
      </w:r>
      <w:r>
        <w:rPr>
          <w:color w:val="005DA1"/>
          <w:vertAlign w:val="baseline"/>
        </w:rPr>
        <w:t> </w:t>
      </w:r>
      <w:r>
        <w:rPr>
          <w:vertAlign w:val="baseline"/>
        </w:rPr>
        <w:t>the offeree, convenience requires its qualification in a number of situations.</w:t>
      </w:r>
    </w:p>
    <w:p>
      <w:pPr>
        <w:pStyle w:val="BodyText"/>
        <w:spacing w:before="208"/>
      </w:pPr>
    </w:p>
    <w:p>
      <w:pPr>
        <w:pStyle w:val="ListParagraph"/>
        <w:numPr>
          <w:ilvl w:val="0"/>
          <w:numId w:val="4"/>
        </w:numPr>
        <w:tabs>
          <w:tab w:pos="435" w:val="left" w:leader="none"/>
        </w:tabs>
        <w:spacing w:line="240" w:lineRule="auto" w:before="0" w:after="0"/>
        <w:ind w:left="435" w:right="0" w:hanging="270"/>
        <w:jc w:val="left"/>
        <w:rPr>
          <w:b/>
          <w:sz w:val="18"/>
        </w:rPr>
      </w:pPr>
      <w:r>
        <w:rPr>
          <w:b/>
          <w:sz w:val="18"/>
        </w:rPr>
        <w:t>Letter to commercial </w:t>
      </w:r>
      <w:r>
        <w:rPr>
          <w:b/>
          <w:spacing w:val="-2"/>
          <w:sz w:val="18"/>
        </w:rPr>
        <w:t>organisation</w:t>
      </w:r>
    </w:p>
    <w:p>
      <w:pPr>
        <w:pStyle w:val="BodyText"/>
        <w:spacing w:before="50"/>
        <w:rPr>
          <w:rFonts w:ascii="Arial"/>
          <w:b/>
          <w:sz w:val="18"/>
        </w:rPr>
      </w:pPr>
    </w:p>
    <w:p>
      <w:pPr>
        <w:pStyle w:val="BodyText"/>
        <w:spacing w:line="235" w:lineRule="auto"/>
        <w:ind w:left="164" w:right="167"/>
        <w:jc w:val="both"/>
      </w:pPr>
      <w:r>
        <w:rPr/>
        <w:t>Where the offer has been made to a commercial organisation, it seems probable that the offer </w:t>
      </w:r>
      <w:r>
        <w:rPr/>
        <w:t>would </w:t>
      </w:r>
      <w:bookmarkStart w:name="_bookmark929" w:id="931"/>
      <w:bookmarkEnd w:id="931"/>
      <w:r>
        <w:rPr/>
        <w:t>be</w:t>
      </w:r>
      <w:r>
        <w:rPr/>
        <w:t> withdrawn when the letter of withdrawal “was opened in the ordinary course of business or would have been so opened if the ordinary course of business was followed” </w:t>
      </w:r>
      <w:r>
        <w:rPr>
          <w:color w:val="005DA1"/>
          <w:u w:val="single" w:color="005DA1"/>
          <w:vertAlign w:val="superscript"/>
        </w:rPr>
        <w:t>494</w:t>
      </w:r>
      <w:r>
        <w:rPr>
          <w:vertAlign w:val="baseline"/>
        </w:rPr>
        <w:t>; it need not be brought to the actual notice of the officer responsible for the matter.</w:t>
      </w:r>
    </w:p>
    <w:p>
      <w:pPr>
        <w:pStyle w:val="BodyText"/>
      </w:pPr>
    </w:p>
    <w:p>
      <w:pPr>
        <w:pStyle w:val="BodyText"/>
        <w:spacing w:before="37"/>
      </w:pPr>
    </w:p>
    <w:p>
      <w:pPr>
        <w:pStyle w:val="ListParagraph"/>
        <w:numPr>
          <w:ilvl w:val="0"/>
          <w:numId w:val="4"/>
        </w:numPr>
        <w:tabs>
          <w:tab w:pos="434" w:val="left" w:leader="none"/>
        </w:tabs>
        <w:spacing w:line="240" w:lineRule="auto" w:before="0" w:after="0"/>
        <w:ind w:left="434" w:right="0" w:hanging="270"/>
        <w:jc w:val="left"/>
        <w:rPr>
          <w:b/>
          <w:sz w:val="18"/>
        </w:rPr>
      </w:pPr>
      <w:r>
        <w:rPr>
          <w:b/>
          <w:sz w:val="18"/>
        </w:rPr>
        <w:t>Offeree’s conduct displacing general </w:t>
      </w:r>
      <w:r>
        <w:rPr>
          <w:b/>
          <w:spacing w:val="-4"/>
          <w:sz w:val="18"/>
        </w:rPr>
        <w:t>rule</w:t>
      </w:r>
    </w:p>
    <w:p>
      <w:pPr>
        <w:pStyle w:val="BodyText"/>
        <w:spacing w:before="50"/>
        <w:rPr>
          <w:rFonts w:ascii="Arial"/>
          <w:b/>
          <w:sz w:val="18"/>
        </w:rPr>
      </w:pPr>
    </w:p>
    <w:p>
      <w:pPr>
        <w:pStyle w:val="BodyText"/>
        <w:spacing w:line="235" w:lineRule="auto"/>
        <w:ind w:left="164" w:right="167"/>
        <w:jc w:val="both"/>
      </w:pPr>
      <w:r>
        <w:rPr/>
        <w:t>A withdrawal which was delivered to the offeree’s last known address could be effective if he had moved without notifying the offeror. Similarly, a withdrawal which had reached the offeree could </w:t>
      </w:r>
      <w:r>
        <w:rPr/>
        <w:t>be </w:t>
      </w:r>
      <w:bookmarkStart w:name="_bookmark930" w:id="932"/>
      <w:bookmarkEnd w:id="932"/>
      <w:r>
        <w:rPr/>
        <w:t>effective</w:t>
      </w:r>
      <w:r>
        <w:rPr/>
        <w:t> even though he had simply failed to read it after it had reached him: this would be the </w:t>
      </w:r>
      <w:bookmarkStart w:name="_bookmark931" w:id="933"/>
      <w:bookmarkEnd w:id="933"/>
      <w:r>
        <w:rPr/>
        <w:t>position</w:t>
      </w:r>
      <w:r>
        <w:rPr/>
        <w:t> where a withdrawal by telex or fax arrived in the offeree’s office during business hours </w:t>
      </w:r>
      <w:r>
        <w:rPr>
          <w:color w:val="005DA1"/>
          <w:u w:val="single" w:color="005DA1"/>
          <w:vertAlign w:val="superscript"/>
        </w:rPr>
        <w:t>495</w:t>
      </w:r>
      <w:r>
        <w:rPr>
          <w:color w:val="005DA1"/>
          <w:vertAlign w:val="baseline"/>
        </w:rPr>
        <w:t> </w:t>
      </w:r>
      <w:r>
        <w:rPr>
          <w:vertAlign w:val="baseline"/>
        </w:rPr>
        <w:t>even though it was not actually read by the offeree or by any of his staff till the next day. </w:t>
      </w:r>
      <w:r>
        <w:rPr>
          <w:color w:val="005DA1"/>
          <w:u w:val="single" w:color="005DA1"/>
          <w:vertAlign w:val="superscript"/>
        </w:rPr>
        <w:t>496</w:t>
      </w:r>
      <w:r>
        <w:rPr>
          <w:color w:val="005DA1"/>
          <w:vertAlign w:val="baseline"/>
        </w:rPr>
        <w:t> </w:t>
      </w:r>
      <w:r>
        <w:rPr>
          <w:vertAlign w:val="baseline"/>
        </w:rPr>
        <w:t>But the withdrawal would not be effective, in such a case, if it had been sent to the offeree at a time when he </w:t>
      </w:r>
      <w:bookmarkStart w:name="_bookmark932" w:id="934"/>
      <w:bookmarkEnd w:id="934"/>
      <w:r>
        <w:rPr>
          <w:vertAlign w:val="baseline"/>
        </w:rPr>
        <w:t>and</w:t>
      </w:r>
      <w:r>
        <w:rPr>
          <w:spacing w:val="-1"/>
          <w:vertAlign w:val="baseline"/>
        </w:rPr>
        <w:t> </w:t>
      </w:r>
      <w:r>
        <w:rPr>
          <w:vertAlign w:val="baseline"/>
        </w:rPr>
        <w:t>all</w:t>
      </w:r>
      <w:r>
        <w:rPr>
          <w:spacing w:val="-1"/>
          <w:vertAlign w:val="baseline"/>
        </w:rPr>
        <w:t> </w:t>
      </w:r>
      <w:r>
        <w:rPr>
          <w:vertAlign w:val="baseline"/>
        </w:rPr>
        <w:t>responsible</w:t>
      </w:r>
      <w:r>
        <w:rPr>
          <w:spacing w:val="-1"/>
          <w:vertAlign w:val="baseline"/>
        </w:rPr>
        <w:t> </w:t>
      </w:r>
      <w:r>
        <w:rPr>
          <w:vertAlign w:val="baseline"/>
        </w:rPr>
        <w:t>members</w:t>
      </w:r>
      <w:r>
        <w:rPr>
          <w:spacing w:val="-1"/>
          <w:vertAlign w:val="baseline"/>
        </w:rPr>
        <w:t> </w:t>
      </w:r>
      <w:r>
        <w:rPr>
          <w:vertAlign w:val="baseline"/>
        </w:rPr>
        <w:t>of</w:t>
      </w:r>
      <w:r>
        <w:rPr>
          <w:spacing w:val="-1"/>
          <w:vertAlign w:val="baseline"/>
        </w:rPr>
        <w:t> </w:t>
      </w:r>
      <w:r>
        <w:rPr>
          <w:vertAlign w:val="baseline"/>
        </w:rPr>
        <w:t>his</w:t>
      </w:r>
      <w:r>
        <w:rPr>
          <w:spacing w:val="-1"/>
          <w:vertAlign w:val="baseline"/>
        </w:rPr>
        <w:t> </w:t>
      </w:r>
      <w:r>
        <w:rPr>
          <w:vertAlign w:val="baseline"/>
        </w:rPr>
        <w:t>staff</w:t>
      </w:r>
      <w:r>
        <w:rPr>
          <w:spacing w:val="-1"/>
          <w:vertAlign w:val="baseline"/>
        </w:rPr>
        <w:t> </w:t>
      </w:r>
      <w:r>
        <w:rPr>
          <w:vertAlign w:val="baseline"/>
        </w:rPr>
        <w:t>were,</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offeror’s</w:t>
      </w:r>
      <w:r>
        <w:rPr>
          <w:spacing w:val="-1"/>
          <w:vertAlign w:val="baseline"/>
        </w:rPr>
        <w:t> </w:t>
      </w:r>
      <w:r>
        <w:rPr>
          <w:vertAlign w:val="baseline"/>
        </w:rPr>
        <w:t>knowledge,</w:t>
      </w:r>
      <w:r>
        <w:rPr>
          <w:spacing w:val="-1"/>
          <w:vertAlign w:val="baseline"/>
        </w:rPr>
        <w:t> </w:t>
      </w:r>
      <w:r>
        <w:rPr>
          <w:vertAlign w:val="baseline"/>
        </w:rPr>
        <w:t>away</w:t>
      </w:r>
      <w:r>
        <w:rPr>
          <w:spacing w:val="-1"/>
          <w:vertAlign w:val="baseline"/>
        </w:rPr>
        <w:t> </w:t>
      </w:r>
      <w:r>
        <w:rPr>
          <w:vertAlign w:val="baseline"/>
        </w:rPr>
        <w:t>on</w:t>
      </w:r>
      <w:r>
        <w:rPr>
          <w:spacing w:val="-1"/>
          <w:vertAlign w:val="baseline"/>
        </w:rPr>
        <w:t> </w:t>
      </w:r>
      <w:r>
        <w:rPr>
          <w:vertAlign w:val="baseline"/>
        </w:rPr>
        <w:t>holiday</w:t>
      </w:r>
      <w:r>
        <w:rPr>
          <w:spacing w:val="-1"/>
          <w:vertAlign w:val="baseline"/>
        </w:rPr>
        <w:t> </w:t>
      </w:r>
      <w:r>
        <w:rPr>
          <w:vertAlign w:val="baseline"/>
        </w:rPr>
        <w:t>or</w:t>
      </w:r>
      <w:r>
        <w:rPr>
          <w:spacing w:val="-1"/>
          <w:vertAlign w:val="baseline"/>
        </w:rPr>
        <w:t> </w:t>
      </w:r>
      <w:r>
        <w:rPr>
          <w:vertAlign w:val="baseline"/>
        </w:rPr>
        <w:t>on</w:t>
      </w:r>
      <w:r>
        <w:rPr>
          <w:spacing w:val="-1"/>
          <w:vertAlign w:val="baseline"/>
        </w:rPr>
        <w:t> </w:t>
      </w:r>
      <w:r>
        <w:rPr>
          <w:vertAlign w:val="baseline"/>
        </w:rPr>
        <w:t>other business. </w:t>
      </w:r>
      <w:r>
        <w:rPr>
          <w:color w:val="005DA1"/>
          <w:u w:val="single" w:color="005DA1"/>
          <w:vertAlign w:val="superscript"/>
        </w:rPr>
        <w:t>497</w:t>
      </w:r>
    </w:p>
    <w:p>
      <w:pPr>
        <w:pStyle w:val="BodyText"/>
      </w:pPr>
    </w:p>
    <w:p>
      <w:pPr>
        <w:pStyle w:val="BodyText"/>
        <w:spacing w:before="36"/>
      </w:pPr>
    </w:p>
    <w:p>
      <w:pPr>
        <w:pStyle w:val="ListParagraph"/>
        <w:numPr>
          <w:ilvl w:val="0"/>
          <w:numId w:val="4"/>
        </w:numPr>
        <w:tabs>
          <w:tab w:pos="435" w:val="left" w:leader="none"/>
        </w:tabs>
        <w:spacing w:line="240" w:lineRule="auto" w:before="0" w:after="0"/>
        <w:ind w:left="435" w:right="0" w:hanging="270"/>
        <w:jc w:val="left"/>
        <w:rPr>
          <w:b/>
          <w:sz w:val="18"/>
        </w:rPr>
      </w:pPr>
      <w:r>
        <w:rPr>
          <w:b/>
          <w:sz w:val="18"/>
        </w:rPr>
        <w:t>Offers made to the </w:t>
      </w:r>
      <w:r>
        <w:rPr>
          <w:b/>
          <w:spacing w:val="-2"/>
          <w:sz w:val="18"/>
        </w:rPr>
        <w:t>public</w:t>
      </w:r>
    </w:p>
    <w:p>
      <w:pPr>
        <w:pStyle w:val="BodyText"/>
        <w:spacing w:before="50"/>
        <w:rPr>
          <w:rFonts w:ascii="Arial"/>
          <w:b/>
          <w:sz w:val="18"/>
        </w:rPr>
      </w:pPr>
    </w:p>
    <w:p>
      <w:pPr>
        <w:pStyle w:val="BodyText"/>
        <w:spacing w:line="235" w:lineRule="auto"/>
        <w:ind w:left="165" w:right="167"/>
        <w:jc w:val="both"/>
      </w:pPr>
      <w:r>
        <w:rPr/>
        <w:t>The requirement that a withdrawal must be actually communicated does not apply to offers made to the public, e.g. of rewards for information leading to the arrest of the perpetrator of a crime. As it </w:t>
      </w:r>
      <w:r>
        <w:rPr/>
        <w:t>is impossible for the offeror to ensure that the notice of withdrawal comes to the attention of everyone </w:t>
      </w:r>
      <w:bookmarkStart w:name="_bookmark933" w:id="935"/>
      <w:bookmarkEnd w:id="935"/>
      <w:r>
        <w:rPr/>
        <w:t>who</w:t>
      </w:r>
      <w:r>
        <w:rPr/>
        <w:t> knew of the offer, it seems to be enough for him to take reasonable steps to bring the withdrawal to the attention of such persons, even though it does not in fact come to the attention of them all. </w:t>
      </w:r>
      <w:r>
        <w:rPr>
          <w:color w:val="005DA1"/>
          <w:u w:val="single" w:color="005DA1"/>
          <w:vertAlign w:val="superscript"/>
        </w:rPr>
        <w:t>498</w:t>
      </w:r>
    </w:p>
    <w:p>
      <w:pPr>
        <w:pStyle w:val="BodyText"/>
      </w:pPr>
    </w:p>
    <w:p>
      <w:pPr>
        <w:pStyle w:val="BodyText"/>
        <w:spacing w:before="98"/>
      </w:pPr>
      <w:r>
        <w:rPr/>
        <mc:AlternateContent>
          <mc:Choice Requires="wps">
            <w:drawing>
              <wp:anchor distT="0" distB="0" distL="0" distR="0" allowOverlap="1" layoutInCell="1" locked="0" behindDoc="1" simplePos="0" relativeHeight="487607808">
                <wp:simplePos x="0" y="0"/>
                <wp:positionH relativeFrom="page">
                  <wp:posOffset>914400</wp:posOffset>
                </wp:positionH>
                <wp:positionV relativeFrom="paragraph">
                  <wp:posOffset>223538</wp:posOffset>
                </wp:positionV>
                <wp:extent cx="5724525" cy="1270"/>
                <wp:effectExtent l="0" t="0" r="0" b="0"/>
                <wp:wrapTopAndBottom/>
                <wp:docPr id="70" name="Graphic 70"/>
                <wp:cNvGraphicFramePr>
                  <a:graphicFrameLocks/>
                </wp:cNvGraphicFramePr>
                <a:graphic>
                  <a:graphicData uri="http://schemas.microsoft.com/office/word/2010/wordprocessingShape">
                    <wps:wsp>
                      <wps:cNvPr id="70" name="Graphic 7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601454pt;width:450.75pt;height:.1pt;mso-position-horizontal-relative:page;mso-position-vertical-relative:paragraph;z-index:-15708672;mso-wrap-distance-left:0;mso-wrap-distance-right:0" id="docshape23" coordorigin="1440,352" coordsize="9015,0" path="m1440,352l10454,352e" filled="false" stroked="true" strokeweight="1pt" strokecolor="#000000">
                <v:path arrowok="t"/>
                <v:stroke dashstyle="solid"/>
                <w10:wrap type="topAndBottom"/>
              </v:shape>
            </w:pict>
          </mc:Fallback>
        </mc:AlternateContent>
      </w:r>
    </w:p>
    <w:p>
      <w:pPr>
        <w:pStyle w:val="BodyText"/>
        <w:spacing w:before="97"/>
      </w:pPr>
    </w:p>
    <w:p>
      <w:pPr>
        <w:tabs>
          <w:tab w:pos="540" w:val="left" w:leader="none"/>
        </w:tabs>
        <w:spacing w:line="227" w:lineRule="exact" w:before="0"/>
        <w:ind w:left="0" w:right="168" w:firstLine="0"/>
        <w:jc w:val="right"/>
        <w:rPr>
          <w:rFonts w:ascii="Arial"/>
          <w:i/>
          <w:sz w:val="20"/>
        </w:rPr>
      </w:pPr>
      <w:bookmarkStart w:name="_bookmark934" w:id="936"/>
      <w:bookmarkEnd w:id="936"/>
      <w:r>
        <w:rPr/>
      </w:r>
      <w:hyperlink w:history="true" w:anchor="_bookmark917">
        <w:r>
          <w:rPr>
            <w:color w:val="005DA1"/>
            <w:spacing w:val="-4"/>
            <w:position w:val="5"/>
            <w:sz w:val="14"/>
            <w:u w:val="single" w:color="005DA1"/>
          </w:rPr>
          <w:t>481</w:t>
        </w:r>
      </w:hyperlink>
      <w:r>
        <w:rPr>
          <w:spacing w:val="-4"/>
          <w:position w:val="5"/>
          <w:sz w:val="14"/>
        </w:rPr>
        <w:t>.</w:t>
      </w:r>
      <w:r>
        <w:rPr>
          <w:position w:val="5"/>
          <w:sz w:val="14"/>
        </w:rPr>
        <w:tab/>
      </w:r>
      <w:r>
        <w:rPr>
          <w:sz w:val="20"/>
        </w:rPr>
        <w:t>See,</w:t>
      </w:r>
      <w:r>
        <w:rPr>
          <w:spacing w:val="27"/>
          <w:sz w:val="20"/>
        </w:rPr>
        <w:t> </w:t>
      </w:r>
      <w:r>
        <w:rPr>
          <w:sz w:val="20"/>
        </w:rPr>
        <w:t>e.g.</w:t>
      </w:r>
      <w:r>
        <w:rPr>
          <w:spacing w:val="28"/>
          <w:sz w:val="20"/>
        </w:rPr>
        <w:t> </w:t>
      </w:r>
      <w:r>
        <w:rPr>
          <w:rFonts w:ascii="Arial"/>
          <w:i/>
          <w:sz w:val="20"/>
        </w:rPr>
        <w:t>Payne</w:t>
      </w:r>
      <w:r>
        <w:rPr>
          <w:rFonts w:ascii="Arial"/>
          <w:i/>
          <w:spacing w:val="28"/>
          <w:sz w:val="20"/>
        </w:rPr>
        <w:t> </w:t>
      </w:r>
      <w:r>
        <w:rPr>
          <w:rFonts w:ascii="Arial"/>
          <w:i/>
          <w:sz w:val="20"/>
        </w:rPr>
        <w:t>v</w:t>
      </w:r>
      <w:r>
        <w:rPr>
          <w:rFonts w:ascii="Arial"/>
          <w:i/>
          <w:spacing w:val="28"/>
          <w:sz w:val="20"/>
        </w:rPr>
        <w:t> </w:t>
      </w:r>
      <w:r>
        <w:rPr>
          <w:rFonts w:ascii="Arial"/>
          <w:i/>
          <w:sz w:val="20"/>
        </w:rPr>
        <w:t>Cave</w:t>
      </w:r>
      <w:r>
        <w:rPr>
          <w:rFonts w:ascii="Arial"/>
          <w:i/>
          <w:spacing w:val="28"/>
          <w:sz w:val="20"/>
        </w:rPr>
        <w:t> </w:t>
      </w:r>
      <w:r>
        <w:rPr>
          <w:rFonts w:ascii="Arial"/>
          <w:i/>
          <w:sz w:val="20"/>
        </w:rPr>
        <w:t>(1789)</w:t>
      </w:r>
      <w:r>
        <w:rPr>
          <w:rFonts w:ascii="Arial"/>
          <w:i/>
          <w:spacing w:val="28"/>
          <w:sz w:val="20"/>
        </w:rPr>
        <w:t> </w:t>
      </w:r>
      <w:r>
        <w:rPr>
          <w:rFonts w:ascii="Arial"/>
          <w:i/>
          <w:sz w:val="20"/>
        </w:rPr>
        <w:t>3</w:t>
      </w:r>
      <w:r>
        <w:rPr>
          <w:rFonts w:ascii="Arial"/>
          <w:i/>
          <w:spacing w:val="28"/>
          <w:sz w:val="20"/>
        </w:rPr>
        <w:t> </w:t>
      </w:r>
      <w:r>
        <w:rPr>
          <w:rFonts w:ascii="Arial"/>
          <w:i/>
          <w:sz w:val="20"/>
        </w:rPr>
        <w:t>T.R.</w:t>
      </w:r>
      <w:r>
        <w:rPr>
          <w:rFonts w:ascii="Arial"/>
          <w:i/>
          <w:spacing w:val="28"/>
          <w:sz w:val="20"/>
        </w:rPr>
        <w:t> </w:t>
      </w:r>
      <w:r>
        <w:rPr>
          <w:rFonts w:ascii="Arial"/>
          <w:i/>
          <w:sz w:val="20"/>
        </w:rPr>
        <w:t>148</w:t>
      </w:r>
      <w:r>
        <w:rPr>
          <w:sz w:val="20"/>
        </w:rPr>
        <w:t>;</w:t>
      </w:r>
      <w:r>
        <w:rPr>
          <w:spacing w:val="27"/>
          <w:sz w:val="20"/>
        </w:rPr>
        <w:t> </w:t>
      </w:r>
      <w:r>
        <w:rPr>
          <w:rFonts w:ascii="Arial"/>
          <w:i/>
          <w:sz w:val="20"/>
        </w:rPr>
        <w:t>Routledge</w:t>
      </w:r>
      <w:r>
        <w:rPr>
          <w:rFonts w:ascii="Arial"/>
          <w:i/>
          <w:spacing w:val="28"/>
          <w:sz w:val="20"/>
        </w:rPr>
        <w:t> </w:t>
      </w:r>
      <w:r>
        <w:rPr>
          <w:rFonts w:ascii="Arial"/>
          <w:i/>
          <w:sz w:val="20"/>
        </w:rPr>
        <w:t>v</w:t>
      </w:r>
      <w:r>
        <w:rPr>
          <w:rFonts w:ascii="Arial"/>
          <w:i/>
          <w:spacing w:val="28"/>
          <w:sz w:val="20"/>
        </w:rPr>
        <w:t> </w:t>
      </w:r>
      <w:r>
        <w:rPr>
          <w:rFonts w:ascii="Arial"/>
          <w:i/>
          <w:sz w:val="20"/>
        </w:rPr>
        <w:t>Grant</w:t>
      </w:r>
      <w:r>
        <w:rPr>
          <w:rFonts w:ascii="Arial"/>
          <w:i/>
          <w:spacing w:val="28"/>
          <w:sz w:val="20"/>
        </w:rPr>
        <w:t> </w:t>
      </w:r>
      <w:r>
        <w:rPr>
          <w:rFonts w:ascii="Arial"/>
          <w:i/>
          <w:sz w:val="20"/>
        </w:rPr>
        <w:t>(1828)</w:t>
      </w:r>
      <w:r>
        <w:rPr>
          <w:rFonts w:ascii="Arial"/>
          <w:i/>
          <w:spacing w:val="28"/>
          <w:sz w:val="20"/>
        </w:rPr>
        <w:t> </w:t>
      </w:r>
      <w:r>
        <w:rPr>
          <w:rFonts w:ascii="Arial"/>
          <w:i/>
          <w:sz w:val="20"/>
        </w:rPr>
        <w:t>4</w:t>
      </w:r>
      <w:r>
        <w:rPr>
          <w:rFonts w:ascii="Arial"/>
          <w:i/>
          <w:spacing w:val="28"/>
          <w:sz w:val="20"/>
        </w:rPr>
        <w:t> </w:t>
      </w:r>
      <w:r>
        <w:rPr>
          <w:rFonts w:ascii="Arial"/>
          <w:i/>
          <w:sz w:val="20"/>
        </w:rPr>
        <w:t>Bing.</w:t>
      </w:r>
      <w:r>
        <w:rPr>
          <w:rFonts w:ascii="Arial"/>
          <w:i/>
          <w:spacing w:val="28"/>
          <w:sz w:val="20"/>
        </w:rPr>
        <w:t> </w:t>
      </w:r>
      <w:r>
        <w:rPr>
          <w:rFonts w:ascii="Arial"/>
          <w:i/>
          <w:sz w:val="20"/>
        </w:rPr>
        <w:t>653</w:t>
      </w:r>
      <w:r>
        <w:rPr>
          <w:sz w:val="20"/>
        </w:rPr>
        <w:t>;</w:t>
      </w:r>
      <w:r>
        <w:rPr>
          <w:spacing w:val="28"/>
          <w:sz w:val="20"/>
        </w:rPr>
        <w:t> </w:t>
      </w:r>
      <w:r>
        <w:rPr>
          <w:rFonts w:ascii="Arial"/>
          <w:i/>
          <w:sz w:val="20"/>
        </w:rPr>
        <w:t>Offord</w:t>
      </w:r>
      <w:r>
        <w:rPr>
          <w:rFonts w:ascii="Arial"/>
          <w:i/>
          <w:spacing w:val="28"/>
          <w:sz w:val="20"/>
        </w:rPr>
        <w:t> </w:t>
      </w:r>
      <w:r>
        <w:rPr>
          <w:rFonts w:ascii="Arial"/>
          <w:i/>
          <w:spacing w:val="-10"/>
          <w:sz w:val="20"/>
        </w:rPr>
        <w:t>v</w:t>
      </w:r>
    </w:p>
    <w:p>
      <w:pPr>
        <w:spacing w:line="225" w:lineRule="exact" w:before="0"/>
        <w:ind w:left="0" w:right="168" w:firstLine="0"/>
        <w:jc w:val="right"/>
        <w:rPr>
          <w:rFonts w:ascii="Arial" w:hAnsi="Arial"/>
          <w:i/>
          <w:sz w:val="20"/>
        </w:rPr>
      </w:pPr>
      <w:r>
        <w:rPr>
          <w:rFonts w:ascii="Arial" w:hAnsi="Arial"/>
          <w:i/>
          <w:sz w:val="20"/>
        </w:rPr>
        <w:t>Davies</w:t>
      </w:r>
      <w:r>
        <w:rPr>
          <w:rFonts w:ascii="Arial" w:hAnsi="Arial"/>
          <w:i/>
          <w:spacing w:val="30"/>
          <w:sz w:val="20"/>
        </w:rPr>
        <w:t> </w:t>
      </w:r>
      <w:r>
        <w:rPr>
          <w:rFonts w:ascii="Arial" w:hAnsi="Arial"/>
          <w:i/>
          <w:sz w:val="20"/>
        </w:rPr>
        <w:t>(1862)</w:t>
      </w:r>
      <w:r>
        <w:rPr>
          <w:rFonts w:ascii="Arial" w:hAnsi="Arial"/>
          <w:i/>
          <w:spacing w:val="33"/>
          <w:sz w:val="20"/>
        </w:rPr>
        <w:t> </w:t>
      </w:r>
      <w:r>
        <w:rPr>
          <w:rFonts w:ascii="Arial" w:hAnsi="Arial"/>
          <w:i/>
          <w:sz w:val="20"/>
        </w:rPr>
        <w:t>12</w:t>
      </w:r>
      <w:r>
        <w:rPr>
          <w:rFonts w:ascii="Arial" w:hAnsi="Arial"/>
          <w:i/>
          <w:spacing w:val="33"/>
          <w:sz w:val="20"/>
        </w:rPr>
        <w:t> </w:t>
      </w:r>
      <w:r>
        <w:rPr>
          <w:rFonts w:ascii="Arial" w:hAnsi="Arial"/>
          <w:i/>
          <w:sz w:val="20"/>
        </w:rPr>
        <w:t>C.B.(N.S.)</w:t>
      </w:r>
      <w:r>
        <w:rPr>
          <w:rFonts w:ascii="Arial" w:hAnsi="Arial"/>
          <w:i/>
          <w:spacing w:val="33"/>
          <w:sz w:val="20"/>
        </w:rPr>
        <w:t> </w:t>
      </w:r>
      <w:r>
        <w:rPr>
          <w:rFonts w:ascii="Arial" w:hAnsi="Arial"/>
          <w:i/>
          <w:sz w:val="20"/>
        </w:rPr>
        <w:t>748</w:t>
      </w:r>
      <w:r>
        <w:rPr>
          <w:sz w:val="20"/>
        </w:rPr>
        <w:t>;</w:t>
      </w:r>
      <w:r>
        <w:rPr>
          <w:spacing w:val="33"/>
          <w:sz w:val="20"/>
        </w:rPr>
        <w:t> </w:t>
      </w:r>
      <w:r>
        <w:rPr>
          <w:rFonts w:ascii="Arial" w:hAnsi="Arial"/>
          <w:i/>
          <w:sz w:val="20"/>
        </w:rPr>
        <w:t>Hebb’s</w:t>
      </w:r>
      <w:r>
        <w:rPr>
          <w:rFonts w:ascii="Arial" w:hAnsi="Arial"/>
          <w:i/>
          <w:spacing w:val="33"/>
          <w:sz w:val="20"/>
        </w:rPr>
        <w:t> </w:t>
      </w:r>
      <w:r>
        <w:rPr>
          <w:rFonts w:ascii="Arial" w:hAnsi="Arial"/>
          <w:i/>
          <w:sz w:val="20"/>
        </w:rPr>
        <w:t>Case</w:t>
      </w:r>
      <w:r>
        <w:rPr>
          <w:rFonts w:ascii="Arial" w:hAnsi="Arial"/>
          <w:i/>
          <w:spacing w:val="33"/>
          <w:sz w:val="20"/>
        </w:rPr>
        <w:t> </w:t>
      </w:r>
      <w:r>
        <w:rPr>
          <w:rFonts w:ascii="Arial" w:hAnsi="Arial"/>
          <w:i/>
          <w:sz w:val="20"/>
        </w:rPr>
        <w:t>(1867)</w:t>
      </w:r>
      <w:r>
        <w:rPr>
          <w:rFonts w:ascii="Arial" w:hAnsi="Arial"/>
          <w:i/>
          <w:spacing w:val="33"/>
          <w:sz w:val="20"/>
        </w:rPr>
        <w:t> </w:t>
      </w:r>
      <w:r>
        <w:rPr>
          <w:rFonts w:ascii="Arial" w:hAnsi="Arial"/>
          <w:i/>
          <w:sz w:val="20"/>
        </w:rPr>
        <w:t>L.R.</w:t>
      </w:r>
      <w:r>
        <w:rPr>
          <w:rFonts w:ascii="Arial" w:hAnsi="Arial"/>
          <w:i/>
          <w:spacing w:val="32"/>
          <w:sz w:val="20"/>
        </w:rPr>
        <w:t> </w:t>
      </w:r>
      <w:r>
        <w:rPr>
          <w:rFonts w:ascii="Arial" w:hAnsi="Arial"/>
          <w:i/>
          <w:sz w:val="20"/>
        </w:rPr>
        <w:t>4</w:t>
      </w:r>
      <w:r>
        <w:rPr>
          <w:rFonts w:ascii="Arial" w:hAnsi="Arial"/>
          <w:i/>
          <w:spacing w:val="33"/>
          <w:sz w:val="20"/>
        </w:rPr>
        <w:t> </w:t>
      </w:r>
      <w:r>
        <w:rPr>
          <w:rFonts w:ascii="Arial" w:hAnsi="Arial"/>
          <w:i/>
          <w:sz w:val="20"/>
        </w:rPr>
        <w:t>Eq.</w:t>
      </w:r>
      <w:r>
        <w:rPr>
          <w:rFonts w:ascii="Arial" w:hAnsi="Arial"/>
          <w:i/>
          <w:spacing w:val="33"/>
          <w:sz w:val="20"/>
        </w:rPr>
        <w:t> </w:t>
      </w:r>
      <w:r>
        <w:rPr>
          <w:rFonts w:ascii="Arial" w:hAnsi="Arial"/>
          <w:i/>
          <w:sz w:val="20"/>
        </w:rPr>
        <w:t>9</w:t>
      </w:r>
      <w:r>
        <w:rPr>
          <w:sz w:val="20"/>
        </w:rPr>
        <w:t>;</w:t>
      </w:r>
      <w:r>
        <w:rPr>
          <w:spacing w:val="33"/>
          <w:sz w:val="20"/>
        </w:rPr>
        <w:t> </w:t>
      </w:r>
      <w:r>
        <w:rPr>
          <w:rFonts w:ascii="Arial" w:hAnsi="Arial"/>
          <w:i/>
          <w:sz w:val="20"/>
        </w:rPr>
        <w:t>Tuck</w:t>
      </w:r>
      <w:r>
        <w:rPr>
          <w:rFonts w:ascii="Arial" w:hAnsi="Arial"/>
          <w:i/>
          <w:spacing w:val="33"/>
          <w:sz w:val="20"/>
        </w:rPr>
        <w:t> </w:t>
      </w:r>
      <w:r>
        <w:rPr>
          <w:rFonts w:ascii="Arial" w:hAnsi="Arial"/>
          <w:i/>
          <w:sz w:val="20"/>
        </w:rPr>
        <w:t>v</w:t>
      </w:r>
      <w:r>
        <w:rPr>
          <w:rFonts w:ascii="Arial" w:hAnsi="Arial"/>
          <w:i/>
          <w:spacing w:val="33"/>
          <w:sz w:val="20"/>
        </w:rPr>
        <w:t> </w:t>
      </w:r>
      <w:r>
        <w:rPr>
          <w:rFonts w:ascii="Arial" w:hAnsi="Arial"/>
          <w:i/>
          <w:sz w:val="20"/>
        </w:rPr>
        <w:t>Baker</w:t>
      </w:r>
      <w:r>
        <w:rPr>
          <w:rFonts w:ascii="Arial" w:hAnsi="Arial"/>
          <w:i/>
          <w:spacing w:val="33"/>
          <w:sz w:val="20"/>
        </w:rPr>
        <w:t> </w:t>
      </w:r>
      <w:r>
        <w:rPr>
          <w:rFonts w:ascii="Arial" w:hAnsi="Arial"/>
          <w:i/>
          <w:sz w:val="20"/>
        </w:rPr>
        <w:t>[1990]</w:t>
      </w:r>
      <w:r>
        <w:rPr>
          <w:rFonts w:ascii="Arial" w:hAnsi="Arial"/>
          <w:i/>
          <w:spacing w:val="33"/>
          <w:sz w:val="20"/>
        </w:rPr>
        <w:t> </w:t>
      </w:r>
      <w:r>
        <w:rPr>
          <w:rFonts w:ascii="Arial" w:hAnsi="Arial"/>
          <w:i/>
          <w:spacing w:val="-10"/>
          <w:sz w:val="20"/>
        </w:rPr>
        <w:t>2</w:t>
      </w:r>
    </w:p>
    <w:p>
      <w:pPr>
        <w:spacing w:line="235" w:lineRule="auto" w:before="1"/>
        <w:ind w:left="705" w:right="167" w:firstLine="0"/>
        <w:jc w:val="both"/>
        <w:rPr>
          <w:rFonts w:ascii="Arial"/>
          <w:i/>
          <w:sz w:val="20"/>
        </w:rPr>
      </w:pPr>
      <w:r>
        <w:rPr>
          <w:rFonts w:ascii="Arial"/>
          <w:i/>
          <w:sz w:val="20"/>
        </w:rPr>
        <w:t>E.G.L.R. 195</w:t>
      </w:r>
      <w:r>
        <w:rPr>
          <w:sz w:val="20"/>
        </w:rPr>
        <w:t>; </w:t>
      </w:r>
      <w:r>
        <w:rPr>
          <w:rFonts w:ascii="Arial"/>
          <w:i/>
          <w:sz w:val="20"/>
        </w:rPr>
        <w:t>Scammel v Dicker [2001] 1 W.L.R. 631</w:t>
      </w:r>
      <w:r>
        <w:rPr>
          <w:sz w:val="20"/>
        </w:rPr>
        <w:t>, applying the principle to an offer to settle an action under CPR Pt 36 (for further proceedings in this case, see </w:t>
      </w:r>
      <w:r>
        <w:rPr>
          <w:rFonts w:ascii="Arial"/>
          <w:i/>
          <w:sz w:val="20"/>
        </w:rPr>
        <w:t>[2005] EWCA Civ 405, [2005] 3 All E.R. 838</w:t>
      </w:r>
      <w:r>
        <w:rPr>
          <w:sz w:val="20"/>
        </w:rPr>
        <w:t>, below para.2-153; for the method of withdrawal of such an offer, </w:t>
      </w:r>
      <w:r>
        <w:rPr>
          <w:sz w:val="20"/>
        </w:rPr>
        <w:t>see below, para.2-097 n.488); </w:t>
      </w:r>
      <w:r>
        <w:rPr>
          <w:rFonts w:ascii="Arial"/>
          <w:i/>
          <w:sz w:val="20"/>
        </w:rPr>
        <w:t>Bircham Nominees (No.2) Ltd v Worrell Holdings Ltd [2001] EWCA Civ 775; (2001) 82 P. &amp; C.R. 472</w:t>
      </w:r>
      <w:r>
        <w:rPr>
          <w:rFonts w:ascii="Arial"/>
          <w:i/>
          <w:spacing w:val="-1"/>
          <w:sz w:val="20"/>
        </w:rPr>
        <w:t> </w:t>
      </w:r>
      <w:r>
        <w:rPr>
          <w:sz w:val="20"/>
        </w:rPr>
        <w:t>at [24], [35]; </w:t>
      </w:r>
      <w:r>
        <w:rPr>
          <w:rFonts w:ascii="Arial"/>
          <w:i/>
          <w:sz w:val="20"/>
        </w:rPr>
        <w:t>Beazley Underwriting Ltd v Travellers </w:t>
      </w:r>
      <w:r>
        <w:rPr>
          <w:rFonts w:ascii="Arial"/>
          <w:i/>
          <w:spacing w:val="-2"/>
          <w:sz w:val="20"/>
        </w:rPr>
        <w:t>Companie</w:t>
      </w:r>
      <w:r>
        <w:rPr>
          <w:rFonts w:ascii="Arial"/>
          <w:i/>
          <w:spacing w:val="-2"/>
          <w:sz w:val="20"/>
        </w:rPr>
        <w:t>s</w:t>
      </w:r>
    </w:p>
    <w:p>
      <w:pPr>
        <w:spacing w:line="222" w:lineRule="exact" w:before="0"/>
        <w:ind w:left="705" w:right="0" w:firstLine="0"/>
        <w:jc w:val="both"/>
        <w:rPr>
          <w:sz w:val="20"/>
        </w:rPr>
      </w:pPr>
      <w:r>
        <w:rPr>
          <w:rFonts w:ascii="Arial"/>
          <w:i/>
          <w:sz w:val="20"/>
        </w:rPr>
        <w:t>Inc</w:t>
      </w:r>
      <w:r>
        <w:rPr>
          <w:rFonts w:ascii="Arial"/>
          <w:i/>
          <w:spacing w:val="9"/>
          <w:sz w:val="20"/>
        </w:rPr>
        <w:t> </w:t>
      </w:r>
      <w:r>
        <w:rPr>
          <w:rFonts w:ascii="Arial"/>
          <w:i/>
          <w:sz w:val="20"/>
        </w:rPr>
        <w:t>[2011]</w:t>
      </w:r>
      <w:r>
        <w:rPr>
          <w:rFonts w:ascii="Arial"/>
          <w:i/>
          <w:spacing w:val="9"/>
          <w:sz w:val="20"/>
        </w:rPr>
        <w:t> </w:t>
      </w:r>
      <w:r>
        <w:rPr>
          <w:rFonts w:ascii="Arial"/>
          <w:i/>
          <w:sz w:val="20"/>
        </w:rPr>
        <w:t>EWHC</w:t>
      </w:r>
      <w:r>
        <w:rPr>
          <w:rFonts w:ascii="Arial"/>
          <w:i/>
          <w:spacing w:val="9"/>
          <w:sz w:val="20"/>
        </w:rPr>
        <w:t> </w:t>
      </w:r>
      <w:r>
        <w:rPr>
          <w:rFonts w:ascii="Arial"/>
          <w:i/>
          <w:sz w:val="20"/>
        </w:rPr>
        <w:t>1520</w:t>
      </w:r>
      <w:r>
        <w:rPr>
          <w:rFonts w:ascii="Arial"/>
          <w:i/>
          <w:spacing w:val="9"/>
          <w:sz w:val="20"/>
        </w:rPr>
        <w:t> </w:t>
      </w:r>
      <w:r>
        <w:rPr>
          <w:rFonts w:ascii="Arial"/>
          <w:i/>
          <w:sz w:val="20"/>
        </w:rPr>
        <w:t>(Comm),</w:t>
      </w:r>
      <w:r>
        <w:rPr>
          <w:rFonts w:ascii="Arial"/>
          <w:i/>
          <w:spacing w:val="9"/>
          <w:sz w:val="20"/>
        </w:rPr>
        <w:t> </w:t>
      </w:r>
      <w:r>
        <w:rPr>
          <w:rFonts w:ascii="Arial"/>
          <w:i/>
          <w:sz w:val="20"/>
        </w:rPr>
        <w:t>[2012]</w:t>
      </w:r>
      <w:r>
        <w:rPr>
          <w:rFonts w:ascii="Arial"/>
          <w:i/>
          <w:spacing w:val="9"/>
          <w:sz w:val="20"/>
        </w:rPr>
        <w:t> </w:t>
      </w:r>
      <w:r>
        <w:rPr>
          <w:rFonts w:ascii="Arial"/>
          <w:i/>
          <w:sz w:val="20"/>
        </w:rPr>
        <w:t>1</w:t>
      </w:r>
      <w:r>
        <w:rPr>
          <w:rFonts w:ascii="Arial"/>
          <w:i/>
          <w:spacing w:val="9"/>
          <w:sz w:val="20"/>
        </w:rPr>
        <w:t> </w:t>
      </w:r>
      <w:r>
        <w:rPr>
          <w:rFonts w:ascii="Arial"/>
          <w:i/>
          <w:sz w:val="20"/>
        </w:rPr>
        <w:t>All</w:t>
      </w:r>
      <w:r>
        <w:rPr>
          <w:rFonts w:ascii="Arial"/>
          <w:i/>
          <w:spacing w:val="9"/>
          <w:sz w:val="20"/>
        </w:rPr>
        <w:t> </w:t>
      </w:r>
      <w:r>
        <w:rPr>
          <w:rFonts w:ascii="Arial"/>
          <w:i/>
          <w:sz w:val="20"/>
        </w:rPr>
        <w:t>E.R.</w:t>
      </w:r>
      <w:r>
        <w:rPr>
          <w:rFonts w:ascii="Arial"/>
          <w:i/>
          <w:spacing w:val="9"/>
          <w:sz w:val="20"/>
        </w:rPr>
        <w:t> </w:t>
      </w:r>
      <w:r>
        <w:rPr>
          <w:rFonts w:ascii="Arial"/>
          <w:i/>
          <w:sz w:val="20"/>
        </w:rPr>
        <w:t>(Comm)</w:t>
      </w:r>
      <w:r>
        <w:rPr>
          <w:rFonts w:ascii="Arial"/>
          <w:i/>
          <w:spacing w:val="9"/>
          <w:sz w:val="20"/>
        </w:rPr>
        <w:t> </w:t>
      </w:r>
      <w:r>
        <w:rPr>
          <w:rFonts w:ascii="Arial"/>
          <w:i/>
          <w:sz w:val="20"/>
        </w:rPr>
        <w:t>1241</w:t>
      </w:r>
      <w:r>
        <w:rPr>
          <w:rFonts w:ascii="Arial"/>
          <w:i/>
          <w:spacing w:val="8"/>
          <w:sz w:val="20"/>
        </w:rPr>
        <w:t> </w:t>
      </w:r>
      <w:r>
        <w:rPr>
          <w:sz w:val="20"/>
        </w:rPr>
        <w:t>at</w:t>
      </w:r>
      <w:r>
        <w:rPr>
          <w:spacing w:val="9"/>
          <w:sz w:val="20"/>
        </w:rPr>
        <w:t> </w:t>
      </w:r>
      <w:r>
        <w:rPr>
          <w:sz w:val="20"/>
        </w:rPr>
        <w:t>[184],</w:t>
      </w:r>
      <w:r>
        <w:rPr>
          <w:spacing w:val="9"/>
          <w:sz w:val="20"/>
        </w:rPr>
        <w:t> </w:t>
      </w:r>
      <w:r>
        <w:rPr>
          <w:sz w:val="20"/>
        </w:rPr>
        <w:t>quoted</w:t>
      </w:r>
      <w:r>
        <w:rPr>
          <w:spacing w:val="9"/>
          <w:sz w:val="20"/>
        </w:rPr>
        <w:t> </w:t>
      </w:r>
      <w:r>
        <w:rPr>
          <w:sz w:val="20"/>
        </w:rPr>
        <w:t>in</w:t>
      </w:r>
      <w:r>
        <w:rPr>
          <w:spacing w:val="9"/>
          <w:sz w:val="20"/>
        </w:rPr>
        <w:t> </w:t>
      </w:r>
      <w:r>
        <w:rPr>
          <w:sz w:val="20"/>
        </w:rPr>
        <w:t>para.2-</w:t>
      </w:r>
      <w:r>
        <w:rPr>
          <w:spacing w:val="-5"/>
          <w:sz w:val="20"/>
        </w:rPr>
        <w:t>031</w:t>
      </w:r>
    </w:p>
    <w:p>
      <w:pPr>
        <w:pStyle w:val="BodyText"/>
        <w:spacing w:line="235" w:lineRule="auto" w:before="2"/>
        <w:ind w:left="705" w:right="167"/>
        <w:jc w:val="both"/>
      </w:pPr>
      <w:r>
        <w:rPr/>
        <w:t>n.173. cf. Defamation Act 1996 s.2(6). Contrast Vienna Convention on Contracts for the International Sale of Goods (above, para.2-061) art.16(2).</w:t>
      </w:r>
    </w:p>
    <w:p>
      <w:pPr>
        <w:pStyle w:val="BodyText"/>
        <w:spacing w:after="0" w:line="235" w:lineRule="auto"/>
        <w:jc w:val="both"/>
        <w:sectPr>
          <w:headerReference w:type="default" r:id="rId17"/>
          <w:pgSz w:w="11900" w:h="16840"/>
          <w:pgMar w:header="971" w:footer="0" w:top="1300" w:bottom="280" w:left="1275" w:right="1275"/>
          <w:pgNumType w:start="2"/>
        </w:sectPr>
      </w:pPr>
    </w:p>
    <w:p>
      <w:pPr>
        <w:pStyle w:val="BodyText"/>
        <w:tabs>
          <w:tab w:pos="705" w:val="left" w:leader="none"/>
        </w:tabs>
        <w:spacing w:line="227" w:lineRule="exact" w:before="166"/>
        <w:ind w:left="165"/>
      </w:pPr>
      <w:hyperlink w:history="true" w:anchor="_bookmark918">
        <w:r>
          <w:rPr>
            <w:color w:val="005DA1"/>
            <w:spacing w:val="-4"/>
            <w:position w:val="5"/>
            <w:sz w:val="14"/>
            <w:u w:val="single" w:color="005DA1"/>
          </w:rPr>
          <w:t>482</w:t>
        </w:r>
      </w:hyperlink>
      <w:r>
        <w:rPr>
          <w:spacing w:val="-4"/>
          <w:position w:val="5"/>
          <w:sz w:val="14"/>
        </w:rPr>
        <w:t>.</w:t>
      </w:r>
      <w:r>
        <w:rPr>
          <w:position w:val="5"/>
          <w:sz w:val="14"/>
        </w:rPr>
        <w:tab/>
      </w:r>
      <w:r>
        <w:rPr/>
        <w:t>An</w:t>
      </w:r>
      <w:r>
        <w:rPr>
          <w:spacing w:val="27"/>
        </w:rPr>
        <w:t> </w:t>
      </w:r>
      <w:r>
        <w:rPr/>
        <w:t>offer</w:t>
      </w:r>
      <w:r>
        <w:rPr>
          <w:spacing w:val="27"/>
        </w:rPr>
        <w:t> </w:t>
      </w:r>
      <w:r>
        <w:rPr/>
        <w:t>is</w:t>
      </w:r>
      <w:r>
        <w:rPr>
          <w:spacing w:val="27"/>
        </w:rPr>
        <w:t> </w:t>
      </w:r>
      <w:r>
        <w:rPr/>
        <w:t>assumed</w:t>
      </w:r>
      <w:r>
        <w:rPr>
          <w:spacing w:val="27"/>
        </w:rPr>
        <w:t> </w:t>
      </w:r>
      <w:r>
        <w:rPr/>
        <w:t>to</w:t>
      </w:r>
      <w:r>
        <w:rPr>
          <w:spacing w:val="27"/>
        </w:rPr>
        <w:t> </w:t>
      </w:r>
      <w:r>
        <w:rPr/>
        <w:t>be</w:t>
      </w:r>
      <w:r>
        <w:rPr>
          <w:spacing w:val="27"/>
        </w:rPr>
        <w:t> </w:t>
      </w:r>
      <w:r>
        <w:rPr/>
        <w:t>open</w:t>
      </w:r>
      <w:r>
        <w:rPr>
          <w:spacing w:val="27"/>
        </w:rPr>
        <w:t> </w:t>
      </w:r>
      <w:r>
        <w:rPr/>
        <w:t>for</w:t>
      </w:r>
      <w:r>
        <w:rPr>
          <w:spacing w:val="27"/>
        </w:rPr>
        <w:t> </w:t>
      </w:r>
      <w:r>
        <w:rPr/>
        <w:t>a</w:t>
      </w:r>
      <w:r>
        <w:rPr>
          <w:spacing w:val="27"/>
        </w:rPr>
        <w:t> </w:t>
      </w:r>
      <w:r>
        <w:rPr/>
        <w:t>reasonable</w:t>
      </w:r>
      <w:r>
        <w:rPr>
          <w:spacing w:val="27"/>
        </w:rPr>
        <w:t> </w:t>
      </w:r>
      <w:r>
        <w:rPr/>
        <w:t>time</w:t>
      </w:r>
      <w:r>
        <w:rPr>
          <w:spacing w:val="27"/>
        </w:rPr>
        <w:t> </w:t>
      </w:r>
      <w:r>
        <w:rPr/>
        <w:t>if</w:t>
      </w:r>
      <w:r>
        <w:rPr>
          <w:spacing w:val="27"/>
        </w:rPr>
        <w:t> </w:t>
      </w:r>
      <w:r>
        <w:rPr/>
        <w:t>no</w:t>
      </w:r>
      <w:r>
        <w:rPr>
          <w:spacing w:val="27"/>
        </w:rPr>
        <w:t> </w:t>
      </w:r>
      <w:r>
        <w:rPr/>
        <w:t>time</w:t>
      </w:r>
      <w:r>
        <w:rPr>
          <w:spacing w:val="27"/>
        </w:rPr>
        <w:t> </w:t>
      </w:r>
      <w:r>
        <w:rPr/>
        <w:t>limit</w:t>
      </w:r>
      <w:r>
        <w:rPr>
          <w:spacing w:val="27"/>
        </w:rPr>
        <w:t> </w:t>
      </w:r>
      <w:r>
        <w:rPr/>
        <w:t>is</w:t>
      </w:r>
      <w:r>
        <w:rPr>
          <w:spacing w:val="27"/>
        </w:rPr>
        <w:t> </w:t>
      </w:r>
      <w:r>
        <w:rPr/>
        <w:t>expressed</w:t>
      </w:r>
      <w:r>
        <w:rPr>
          <w:spacing w:val="27"/>
        </w:rPr>
        <w:t> </w:t>
      </w:r>
      <w:r>
        <w:rPr/>
        <w:t>in</w:t>
      </w:r>
      <w:r>
        <w:rPr>
          <w:spacing w:val="27"/>
        </w:rPr>
        <w:t> </w:t>
      </w:r>
      <w:r>
        <w:rPr/>
        <w:t>it:</w:t>
      </w:r>
      <w:r>
        <w:rPr>
          <w:spacing w:val="27"/>
        </w:rPr>
        <w:t> </w:t>
      </w:r>
      <w:r>
        <w:rPr>
          <w:spacing w:val="-5"/>
        </w:rPr>
        <w:t>see</w:t>
      </w:r>
    </w:p>
    <w:p>
      <w:pPr>
        <w:spacing w:line="227" w:lineRule="exact" w:before="0"/>
        <w:ind w:left="705" w:right="0" w:firstLine="0"/>
        <w:jc w:val="left"/>
        <w:rPr>
          <w:sz w:val="20"/>
        </w:rPr>
      </w:pPr>
      <w:r>
        <w:rPr>
          <w:rFonts w:ascii="Arial"/>
          <w:i/>
          <w:sz w:val="20"/>
        </w:rPr>
        <w:t>Ramsgate</w:t>
      </w:r>
      <w:r>
        <w:rPr>
          <w:rFonts w:ascii="Arial"/>
          <w:i/>
          <w:spacing w:val="-1"/>
          <w:sz w:val="20"/>
        </w:rPr>
        <w:t> </w:t>
      </w:r>
      <w:r>
        <w:rPr>
          <w:rFonts w:ascii="Arial"/>
          <w:i/>
          <w:sz w:val="20"/>
        </w:rPr>
        <w:t>Victoria Hotel Co Ltd v Montefiore (1866) L.R. 1 Ex. 109</w:t>
      </w:r>
      <w:r>
        <w:rPr>
          <w:sz w:val="20"/>
        </w:rPr>
        <w:t>; below, para.2-</w:t>
      </w:r>
      <w:r>
        <w:rPr>
          <w:spacing w:val="-4"/>
          <w:sz w:val="20"/>
        </w:rPr>
        <w:t>102.</w:t>
      </w:r>
    </w:p>
    <w:p>
      <w:pPr>
        <w:pStyle w:val="BodyText"/>
        <w:spacing w:before="5"/>
      </w:pPr>
    </w:p>
    <w:p>
      <w:pPr>
        <w:tabs>
          <w:tab w:pos="705" w:val="left" w:leader="none"/>
        </w:tabs>
        <w:spacing w:before="1"/>
        <w:ind w:left="165" w:right="0" w:firstLine="0"/>
        <w:jc w:val="left"/>
        <w:rPr>
          <w:sz w:val="20"/>
        </w:rPr>
      </w:pPr>
      <w:bookmarkStart w:name="_bookmark935" w:id="937"/>
      <w:bookmarkEnd w:id="937"/>
      <w:r>
        <w:rPr/>
      </w:r>
      <w:hyperlink w:history="true" w:anchor="_bookmark919">
        <w:r>
          <w:rPr>
            <w:color w:val="005DA1"/>
            <w:spacing w:val="-4"/>
            <w:position w:val="5"/>
            <w:sz w:val="14"/>
            <w:u w:val="single" w:color="005DA1"/>
          </w:rPr>
          <w:t>483</w:t>
        </w:r>
      </w:hyperlink>
      <w:r>
        <w:rPr>
          <w:spacing w:val="-4"/>
          <w:position w:val="5"/>
          <w:sz w:val="14"/>
        </w:rPr>
        <w:t>.</w:t>
      </w:r>
      <w:r>
        <w:rPr>
          <w:position w:val="5"/>
          <w:sz w:val="14"/>
        </w:rPr>
        <w:tab/>
      </w:r>
      <w:r>
        <w:rPr>
          <w:sz w:val="20"/>
        </w:rPr>
        <w:t>Below, para.4-</w:t>
      </w:r>
      <w:r>
        <w:rPr>
          <w:spacing w:val="-4"/>
          <w:sz w:val="20"/>
        </w:rPr>
        <w:t>193.</w:t>
      </w:r>
    </w:p>
    <w:p>
      <w:pPr>
        <w:pStyle w:val="BodyText"/>
        <w:spacing w:before="4"/>
      </w:pPr>
    </w:p>
    <w:p>
      <w:pPr>
        <w:tabs>
          <w:tab w:pos="705" w:val="left" w:leader="none"/>
        </w:tabs>
        <w:spacing w:before="1"/>
        <w:ind w:left="165" w:right="0" w:firstLine="0"/>
        <w:jc w:val="left"/>
        <w:rPr>
          <w:sz w:val="20"/>
        </w:rPr>
      </w:pPr>
      <w:bookmarkStart w:name="_bookmark936" w:id="938"/>
      <w:bookmarkEnd w:id="938"/>
      <w:r>
        <w:rPr/>
      </w:r>
      <w:hyperlink w:history="true" w:anchor="_bookmark919">
        <w:r>
          <w:rPr>
            <w:color w:val="005DA1"/>
            <w:spacing w:val="-4"/>
            <w:position w:val="5"/>
            <w:sz w:val="14"/>
            <w:u w:val="single" w:color="005DA1"/>
          </w:rPr>
          <w:t>484</w:t>
        </w:r>
      </w:hyperlink>
      <w:r>
        <w:rPr>
          <w:spacing w:val="-4"/>
          <w:position w:val="5"/>
          <w:sz w:val="14"/>
        </w:rPr>
        <w:t>.</w:t>
      </w:r>
      <w:r>
        <w:rPr>
          <w:position w:val="5"/>
          <w:sz w:val="14"/>
        </w:rPr>
        <w:tab/>
      </w:r>
      <w:r>
        <w:rPr>
          <w:rFonts w:ascii="Arial"/>
          <w:i/>
          <w:sz w:val="20"/>
        </w:rPr>
        <w:t>(1828)</w:t>
      </w:r>
      <w:r>
        <w:rPr>
          <w:rFonts w:ascii="Arial"/>
          <w:i/>
          <w:spacing w:val="-1"/>
          <w:sz w:val="20"/>
        </w:rPr>
        <w:t> </w:t>
      </w:r>
      <w:r>
        <w:rPr>
          <w:rFonts w:ascii="Arial"/>
          <w:i/>
          <w:sz w:val="20"/>
        </w:rPr>
        <w:t>4 Bing. 653</w:t>
      </w:r>
      <w:r>
        <w:rPr>
          <w:sz w:val="20"/>
        </w:rPr>
        <w:t>. See also</w:t>
      </w:r>
      <w:r>
        <w:rPr>
          <w:spacing w:val="-1"/>
          <w:sz w:val="20"/>
        </w:rPr>
        <w:t> </w:t>
      </w:r>
      <w:r>
        <w:rPr>
          <w:rFonts w:ascii="Arial"/>
          <w:i/>
          <w:sz w:val="20"/>
        </w:rPr>
        <w:t>Cooke v Oxley (1790) 3 T.R. </w:t>
      </w:r>
      <w:r>
        <w:rPr>
          <w:rFonts w:ascii="Arial"/>
          <w:i/>
          <w:spacing w:val="-4"/>
          <w:sz w:val="20"/>
        </w:rPr>
        <w:t>653</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37" w:id="939"/>
      <w:bookmarkEnd w:id="939"/>
      <w:r>
        <w:rPr/>
      </w:r>
      <w:hyperlink w:history="true" w:anchor="_bookmark920">
        <w:r>
          <w:rPr>
            <w:color w:val="005DA1"/>
            <w:spacing w:val="-4"/>
            <w:position w:val="5"/>
            <w:sz w:val="14"/>
            <w:u w:val="single" w:color="005DA1"/>
          </w:rPr>
          <w:t>485</w:t>
        </w:r>
      </w:hyperlink>
      <w:r>
        <w:rPr>
          <w:spacing w:val="-4"/>
          <w:position w:val="5"/>
          <w:sz w:val="14"/>
        </w:rPr>
        <w:t>.</w:t>
      </w:r>
      <w:r>
        <w:rPr>
          <w:position w:val="5"/>
          <w:sz w:val="14"/>
        </w:rPr>
        <w:tab/>
      </w:r>
      <w:r>
        <w:rPr>
          <w:rFonts w:ascii="Arial"/>
          <w:i/>
          <w:sz w:val="20"/>
        </w:rPr>
        <w:t>(1876)</w:t>
      </w:r>
      <w:r>
        <w:rPr>
          <w:rFonts w:ascii="Arial"/>
          <w:i/>
          <w:spacing w:val="-2"/>
          <w:sz w:val="20"/>
        </w:rPr>
        <w:t> </w:t>
      </w:r>
      <w:r>
        <w:rPr>
          <w:rFonts w:ascii="Arial"/>
          <w:i/>
          <w:sz w:val="20"/>
        </w:rPr>
        <w:t>2 Ch. D. </w:t>
      </w:r>
      <w:r>
        <w:rPr>
          <w:rFonts w:ascii="Arial"/>
          <w:i/>
          <w:spacing w:val="-4"/>
          <w:sz w:val="20"/>
        </w:rPr>
        <w:t>463</w:t>
      </w:r>
      <w:r>
        <w:rPr>
          <w:spacing w:val="-4"/>
          <w:sz w:val="20"/>
        </w:rPr>
        <w:t>.</w:t>
      </w:r>
    </w:p>
    <w:p>
      <w:pPr>
        <w:pStyle w:val="BodyText"/>
        <w:spacing w:before="8"/>
      </w:pPr>
    </w:p>
    <w:p>
      <w:pPr>
        <w:spacing w:line="235" w:lineRule="auto" w:before="0"/>
        <w:ind w:left="705" w:right="168" w:hanging="541"/>
        <w:jc w:val="both"/>
        <w:rPr>
          <w:sz w:val="20"/>
        </w:rPr>
      </w:pPr>
      <w:bookmarkStart w:name="_bookmark938" w:id="940"/>
      <w:bookmarkEnd w:id="940"/>
      <w:r>
        <w:rPr/>
      </w:r>
      <w:hyperlink w:history="true" w:anchor="_bookmark921">
        <w:r>
          <w:rPr>
            <w:color w:val="005DA1"/>
            <w:position w:val="5"/>
            <w:sz w:val="14"/>
            <w:u w:val="single" w:color="005DA1"/>
          </w:rPr>
          <w:t>486</w:t>
        </w:r>
      </w:hyperlink>
      <w:r>
        <w:rPr>
          <w:position w:val="5"/>
          <w:sz w:val="14"/>
        </w:rPr>
        <w:t>.</w:t>
      </w:r>
      <w:r>
        <w:rPr>
          <w:spacing w:val="80"/>
          <w:position w:val="5"/>
          <w:sz w:val="14"/>
        </w:rPr>
        <w:t>  </w:t>
      </w:r>
      <w:r>
        <w:rPr>
          <w:rFonts w:ascii="Arial"/>
          <w:i/>
          <w:sz w:val="20"/>
        </w:rPr>
        <w:t>Adams v Lindsell (1818) 1 B. &amp; Ald. 681</w:t>
      </w:r>
      <w:r>
        <w:rPr>
          <w:sz w:val="20"/>
        </w:rPr>
        <w:t>; </w:t>
      </w:r>
      <w:r>
        <w:rPr>
          <w:rFonts w:ascii="Arial"/>
          <w:i/>
          <w:sz w:val="20"/>
        </w:rPr>
        <w:t>Stevenson, Jacques &amp; Co v Maclean (1880) 5 </w:t>
      </w:r>
      <w:r>
        <w:rPr>
          <w:rFonts w:ascii="Arial"/>
          <w:i/>
          <w:sz w:val="20"/>
        </w:rPr>
        <w:t>Q.B.D. 346</w:t>
      </w:r>
      <w:r>
        <w:rPr>
          <w:sz w:val="20"/>
        </w:rPr>
        <w:t>; it is submitted that contrary dicta in </w:t>
      </w:r>
      <w:r>
        <w:rPr>
          <w:rFonts w:ascii="Arial"/>
          <w:i/>
          <w:sz w:val="20"/>
        </w:rPr>
        <w:t>Dickinson v Dodds (1876) 2 Ch. D. 463, 472 </w:t>
      </w:r>
      <w:r>
        <w:rPr>
          <w:sz w:val="20"/>
        </w:rPr>
        <w:t>would no longer be followed.</w:t>
      </w:r>
    </w:p>
    <w:p>
      <w:pPr>
        <w:pStyle w:val="BodyText"/>
        <w:spacing w:before="9"/>
      </w:pPr>
    </w:p>
    <w:p>
      <w:pPr>
        <w:pStyle w:val="BodyText"/>
        <w:spacing w:line="235" w:lineRule="auto"/>
        <w:ind w:left="705" w:right="167" w:hanging="541"/>
        <w:jc w:val="both"/>
      </w:pPr>
      <w:bookmarkStart w:name="_bookmark939" w:id="941"/>
      <w:bookmarkEnd w:id="941"/>
      <w:r>
        <w:rPr/>
      </w:r>
      <w:hyperlink w:history="true" w:anchor="_bookmark922">
        <w:r>
          <w:rPr>
            <w:color w:val="005DA1"/>
            <w:position w:val="5"/>
            <w:sz w:val="14"/>
            <w:u w:val="single" w:color="005DA1"/>
          </w:rPr>
          <w:t>487</w:t>
        </w:r>
      </w:hyperlink>
      <w:r>
        <w:rPr>
          <w:position w:val="5"/>
          <w:sz w:val="14"/>
        </w:rPr>
        <w:t>.</w:t>
      </w:r>
      <w:r>
        <w:rPr>
          <w:spacing w:val="80"/>
          <w:position w:val="5"/>
          <w:sz w:val="14"/>
        </w:rPr>
        <w:t>  </w:t>
      </w:r>
      <w:r>
        <w:rPr/>
        <w:t>For a statutory exception to the rule stated in the text, see Consumer Credit Act 1974 s.69(1)(ii) and (7), as substituted by Consumer Credit Act 1974 (Electronic Communications) Order </w:t>
      </w:r>
      <w:r>
        <w:rPr/>
        <w:t>2004 (SI 2004/3236) art.2(5).</w:t>
      </w:r>
    </w:p>
    <w:p>
      <w:pPr>
        <w:pStyle w:val="BodyText"/>
        <w:spacing w:before="5"/>
      </w:pPr>
    </w:p>
    <w:p>
      <w:pPr>
        <w:tabs>
          <w:tab w:pos="705" w:val="left" w:leader="none"/>
        </w:tabs>
        <w:spacing w:line="227" w:lineRule="exact" w:before="0"/>
        <w:ind w:left="165" w:right="0" w:firstLine="0"/>
        <w:jc w:val="left"/>
        <w:rPr>
          <w:sz w:val="20"/>
        </w:rPr>
      </w:pPr>
      <w:bookmarkStart w:name="_bookmark940" w:id="942"/>
      <w:bookmarkEnd w:id="942"/>
      <w:r>
        <w:rPr/>
      </w:r>
      <w:hyperlink w:history="true" w:anchor="_bookmark923">
        <w:r>
          <w:rPr>
            <w:color w:val="005DA1"/>
            <w:spacing w:val="-4"/>
            <w:position w:val="5"/>
            <w:sz w:val="14"/>
            <w:u w:val="single" w:color="005DA1"/>
          </w:rPr>
          <w:t>488</w:t>
        </w:r>
      </w:hyperlink>
      <w:r>
        <w:rPr>
          <w:spacing w:val="-4"/>
          <w:position w:val="5"/>
          <w:sz w:val="14"/>
        </w:rPr>
        <w:t>.</w:t>
      </w:r>
      <w:r>
        <w:rPr>
          <w:position w:val="5"/>
          <w:sz w:val="14"/>
        </w:rPr>
        <w:tab/>
      </w:r>
      <w:r>
        <w:rPr>
          <w:rFonts w:ascii="Arial"/>
          <w:i/>
          <w:sz w:val="20"/>
        </w:rPr>
        <w:t>(1880)</w:t>
      </w:r>
      <w:r>
        <w:rPr>
          <w:rFonts w:ascii="Arial"/>
          <w:i/>
          <w:spacing w:val="51"/>
          <w:sz w:val="20"/>
        </w:rPr>
        <w:t> </w:t>
      </w:r>
      <w:r>
        <w:rPr>
          <w:rFonts w:ascii="Arial"/>
          <w:i/>
          <w:sz w:val="20"/>
        </w:rPr>
        <w:t>5</w:t>
      </w:r>
      <w:r>
        <w:rPr>
          <w:rFonts w:ascii="Arial"/>
          <w:i/>
          <w:spacing w:val="52"/>
          <w:sz w:val="20"/>
        </w:rPr>
        <w:t> </w:t>
      </w:r>
      <w:r>
        <w:rPr>
          <w:rFonts w:ascii="Arial"/>
          <w:i/>
          <w:sz w:val="20"/>
        </w:rPr>
        <w:t>C.P.D.</w:t>
      </w:r>
      <w:r>
        <w:rPr>
          <w:rFonts w:ascii="Arial"/>
          <w:i/>
          <w:spacing w:val="52"/>
          <w:sz w:val="20"/>
        </w:rPr>
        <w:t> </w:t>
      </w:r>
      <w:r>
        <w:rPr>
          <w:rFonts w:ascii="Arial"/>
          <w:i/>
          <w:sz w:val="20"/>
        </w:rPr>
        <w:t>44</w:t>
      </w:r>
      <w:r>
        <w:rPr>
          <w:sz w:val="20"/>
        </w:rPr>
        <w:t>.</w:t>
      </w:r>
      <w:r>
        <w:rPr>
          <w:spacing w:val="52"/>
          <w:sz w:val="20"/>
        </w:rPr>
        <w:t> </w:t>
      </w:r>
      <w:r>
        <w:rPr>
          <w:sz w:val="20"/>
        </w:rPr>
        <w:t>See</w:t>
      </w:r>
      <w:r>
        <w:rPr>
          <w:spacing w:val="52"/>
          <w:sz w:val="20"/>
        </w:rPr>
        <w:t> </w:t>
      </w:r>
      <w:r>
        <w:rPr>
          <w:sz w:val="20"/>
        </w:rPr>
        <w:t>also</w:t>
      </w:r>
      <w:r>
        <w:rPr>
          <w:spacing w:val="52"/>
          <w:sz w:val="20"/>
        </w:rPr>
        <w:t> </w:t>
      </w:r>
      <w:r>
        <w:rPr>
          <w:rFonts w:ascii="Arial"/>
          <w:i/>
          <w:sz w:val="20"/>
        </w:rPr>
        <w:t>Stevenson</w:t>
      </w:r>
      <w:r>
        <w:rPr>
          <w:rFonts w:ascii="Arial"/>
          <w:i/>
          <w:spacing w:val="52"/>
          <w:sz w:val="20"/>
        </w:rPr>
        <w:t> </w:t>
      </w:r>
      <w:r>
        <w:rPr>
          <w:rFonts w:ascii="Arial"/>
          <w:i/>
          <w:sz w:val="20"/>
        </w:rPr>
        <w:t>Jacques</w:t>
      </w:r>
      <w:r>
        <w:rPr>
          <w:rFonts w:ascii="Arial"/>
          <w:i/>
          <w:spacing w:val="52"/>
          <w:sz w:val="20"/>
        </w:rPr>
        <w:t> </w:t>
      </w:r>
      <w:r>
        <w:rPr>
          <w:rFonts w:ascii="Arial"/>
          <w:i/>
          <w:sz w:val="20"/>
        </w:rPr>
        <w:t>&amp;</w:t>
      </w:r>
      <w:r>
        <w:rPr>
          <w:rFonts w:ascii="Arial"/>
          <w:i/>
          <w:spacing w:val="52"/>
          <w:sz w:val="20"/>
        </w:rPr>
        <w:t> </w:t>
      </w:r>
      <w:r>
        <w:rPr>
          <w:rFonts w:ascii="Arial"/>
          <w:i/>
          <w:sz w:val="20"/>
        </w:rPr>
        <w:t>Co</w:t>
      </w:r>
      <w:r>
        <w:rPr>
          <w:rFonts w:ascii="Arial"/>
          <w:i/>
          <w:spacing w:val="52"/>
          <w:sz w:val="20"/>
        </w:rPr>
        <w:t> </w:t>
      </w:r>
      <w:r>
        <w:rPr>
          <w:rFonts w:ascii="Arial"/>
          <w:i/>
          <w:sz w:val="20"/>
        </w:rPr>
        <w:t>v</w:t>
      </w:r>
      <w:r>
        <w:rPr>
          <w:rFonts w:ascii="Arial"/>
          <w:i/>
          <w:spacing w:val="52"/>
          <w:sz w:val="20"/>
        </w:rPr>
        <w:t> </w:t>
      </w:r>
      <w:r>
        <w:rPr>
          <w:rFonts w:ascii="Arial"/>
          <w:i/>
          <w:sz w:val="20"/>
        </w:rPr>
        <w:t>McLean</w:t>
      </w:r>
      <w:r>
        <w:rPr>
          <w:rFonts w:ascii="Arial"/>
          <w:i/>
          <w:spacing w:val="52"/>
          <w:sz w:val="20"/>
        </w:rPr>
        <w:t> </w:t>
      </w:r>
      <w:r>
        <w:rPr>
          <w:rFonts w:ascii="Arial"/>
          <w:i/>
          <w:sz w:val="20"/>
        </w:rPr>
        <w:t>(1880)</w:t>
      </w:r>
      <w:r>
        <w:rPr>
          <w:rFonts w:ascii="Arial"/>
          <w:i/>
          <w:spacing w:val="52"/>
          <w:sz w:val="20"/>
        </w:rPr>
        <w:t> </w:t>
      </w:r>
      <w:r>
        <w:rPr>
          <w:rFonts w:ascii="Arial"/>
          <w:i/>
          <w:sz w:val="20"/>
        </w:rPr>
        <w:t>5</w:t>
      </w:r>
      <w:r>
        <w:rPr>
          <w:rFonts w:ascii="Arial"/>
          <w:i/>
          <w:spacing w:val="52"/>
          <w:sz w:val="20"/>
        </w:rPr>
        <w:t> </w:t>
      </w:r>
      <w:r>
        <w:rPr>
          <w:rFonts w:ascii="Arial"/>
          <w:i/>
          <w:sz w:val="20"/>
        </w:rPr>
        <w:t>Q.B.D.</w:t>
      </w:r>
      <w:r>
        <w:rPr>
          <w:rFonts w:ascii="Arial"/>
          <w:i/>
          <w:spacing w:val="52"/>
          <w:sz w:val="20"/>
        </w:rPr>
        <w:t> </w:t>
      </w:r>
      <w:r>
        <w:rPr>
          <w:rFonts w:ascii="Arial"/>
          <w:i/>
          <w:spacing w:val="-4"/>
          <w:sz w:val="20"/>
        </w:rPr>
        <w:t>346</w:t>
      </w:r>
      <w:r>
        <w:rPr>
          <w:spacing w:val="-4"/>
          <w:sz w:val="20"/>
        </w:rPr>
        <w:t>;</w:t>
      </w:r>
    </w:p>
    <w:p>
      <w:pPr>
        <w:spacing w:line="227" w:lineRule="exact" w:before="0"/>
        <w:ind w:left="705" w:right="0" w:firstLine="0"/>
        <w:jc w:val="left"/>
        <w:rPr>
          <w:sz w:val="20"/>
        </w:rPr>
      </w:pPr>
      <w:r>
        <w:rPr>
          <w:rFonts w:ascii="Arial"/>
          <w:i/>
          <w:sz w:val="20"/>
        </w:rPr>
        <w:t>Henthorn</w:t>
      </w:r>
      <w:r>
        <w:rPr>
          <w:rFonts w:ascii="Arial"/>
          <w:i/>
          <w:spacing w:val="-1"/>
          <w:sz w:val="20"/>
        </w:rPr>
        <w:t> </w:t>
      </w:r>
      <w:r>
        <w:rPr>
          <w:rFonts w:ascii="Arial"/>
          <w:i/>
          <w:sz w:val="20"/>
        </w:rPr>
        <w:t>v Fraser [1892] 2 Ch. 27</w:t>
      </w:r>
      <w:r>
        <w:rPr>
          <w:sz w:val="20"/>
        </w:rPr>
        <w:t>; </w:t>
      </w:r>
      <w:r>
        <w:rPr>
          <w:rFonts w:ascii="Arial"/>
          <w:i/>
          <w:sz w:val="20"/>
        </w:rPr>
        <w:t>Raeburn &amp; Verel v Burness &amp; Son (1895) 1 Com. Cas. </w:t>
      </w:r>
      <w:r>
        <w:rPr>
          <w:rFonts w:ascii="Arial"/>
          <w:i/>
          <w:spacing w:val="-5"/>
          <w:sz w:val="20"/>
        </w:rPr>
        <w:t>22</w:t>
      </w:r>
      <w:r>
        <w:rPr>
          <w:spacing w:val="-5"/>
          <w:sz w:val="20"/>
        </w:rPr>
        <w:t>.</w:t>
      </w:r>
    </w:p>
    <w:p>
      <w:pPr>
        <w:pStyle w:val="BodyText"/>
        <w:spacing w:before="9"/>
      </w:pPr>
    </w:p>
    <w:p>
      <w:pPr>
        <w:pStyle w:val="BodyText"/>
        <w:spacing w:line="235" w:lineRule="auto"/>
        <w:ind w:left="705" w:right="167" w:hanging="541"/>
        <w:jc w:val="both"/>
      </w:pPr>
      <w:bookmarkStart w:name="_bookmark941" w:id="943"/>
      <w:bookmarkEnd w:id="943"/>
      <w:r>
        <w:rPr/>
      </w:r>
      <w:hyperlink w:history="true" w:anchor="_bookmark924">
        <w:r>
          <w:rPr>
            <w:color w:val="005DA1"/>
            <w:position w:val="5"/>
            <w:sz w:val="14"/>
            <w:u w:val="single" w:color="005DA1"/>
          </w:rPr>
          <w:t>489</w:t>
        </w:r>
      </w:hyperlink>
      <w:r>
        <w:rPr>
          <w:position w:val="5"/>
          <w:sz w:val="14"/>
        </w:rPr>
        <w:t>.</w:t>
      </w:r>
      <w:r>
        <w:rPr>
          <w:spacing w:val="40"/>
          <w:position w:val="5"/>
          <w:sz w:val="14"/>
        </w:rPr>
        <w:t>  </w:t>
      </w:r>
      <w:r>
        <w:rPr/>
        <w:t>The same result would be reached under Vienna Convention on Contracts for the International Sale of Goods art.16(1) (see above, para.2-061), even though under arts 18(2) and 24 </w:t>
      </w:r>
      <w:r>
        <w:rPr/>
        <w:t>the contract would not be made until the acceptance was communicated to the offeror or delivered to his address.</w:t>
      </w:r>
    </w:p>
    <w:p>
      <w:pPr>
        <w:pStyle w:val="BodyText"/>
        <w:spacing w:before="8"/>
      </w:pPr>
    </w:p>
    <w:p>
      <w:pPr>
        <w:spacing w:line="235" w:lineRule="auto" w:before="1"/>
        <w:ind w:left="705" w:right="167" w:hanging="541"/>
        <w:jc w:val="both"/>
        <w:rPr>
          <w:sz w:val="20"/>
        </w:rPr>
      </w:pPr>
      <w:bookmarkStart w:name="_bookmark942" w:id="944"/>
      <w:bookmarkEnd w:id="944"/>
      <w:r>
        <w:rPr/>
      </w:r>
      <w:hyperlink w:history="true" w:anchor="_bookmark925">
        <w:r>
          <w:rPr>
            <w:color w:val="005DA1"/>
            <w:position w:val="5"/>
            <w:sz w:val="14"/>
            <w:u w:val="single" w:color="005DA1"/>
          </w:rPr>
          <w:t>490</w:t>
        </w:r>
      </w:hyperlink>
      <w:r>
        <w:rPr>
          <w:position w:val="5"/>
          <w:sz w:val="14"/>
        </w:rPr>
        <w:t>.</w:t>
      </w:r>
      <w:r>
        <w:rPr>
          <w:spacing w:val="80"/>
          <w:w w:val="150"/>
          <w:position w:val="5"/>
          <w:sz w:val="14"/>
        </w:rPr>
        <w:t> </w:t>
      </w:r>
      <w:r>
        <w:rPr>
          <w:sz w:val="20"/>
        </w:rPr>
        <w:t>A salesperson who obtains consumer credit for the consumer is also the financier’s agent to receive communication of the consumer’s withdrawal of offer: see </w:t>
      </w:r>
      <w:r>
        <w:rPr>
          <w:rFonts w:ascii="Arial" w:hAnsi="Arial"/>
          <w:i/>
          <w:sz w:val="20"/>
        </w:rPr>
        <w:t>CF Asset Finance Ltd v Okonji [2014] EWCA Civ 870</w:t>
      </w:r>
      <w:r>
        <w:rPr>
          <w:sz w:val="20"/>
        </w:rPr>
        <w:t>; </w:t>
      </w:r>
      <w:r>
        <w:rPr>
          <w:rFonts w:ascii="Arial" w:hAnsi="Arial"/>
          <w:i/>
          <w:sz w:val="20"/>
        </w:rPr>
        <w:t>Financing Ltd v Stimson [1962] 1 W.L.R. 1184</w:t>
      </w:r>
      <w:r>
        <w:rPr>
          <w:sz w:val="20"/>
        </w:rPr>
        <w:t>.</w:t>
      </w:r>
    </w:p>
    <w:p>
      <w:pPr>
        <w:pStyle w:val="BodyText"/>
        <w:spacing w:before="5"/>
      </w:pPr>
    </w:p>
    <w:p>
      <w:pPr>
        <w:tabs>
          <w:tab w:pos="705" w:val="left" w:leader="none"/>
        </w:tabs>
        <w:spacing w:before="0"/>
        <w:ind w:left="165" w:right="0" w:firstLine="0"/>
        <w:jc w:val="left"/>
        <w:rPr>
          <w:sz w:val="20"/>
        </w:rPr>
      </w:pPr>
      <w:bookmarkStart w:name="_bookmark943" w:id="945"/>
      <w:bookmarkEnd w:id="945"/>
      <w:r>
        <w:rPr/>
      </w:r>
      <w:hyperlink w:history="true" w:anchor="_bookmark926">
        <w:r>
          <w:rPr>
            <w:color w:val="005DA1"/>
            <w:spacing w:val="-4"/>
            <w:position w:val="5"/>
            <w:sz w:val="14"/>
            <w:u w:val="single" w:color="005DA1"/>
          </w:rPr>
          <w:t>491</w:t>
        </w:r>
      </w:hyperlink>
      <w:r>
        <w:rPr>
          <w:spacing w:val="-4"/>
          <w:position w:val="5"/>
          <w:sz w:val="14"/>
        </w:rPr>
        <w:t>.</w:t>
      </w:r>
      <w:r>
        <w:rPr>
          <w:position w:val="5"/>
          <w:sz w:val="14"/>
        </w:rPr>
        <w:tab/>
      </w:r>
      <w:r>
        <w:rPr>
          <w:rFonts w:ascii="Arial"/>
          <w:i/>
          <w:sz w:val="20"/>
        </w:rPr>
        <w:t>(1876)</w:t>
      </w:r>
      <w:r>
        <w:rPr>
          <w:rFonts w:ascii="Arial"/>
          <w:i/>
          <w:spacing w:val="-1"/>
          <w:sz w:val="20"/>
        </w:rPr>
        <w:t> </w:t>
      </w:r>
      <w:r>
        <w:rPr>
          <w:rFonts w:ascii="Arial"/>
          <w:i/>
          <w:sz w:val="20"/>
        </w:rPr>
        <w:t>2 Ch. D. 463</w:t>
      </w:r>
      <w:r>
        <w:rPr>
          <w:sz w:val="20"/>
        </w:rPr>
        <w:t>; cf. </w:t>
      </w:r>
      <w:r>
        <w:rPr>
          <w:rFonts w:ascii="Arial"/>
          <w:i/>
          <w:sz w:val="20"/>
        </w:rPr>
        <w:t>Cartwright v Hoogstoel (1911) 105 L.T. </w:t>
      </w:r>
      <w:r>
        <w:rPr>
          <w:rFonts w:ascii="Arial"/>
          <w:i/>
          <w:spacing w:val="-4"/>
          <w:sz w:val="20"/>
        </w:rPr>
        <w:t>628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44" w:id="946"/>
      <w:bookmarkEnd w:id="946"/>
      <w:r>
        <w:rPr/>
      </w:r>
      <w:hyperlink w:history="true" w:anchor="_bookmark927">
        <w:r>
          <w:rPr>
            <w:color w:val="005DA1"/>
            <w:spacing w:val="-4"/>
            <w:position w:val="5"/>
            <w:sz w:val="14"/>
            <w:u w:val="single" w:color="005DA1"/>
          </w:rPr>
          <w:t>492</w:t>
        </w:r>
      </w:hyperlink>
      <w:r>
        <w:rPr>
          <w:spacing w:val="-4"/>
          <w:position w:val="5"/>
          <w:sz w:val="14"/>
        </w:rPr>
        <w:t>.</w:t>
      </w:r>
      <w:r>
        <w:rPr>
          <w:position w:val="5"/>
          <w:sz w:val="14"/>
        </w:rPr>
        <w:tab/>
      </w:r>
      <w:r>
        <w:rPr>
          <w:rFonts w:ascii="Arial"/>
          <w:i/>
          <w:sz w:val="20"/>
        </w:rPr>
        <w:t>(1880)</w:t>
      </w:r>
      <w:r>
        <w:rPr>
          <w:rFonts w:ascii="Arial"/>
          <w:i/>
          <w:spacing w:val="-1"/>
          <w:sz w:val="20"/>
        </w:rPr>
        <w:t> </w:t>
      </w:r>
      <w:r>
        <w:rPr>
          <w:rFonts w:ascii="Arial"/>
          <w:i/>
          <w:sz w:val="20"/>
        </w:rPr>
        <w:t>5 C.P.D. 344</w:t>
      </w:r>
      <w:r>
        <w:rPr>
          <w:sz w:val="20"/>
        </w:rPr>
        <w:t>; above, para.2-</w:t>
      </w:r>
      <w:r>
        <w:rPr>
          <w:spacing w:val="-4"/>
          <w:sz w:val="20"/>
        </w:rPr>
        <w:t>094.</w:t>
      </w:r>
    </w:p>
    <w:p>
      <w:pPr>
        <w:pStyle w:val="BodyText"/>
        <w:spacing w:before="5"/>
      </w:pPr>
    </w:p>
    <w:p>
      <w:pPr>
        <w:tabs>
          <w:tab w:pos="705" w:val="left" w:leader="none"/>
        </w:tabs>
        <w:spacing w:before="0"/>
        <w:ind w:left="165" w:right="0" w:firstLine="0"/>
        <w:jc w:val="left"/>
        <w:rPr>
          <w:sz w:val="20"/>
        </w:rPr>
      </w:pPr>
      <w:bookmarkStart w:name="_bookmark945" w:id="947"/>
      <w:bookmarkEnd w:id="947"/>
      <w:r>
        <w:rPr/>
      </w:r>
      <w:hyperlink w:history="true" w:anchor="_bookmark928">
        <w:r>
          <w:rPr>
            <w:color w:val="005DA1"/>
            <w:spacing w:val="-4"/>
            <w:position w:val="5"/>
            <w:sz w:val="14"/>
            <w:u w:val="single" w:color="005DA1"/>
          </w:rPr>
          <w:t>493</w:t>
        </w:r>
      </w:hyperlink>
      <w:r>
        <w:rPr>
          <w:spacing w:val="-4"/>
          <w:position w:val="5"/>
          <w:sz w:val="14"/>
        </w:rPr>
        <w:t>.</w:t>
      </w:r>
      <w:r>
        <w:rPr>
          <w:position w:val="5"/>
          <w:sz w:val="14"/>
        </w:rPr>
        <w:tab/>
      </w:r>
      <w:r>
        <w:rPr>
          <w:rFonts w:ascii="Arial"/>
          <w:i/>
          <w:sz w:val="20"/>
        </w:rPr>
        <w:t>Henthorn v Fraser [1892] 2 Ch. 27, </w:t>
      </w:r>
      <w:r>
        <w:rPr>
          <w:rFonts w:ascii="Arial"/>
          <w:i/>
          <w:spacing w:val="-5"/>
          <w:sz w:val="20"/>
        </w:rPr>
        <w:t>32</w:t>
      </w:r>
      <w:r>
        <w:rPr>
          <w:spacing w:val="-5"/>
          <w:sz w:val="20"/>
        </w:rPr>
        <w:t>.</w:t>
      </w:r>
    </w:p>
    <w:p>
      <w:pPr>
        <w:pStyle w:val="BodyText"/>
        <w:spacing w:before="8"/>
      </w:pPr>
    </w:p>
    <w:p>
      <w:pPr>
        <w:spacing w:line="235" w:lineRule="auto" w:before="1"/>
        <w:ind w:left="705" w:right="167" w:hanging="541"/>
        <w:jc w:val="both"/>
        <w:rPr>
          <w:sz w:val="20"/>
        </w:rPr>
      </w:pPr>
      <w:bookmarkStart w:name="_bookmark946" w:id="948"/>
      <w:bookmarkEnd w:id="948"/>
      <w:r>
        <w:rPr/>
      </w:r>
      <w:hyperlink w:history="true" w:anchor="_bookmark929">
        <w:r>
          <w:rPr>
            <w:color w:val="005DA1"/>
            <w:position w:val="5"/>
            <w:sz w:val="14"/>
            <w:u w:val="single" w:color="005DA1"/>
          </w:rPr>
          <w:t>494</w:t>
        </w:r>
      </w:hyperlink>
      <w:r>
        <w:rPr>
          <w:position w:val="5"/>
          <w:sz w:val="14"/>
        </w:rPr>
        <w:t>.</w:t>
      </w:r>
      <w:r>
        <w:rPr>
          <w:spacing w:val="80"/>
          <w:position w:val="5"/>
          <w:sz w:val="14"/>
        </w:rPr>
        <w:t>  </w:t>
      </w:r>
      <w:r>
        <w:rPr>
          <w:rFonts w:ascii="Arial" w:hAnsi="Arial"/>
          <w:i/>
          <w:sz w:val="20"/>
        </w:rPr>
        <w:t>Eaglehill Ltd v J. Needham (Builders) Ltd [1973] A.C. 992, 1011</w:t>
      </w:r>
      <w:r>
        <w:rPr>
          <w:sz w:val="20"/>
        </w:rPr>
        <w:t>, discussing notice of </w:t>
      </w:r>
      <w:r>
        <w:rPr>
          <w:sz w:val="20"/>
        </w:rPr>
        <w:t>dishonour of a cheque; cf. </w:t>
      </w:r>
      <w:r>
        <w:rPr>
          <w:rFonts w:ascii="Arial" w:hAnsi="Arial"/>
          <w:i/>
          <w:sz w:val="20"/>
        </w:rPr>
        <w:t>Curtice v London, etc., Bank [1908] 1 K.B. 291, 300–301 </w:t>
      </w:r>
      <w:r>
        <w:rPr>
          <w:sz w:val="20"/>
        </w:rPr>
        <w:t>(notice to countermand a cheque); </w:t>
      </w:r>
      <w:r>
        <w:rPr>
          <w:rFonts w:ascii="Arial" w:hAnsi="Arial"/>
          <w:i/>
          <w:sz w:val="20"/>
        </w:rPr>
        <w:t>Schelde Delta Shipping BV v Astarte Shipping Ltd (The Pamela)</w:t>
      </w:r>
      <w:r>
        <w:rPr>
          <w:rFonts w:ascii="Arial" w:hAnsi="Arial"/>
          <w:i/>
          <w:spacing w:val="40"/>
          <w:sz w:val="20"/>
        </w:rPr>
        <w:t> </w:t>
      </w:r>
      <w:r>
        <w:rPr>
          <w:rFonts w:ascii="Arial" w:hAnsi="Arial"/>
          <w:i/>
          <w:sz w:val="20"/>
        </w:rPr>
        <w:t>[1995] 2 Lloyd’s Rep. 249, 252</w:t>
      </w:r>
      <w:r>
        <w:rPr>
          <w:sz w:val="20"/>
        </w:rPr>
        <w:t>; </w:t>
      </w:r>
      <w:r>
        <w:rPr>
          <w:rFonts w:ascii="Arial" w:hAnsi="Arial"/>
          <w:i/>
          <w:sz w:val="20"/>
        </w:rPr>
        <w:t>NV Stoomv Maats “De Maas” v Nippon Yusen Kaisha (The Pendrecht) [1980] 2 Lloyd’s Rep. 56, 66 </w:t>
      </w:r>
      <w:r>
        <w:rPr>
          <w:sz w:val="20"/>
        </w:rPr>
        <w:t>(telex notice of arbitration) and </w:t>
      </w:r>
      <w:r>
        <w:rPr>
          <w:rFonts w:ascii="Arial" w:hAnsi="Arial"/>
          <w:i/>
          <w:sz w:val="20"/>
        </w:rPr>
        <w:t>Bernuth Lines Ltd v High Seas Shipping Ltd (The Eastern Navigator) [2005] EWHC 3020 (Comm), [2006] 1 Lloyd’s Rep.</w:t>
      </w:r>
      <w:r>
        <w:rPr>
          <w:rFonts w:ascii="Arial" w:hAnsi="Arial"/>
          <w:i/>
          <w:spacing w:val="-2"/>
          <w:sz w:val="20"/>
        </w:rPr>
        <w:t> </w:t>
      </w:r>
      <w:r>
        <w:rPr>
          <w:rFonts w:ascii="Arial" w:hAnsi="Arial"/>
          <w:i/>
          <w:sz w:val="20"/>
        </w:rPr>
        <w:t>537</w:t>
      </w:r>
      <w:r>
        <w:rPr>
          <w:rFonts w:ascii="Arial" w:hAnsi="Arial"/>
          <w:i/>
          <w:spacing w:val="-2"/>
          <w:sz w:val="20"/>
        </w:rPr>
        <w:t> </w:t>
      </w:r>
      <w:r>
        <w:rPr>
          <w:sz w:val="20"/>
        </w:rPr>
        <w:t>at</w:t>
      </w:r>
      <w:r>
        <w:rPr>
          <w:spacing w:val="-2"/>
          <w:sz w:val="20"/>
        </w:rPr>
        <w:t> </w:t>
      </w:r>
      <w:r>
        <w:rPr>
          <w:sz w:val="20"/>
        </w:rPr>
        <w:t>[30],</w:t>
      </w:r>
      <w:r>
        <w:rPr>
          <w:spacing w:val="-2"/>
          <w:sz w:val="20"/>
        </w:rPr>
        <w:t> </w:t>
      </w:r>
      <w:r>
        <w:rPr>
          <w:sz w:val="20"/>
        </w:rPr>
        <w:t>[37];</w:t>
      </w:r>
      <w:r>
        <w:rPr>
          <w:spacing w:val="-2"/>
          <w:sz w:val="20"/>
        </w:rPr>
        <w:t> </w:t>
      </w:r>
      <w:r>
        <w:rPr>
          <w:sz w:val="20"/>
        </w:rPr>
        <w:t>according</w:t>
      </w:r>
      <w:r>
        <w:rPr>
          <w:spacing w:val="-2"/>
          <w:sz w:val="20"/>
        </w:rPr>
        <w:t> </w:t>
      </w:r>
      <w:r>
        <w:rPr>
          <w:sz w:val="20"/>
        </w:rPr>
        <w:t>to</w:t>
      </w:r>
      <w:r>
        <w:rPr>
          <w:spacing w:val="-2"/>
          <w:sz w:val="20"/>
        </w:rPr>
        <w:t> </w:t>
      </w:r>
      <w:r>
        <w:rPr>
          <w:sz w:val="20"/>
        </w:rPr>
        <w:t>these</w:t>
      </w:r>
      <w:r>
        <w:rPr>
          <w:spacing w:val="-2"/>
          <w:sz w:val="20"/>
        </w:rPr>
        <w:t> </w:t>
      </w:r>
      <w:r>
        <w:rPr>
          <w:sz w:val="20"/>
        </w:rPr>
        <w:t>passages,</w:t>
      </w:r>
      <w:r>
        <w:rPr>
          <w:spacing w:val="-2"/>
          <w:sz w:val="20"/>
        </w:rPr>
        <w:t> </w:t>
      </w:r>
      <w:r>
        <w:rPr>
          <w:sz w:val="20"/>
        </w:rPr>
        <w:t>it</w:t>
      </w:r>
      <w:r>
        <w:rPr>
          <w:spacing w:val="-2"/>
          <w:sz w:val="20"/>
        </w:rPr>
        <w:t> </w:t>
      </w:r>
      <w:r>
        <w:rPr>
          <w:sz w:val="20"/>
        </w:rPr>
        <w:t>is</w:t>
      </w:r>
      <w:r>
        <w:rPr>
          <w:spacing w:val="-2"/>
          <w:sz w:val="20"/>
        </w:rPr>
        <w:t> </w:t>
      </w:r>
      <w:r>
        <w:rPr>
          <w:sz w:val="20"/>
        </w:rPr>
        <w:t>not</w:t>
      </w:r>
      <w:r>
        <w:rPr>
          <w:spacing w:val="-2"/>
          <w:sz w:val="20"/>
        </w:rPr>
        <w:t> </w:t>
      </w:r>
      <w:r>
        <w:rPr>
          <w:sz w:val="20"/>
        </w:rPr>
        <w:t>necessary</w:t>
      </w:r>
      <w:r>
        <w:rPr>
          <w:spacing w:val="-2"/>
          <w:sz w:val="20"/>
        </w:rPr>
        <w:t> </w:t>
      </w:r>
      <w:r>
        <w:rPr>
          <w:sz w:val="20"/>
        </w:rPr>
        <w:t>for</w:t>
      </w:r>
      <w:r>
        <w:rPr>
          <w:spacing w:val="-2"/>
          <w:sz w:val="20"/>
        </w:rPr>
        <w:t> </w:t>
      </w:r>
      <w:r>
        <w:rPr>
          <w:sz w:val="20"/>
        </w:rPr>
        <w:t>such</w:t>
      </w:r>
      <w:r>
        <w:rPr>
          <w:spacing w:val="-2"/>
          <w:sz w:val="20"/>
        </w:rPr>
        <w:t> </w:t>
      </w:r>
      <w:r>
        <w:rPr>
          <w:sz w:val="20"/>
        </w:rPr>
        <w:t>notices</w:t>
      </w:r>
      <w:r>
        <w:rPr>
          <w:spacing w:val="-2"/>
          <w:sz w:val="20"/>
        </w:rPr>
        <w:t> </w:t>
      </w:r>
      <w:r>
        <w:rPr>
          <w:sz w:val="20"/>
        </w:rPr>
        <w:t>to</w:t>
      </w:r>
      <w:r>
        <w:rPr>
          <w:spacing w:val="-2"/>
          <w:sz w:val="20"/>
        </w:rPr>
        <w:t> </w:t>
      </w:r>
      <w:r>
        <w:rPr>
          <w:sz w:val="20"/>
        </w:rPr>
        <w:t>arrive during business hours. Quaere whether a notice withdrawing an offer must so arrive; there seems to be no good reason for distinguishing between such a notice and an acceptance by telex, as to which see above, para.2-046 at nn.259, 260.</w:t>
      </w:r>
    </w:p>
    <w:p>
      <w:pPr>
        <w:pStyle w:val="BodyText"/>
        <w:spacing w:before="6"/>
      </w:pPr>
    </w:p>
    <w:p>
      <w:pPr>
        <w:pStyle w:val="BodyText"/>
        <w:tabs>
          <w:tab w:pos="705" w:val="left" w:leader="none"/>
        </w:tabs>
        <w:spacing w:line="235" w:lineRule="auto"/>
        <w:ind w:left="705" w:right="168" w:hanging="541"/>
      </w:pPr>
      <w:bookmarkStart w:name="_bookmark947" w:id="949"/>
      <w:bookmarkEnd w:id="949"/>
      <w:r>
        <w:rPr/>
      </w:r>
      <w:hyperlink w:history="true" w:anchor="_bookmark930">
        <w:r>
          <w:rPr>
            <w:color w:val="005DA1"/>
            <w:spacing w:val="-4"/>
            <w:position w:val="5"/>
            <w:sz w:val="14"/>
            <w:u w:val="single" w:color="005DA1"/>
          </w:rPr>
          <w:t>495</w:t>
        </w:r>
      </w:hyperlink>
      <w:r>
        <w:rPr>
          <w:spacing w:val="-4"/>
          <w:position w:val="5"/>
          <w:sz w:val="14"/>
        </w:rPr>
        <w:t>.</w:t>
      </w:r>
      <w:r>
        <w:rPr>
          <w:position w:val="5"/>
          <w:sz w:val="14"/>
        </w:rPr>
        <w:tab/>
      </w:r>
      <w:r>
        <w:rPr/>
        <w:t>For</w:t>
      </w:r>
      <w:r>
        <w:rPr>
          <w:spacing w:val="39"/>
        </w:rPr>
        <w:t> </w:t>
      </w:r>
      <w:r>
        <w:rPr/>
        <w:t>the</w:t>
      </w:r>
      <w:r>
        <w:rPr>
          <w:spacing w:val="39"/>
        </w:rPr>
        <w:t> </w:t>
      </w:r>
      <w:r>
        <w:rPr/>
        <w:t>effect</w:t>
      </w:r>
      <w:r>
        <w:rPr>
          <w:spacing w:val="39"/>
        </w:rPr>
        <w:t> </w:t>
      </w:r>
      <w:r>
        <w:rPr/>
        <w:t>of</w:t>
      </w:r>
      <w:r>
        <w:rPr>
          <w:spacing w:val="39"/>
        </w:rPr>
        <w:t> </w:t>
      </w:r>
      <w:r>
        <w:rPr/>
        <w:t>such</w:t>
      </w:r>
      <w:r>
        <w:rPr>
          <w:spacing w:val="39"/>
        </w:rPr>
        <w:t> </w:t>
      </w:r>
      <w:r>
        <w:rPr/>
        <w:t>messages</w:t>
      </w:r>
      <w:r>
        <w:rPr>
          <w:spacing w:val="39"/>
        </w:rPr>
        <w:t> </w:t>
      </w:r>
      <w:r>
        <w:rPr/>
        <w:t>when</w:t>
      </w:r>
      <w:r>
        <w:rPr>
          <w:spacing w:val="39"/>
        </w:rPr>
        <w:t> </w:t>
      </w:r>
      <w:r>
        <w:rPr/>
        <w:t>sent</w:t>
      </w:r>
      <w:r>
        <w:rPr>
          <w:spacing w:val="39"/>
        </w:rPr>
        <w:t> </w:t>
      </w:r>
      <w:r>
        <w:rPr>
          <w:rFonts w:ascii="Arial"/>
          <w:i/>
        </w:rPr>
        <w:t>out</w:t>
      </w:r>
      <w:r>
        <w:rPr>
          <w:rFonts w:ascii="Arial"/>
          <w:i/>
          <w:spacing w:val="39"/>
        </w:rPr>
        <w:t> </w:t>
      </w:r>
      <w:r>
        <w:rPr/>
        <w:t>of</w:t>
      </w:r>
      <w:r>
        <w:rPr>
          <w:spacing w:val="39"/>
        </w:rPr>
        <w:t> </w:t>
      </w:r>
      <w:r>
        <w:rPr/>
        <w:t>business</w:t>
      </w:r>
      <w:r>
        <w:rPr>
          <w:spacing w:val="39"/>
        </w:rPr>
        <w:t> </w:t>
      </w:r>
      <w:r>
        <w:rPr/>
        <w:t>hours,</w:t>
      </w:r>
      <w:r>
        <w:rPr>
          <w:spacing w:val="39"/>
        </w:rPr>
        <w:t> </w:t>
      </w:r>
      <w:r>
        <w:rPr/>
        <w:t>see</w:t>
      </w:r>
      <w:r>
        <w:rPr>
          <w:spacing w:val="39"/>
        </w:rPr>
        <w:t> </w:t>
      </w:r>
      <w:r>
        <w:rPr/>
        <w:t>above,</w:t>
      </w:r>
      <w:r>
        <w:rPr>
          <w:spacing w:val="39"/>
        </w:rPr>
        <w:t> </w:t>
      </w:r>
      <w:r>
        <w:rPr/>
        <w:t>para.2-046 (acceptance received out of business hours).</w:t>
      </w:r>
    </w:p>
    <w:p>
      <w:pPr>
        <w:pStyle w:val="BodyText"/>
        <w:spacing w:before="9"/>
      </w:pPr>
    </w:p>
    <w:p>
      <w:pPr>
        <w:spacing w:line="235" w:lineRule="auto" w:before="0"/>
        <w:ind w:left="705" w:right="167" w:hanging="541"/>
        <w:jc w:val="both"/>
        <w:rPr>
          <w:sz w:val="20"/>
        </w:rPr>
      </w:pPr>
      <w:bookmarkStart w:name="_bookmark948" w:id="950"/>
      <w:bookmarkEnd w:id="950"/>
      <w:r>
        <w:rPr/>
      </w:r>
      <w:hyperlink w:history="true" w:anchor="_bookmark931">
        <w:r>
          <w:rPr>
            <w:color w:val="005DA1"/>
            <w:position w:val="5"/>
            <w:sz w:val="14"/>
            <w:u w:val="single" w:color="005DA1"/>
          </w:rPr>
          <w:t>496</w:t>
        </w:r>
      </w:hyperlink>
      <w:r>
        <w:rPr>
          <w:position w:val="5"/>
          <w:sz w:val="14"/>
        </w:rPr>
        <w:t>.</w:t>
      </w:r>
      <w:r>
        <w:rPr>
          <w:spacing w:val="80"/>
          <w:position w:val="5"/>
          <w:sz w:val="14"/>
        </w:rPr>
        <w:t> </w:t>
      </w:r>
      <w:r>
        <w:rPr>
          <w:sz w:val="20"/>
        </w:rPr>
        <w:t>cf. </w:t>
      </w:r>
      <w:r>
        <w:rPr>
          <w:rFonts w:ascii="Arial" w:hAnsi="Arial"/>
          <w:i/>
          <w:sz w:val="20"/>
        </w:rPr>
        <w:t>Tenax Steamship Co Ltd v Brimnes (Owners), (The Brimnes) [1975] 5 Q.B. 929 </w:t>
      </w:r>
      <w:r>
        <w:rPr>
          <w:sz w:val="20"/>
        </w:rPr>
        <w:t>(notice withdrawing ship from charterparty) and the last two cases cited in n.483 above. The common law principle stated at n.483 above does not apply for the purpose of determining “the effective date of termination” within s.87(1)(b) of the Employment Rights Act 1996. It was held in </w:t>
      </w:r>
      <w:r>
        <w:rPr>
          <w:rFonts w:ascii="Arial" w:hAnsi="Arial"/>
          <w:i/>
          <w:sz w:val="20"/>
        </w:rPr>
        <w:t>Gisda Cyf v Barratt [2010] UKSC 41, [2010] S.C.R. 475 </w:t>
      </w:r>
      <w:r>
        <w:rPr>
          <w:sz w:val="20"/>
        </w:rPr>
        <w:t>that this “effective date” was not the date</w:t>
      </w:r>
      <w:r>
        <w:rPr>
          <w:spacing w:val="40"/>
          <w:sz w:val="20"/>
        </w:rPr>
        <w:t> </w:t>
      </w:r>
      <w:r>
        <w:rPr>
          <w:sz w:val="20"/>
        </w:rPr>
        <w:t>when a letter notifying an employee of her dismissal was delivered at her address, but was the date when she read the letter or had a reasonable opportunity of learning its contents; cf. </w:t>
      </w:r>
      <w:r>
        <w:rPr>
          <w:rFonts w:ascii="Arial" w:hAnsi="Arial"/>
          <w:i/>
          <w:sz w:val="20"/>
        </w:rPr>
        <w:t>Vasella Ltd v Eyre UKEATS/0039/11/BL</w:t>
      </w:r>
      <w:r>
        <w:rPr>
          <w:sz w:val="20"/>
        </w:rPr>
        <w:t>, applying similar reasoning to an employee’s notice of resignation. See also below, Vol.II para.40-221.</w:t>
      </w:r>
    </w:p>
    <w:p>
      <w:pPr>
        <w:pStyle w:val="BodyText"/>
        <w:spacing w:before="3"/>
      </w:pPr>
    </w:p>
    <w:p>
      <w:pPr>
        <w:tabs>
          <w:tab w:pos="705" w:val="left" w:leader="none"/>
        </w:tabs>
        <w:spacing w:before="0"/>
        <w:ind w:left="165" w:right="0" w:firstLine="0"/>
        <w:jc w:val="left"/>
        <w:rPr>
          <w:sz w:val="20"/>
        </w:rPr>
      </w:pPr>
      <w:bookmarkStart w:name="_bookmark949" w:id="951"/>
      <w:bookmarkEnd w:id="951"/>
      <w:r>
        <w:rPr/>
      </w:r>
      <w:hyperlink w:history="true" w:anchor="_bookmark932">
        <w:r>
          <w:rPr>
            <w:color w:val="005DA1"/>
            <w:spacing w:val="-4"/>
            <w:position w:val="5"/>
            <w:sz w:val="14"/>
            <w:u w:val="single" w:color="005DA1"/>
          </w:rPr>
          <w:t>497</w:t>
        </w:r>
      </w:hyperlink>
      <w:r>
        <w:rPr>
          <w:spacing w:val="-4"/>
          <w:position w:val="5"/>
          <w:sz w:val="14"/>
        </w:rPr>
        <w:t>.</w:t>
      </w:r>
      <w:r>
        <w:rPr>
          <w:position w:val="5"/>
          <w:sz w:val="14"/>
        </w:rPr>
        <w:tab/>
      </w:r>
      <w:r>
        <w:rPr>
          <w:rFonts w:ascii="Arial"/>
          <w:i/>
          <w:sz w:val="20"/>
        </w:rPr>
        <w:t>Brinkibon Ltd v Stahag Stahl und Stahlwarenhandelsgesellschaft mbH [1983] 2 A.C. 34, </w:t>
      </w:r>
      <w:r>
        <w:rPr>
          <w:rFonts w:ascii="Arial"/>
          <w:i/>
          <w:spacing w:val="-5"/>
          <w:sz w:val="20"/>
        </w:rPr>
        <w:t>42</w:t>
      </w:r>
      <w:r>
        <w:rPr>
          <w:spacing w:val="-5"/>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933">
        <w:r>
          <w:rPr>
            <w:color w:val="005DA1"/>
            <w:spacing w:val="-4"/>
            <w:position w:val="5"/>
            <w:sz w:val="14"/>
            <w:u w:val="single" w:color="005DA1"/>
          </w:rPr>
          <w:t>498</w:t>
        </w:r>
      </w:hyperlink>
      <w:r>
        <w:rPr>
          <w:spacing w:val="-4"/>
          <w:position w:val="5"/>
          <w:sz w:val="14"/>
        </w:rPr>
        <w:t>.</w:t>
      </w:r>
      <w:r>
        <w:rPr>
          <w:position w:val="5"/>
          <w:sz w:val="14"/>
        </w:rPr>
        <w:tab/>
      </w:r>
      <w:r>
        <w:rPr>
          <w:rFonts w:ascii="Arial"/>
          <w:i/>
          <w:sz w:val="20"/>
        </w:rPr>
        <w:t>Shuey v US 92 U.S. 73 </w:t>
      </w:r>
      <w:r>
        <w:rPr>
          <w:rFonts w:ascii="Arial"/>
          <w:i/>
          <w:spacing w:val="-2"/>
          <w:sz w:val="20"/>
        </w:rPr>
        <w:t>(1875)</w:t>
      </w:r>
      <w:r>
        <w:rPr>
          <w:spacing w:val="-2"/>
          <w:sz w:val="20"/>
        </w:rPr>
        <w:t>.</w:t>
      </w:r>
    </w:p>
    <w:p>
      <w:pPr>
        <w:pStyle w:val="BodyText"/>
        <w:rPr>
          <w:sz w:val="14"/>
        </w:rPr>
      </w:pPr>
    </w:p>
    <w:p>
      <w:pPr>
        <w:pStyle w:val="BodyText"/>
        <w:spacing w:before="101"/>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spacing w:before="194"/>
        <w:ind w:left="3872" w:right="0" w:firstLine="0"/>
        <w:jc w:val="left"/>
        <w:rPr>
          <w:rFonts w:ascii="Arial"/>
          <w:b/>
          <w:sz w:val="24"/>
        </w:rPr>
      </w:pPr>
      <w:r>
        <w:rPr>
          <w:rFonts w:ascii="Arial"/>
          <w:b/>
          <w:sz w:val="24"/>
        </w:rPr>
        <w:t>(b) - </w:t>
      </w:r>
      <w:r>
        <w:rPr>
          <w:rFonts w:ascii="Arial"/>
          <w:b/>
          <w:spacing w:val="-2"/>
          <w:sz w:val="24"/>
        </w:rPr>
        <w:t>Rejection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What amounts to rejection; counter-</w:t>
      </w:r>
      <w:r>
        <w:rPr>
          <w:rFonts w:ascii="Arial"/>
          <w:b/>
          <w:spacing w:val="-2"/>
          <w:sz w:val="18"/>
        </w:rPr>
        <w:t>offers</w:t>
      </w:r>
    </w:p>
    <w:p>
      <w:pPr>
        <w:pStyle w:val="BodyText"/>
        <w:spacing w:before="42"/>
        <w:rPr>
          <w:rFonts w:ascii="Arial"/>
          <w:b/>
          <w:sz w:val="18"/>
        </w:rPr>
      </w:pPr>
    </w:p>
    <w:p>
      <w:pPr>
        <w:pStyle w:val="Heading2"/>
      </w:pPr>
      <w:r>
        <w:rPr/>
        <w:t>2-</w:t>
      </w:r>
      <w:r>
        <w:rPr>
          <w:spacing w:val="-5"/>
        </w:rPr>
        <w:t>097</w:t>
      </w:r>
    </w:p>
    <w:p>
      <w:pPr>
        <w:pStyle w:val="BodyText"/>
        <w:spacing w:line="235" w:lineRule="auto" w:before="202"/>
        <w:ind w:left="165" w:right="167"/>
        <w:jc w:val="both"/>
      </w:pPr>
      <w:bookmarkStart w:name="_bookmark950" w:id="952"/>
      <w:bookmarkEnd w:id="952"/>
      <w:r>
        <w:rPr/>
      </w:r>
      <w:r>
        <w:rPr/>
        <w:t>A rejection terminates an offer, so that it can no longer be accepted. </w:t>
      </w:r>
      <w:r>
        <w:rPr>
          <w:color w:val="005DA1"/>
          <w:u w:val="single" w:color="005DA1"/>
          <w:vertAlign w:val="superscript"/>
        </w:rPr>
        <w:t>499</w:t>
      </w:r>
      <w:r>
        <w:rPr>
          <w:color w:val="005DA1"/>
          <w:vertAlign w:val="baseline"/>
        </w:rPr>
        <w:t> </w:t>
      </w:r>
      <w:r>
        <w:rPr>
          <w:vertAlign w:val="baseline"/>
        </w:rPr>
        <w:t>For this purpose, an </w:t>
      </w:r>
      <w:r>
        <w:rPr>
          <w:vertAlign w:val="baseline"/>
        </w:rPr>
        <w:t>attempt</w:t>
      </w:r>
      <w:r>
        <w:rPr>
          <w:spacing w:val="40"/>
          <w:vertAlign w:val="baseline"/>
        </w:rPr>
        <w:t> </w:t>
      </w:r>
      <w:bookmarkStart w:name="_bookmark951" w:id="953"/>
      <w:bookmarkEnd w:id="953"/>
      <w:r>
        <w:rPr>
          <w:vertAlign w:val="baseline"/>
        </w:rPr>
        <w:t>to</w:t>
      </w:r>
      <w:r>
        <w:rPr>
          <w:vertAlign w:val="baseline"/>
        </w:rPr>
        <w:t> accept an offer on new terms (not contained in the offer) may be a rejection accompanied by a counter-offer. </w:t>
      </w:r>
      <w:r>
        <w:rPr>
          <w:color w:val="005DA1"/>
          <w:u w:val="single" w:color="005DA1"/>
          <w:vertAlign w:val="superscript"/>
        </w:rPr>
        <w:t>500</w:t>
      </w:r>
      <w:r>
        <w:rPr>
          <w:color w:val="005DA1"/>
          <w:vertAlign w:val="baseline"/>
        </w:rPr>
        <w:t> </w:t>
      </w:r>
      <w:r>
        <w:rPr>
          <w:vertAlign w:val="baseline"/>
        </w:rPr>
        <w:t>Thus in </w:t>
      </w:r>
      <w:r>
        <w:rPr>
          <w:rFonts w:ascii="Arial" w:hAnsi="Arial"/>
          <w:i/>
          <w:vertAlign w:val="baseline"/>
        </w:rPr>
        <w:t>Hyde v Wrench </w:t>
      </w:r>
      <w:r>
        <w:rPr>
          <w:color w:val="005DA1"/>
          <w:u w:val="single" w:color="005DA1"/>
          <w:vertAlign w:val="superscript"/>
        </w:rPr>
        <w:t>501</w:t>
      </w:r>
      <w:r>
        <w:rPr>
          <w:color w:val="005DA1"/>
          <w:vertAlign w:val="baseline"/>
        </w:rPr>
        <w:t> </w:t>
      </w:r>
      <w:r>
        <w:rPr>
          <w:vertAlign w:val="baseline"/>
        </w:rPr>
        <w:t>the defendant offered to sell a farm for £1,000. The offeree replied offering to buy for £950, and when that counter-offer was rejected, purported to accept the defendant’s original offer to sell for £1,000. It was held that there was no contract as the offeree had, by making a counter-offer of £950, rejected, and so terminated, the original offer. A communication can amount to a counter-offer only if it relates to the subject matter of the original</w:t>
      </w:r>
      <w:r>
        <w:rPr>
          <w:spacing w:val="40"/>
          <w:vertAlign w:val="baseline"/>
        </w:rPr>
        <w:t> </w:t>
      </w:r>
      <w:r>
        <w:rPr>
          <w:vertAlign w:val="baseline"/>
        </w:rPr>
        <w:t>offer. Where, for example, A offered to indemnify B in respect of legal costs incurred in litigation against both of them, it was held that this offer was not rejected by B’s seeking compensation from A </w:t>
      </w:r>
      <w:bookmarkStart w:name="_bookmark952" w:id="954"/>
      <w:bookmarkEnd w:id="954"/>
      <w:r>
        <w:rPr>
          <w:vertAlign w:val="baseline"/>
        </w:rPr>
        <w:t>for</w:t>
      </w:r>
      <w:r>
        <w:rPr>
          <w:vertAlign w:val="baseline"/>
        </w:rPr>
        <w:t> loss of employment in return for B’s co-operating with A in the litigation to an extent beyond that </w:t>
      </w:r>
      <w:bookmarkStart w:name="_bookmark953" w:id="955"/>
      <w:bookmarkEnd w:id="955"/>
      <w:r>
        <w:rPr>
          <w:vertAlign w:val="baseline"/>
        </w:rPr>
        <w:t>which</w:t>
      </w:r>
      <w:r>
        <w:rPr>
          <w:vertAlign w:val="baseline"/>
        </w:rPr>
        <w:t> B was already bound to give. </w:t>
      </w:r>
      <w:r>
        <w:rPr>
          <w:color w:val="005DA1"/>
          <w:u w:val="single" w:color="005DA1"/>
          <w:vertAlign w:val="superscript"/>
        </w:rPr>
        <w:t>502</w:t>
      </w:r>
      <w:r>
        <w:rPr>
          <w:color w:val="005DA1"/>
          <w:vertAlign w:val="baseline"/>
        </w:rPr>
        <w:t> </w:t>
      </w:r>
      <w:r>
        <w:rPr>
          <w:vertAlign w:val="baseline"/>
        </w:rPr>
        <w:t>The negotiations for such compensation were said to be “collateral”</w:t>
      </w:r>
      <w:r>
        <w:rPr>
          <w:spacing w:val="40"/>
          <w:vertAlign w:val="baseline"/>
        </w:rPr>
        <w:t> </w:t>
      </w:r>
      <w:r>
        <w:rPr>
          <w:color w:val="005DA1"/>
          <w:u w:val="single" w:color="005DA1"/>
          <w:vertAlign w:val="superscript"/>
        </w:rPr>
        <w:t>503</w:t>
      </w:r>
      <w:r>
        <w:rPr>
          <w:color w:val="005DA1"/>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offer</w:t>
      </w:r>
      <w:r>
        <w:rPr>
          <w:spacing w:val="40"/>
          <w:vertAlign w:val="baseline"/>
        </w:rPr>
        <w:t> </w:t>
      </w:r>
      <w:r>
        <w:rPr>
          <w:vertAlign w:val="baseline"/>
        </w:rPr>
        <w:t>of</w:t>
      </w:r>
      <w:r>
        <w:rPr>
          <w:spacing w:val="40"/>
          <w:vertAlign w:val="baseline"/>
        </w:rPr>
        <w:t> </w:t>
      </w:r>
      <w:r>
        <w:rPr>
          <w:vertAlign w:val="baseline"/>
        </w:rPr>
        <w:t>indemnity</w:t>
      </w:r>
      <w:r>
        <w:rPr>
          <w:spacing w:val="40"/>
          <w:vertAlign w:val="baseline"/>
        </w:rPr>
        <w:t> </w:t>
      </w:r>
      <w:r>
        <w:rPr>
          <w:vertAlign w:val="baseline"/>
        </w:rPr>
        <w:t>and</w:t>
      </w:r>
      <w:r>
        <w:rPr>
          <w:spacing w:val="40"/>
          <w:vertAlign w:val="baseline"/>
        </w:rPr>
        <w:t> </w:t>
      </w:r>
      <w:r>
        <w:rPr>
          <w:vertAlign w:val="baseline"/>
        </w:rPr>
        <w:t>therefore</w:t>
      </w:r>
      <w:r>
        <w:rPr>
          <w:spacing w:val="40"/>
          <w:vertAlign w:val="baseline"/>
        </w:rPr>
        <w:t> </w:t>
      </w:r>
      <w:r>
        <w:rPr>
          <w:vertAlign w:val="baseline"/>
        </w:rPr>
        <w:t>not</w:t>
      </w:r>
      <w:r>
        <w:rPr>
          <w:spacing w:val="40"/>
          <w:vertAlign w:val="baseline"/>
        </w:rPr>
        <w:t> </w:t>
      </w:r>
      <w:r>
        <w:rPr>
          <w:vertAlign w:val="baseline"/>
        </w:rPr>
        <w:t>to</w:t>
      </w:r>
      <w:r>
        <w:rPr>
          <w:spacing w:val="40"/>
          <w:vertAlign w:val="baseline"/>
        </w:rPr>
        <w:t> </w:t>
      </w:r>
      <w:r>
        <w:rPr>
          <w:vertAlign w:val="baseline"/>
        </w:rPr>
        <w:t>amount</w:t>
      </w:r>
      <w:r>
        <w:rPr>
          <w:spacing w:val="40"/>
          <w:vertAlign w:val="baseline"/>
        </w:rPr>
        <w:t> </w:t>
      </w:r>
      <w:r>
        <w:rPr>
          <w:vertAlign w:val="baseline"/>
        </w:rPr>
        <w:t>to</w:t>
      </w:r>
      <w:r>
        <w:rPr>
          <w:spacing w:val="40"/>
          <w:vertAlign w:val="baseline"/>
        </w:rPr>
        <w:t> </w:t>
      </w:r>
      <w:r>
        <w:rPr>
          <w:vertAlign w:val="baseline"/>
        </w:rPr>
        <w:t>a</w:t>
      </w:r>
      <w:r>
        <w:rPr>
          <w:spacing w:val="40"/>
          <w:vertAlign w:val="baseline"/>
        </w:rPr>
        <w:t> </w:t>
      </w:r>
      <w:r>
        <w:rPr>
          <w:vertAlign w:val="baseline"/>
        </w:rPr>
        <w:t>rejection,</w:t>
      </w:r>
      <w:r>
        <w:rPr>
          <w:spacing w:val="40"/>
          <w:vertAlign w:val="baseline"/>
        </w:rPr>
        <w:t> </w:t>
      </w:r>
      <w:r>
        <w:rPr>
          <w:vertAlign w:val="baseline"/>
        </w:rPr>
        <w:t>by</w:t>
      </w:r>
      <w:r>
        <w:rPr>
          <w:spacing w:val="40"/>
          <w:vertAlign w:val="baseline"/>
        </w:rPr>
        <w:t> </w:t>
      </w:r>
      <w:r>
        <w:rPr>
          <w:vertAlign w:val="baseline"/>
        </w:rPr>
        <w:t>way</w:t>
      </w:r>
      <w:r>
        <w:rPr>
          <w:spacing w:val="40"/>
          <w:vertAlign w:val="baseline"/>
        </w:rPr>
        <w:t> </w:t>
      </w:r>
      <w:r>
        <w:rPr>
          <w:vertAlign w:val="baseline"/>
        </w:rPr>
        <w:t>of </w:t>
      </w:r>
      <w:bookmarkStart w:name="_bookmark954" w:id="956"/>
      <w:bookmarkEnd w:id="956"/>
      <w:r>
        <w:rPr>
          <w:vertAlign w:val="baseline"/>
        </w:rPr>
        <w:t>counter</w:t>
      </w:r>
      <w:r>
        <w:rPr>
          <w:vertAlign w:val="baseline"/>
        </w:rPr>
        <w:t>-offer, of the original offer. This offer accordingly remained open for acceptance and had been accepted by conduct. </w:t>
      </w:r>
      <w:r>
        <w:rPr>
          <w:color w:val="005DA1"/>
          <w:u w:val="single" w:color="005DA1"/>
          <w:vertAlign w:val="superscript"/>
        </w:rPr>
        <w:t>504</w:t>
      </w:r>
    </w:p>
    <w:p>
      <w:pPr>
        <w:pStyle w:val="BodyText"/>
        <w:spacing w:before="76"/>
      </w:pPr>
    </w:p>
    <w:p>
      <w:pPr>
        <w:pStyle w:val="Heading2"/>
      </w:pPr>
      <w:r>
        <w:rPr/>
        <w:t>2-</w:t>
      </w:r>
      <w:r>
        <w:rPr>
          <w:spacing w:val="-5"/>
        </w:rPr>
        <w:t>098</w:t>
      </w:r>
    </w:p>
    <w:p>
      <w:pPr>
        <w:pStyle w:val="BodyText"/>
        <w:spacing w:line="235" w:lineRule="auto" w:before="203"/>
        <w:ind w:left="165" w:right="166"/>
        <w:jc w:val="both"/>
      </w:pPr>
      <w:r>
        <w:rPr/>
        <w:t>A rejection of an offer is not prevented from having the effect of terminating the offer by reason of being contained in a communication expressed to be “subject to contract”. The effect of these words</w:t>
      </w:r>
      <w:r>
        <w:rPr>
          <w:spacing w:val="40"/>
        </w:rPr>
        <w:t> </w:t>
      </w:r>
      <w:bookmarkStart w:name="_bookmark955" w:id="957"/>
      <w:bookmarkEnd w:id="957"/>
      <w:r>
        <w:rPr/>
        <w:t>is</w:t>
      </w:r>
      <w:r>
        <w:rPr>
          <w:spacing w:val="-1"/>
        </w:rPr>
        <w:t> </w:t>
      </w:r>
      <w:r>
        <w:rPr/>
        <w:t>that</w:t>
      </w:r>
      <w:r>
        <w:rPr>
          <w:spacing w:val="-1"/>
        </w:rPr>
        <w:t> </w:t>
      </w:r>
      <w:r>
        <w:rPr/>
        <w:t>the</w:t>
      </w:r>
      <w:r>
        <w:rPr>
          <w:spacing w:val="-1"/>
        </w:rPr>
        <w:t> </w:t>
      </w:r>
      <w:r>
        <w:rPr/>
        <w:t>negotiations</w:t>
      </w:r>
      <w:r>
        <w:rPr>
          <w:spacing w:val="-1"/>
        </w:rPr>
        <w:t> </w:t>
      </w:r>
      <w:r>
        <w:rPr/>
        <w:t>will</w:t>
      </w:r>
      <w:r>
        <w:rPr>
          <w:spacing w:val="-1"/>
        </w:rPr>
        <w:t> </w:t>
      </w:r>
      <w:r>
        <w:rPr/>
        <w:t>lead</w:t>
      </w:r>
      <w:r>
        <w:rPr>
          <w:spacing w:val="-1"/>
        </w:rPr>
        <w:t> </w:t>
      </w:r>
      <w:r>
        <w:rPr/>
        <w:t>to</w:t>
      </w:r>
      <w:r>
        <w:rPr>
          <w:spacing w:val="-1"/>
        </w:rPr>
        <w:t> </w:t>
      </w:r>
      <w:r>
        <w:rPr/>
        <w:t>the</w:t>
      </w:r>
      <w:r>
        <w:rPr>
          <w:spacing w:val="-1"/>
        </w:rPr>
        <w:t> </w:t>
      </w:r>
      <w:r>
        <w:rPr/>
        <w:t>conclusion</w:t>
      </w:r>
      <w:r>
        <w:rPr>
          <w:spacing w:val="-1"/>
        </w:rPr>
        <w:t> </w:t>
      </w:r>
      <w:r>
        <w:rPr/>
        <w:t>of</w:t>
      </w:r>
      <w:r>
        <w:rPr>
          <w:spacing w:val="-1"/>
        </w:rPr>
        <w:t> </w:t>
      </w:r>
      <w:r>
        <w:rPr/>
        <w:t>a</w:t>
      </w:r>
      <w:r>
        <w:rPr>
          <w:spacing w:val="-1"/>
        </w:rPr>
        <w:t> </w:t>
      </w:r>
      <w:r>
        <w:rPr/>
        <w:t>legally</w:t>
      </w:r>
      <w:r>
        <w:rPr>
          <w:spacing w:val="-1"/>
        </w:rPr>
        <w:t> </w:t>
      </w:r>
      <w:r>
        <w:rPr/>
        <w:t>binding</w:t>
      </w:r>
      <w:r>
        <w:rPr>
          <w:spacing w:val="-1"/>
        </w:rPr>
        <w:t> </w:t>
      </w:r>
      <w:r>
        <w:rPr/>
        <w:t>agreement</w:t>
      </w:r>
      <w:r>
        <w:rPr>
          <w:spacing w:val="-1"/>
        </w:rPr>
        <w:t> </w:t>
      </w:r>
      <w:r>
        <w:rPr/>
        <w:t>only</w:t>
      </w:r>
      <w:r>
        <w:rPr>
          <w:spacing w:val="-1"/>
        </w:rPr>
        <w:t> </w:t>
      </w:r>
      <w:r>
        <w:rPr/>
        <w:t>on</w:t>
      </w:r>
      <w:r>
        <w:rPr>
          <w:spacing w:val="-1"/>
        </w:rPr>
        <w:t> </w:t>
      </w:r>
      <w:r>
        <w:rPr/>
        <w:t>the</w:t>
      </w:r>
      <w:r>
        <w:rPr>
          <w:spacing w:val="-1"/>
        </w:rPr>
        <w:t> </w:t>
      </w:r>
      <w:r>
        <w:rPr/>
        <w:t>execution </w:t>
      </w:r>
      <w:bookmarkStart w:name="_bookmark956" w:id="958"/>
      <w:bookmarkEnd w:id="958"/>
      <w:r>
        <w:rPr/>
        <w:t>of</w:t>
      </w:r>
      <w:r>
        <w:rPr>
          <w:spacing w:val="-2"/>
        </w:rPr>
        <w:t> </w:t>
      </w:r>
      <w:r>
        <w:rPr/>
        <w:t>a</w:t>
      </w:r>
      <w:r>
        <w:rPr>
          <w:spacing w:val="-2"/>
        </w:rPr>
        <w:t> </w:t>
      </w:r>
      <w:r>
        <w:rPr/>
        <w:t>formal</w:t>
      </w:r>
      <w:r>
        <w:rPr>
          <w:spacing w:val="-2"/>
        </w:rPr>
        <w:t> </w:t>
      </w:r>
      <w:r>
        <w:rPr/>
        <w:t>contract.</w:t>
      </w:r>
      <w:r>
        <w:rPr>
          <w:spacing w:val="-3"/>
        </w:rPr>
        <w:t> </w:t>
      </w:r>
      <w:r>
        <w:rPr>
          <w:color w:val="005DA1"/>
          <w:u w:val="single" w:color="005DA1"/>
          <w:vertAlign w:val="superscript"/>
        </w:rPr>
        <w:t>505</w:t>
      </w:r>
      <w:r>
        <w:rPr>
          <w:color w:val="005DA1"/>
          <w:spacing w:val="-3"/>
          <w:vertAlign w:val="baseline"/>
        </w:rPr>
        <w:t> </w:t>
      </w:r>
      <w:r>
        <w:rPr>
          <w:vertAlign w:val="baseline"/>
        </w:rPr>
        <w:t>They</w:t>
      </w:r>
      <w:r>
        <w:rPr>
          <w:spacing w:val="-2"/>
          <w:vertAlign w:val="baseline"/>
        </w:rPr>
        <w:t> </w:t>
      </w:r>
      <w:r>
        <w:rPr>
          <w:vertAlign w:val="baseline"/>
        </w:rPr>
        <w:t>have</w:t>
      </w:r>
      <w:r>
        <w:rPr>
          <w:spacing w:val="-2"/>
          <w:vertAlign w:val="baseline"/>
        </w:rPr>
        <w:t> </w:t>
      </w:r>
      <w:r>
        <w:rPr>
          <w:vertAlign w:val="baseline"/>
        </w:rPr>
        <w:t>no</w:t>
      </w:r>
      <w:r>
        <w:rPr>
          <w:spacing w:val="-2"/>
          <w:vertAlign w:val="baseline"/>
        </w:rPr>
        <w:t> </w:t>
      </w:r>
      <w:r>
        <w:rPr>
          <w:vertAlign w:val="baseline"/>
        </w:rPr>
        <w:t>bearing</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question</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communication</w:t>
      </w:r>
      <w:r>
        <w:rPr>
          <w:spacing w:val="-2"/>
          <w:vertAlign w:val="baseline"/>
        </w:rPr>
        <w:t> </w:t>
      </w:r>
      <w:r>
        <w:rPr>
          <w:vertAlign w:val="baseline"/>
        </w:rPr>
        <w:t>amounts</w:t>
      </w:r>
      <w:r>
        <w:rPr>
          <w:spacing w:val="-2"/>
          <w:vertAlign w:val="baseline"/>
        </w:rPr>
        <w:t> </w:t>
      </w:r>
      <w:r>
        <w:rPr>
          <w:vertAlign w:val="baseline"/>
        </w:rPr>
        <w:t>to a rejection of the offer, as to preclude its subsequent acceptance. </w:t>
      </w:r>
      <w:r>
        <w:rPr>
          <w:color w:val="005DA1"/>
          <w:u w:val="single" w:color="005DA1"/>
          <w:vertAlign w:val="superscript"/>
        </w:rPr>
        <w:t>506</w:t>
      </w:r>
    </w:p>
    <w:p>
      <w:pPr>
        <w:pStyle w:val="BodyText"/>
      </w:pPr>
    </w:p>
    <w:p>
      <w:pPr>
        <w:pStyle w:val="BodyText"/>
        <w:spacing w:before="37"/>
      </w:pPr>
    </w:p>
    <w:p>
      <w:pPr>
        <w:spacing w:before="0"/>
        <w:ind w:left="165" w:right="0" w:firstLine="0"/>
        <w:jc w:val="both"/>
        <w:rPr>
          <w:rFonts w:ascii="Arial"/>
          <w:b/>
          <w:sz w:val="18"/>
        </w:rPr>
      </w:pPr>
      <w:r>
        <w:rPr>
          <w:rFonts w:ascii="Arial"/>
          <w:b/>
          <w:sz w:val="18"/>
        </w:rPr>
        <w:t>Inquiries and requests for </w:t>
      </w:r>
      <w:r>
        <w:rPr>
          <w:rFonts w:ascii="Arial"/>
          <w:b/>
          <w:spacing w:val="-2"/>
          <w:sz w:val="18"/>
        </w:rPr>
        <w:t>information</w:t>
      </w:r>
    </w:p>
    <w:p>
      <w:pPr>
        <w:pStyle w:val="BodyText"/>
        <w:spacing w:before="41"/>
        <w:rPr>
          <w:rFonts w:ascii="Arial"/>
          <w:b/>
          <w:sz w:val="18"/>
        </w:rPr>
      </w:pPr>
    </w:p>
    <w:p>
      <w:pPr>
        <w:pStyle w:val="Heading2"/>
      </w:pPr>
      <w:r>
        <w:rPr/>
        <w:t>2-</w:t>
      </w:r>
      <w:r>
        <w:rPr>
          <w:spacing w:val="-5"/>
        </w:rPr>
        <w:t>099</w:t>
      </w:r>
    </w:p>
    <w:p>
      <w:pPr>
        <w:pStyle w:val="BodyText"/>
        <w:spacing w:line="235" w:lineRule="auto" w:before="203"/>
        <w:ind w:left="165" w:right="167"/>
        <w:jc w:val="both"/>
      </w:pPr>
      <w:r>
        <w:rPr/>
        <w:t>A communication from the offeree </w:t>
      </w:r>
      <w:r>
        <w:rPr>
          <w:rFonts w:ascii="Arial" w:hAnsi="Arial"/>
          <w:i/>
        </w:rPr>
        <w:t>may </w:t>
      </w:r>
      <w:r>
        <w:rPr/>
        <w:t>be construed as a counter-offer (and hence as a </w:t>
      </w:r>
      <w:r>
        <w:rPr/>
        <w:t>rejection) </w:t>
      </w:r>
      <w:bookmarkStart w:name="_bookmark957" w:id="959"/>
      <w:bookmarkEnd w:id="959"/>
      <w:r>
        <w:rPr/>
        <w:t>even</w:t>
      </w:r>
      <w:r>
        <w:rPr/>
        <w:t> though it takes the form of a question as to the offeror’s willingness to vary the terms of the</w:t>
      </w:r>
      <w:r>
        <w:rPr>
          <w:spacing w:val="80"/>
        </w:rPr>
        <w:t> </w:t>
      </w:r>
      <w:bookmarkStart w:name="_bookmark958" w:id="960"/>
      <w:bookmarkEnd w:id="960"/>
      <w:r>
        <w:rPr/>
        <w:t>offer.</w:t>
      </w:r>
      <w:r>
        <w:rPr/>
        <w:t> </w:t>
      </w:r>
      <w:r>
        <w:rPr>
          <w:color w:val="005DA1"/>
          <w:u w:val="single" w:color="005DA1"/>
          <w:vertAlign w:val="superscript"/>
        </w:rPr>
        <w:t>507</w:t>
      </w:r>
      <w:r>
        <w:rPr>
          <w:color w:val="005DA1"/>
          <w:vertAlign w:val="baseline"/>
        </w:rPr>
        <w:t> </w:t>
      </w:r>
      <w:r>
        <w:rPr>
          <w:vertAlign w:val="baseline"/>
        </w:rPr>
        <w:t>But such a communication is not </w:t>
      </w:r>
      <w:r>
        <w:rPr>
          <w:rFonts w:ascii="Arial" w:hAnsi="Arial"/>
          <w:i/>
          <w:vertAlign w:val="baseline"/>
        </w:rPr>
        <w:t>necessarily </w:t>
      </w:r>
      <w:r>
        <w:rPr>
          <w:vertAlign w:val="baseline"/>
        </w:rPr>
        <w:t>a counter-offer: it may be a mere inquiry or request for information made without any intention of rejecting the terms of the offer. </w:t>
      </w:r>
      <w:r>
        <w:rPr>
          <w:color w:val="005DA1"/>
          <w:u w:val="single" w:color="005DA1"/>
          <w:vertAlign w:val="superscript"/>
        </w:rPr>
        <w:t>508</w:t>
      </w:r>
      <w:r>
        <w:rPr>
          <w:color w:val="005DA1"/>
          <w:vertAlign w:val="baseline"/>
        </w:rPr>
        <w:t> </w:t>
      </w:r>
      <w:r>
        <w:rPr>
          <w:vertAlign w:val="baseline"/>
        </w:rPr>
        <w:t>Whether the </w:t>
      </w:r>
      <w:bookmarkStart w:name="_bookmark959" w:id="961"/>
      <w:bookmarkEnd w:id="961"/>
      <w:r>
        <w:rPr>
          <w:vertAlign w:val="baseline"/>
        </w:rPr>
        <w:t>communication</w:t>
      </w:r>
      <w:r>
        <w:rPr>
          <w:vertAlign w:val="baseline"/>
        </w:rPr>
        <w:t> is a counter-offer or a request for information depends on the intention, objectively ascertained,</w:t>
      </w:r>
      <w:r>
        <w:rPr>
          <w:spacing w:val="-2"/>
          <w:vertAlign w:val="baseline"/>
        </w:rPr>
        <w:t> </w:t>
      </w:r>
      <w:r>
        <w:rPr>
          <w:color w:val="005DA1"/>
          <w:u w:val="single" w:color="005DA1"/>
          <w:vertAlign w:val="superscript"/>
        </w:rPr>
        <w:t>509</w:t>
      </w:r>
      <w:r>
        <w:rPr>
          <w:color w:val="005DA1"/>
          <w:spacing w:val="-1"/>
          <w:vertAlign w:val="baseline"/>
        </w:rPr>
        <w:t> </w:t>
      </w:r>
      <w:r>
        <w:rPr>
          <w:vertAlign w:val="baseline"/>
        </w:rPr>
        <w:t>with</w:t>
      </w:r>
      <w:r>
        <w:rPr>
          <w:spacing w:val="-1"/>
          <w:vertAlign w:val="baseline"/>
        </w:rPr>
        <w:t> </w:t>
      </w:r>
      <w:r>
        <w:rPr>
          <w:vertAlign w:val="baseline"/>
        </w:rPr>
        <w:t>which</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made.</w:t>
      </w:r>
      <w:r>
        <w:rPr>
          <w:spacing w:val="-1"/>
          <w:vertAlign w:val="baseline"/>
        </w:rPr>
        <w:t> </w:t>
      </w:r>
      <w:r>
        <w:rPr>
          <w:vertAlign w:val="baseline"/>
        </w:rPr>
        <w:t>In</w:t>
      </w:r>
      <w:r>
        <w:rPr>
          <w:spacing w:val="-2"/>
          <w:vertAlign w:val="baseline"/>
        </w:rPr>
        <w:t> </w:t>
      </w:r>
      <w:r>
        <w:rPr>
          <w:rFonts w:ascii="Arial" w:hAnsi="Arial"/>
          <w:i/>
          <w:vertAlign w:val="baseline"/>
        </w:rPr>
        <w:t>Stevenson,</w:t>
      </w:r>
      <w:r>
        <w:rPr>
          <w:rFonts w:ascii="Arial" w:hAnsi="Arial"/>
          <w:i/>
          <w:spacing w:val="-1"/>
          <w:vertAlign w:val="baseline"/>
        </w:rPr>
        <w:t> </w:t>
      </w:r>
      <w:r>
        <w:rPr>
          <w:rFonts w:ascii="Arial" w:hAnsi="Arial"/>
          <w:i/>
          <w:vertAlign w:val="baseline"/>
        </w:rPr>
        <w:t>Jacques</w:t>
      </w:r>
      <w:r>
        <w:rPr>
          <w:rFonts w:ascii="Arial" w:hAnsi="Arial"/>
          <w:i/>
          <w:spacing w:val="-1"/>
          <w:vertAlign w:val="baseline"/>
        </w:rPr>
        <w:t> </w:t>
      </w:r>
      <w:r>
        <w:rPr>
          <w:rFonts w:ascii="Arial" w:hAnsi="Arial"/>
          <w:i/>
          <w:vertAlign w:val="baseline"/>
        </w:rPr>
        <w:t>&amp;</w:t>
      </w:r>
      <w:r>
        <w:rPr>
          <w:rFonts w:ascii="Arial" w:hAnsi="Arial"/>
          <w:i/>
          <w:spacing w:val="-1"/>
          <w:vertAlign w:val="baseline"/>
        </w:rPr>
        <w:t> </w:t>
      </w:r>
      <w:r>
        <w:rPr>
          <w:rFonts w:ascii="Arial" w:hAnsi="Arial"/>
          <w:i/>
          <w:vertAlign w:val="baseline"/>
        </w:rPr>
        <w:t>Co</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McLean</w:t>
      </w:r>
      <w:r>
        <w:rPr>
          <w:rFonts w:ascii="Arial" w:hAnsi="Arial"/>
          <w:i/>
          <w:spacing w:val="-2"/>
          <w:vertAlign w:val="baseline"/>
        </w:rPr>
        <w:t> </w:t>
      </w:r>
      <w:r>
        <w:rPr>
          <w:color w:val="005DA1"/>
          <w:u w:val="single" w:color="005DA1"/>
          <w:vertAlign w:val="superscript"/>
        </w:rPr>
        <w:t>510</w:t>
      </w:r>
      <w:r>
        <w:rPr>
          <w:color w:val="005DA1"/>
          <w:spacing w:val="-1"/>
          <w:vertAlign w:val="baseline"/>
        </w:rPr>
        <w:t> </w:t>
      </w:r>
      <w:r>
        <w:rPr>
          <w:vertAlign w:val="baseline"/>
        </w:rPr>
        <w:t>an</w:t>
      </w:r>
      <w:r>
        <w:rPr>
          <w:spacing w:val="-1"/>
          <w:vertAlign w:val="baseline"/>
        </w:rPr>
        <w:t> </w:t>
      </w:r>
      <w:r>
        <w:rPr>
          <w:vertAlign w:val="baseline"/>
        </w:rPr>
        <w:t>offer</w:t>
      </w:r>
      <w:r>
        <w:rPr>
          <w:spacing w:val="-1"/>
          <w:vertAlign w:val="baseline"/>
        </w:rPr>
        <w:t> </w:t>
      </w:r>
      <w:r>
        <w:rPr>
          <w:vertAlign w:val="baseline"/>
        </w:rPr>
        <w:t>was</w:t>
      </w:r>
      <w:r>
        <w:rPr>
          <w:spacing w:val="-1"/>
          <w:vertAlign w:val="baseline"/>
        </w:rPr>
        <w:t> </w:t>
      </w:r>
      <w:r>
        <w:rPr>
          <w:vertAlign w:val="baseline"/>
        </w:rPr>
        <w:t>made to sell iron to offerees who asked by telegram whether they might take delivery over a period of four </w:t>
      </w:r>
      <w:bookmarkStart w:name="_bookmark960" w:id="962"/>
      <w:bookmarkEnd w:id="962"/>
      <w:r>
        <w:rPr>
          <w:vertAlign w:val="baseline"/>
        </w:rPr>
        <w:t>months.</w:t>
      </w:r>
      <w:r>
        <w:rPr>
          <w:vertAlign w:val="baseline"/>
        </w:rPr>
        <w:t> It was held that this telegram was not a counter-offer but only a request for information as it was “meant … only as an inquiry” and as the offeror “ought to have regarded it” in that sense. </w:t>
      </w:r>
      <w:r>
        <w:rPr>
          <w:color w:val="005DA1"/>
          <w:u w:val="single" w:color="005DA1"/>
          <w:vertAlign w:val="superscript"/>
        </w:rPr>
        <w:t>511</w:t>
      </w:r>
      <w:r>
        <w:rPr>
          <w:color w:val="005DA1"/>
          <w:vertAlign w:val="baseline"/>
        </w:rPr>
        <w:t> </w:t>
      </w:r>
      <w:r>
        <w:rPr>
          <w:vertAlign w:val="baseline"/>
        </w:rPr>
        <w:t>Similarly, if an offer is made to sell a house at a specified price, an inquiry whether the intending vendor</w:t>
      </w:r>
      <w:r>
        <w:rPr>
          <w:spacing w:val="33"/>
          <w:vertAlign w:val="baseline"/>
        </w:rPr>
        <w:t> </w:t>
      </w:r>
      <w:r>
        <w:rPr>
          <w:vertAlign w:val="baseline"/>
        </w:rPr>
        <w:t>is</w:t>
      </w:r>
      <w:r>
        <w:rPr>
          <w:spacing w:val="33"/>
          <w:vertAlign w:val="baseline"/>
        </w:rPr>
        <w:t> </w:t>
      </w:r>
      <w:r>
        <w:rPr>
          <w:vertAlign w:val="baseline"/>
        </w:rPr>
        <w:t>prepared</w:t>
      </w:r>
      <w:r>
        <w:rPr>
          <w:spacing w:val="33"/>
          <w:vertAlign w:val="baseline"/>
        </w:rPr>
        <w:t> </w:t>
      </w:r>
      <w:r>
        <w:rPr>
          <w:vertAlign w:val="baseline"/>
        </w:rPr>
        <w:t>to</w:t>
      </w:r>
      <w:r>
        <w:rPr>
          <w:spacing w:val="33"/>
          <w:vertAlign w:val="baseline"/>
        </w:rPr>
        <w:t> </w:t>
      </w:r>
      <w:r>
        <w:rPr>
          <w:vertAlign w:val="baseline"/>
        </w:rPr>
        <w:t>reduce</w:t>
      </w:r>
      <w:r>
        <w:rPr>
          <w:spacing w:val="33"/>
          <w:vertAlign w:val="baseline"/>
        </w:rPr>
        <w:t> </w:t>
      </w:r>
      <w:r>
        <w:rPr>
          <w:vertAlign w:val="baseline"/>
        </w:rPr>
        <w:t>that</w:t>
      </w:r>
      <w:r>
        <w:rPr>
          <w:spacing w:val="33"/>
          <w:vertAlign w:val="baseline"/>
        </w:rPr>
        <w:t> </w:t>
      </w:r>
      <w:r>
        <w:rPr>
          <w:vertAlign w:val="baseline"/>
        </w:rPr>
        <w:t>price</w:t>
      </w:r>
      <w:r>
        <w:rPr>
          <w:spacing w:val="33"/>
          <w:vertAlign w:val="baseline"/>
        </w:rPr>
        <w:t> </w:t>
      </w:r>
      <w:r>
        <w:rPr>
          <w:vertAlign w:val="baseline"/>
        </w:rPr>
        <w:t>will</w:t>
      </w:r>
      <w:r>
        <w:rPr>
          <w:spacing w:val="33"/>
          <w:vertAlign w:val="baseline"/>
        </w:rPr>
        <w:t> </w:t>
      </w:r>
      <w:r>
        <w:rPr>
          <w:vertAlign w:val="baseline"/>
        </w:rPr>
        <w:t>not</w:t>
      </w:r>
      <w:r>
        <w:rPr>
          <w:spacing w:val="33"/>
          <w:vertAlign w:val="baseline"/>
        </w:rPr>
        <w:t> </w:t>
      </w:r>
      <w:r>
        <w:rPr>
          <w:vertAlign w:val="baseline"/>
        </w:rPr>
        <w:t>amount</w:t>
      </w:r>
      <w:r>
        <w:rPr>
          <w:spacing w:val="33"/>
          <w:vertAlign w:val="baseline"/>
        </w:rPr>
        <w:t> </w:t>
      </w:r>
      <w:r>
        <w:rPr>
          <w:vertAlign w:val="baseline"/>
        </w:rPr>
        <w:t>to</w:t>
      </w:r>
      <w:r>
        <w:rPr>
          <w:spacing w:val="33"/>
          <w:vertAlign w:val="baseline"/>
        </w:rPr>
        <w:t> </w:t>
      </w:r>
      <w:r>
        <w:rPr>
          <w:vertAlign w:val="baseline"/>
        </w:rPr>
        <w:t>a</w:t>
      </w:r>
      <w:r>
        <w:rPr>
          <w:spacing w:val="33"/>
          <w:vertAlign w:val="baseline"/>
        </w:rPr>
        <w:t> </w:t>
      </w:r>
      <w:r>
        <w:rPr>
          <w:vertAlign w:val="baseline"/>
        </w:rPr>
        <w:t>rejection</w:t>
      </w:r>
      <w:r>
        <w:rPr>
          <w:spacing w:val="33"/>
          <w:vertAlign w:val="baseline"/>
        </w:rPr>
        <w:t> </w:t>
      </w:r>
      <w:r>
        <w:rPr>
          <w:vertAlign w:val="baseline"/>
        </w:rPr>
        <w:t>of</w:t>
      </w:r>
      <w:r>
        <w:rPr>
          <w:spacing w:val="33"/>
          <w:vertAlign w:val="baseline"/>
        </w:rPr>
        <w:t> </w:t>
      </w:r>
      <w:r>
        <w:rPr>
          <w:vertAlign w:val="baseline"/>
        </w:rPr>
        <w:t>the</w:t>
      </w:r>
      <w:r>
        <w:rPr>
          <w:spacing w:val="33"/>
          <w:vertAlign w:val="baseline"/>
        </w:rPr>
        <w:t> </w:t>
      </w:r>
      <w:r>
        <w:rPr>
          <w:vertAlign w:val="baseline"/>
        </w:rPr>
        <w:t>offer</w:t>
      </w:r>
      <w:r>
        <w:rPr>
          <w:spacing w:val="33"/>
          <w:vertAlign w:val="baseline"/>
        </w:rPr>
        <w:t> </w:t>
      </w:r>
      <w:r>
        <w:rPr>
          <w:vertAlign w:val="baseline"/>
        </w:rPr>
        <w:t>if</w:t>
      </w:r>
      <w:r>
        <w:rPr>
          <w:spacing w:val="33"/>
          <w:vertAlign w:val="baseline"/>
        </w:rPr>
        <w:t> </w:t>
      </w:r>
      <w:r>
        <w:rPr>
          <w:vertAlign w:val="baseline"/>
        </w:rPr>
        <w:t>the</w:t>
      </w:r>
      <w:r>
        <w:rPr>
          <w:spacing w:val="33"/>
          <w:vertAlign w:val="baseline"/>
        </w:rPr>
        <w:t> </w:t>
      </w:r>
      <w:r>
        <w:rPr>
          <w:vertAlign w:val="baseline"/>
        </w:rPr>
        <w:t>inquiry</w:t>
      </w:r>
      <w:r>
        <w:rPr>
          <w:spacing w:val="33"/>
          <w:vertAlign w:val="baseline"/>
        </w:rPr>
        <w:t> </w:t>
      </w:r>
      <w:r>
        <w:rPr>
          <w:spacing w:val="-5"/>
          <w:vertAlign w:val="baseline"/>
        </w:rPr>
        <w:t>is</w:t>
      </w:r>
    </w:p>
    <w:p>
      <w:pPr>
        <w:pStyle w:val="BodyText"/>
        <w:spacing w:after="0" w:line="235" w:lineRule="auto"/>
        <w:jc w:val="both"/>
        <w:sectPr>
          <w:headerReference w:type="default" r:id="rId18"/>
          <w:pgSz w:w="11900" w:h="16840"/>
          <w:pgMar w:header="971" w:footer="0" w:top="1300" w:bottom="280" w:left="1275" w:right="1275"/>
          <w:pgNumType w:start="1"/>
        </w:sectPr>
      </w:pPr>
    </w:p>
    <w:p>
      <w:pPr>
        <w:pStyle w:val="BodyText"/>
        <w:spacing w:before="106"/>
        <w:ind w:left="165"/>
        <w:jc w:val="both"/>
      </w:pPr>
      <w:bookmarkStart w:name="_bookmark961" w:id="963"/>
      <w:bookmarkEnd w:id="963"/>
      <w:r>
        <w:rPr/>
      </w:r>
      <w:r>
        <w:rPr/>
        <w:t>“merely exploratory”.</w:t>
      </w:r>
      <w:r>
        <w:rPr>
          <w:spacing w:val="-1"/>
        </w:rPr>
        <w:t> </w:t>
      </w:r>
      <w:r>
        <w:rPr>
          <w:color w:val="005DA1"/>
          <w:spacing w:val="-5"/>
          <w:u w:val="single" w:color="005DA1"/>
          <w:vertAlign w:val="superscript"/>
        </w:rPr>
        <w:t>512</w:t>
      </w:r>
    </w:p>
    <w:p>
      <w:pPr>
        <w:pStyle w:val="BodyText"/>
      </w:pPr>
    </w:p>
    <w:p>
      <w:pPr>
        <w:pStyle w:val="BodyText"/>
        <w:spacing w:before="38"/>
      </w:pPr>
    </w:p>
    <w:p>
      <w:pPr>
        <w:spacing w:before="0"/>
        <w:ind w:left="165" w:right="0" w:firstLine="0"/>
        <w:jc w:val="both"/>
        <w:rPr>
          <w:rFonts w:ascii="Arial"/>
          <w:b/>
          <w:sz w:val="18"/>
        </w:rPr>
      </w:pPr>
      <w:r>
        <w:rPr>
          <w:rFonts w:ascii="Arial"/>
          <w:b/>
          <w:sz w:val="18"/>
        </w:rPr>
        <w:t>Rejection must be </w:t>
      </w:r>
      <w:r>
        <w:rPr>
          <w:rFonts w:ascii="Arial"/>
          <w:b/>
          <w:spacing w:val="-2"/>
          <w:sz w:val="18"/>
        </w:rPr>
        <w:t>communicated</w:t>
      </w:r>
    </w:p>
    <w:p>
      <w:pPr>
        <w:pStyle w:val="BodyText"/>
        <w:spacing w:before="41"/>
        <w:rPr>
          <w:rFonts w:ascii="Arial"/>
          <w:b/>
          <w:sz w:val="18"/>
        </w:rPr>
      </w:pPr>
    </w:p>
    <w:p>
      <w:pPr>
        <w:pStyle w:val="Heading2"/>
      </w:pPr>
      <w:r>
        <w:rPr/>
        <w:t>2-</w:t>
      </w:r>
      <w:r>
        <w:rPr>
          <w:spacing w:val="-5"/>
        </w:rPr>
        <w:t>100</w:t>
      </w:r>
    </w:p>
    <w:p>
      <w:pPr>
        <w:pStyle w:val="BodyText"/>
        <w:spacing w:line="235" w:lineRule="auto" w:before="203"/>
        <w:ind w:left="165" w:right="167"/>
        <w:jc w:val="both"/>
      </w:pPr>
      <w:r>
        <w:rPr/>
        <w:t>A rejection takes effect when it is communicated to the offeree. There is no reason to apply </w:t>
      </w:r>
      <w:r>
        <w:rPr/>
        <w:t>the posting rule here; the offeree will not act in reliance on posting his rejection as he derives no rights or liabilities</w:t>
      </w:r>
      <w:r>
        <w:rPr>
          <w:spacing w:val="-1"/>
        </w:rPr>
        <w:t> </w:t>
      </w:r>
      <w:r>
        <w:rPr/>
        <w:t>from</w:t>
      </w:r>
      <w:r>
        <w:rPr>
          <w:spacing w:val="-1"/>
        </w:rPr>
        <w:t> </w:t>
      </w:r>
      <w:r>
        <w:rPr/>
        <w:t>it;</w:t>
      </w:r>
      <w:r>
        <w:rPr>
          <w:spacing w:val="-1"/>
        </w:rPr>
        <w:t> </w:t>
      </w:r>
      <w:r>
        <w:rPr/>
        <w:t>and</w:t>
      </w:r>
      <w:r>
        <w:rPr>
          <w:spacing w:val="-1"/>
        </w:rPr>
        <w:t> </w:t>
      </w:r>
      <w:r>
        <w:rPr/>
        <w:t>the</w:t>
      </w:r>
      <w:r>
        <w:rPr>
          <w:spacing w:val="-1"/>
        </w:rPr>
        <w:t> </w:t>
      </w:r>
      <w:r>
        <w:rPr/>
        <w:t>offeror</w:t>
      </w:r>
      <w:r>
        <w:rPr>
          <w:spacing w:val="-1"/>
        </w:rPr>
        <w:t> </w:t>
      </w:r>
      <w:r>
        <w:rPr/>
        <w:t>will</w:t>
      </w:r>
      <w:r>
        <w:rPr>
          <w:spacing w:val="-1"/>
        </w:rPr>
        <w:t> </w:t>
      </w:r>
      <w:r>
        <w:rPr/>
        <w:t>not</w:t>
      </w:r>
      <w:r>
        <w:rPr>
          <w:spacing w:val="-1"/>
        </w:rPr>
        <w:t> </w:t>
      </w:r>
      <w:r>
        <w:rPr/>
        <w:t>know</w:t>
      </w:r>
      <w:r>
        <w:rPr>
          <w:spacing w:val="-1"/>
        </w:rPr>
        <w:t> </w:t>
      </w:r>
      <w:r>
        <w:rPr/>
        <w:t>that</w:t>
      </w:r>
      <w:r>
        <w:rPr>
          <w:spacing w:val="-1"/>
        </w:rPr>
        <w:t> </w:t>
      </w:r>
      <w:r>
        <w:rPr/>
        <w:t>he</w:t>
      </w:r>
      <w:r>
        <w:rPr>
          <w:spacing w:val="-1"/>
        </w:rPr>
        <w:t> </w:t>
      </w:r>
      <w:r>
        <w:rPr/>
        <w:t>is</w:t>
      </w:r>
      <w:r>
        <w:rPr>
          <w:spacing w:val="-1"/>
        </w:rPr>
        <w:t> </w:t>
      </w:r>
      <w:r>
        <w:rPr/>
        <w:t>free</w:t>
      </w:r>
      <w:r>
        <w:rPr>
          <w:spacing w:val="-1"/>
        </w:rPr>
        <w:t> </w:t>
      </w:r>
      <w:r>
        <w:rPr/>
        <w:t>from</w:t>
      </w:r>
      <w:r>
        <w:rPr>
          <w:spacing w:val="-1"/>
        </w:rPr>
        <w:t> </w:t>
      </w:r>
      <w:r>
        <w:rPr/>
        <w:t>the</w:t>
      </w:r>
      <w:r>
        <w:rPr>
          <w:spacing w:val="-1"/>
        </w:rPr>
        <w:t> </w:t>
      </w:r>
      <w:r>
        <w:rPr/>
        <w:t>offer</w:t>
      </w:r>
      <w:r>
        <w:rPr>
          <w:spacing w:val="-1"/>
        </w:rPr>
        <w:t> </w:t>
      </w:r>
      <w:r>
        <w:rPr/>
        <w:t>until</w:t>
      </w:r>
      <w:r>
        <w:rPr>
          <w:spacing w:val="-1"/>
        </w:rPr>
        <w:t> </w:t>
      </w:r>
      <w:r>
        <w:rPr/>
        <w:t>the</w:t>
      </w:r>
      <w:r>
        <w:rPr>
          <w:spacing w:val="-1"/>
        </w:rPr>
        <w:t> </w:t>
      </w:r>
      <w:r>
        <w:rPr/>
        <w:t>rejection</w:t>
      </w:r>
      <w:r>
        <w:rPr>
          <w:spacing w:val="-1"/>
        </w:rPr>
        <w:t> </w:t>
      </w:r>
      <w:r>
        <w:rPr/>
        <w:t>is</w:t>
      </w:r>
      <w:r>
        <w:rPr>
          <w:spacing w:val="-1"/>
        </w:rPr>
        <w:t> </w:t>
      </w:r>
      <w:r>
        <w:rPr/>
        <w:t>actually communicated to him. Hence if the rejection is overtaken by a subsequently despatched acceptance, which reaches the offeror first, the latter should take effect so long as the offeree has made his intention to accept (in spite of his original rejection) clear to the offeror. If, however, the rejection has </w:t>
      </w:r>
      <w:bookmarkStart w:name="_bookmark962" w:id="964"/>
      <w:bookmarkEnd w:id="964"/>
      <w:r>
        <w:rPr/>
        <w:t>reached</w:t>
      </w:r>
      <w:r>
        <w:rPr/>
        <w:t> the offeror, it is submitted that he would not be bound by an acceptance posted after the rejection and also reaching him after the rejection. To apply the “posted acceptance” rule </w:t>
      </w:r>
      <w:r>
        <w:rPr>
          <w:color w:val="005DA1"/>
          <w:u w:val="single" w:color="005DA1"/>
          <w:vertAlign w:val="superscript"/>
        </w:rPr>
        <w:t>513</w:t>
      </w:r>
      <w:r>
        <w:rPr>
          <w:color w:val="005DA1"/>
          <w:vertAlign w:val="baseline"/>
        </w:rPr>
        <w:t> </w:t>
      </w:r>
      <w:r>
        <w:rPr>
          <w:vertAlign w:val="baseline"/>
        </w:rPr>
        <w:t>here could expose the offeror to hardship particularly where he had acted on the rejection, e.g. by disposing of the subject-matter elsewhere. An offeree who has posted a rejection and then wishes, after all, to accept the offer should ensure that the subsequently posted acceptance comes to the notice of the offeror before the latter has received the rejection.</w:t>
      </w:r>
    </w:p>
    <w:p>
      <w:pPr>
        <w:pStyle w:val="BodyText"/>
      </w:pPr>
    </w:p>
    <w:p>
      <w:pPr>
        <w:pStyle w:val="BodyText"/>
        <w:spacing w:before="35"/>
      </w:pPr>
      <w:r>
        <w:rPr/>
        <mc:AlternateContent>
          <mc:Choice Requires="wps">
            <w:drawing>
              <wp:anchor distT="0" distB="0" distL="0" distR="0" allowOverlap="1" layoutInCell="1" locked="0" behindDoc="1" simplePos="0" relativeHeight="487608320">
                <wp:simplePos x="0" y="0"/>
                <wp:positionH relativeFrom="page">
                  <wp:posOffset>914400</wp:posOffset>
                </wp:positionH>
                <wp:positionV relativeFrom="paragraph">
                  <wp:posOffset>183793</wp:posOffset>
                </wp:positionV>
                <wp:extent cx="5724525" cy="1270"/>
                <wp:effectExtent l="0" t="0" r="0" b="0"/>
                <wp:wrapTopAndBottom/>
                <wp:docPr id="72" name="Graphic 72"/>
                <wp:cNvGraphicFramePr>
                  <a:graphicFrameLocks/>
                </wp:cNvGraphicFramePr>
                <a:graphic>
                  <a:graphicData uri="http://schemas.microsoft.com/office/word/2010/wordprocessingShape">
                    <wps:wsp>
                      <wps:cNvPr id="72" name="Graphic 7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1961pt;width:450.75pt;height:.1pt;mso-position-horizontal-relative:page;mso-position-vertical-relative:paragraph;z-index:-15708160;mso-wrap-distance-left:0;mso-wrap-distance-right:0" id="docshape25"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rFonts w:ascii="Arial"/>
          <w:i/>
          <w:sz w:val="20"/>
        </w:rPr>
      </w:pPr>
      <w:bookmarkStart w:name="_bookmark963" w:id="965"/>
      <w:bookmarkEnd w:id="965"/>
      <w:r>
        <w:rPr/>
      </w:r>
      <w:hyperlink w:history="true" w:anchor="_bookmark950">
        <w:r>
          <w:rPr>
            <w:color w:val="005DA1"/>
            <w:position w:val="5"/>
            <w:sz w:val="14"/>
            <w:u w:val="single" w:color="005DA1"/>
          </w:rPr>
          <w:t>499</w:t>
        </w:r>
      </w:hyperlink>
      <w:r>
        <w:rPr>
          <w:position w:val="5"/>
          <w:sz w:val="14"/>
        </w:rPr>
        <w:t>.</w:t>
      </w:r>
      <w:r>
        <w:rPr>
          <w:spacing w:val="80"/>
          <w:position w:val="5"/>
          <w:sz w:val="14"/>
        </w:rPr>
        <w:t>  </w:t>
      </w:r>
      <w:r>
        <w:rPr>
          <w:rFonts w:ascii="Arial"/>
          <w:i/>
          <w:sz w:val="20"/>
        </w:rPr>
        <w:t>Tinn v Hoffmann &amp; Co (1873) 29 L.T. 271, 278</w:t>
      </w:r>
      <w:r>
        <w:rPr>
          <w:sz w:val="20"/>
        </w:rPr>
        <w:t>; </w:t>
      </w:r>
      <w:r>
        <w:rPr>
          <w:rFonts w:ascii="Arial"/>
          <w:i/>
          <w:sz w:val="20"/>
        </w:rPr>
        <w:t>Grant v Bragg [2009] EWCA Civ 1228, [2010] 1 All E.R. (Comm) 1166 </w:t>
      </w:r>
      <w:r>
        <w:rPr>
          <w:sz w:val="20"/>
        </w:rPr>
        <w:t>at [17], [22]. The above common law rule does not apply where an </w:t>
      </w:r>
      <w:r>
        <w:rPr>
          <w:sz w:val="20"/>
        </w:rPr>
        <w:t>offer to settle a claim is made under CPR Pt 36. Such an offer can be withdrawn only by serving a notice of withdrawal on the offeree in accordance with that Part: </w:t>
      </w:r>
      <w:r>
        <w:rPr>
          <w:rFonts w:ascii="Arial"/>
          <w:i/>
          <w:sz w:val="20"/>
        </w:rPr>
        <w:t>Gibbon v Manchester City Council</w:t>
      </w:r>
      <w:r>
        <w:rPr>
          <w:rFonts w:ascii="Arial"/>
          <w:i/>
          <w:spacing w:val="12"/>
          <w:sz w:val="20"/>
        </w:rPr>
        <w:t> </w:t>
      </w:r>
      <w:r>
        <w:rPr>
          <w:rFonts w:ascii="Arial"/>
          <w:i/>
          <w:sz w:val="20"/>
        </w:rPr>
        <w:t>[2010]</w:t>
      </w:r>
      <w:r>
        <w:rPr>
          <w:rFonts w:ascii="Arial"/>
          <w:i/>
          <w:spacing w:val="12"/>
          <w:sz w:val="20"/>
        </w:rPr>
        <w:t> </w:t>
      </w:r>
      <w:r>
        <w:rPr>
          <w:rFonts w:ascii="Arial"/>
          <w:i/>
          <w:sz w:val="20"/>
        </w:rPr>
        <w:t>EWCA</w:t>
      </w:r>
      <w:r>
        <w:rPr>
          <w:rFonts w:ascii="Arial"/>
          <w:i/>
          <w:spacing w:val="12"/>
          <w:sz w:val="20"/>
        </w:rPr>
        <w:t> </w:t>
      </w:r>
      <w:r>
        <w:rPr>
          <w:rFonts w:ascii="Arial"/>
          <w:i/>
          <w:sz w:val="20"/>
        </w:rPr>
        <w:t>Civ</w:t>
      </w:r>
      <w:r>
        <w:rPr>
          <w:rFonts w:ascii="Arial"/>
          <w:i/>
          <w:spacing w:val="12"/>
          <w:sz w:val="20"/>
        </w:rPr>
        <w:t> </w:t>
      </w:r>
      <w:r>
        <w:rPr>
          <w:rFonts w:ascii="Arial"/>
          <w:i/>
          <w:sz w:val="20"/>
        </w:rPr>
        <w:t>726,</w:t>
      </w:r>
      <w:r>
        <w:rPr>
          <w:rFonts w:ascii="Arial"/>
          <w:i/>
          <w:spacing w:val="12"/>
          <w:sz w:val="20"/>
        </w:rPr>
        <w:t> </w:t>
      </w:r>
      <w:r>
        <w:rPr>
          <w:rFonts w:ascii="Arial"/>
          <w:i/>
          <w:sz w:val="20"/>
        </w:rPr>
        <w:t>[2010]</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2081</w:t>
      </w:r>
      <w:r>
        <w:rPr>
          <w:rFonts w:ascii="Arial"/>
          <w:i/>
          <w:spacing w:val="12"/>
          <w:sz w:val="20"/>
        </w:rPr>
        <w:t> </w:t>
      </w:r>
      <w:r>
        <w:rPr>
          <w:sz w:val="20"/>
        </w:rPr>
        <w:t>at</w:t>
      </w:r>
      <w:r>
        <w:rPr>
          <w:spacing w:val="12"/>
          <w:sz w:val="20"/>
        </w:rPr>
        <w:t> </w:t>
      </w:r>
      <w:r>
        <w:rPr>
          <w:sz w:val="20"/>
        </w:rPr>
        <w:t>[16];</w:t>
      </w:r>
      <w:r>
        <w:rPr>
          <w:spacing w:val="12"/>
          <w:sz w:val="20"/>
        </w:rPr>
        <w:t> </w:t>
      </w:r>
      <w:r>
        <w:rPr>
          <w:rFonts w:ascii="Arial"/>
          <w:i/>
          <w:sz w:val="20"/>
        </w:rPr>
        <w:t>Carillion</w:t>
      </w:r>
      <w:r>
        <w:rPr>
          <w:rFonts w:ascii="Arial"/>
          <w:i/>
          <w:spacing w:val="12"/>
          <w:sz w:val="20"/>
        </w:rPr>
        <w:t> </w:t>
      </w:r>
      <w:r>
        <w:rPr>
          <w:rFonts w:ascii="Arial"/>
          <w:i/>
          <w:sz w:val="20"/>
        </w:rPr>
        <w:t>JM</w:t>
      </w:r>
      <w:r>
        <w:rPr>
          <w:rFonts w:ascii="Arial"/>
          <w:i/>
          <w:spacing w:val="12"/>
          <w:sz w:val="20"/>
        </w:rPr>
        <w:t> </w:t>
      </w:r>
      <w:r>
        <w:rPr>
          <w:rFonts w:ascii="Arial"/>
          <w:i/>
          <w:sz w:val="20"/>
        </w:rPr>
        <w:t>Ltd</w:t>
      </w:r>
      <w:r>
        <w:rPr>
          <w:rFonts w:ascii="Arial"/>
          <w:i/>
          <w:spacing w:val="12"/>
          <w:sz w:val="20"/>
        </w:rPr>
        <w:t> </w:t>
      </w:r>
      <w:r>
        <w:rPr>
          <w:rFonts w:ascii="Arial"/>
          <w:i/>
          <w:sz w:val="20"/>
        </w:rPr>
        <w:t>v</w:t>
      </w:r>
      <w:r>
        <w:rPr>
          <w:rFonts w:ascii="Arial"/>
          <w:i/>
          <w:spacing w:val="12"/>
          <w:sz w:val="20"/>
        </w:rPr>
        <w:t> </w:t>
      </w:r>
      <w:r>
        <w:rPr>
          <w:rFonts w:ascii="Arial"/>
          <w:i/>
          <w:sz w:val="20"/>
        </w:rPr>
        <w:t>PHI</w:t>
      </w:r>
      <w:r>
        <w:rPr>
          <w:rFonts w:ascii="Arial"/>
          <w:i/>
          <w:spacing w:val="12"/>
          <w:sz w:val="20"/>
        </w:rPr>
        <w:t> </w:t>
      </w:r>
      <w:r>
        <w:rPr>
          <w:rFonts w:ascii="Arial"/>
          <w:i/>
          <w:sz w:val="20"/>
        </w:rPr>
        <w:t>Group</w:t>
      </w:r>
      <w:r>
        <w:rPr>
          <w:rFonts w:ascii="Arial"/>
          <w:i/>
          <w:spacing w:val="12"/>
          <w:sz w:val="20"/>
        </w:rPr>
        <w:t> </w:t>
      </w:r>
      <w:r>
        <w:rPr>
          <w:rFonts w:ascii="Arial"/>
          <w:i/>
          <w:spacing w:val="-5"/>
          <w:sz w:val="20"/>
        </w:rPr>
        <w:t>Ltd</w:t>
      </w:r>
    </w:p>
    <w:p>
      <w:pPr>
        <w:spacing w:line="224" w:lineRule="exact" w:before="0"/>
        <w:ind w:left="705" w:right="0" w:firstLine="0"/>
        <w:jc w:val="left"/>
        <w:rPr>
          <w:sz w:val="20"/>
        </w:rPr>
      </w:pPr>
      <w:r>
        <w:rPr>
          <w:rFonts w:ascii="Arial" w:hAnsi="Arial"/>
          <w:i/>
          <w:sz w:val="20"/>
        </w:rPr>
        <w:t>[2011] EWHC 1581 (TCC), [2011] B.L.R. 504</w:t>
      </w:r>
      <w:r>
        <w:rPr>
          <w:rFonts w:ascii="Arial" w:hAnsi="Arial"/>
          <w:i/>
          <w:spacing w:val="-1"/>
          <w:sz w:val="20"/>
        </w:rPr>
        <w:t> </w:t>
      </w:r>
      <w:r>
        <w:rPr>
          <w:sz w:val="20"/>
        </w:rPr>
        <w:t>at </w:t>
      </w:r>
      <w:r>
        <w:rPr>
          <w:spacing w:val="-2"/>
          <w:sz w:val="20"/>
        </w:rPr>
        <w:t>[12]–[14].</w:t>
      </w:r>
    </w:p>
    <w:p>
      <w:pPr>
        <w:pStyle w:val="BodyText"/>
        <w:spacing w:before="8"/>
      </w:pPr>
    </w:p>
    <w:p>
      <w:pPr>
        <w:pStyle w:val="BodyText"/>
        <w:tabs>
          <w:tab w:pos="705" w:val="left" w:leader="none"/>
        </w:tabs>
        <w:spacing w:line="235" w:lineRule="auto" w:before="1"/>
        <w:ind w:left="705" w:right="168" w:hanging="541"/>
      </w:pPr>
      <w:bookmarkStart w:name="_bookmark964" w:id="966"/>
      <w:bookmarkEnd w:id="966"/>
      <w:r>
        <w:rPr/>
      </w:r>
      <w:hyperlink w:history="true" w:anchor="_bookmark951">
        <w:r>
          <w:rPr>
            <w:color w:val="005DA1"/>
            <w:spacing w:val="-4"/>
            <w:position w:val="5"/>
            <w:sz w:val="14"/>
            <w:u w:val="single" w:color="005DA1"/>
          </w:rPr>
          <w:t>500</w:t>
        </w:r>
      </w:hyperlink>
      <w:r>
        <w:rPr>
          <w:spacing w:val="-4"/>
          <w:position w:val="5"/>
          <w:sz w:val="14"/>
        </w:rPr>
        <w:t>.</w:t>
      </w:r>
      <w:r>
        <w:rPr>
          <w:position w:val="5"/>
          <w:sz w:val="14"/>
        </w:rPr>
        <w:tab/>
      </w:r>
      <w:r>
        <w:rPr/>
        <w:t>Above, para.2-031; for an exception see Vienna Convention on Contracts for the International Sale of Goods (above, para.2-061) art.19(2).</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965" w:id="967"/>
      <w:bookmarkEnd w:id="967"/>
      <w:r>
        <w:rPr/>
      </w:r>
      <w:hyperlink w:history="true" w:anchor="_bookmark951">
        <w:r>
          <w:rPr>
            <w:color w:val="005DA1"/>
            <w:spacing w:val="-4"/>
            <w:position w:val="5"/>
            <w:sz w:val="14"/>
            <w:u w:val="single" w:color="005DA1"/>
          </w:rPr>
          <w:t>501</w:t>
        </w:r>
      </w:hyperlink>
      <w:r>
        <w:rPr>
          <w:spacing w:val="-4"/>
          <w:position w:val="5"/>
          <w:sz w:val="14"/>
        </w:rPr>
        <w:t>.</w:t>
      </w:r>
      <w:r>
        <w:rPr>
          <w:position w:val="5"/>
          <w:sz w:val="14"/>
        </w:rPr>
        <w:tab/>
      </w:r>
      <w:r>
        <w:rPr>
          <w:rFonts w:ascii="Arial" w:hAnsi="Arial"/>
          <w:i/>
          <w:sz w:val="20"/>
        </w:rPr>
        <w:t>(1840)</w:t>
      </w:r>
      <w:r>
        <w:rPr>
          <w:rFonts w:ascii="Arial" w:hAnsi="Arial"/>
          <w:i/>
          <w:spacing w:val="32"/>
          <w:sz w:val="20"/>
        </w:rPr>
        <w:t> </w:t>
      </w:r>
      <w:r>
        <w:rPr>
          <w:rFonts w:ascii="Arial" w:hAnsi="Arial"/>
          <w:i/>
          <w:sz w:val="20"/>
        </w:rPr>
        <w:t>3</w:t>
      </w:r>
      <w:r>
        <w:rPr>
          <w:rFonts w:ascii="Arial" w:hAnsi="Arial"/>
          <w:i/>
          <w:spacing w:val="33"/>
          <w:sz w:val="20"/>
        </w:rPr>
        <w:t> </w:t>
      </w:r>
      <w:r>
        <w:rPr>
          <w:rFonts w:ascii="Arial" w:hAnsi="Arial"/>
          <w:i/>
          <w:sz w:val="20"/>
        </w:rPr>
        <w:t>Beav.</w:t>
      </w:r>
      <w:r>
        <w:rPr>
          <w:rFonts w:ascii="Arial" w:hAnsi="Arial"/>
          <w:i/>
          <w:spacing w:val="33"/>
          <w:sz w:val="20"/>
        </w:rPr>
        <w:t> </w:t>
      </w:r>
      <w:r>
        <w:rPr>
          <w:rFonts w:ascii="Arial" w:hAnsi="Arial"/>
          <w:i/>
          <w:sz w:val="20"/>
        </w:rPr>
        <w:t>334</w:t>
      </w:r>
      <w:r>
        <w:rPr>
          <w:sz w:val="20"/>
        </w:rPr>
        <w:t>;</w:t>
      </w:r>
      <w:r>
        <w:rPr>
          <w:spacing w:val="33"/>
          <w:sz w:val="20"/>
        </w:rPr>
        <w:t> </w:t>
      </w:r>
      <w:r>
        <w:rPr>
          <w:sz w:val="20"/>
        </w:rPr>
        <w:t>cf.</w:t>
      </w:r>
      <w:r>
        <w:rPr>
          <w:spacing w:val="33"/>
          <w:sz w:val="20"/>
        </w:rPr>
        <w:t> </w:t>
      </w:r>
      <w:r>
        <w:rPr>
          <w:rFonts w:ascii="Arial" w:hAnsi="Arial"/>
          <w:i/>
          <w:sz w:val="20"/>
        </w:rPr>
        <w:t>O.T.M.</w:t>
      </w:r>
      <w:r>
        <w:rPr>
          <w:rFonts w:ascii="Arial" w:hAnsi="Arial"/>
          <w:i/>
          <w:spacing w:val="33"/>
          <w:sz w:val="20"/>
        </w:rPr>
        <w:t> </w:t>
      </w:r>
      <w:r>
        <w:rPr>
          <w:rFonts w:ascii="Arial" w:hAnsi="Arial"/>
          <w:i/>
          <w:sz w:val="20"/>
        </w:rPr>
        <w:t>Ltd</w:t>
      </w:r>
      <w:r>
        <w:rPr>
          <w:rFonts w:ascii="Arial" w:hAnsi="Arial"/>
          <w:i/>
          <w:spacing w:val="33"/>
          <w:sz w:val="20"/>
        </w:rPr>
        <w:t> </w:t>
      </w:r>
      <w:r>
        <w:rPr>
          <w:rFonts w:ascii="Arial" w:hAnsi="Arial"/>
          <w:i/>
          <w:sz w:val="20"/>
        </w:rPr>
        <w:t>v</w:t>
      </w:r>
      <w:r>
        <w:rPr>
          <w:rFonts w:ascii="Arial" w:hAnsi="Arial"/>
          <w:i/>
          <w:spacing w:val="32"/>
          <w:sz w:val="20"/>
        </w:rPr>
        <w:t> </w:t>
      </w:r>
      <w:r>
        <w:rPr>
          <w:rFonts w:ascii="Arial" w:hAnsi="Arial"/>
          <w:i/>
          <w:sz w:val="20"/>
        </w:rPr>
        <w:t>Hydranautics</w:t>
      </w:r>
      <w:r>
        <w:rPr>
          <w:rFonts w:ascii="Arial" w:hAnsi="Arial"/>
          <w:i/>
          <w:spacing w:val="33"/>
          <w:sz w:val="20"/>
        </w:rPr>
        <w:t> </w:t>
      </w:r>
      <w:r>
        <w:rPr>
          <w:rFonts w:ascii="Arial" w:hAnsi="Arial"/>
          <w:i/>
          <w:sz w:val="20"/>
        </w:rPr>
        <w:t>[1981]</w:t>
      </w:r>
      <w:r>
        <w:rPr>
          <w:rFonts w:ascii="Arial" w:hAnsi="Arial"/>
          <w:i/>
          <w:spacing w:val="33"/>
          <w:sz w:val="20"/>
        </w:rPr>
        <w:t> </w:t>
      </w:r>
      <w:r>
        <w:rPr>
          <w:rFonts w:ascii="Arial" w:hAnsi="Arial"/>
          <w:i/>
          <w:sz w:val="20"/>
        </w:rPr>
        <w:t>2</w:t>
      </w:r>
      <w:r>
        <w:rPr>
          <w:rFonts w:ascii="Arial" w:hAnsi="Arial"/>
          <w:i/>
          <w:spacing w:val="33"/>
          <w:sz w:val="20"/>
        </w:rPr>
        <w:t> </w:t>
      </w:r>
      <w:r>
        <w:rPr>
          <w:rFonts w:ascii="Arial" w:hAnsi="Arial"/>
          <w:i/>
          <w:sz w:val="20"/>
        </w:rPr>
        <w:t>Lloyd’s</w:t>
      </w:r>
      <w:r>
        <w:rPr>
          <w:rFonts w:ascii="Arial" w:hAnsi="Arial"/>
          <w:i/>
          <w:spacing w:val="33"/>
          <w:sz w:val="20"/>
        </w:rPr>
        <w:t> </w:t>
      </w:r>
      <w:r>
        <w:rPr>
          <w:rFonts w:ascii="Arial" w:hAnsi="Arial"/>
          <w:i/>
          <w:sz w:val="20"/>
        </w:rPr>
        <w:t>Rep.</w:t>
      </w:r>
      <w:r>
        <w:rPr>
          <w:rFonts w:ascii="Arial" w:hAnsi="Arial"/>
          <w:i/>
          <w:spacing w:val="33"/>
          <w:sz w:val="20"/>
        </w:rPr>
        <w:t> </w:t>
      </w:r>
      <w:r>
        <w:rPr>
          <w:rFonts w:ascii="Arial" w:hAnsi="Arial"/>
          <w:i/>
          <w:sz w:val="20"/>
        </w:rPr>
        <w:t>211,</w:t>
      </w:r>
      <w:r>
        <w:rPr>
          <w:rFonts w:ascii="Arial" w:hAnsi="Arial"/>
          <w:i/>
          <w:spacing w:val="33"/>
          <w:sz w:val="20"/>
        </w:rPr>
        <w:t> </w:t>
      </w:r>
      <w:r>
        <w:rPr>
          <w:rFonts w:ascii="Arial" w:hAnsi="Arial"/>
          <w:i/>
          <w:sz w:val="20"/>
        </w:rPr>
        <w:t>214</w:t>
      </w:r>
      <w:r>
        <w:rPr>
          <w:sz w:val="20"/>
        </w:rPr>
        <w:t>;</w:t>
      </w:r>
      <w:r>
        <w:rPr>
          <w:spacing w:val="33"/>
          <w:sz w:val="20"/>
        </w:rPr>
        <w:t> </w:t>
      </w:r>
      <w:r>
        <w:rPr>
          <w:rFonts w:ascii="Arial" w:hAnsi="Arial"/>
          <w:i/>
          <w:spacing w:val="-2"/>
          <w:sz w:val="20"/>
        </w:rPr>
        <w:t>Sterling</w:t>
      </w:r>
    </w:p>
    <w:p>
      <w:pPr>
        <w:spacing w:line="225" w:lineRule="exact" w:before="0"/>
        <w:ind w:left="705" w:right="0" w:firstLine="0"/>
        <w:jc w:val="left"/>
        <w:rPr>
          <w:sz w:val="20"/>
        </w:rPr>
      </w:pPr>
      <w:r>
        <w:rPr>
          <w:rFonts w:ascii="Arial" w:hAnsi="Arial"/>
          <w:i/>
          <w:sz w:val="20"/>
        </w:rPr>
        <w:t>Hydraulics</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v</w:t>
      </w:r>
      <w:r>
        <w:rPr>
          <w:rFonts w:ascii="Arial" w:hAnsi="Arial"/>
          <w:i/>
          <w:spacing w:val="35"/>
          <w:sz w:val="20"/>
        </w:rPr>
        <w:t> </w:t>
      </w:r>
      <w:r>
        <w:rPr>
          <w:rFonts w:ascii="Arial" w:hAnsi="Arial"/>
          <w:i/>
          <w:sz w:val="20"/>
        </w:rPr>
        <w:t>Dichtomatic</w:t>
      </w:r>
      <w:r>
        <w:rPr>
          <w:rFonts w:ascii="Arial" w:hAnsi="Arial"/>
          <w:i/>
          <w:spacing w:val="35"/>
          <w:sz w:val="20"/>
        </w:rPr>
        <w:t> </w:t>
      </w:r>
      <w:r>
        <w:rPr>
          <w:rFonts w:ascii="Arial" w:hAnsi="Arial"/>
          <w:i/>
          <w:sz w:val="20"/>
        </w:rPr>
        <w:t>Ltd</w:t>
      </w:r>
      <w:r>
        <w:rPr>
          <w:rFonts w:ascii="Arial" w:hAnsi="Arial"/>
          <w:i/>
          <w:spacing w:val="35"/>
          <w:sz w:val="20"/>
        </w:rPr>
        <w:t> </w:t>
      </w:r>
      <w:r>
        <w:rPr>
          <w:rFonts w:ascii="Arial" w:hAnsi="Arial"/>
          <w:i/>
          <w:sz w:val="20"/>
        </w:rPr>
        <w:t>[2006]</w:t>
      </w:r>
      <w:r>
        <w:rPr>
          <w:rFonts w:ascii="Arial" w:hAnsi="Arial"/>
          <w:i/>
          <w:spacing w:val="35"/>
          <w:sz w:val="20"/>
        </w:rPr>
        <w:t> </w:t>
      </w:r>
      <w:r>
        <w:rPr>
          <w:rFonts w:ascii="Arial" w:hAnsi="Arial"/>
          <w:i/>
          <w:sz w:val="20"/>
        </w:rPr>
        <w:t>EWHC</w:t>
      </w:r>
      <w:r>
        <w:rPr>
          <w:rFonts w:ascii="Arial" w:hAnsi="Arial"/>
          <w:i/>
          <w:spacing w:val="35"/>
          <w:sz w:val="20"/>
        </w:rPr>
        <w:t> </w:t>
      </w:r>
      <w:r>
        <w:rPr>
          <w:rFonts w:ascii="Arial" w:hAnsi="Arial"/>
          <w:i/>
          <w:sz w:val="20"/>
        </w:rPr>
        <w:t>2004</w:t>
      </w:r>
      <w:r>
        <w:rPr>
          <w:rFonts w:ascii="Arial" w:hAnsi="Arial"/>
          <w:i/>
          <w:spacing w:val="35"/>
          <w:sz w:val="20"/>
        </w:rPr>
        <w:t> </w:t>
      </w:r>
      <w:r>
        <w:rPr>
          <w:rFonts w:ascii="Arial" w:hAnsi="Arial"/>
          <w:i/>
          <w:sz w:val="20"/>
        </w:rPr>
        <w:t>(QB),</w:t>
      </w:r>
      <w:r>
        <w:rPr>
          <w:rFonts w:ascii="Arial" w:hAnsi="Arial"/>
          <w:i/>
          <w:spacing w:val="35"/>
          <w:sz w:val="20"/>
        </w:rPr>
        <w:t> </w:t>
      </w:r>
      <w:r>
        <w:rPr>
          <w:rFonts w:ascii="Arial" w:hAnsi="Arial"/>
          <w:i/>
          <w:sz w:val="20"/>
        </w:rPr>
        <w:t>[2007]</w:t>
      </w:r>
      <w:r>
        <w:rPr>
          <w:rFonts w:ascii="Arial" w:hAnsi="Arial"/>
          <w:i/>
          <w:spacing w:val="35"/>
          <w:sz w:val="20"/>
        </w:rPr>
        <w:t> </w:t>
      </w:r>
      <w:r>
        <w:rPr>
          <w:rFonts w:ascii="Arial" w:hAnsi="Arial"/>
          <w:i/>
          <w:sz w:val="20"/>
        </w:rPr>
        <w:t>1</w:t>
      </w:r>
      <w:r>
        <w:rPr>
          <w:rFonts w:ascii="Arial" w:hAnsi="Arial"/>
          <w:i/>
          <w:spacing w:val="35"/>
          <w:sz w:val="20"/>
        </w:rPr>
        <w:t> </w:t>
      </w:r>
      <w:r>
        <w:rPr>
          <w:rFonts w:ascii="Arial" w:hAnsi="Arial"/>
          <w:i/>
          <w:sz w:val="20"/>
        </w:rPr>
        <w:t>Lloyd’s</w:t>
      </w:r>
      <w:r>
        <w:rPr>
          <w:rFonts w:ascii="Arial" w:hAnsi="Arial"/>
          <w:i/>
          <w:spacing w:val="35"/>
          <w:sz w:val="20"/>
        </w:rPr>
        <w:t> </w:t>
      </w:r>
      <w:r>
        <w:rPr>
          <w:rFonts w:ascii="Arial" w:hAnsi="Arial"/>
          <w:i/>
          <w:sz w:val="20"/>
        </w:rPr>
        <w:t>Rep.</w:t>
      </w:r>
      <w:r>
        <w:rPr>
          <w:rFonts w:ascii="Arial" w:hAnsi="Arial"/>
          <w:i/>
          <w:spacing w:val="35"/>
          <w:sz w:val="20"/>
        </w:rPr>
        <w:t> </w:t>
      </w:r>
      <w:r>
        <w:rPr>
          <w:rFonts w:ascii="Arial" w:hAnsi="Arial"/>
          <w:i/>
          <w:sz w:val="20"/>
        </w:rPr>
        <w:t>8</w:t>
      </w:r>
      <w:r>
        <w:rPr>
          <w:rFonts w:ascii="Arial" w:hAnsi="Arial"/>
          <w:i/>
          <w:spacing w:val="34"/>
          <w:sz w:val="20"/>
        </w:rPr>
        <w:t> </w:t>
      </w:r>
      <w:r>
        <w:rPr>
          <w:sz w:val="20"/>
        </w:rPr>
        <w:t>at</w:t>
      </w:r>
      <w:r>
        <w:rPr>
          <w:spacing w:val="35"/>
          <w:sz w:val="20"/>
        </w:rPr>
        <w:t> </w:t>
      </w:r>
      <w:r>
        <w:rPr>
          <w:spacing w:val="-2"/>
          <w:sz w:val="20"/>
        </w:rPr>
        <w:t>[17];</w:t>
      </w:r>
    </w:p>
    <w:p>
      <w:pPr>
        <w:spacing w:line="227" w:lineRule="exact" w:before="0"/>
        <w:ind w:left="705" w:right="0" w:firstLine="0"/>
        <w:jc w:val="left"/>
        <w:rPr>
          <w:sz w:val="20"/>
        </w:rPr>
      </w:pPr>
      <w:r>
        <w:rPr>
          <w:rFonts w:ascii="Arial"/>
          <w:i/>
          <w:sz w:val="20"/>
        </w:rPr>
        <w:t>Withers LLP v Langbar International Ltd [2011] EWCA Civ 1419, [2012] 2 All E.R. 619</w:t>
      </w:r>
      <w:r>
        <w:rPr>
          <w:rFonts w:ascii="Arial"/>
          <w:i/>
          <w:spacing w:val="-1"/>
          <w:sz w:val="20"/>
        </w:rPr>
        <w:t> </w:t>
      </w:r>
      <w:r>
        <w:rPr>
          <w:sz w:val="20"/>
        </w:rPr>
        <w:t>at </w:t>
      </w:r>
      <w:r>
        <w:rPr>
          <w:spacing w:val="-2"/>
          <w:sz w:val="20"/>
        </w:rPr>
        <w:t>[47].</w:t>
      </w:r>
    </w:p>
    <w:p>
      <w:pPr>
        <w:pStyle w:val="BodyText"/>
        <w:spacing w:before="5"/>
      </w:pPr>
    </w:p>
    <w:p>
      <w:pPr>
        <w:tabs>
          <w:tab w:pos="705" w:val="left" w:leader="none"/>
        </w:tabs>
        <w:spacing w:before="0"/>
        <w:ind w:left="165" w:right="0" w:firstLine="0"/>
        <w:jc w:val="left"/>
        <w:rPr>
          <w:sz w:val="20"/>
        </w:rPr>
      </w:pPr>
      <w:bookmarkStart w:name="_bookmark966" w:id="968"/>
      <w:bookmarkEnd w:id="968"/>
      <w:r>
        <w:rPr/>
      </w:r>
      <w:hyperlink w:history="true" w:anchor="_bookmark952">
        <w:r>
          <w:rPr>
            <w:color w:val="005DA1"/>
            <w:spacing w:val="-4"/>
            <w:position w:val="5"/>
            <w:sz w:val="14"/>
            <w:u w:val="single" w:color="005DA1"/>
          </w:rPr>
          <w:t>502</w:t>
        </w:r>
      </w:hyperlink>
      <w:r>
        <w:rPr>
          <w:spacing w:val="-4"/>
          <w:position w:val="5"/>
          <w:sz w:val="14"/>
        </w:rPr>
        <w:t>.</w:t>
      </w:r>
      <w:r>
        <w:rPr>
          <w:position w:val="5"/>
          <w:sz w:val="14"/>
        </w:rPr>
        <w:tab/>
      </w:r>
      <w:r>
        <w:rPr>
          <w:rFonts w:ascii="Arial"/>
          <w:i/>
          <w:sz w:val="20"/>
        </w:rPr>
        <w:t>Mulcaire v News Group Newspapers Ltd [2011] EWHC 3469 (Ch), [2012] Ch. </w:t>
      </w:r>
      <w:r>
        <w:rPr>
          <w:rFonts w:ascii="Arial"/>
          <w:i/>
          <w:spacing w:val="-4"/>
          <w:sz w:val="20"/>
        </w:rPr>
        <w:t>435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67" w:id="969"/>
      <w:bookmarkEnd w:id="969"/>
      <w:r>
        <w:rPr/>
      </w:r>
      <w:hyperlink w:history="true" w:anchor="_bookmark953">
        <w:r>
          <w:rPr>
            <w:color w:val="005DA1"/>
            <w:spacing w:val="-4"/>
            <w:position w:val="5"/>
            <w:sz w:val="14"/>
            <w:u w:val="single" w:color="005DA1"/>
          </w:rPr>
          <w:t>503</w:t>
        </w:r>
      </w:hyperlink>
      <w:r>
        <w:rPr>
          <w:spacing w:val="-4"/>
          <w:position w:val="5"/>
          <w:sz w:val="14"/>
        </w:rPr>
        <w:t>.</w:t>
      </w:r>
      <w:r>
        <w:rPr>
          <w:position w:val="5"/>
          <w:sz w:val="14"/>
        </w:rPr>
        <w:tab/>
      </w:r>
      <w:r>
        <w:rPr>
          <w:rFonts w:ascii="Arial"/>
          <w:i/>
          <w:sz w:val="20"/>
        </w:rPr>
        <w:t>Mulcaire v News Group Newspapers Ltd [2011] EWHC 3469 (Ch)</w:t>
      </w:r>
      <w:r>
        <w:rPr>
          <w:rFonts w:ascii="Arial"/>
          <w:i/>
          <w:spacing w:val="-1"/>
          <w:sz w:val="20"/>
        </w:rPr>
        <w:t> </w:t>
      </w:r>
      <w:r>
        <w:rPr>
          <w:sz w:val="20"/>
        </w:rPr>
        <w:t>at </w:t>
      </w:r>
      <w:r>
        <w:rPr>
          <w:spacing w:val="-2"/>
          <w:sz w:val="20"/>
        </w:rPr>
        <w:t>[27].</w:t>
      </w:r>
    </w:p>
    <w:p>
      <w:pPr>
        <w:pStyle w:val="BodyText"/>
        <w:spacing w:before="5"/>
      </w:pPr>
    </w:p>
    <w:p>
      <w:pPr>
        <w:tabs>
          <w:tab w:pos="705" w:val="left" w:leader="none"/>
        </w:tabs>
        <w:spacing w:before="0"/>
        <w:ind w:left="165" w:right="0" w:firstLine="0"/>
        <w:jc w:val="left"/>
        <w:rPr>
          <w:sz w:val="20"/>
        </w:rPr>
      </w:pPr>
      <w:bookmarkStart w:name="_bookmark968" w:id="970"/>
      <w:bookmarkEnd w:id="970"/>
      <w:r>
        <w:rPr/>
      </w:r>
      <w:hyperlink w:history="true" w:anchor="_bookmark954">
        <w:r>
          <w:rPr>
            <w:color w:val="005DA1"/>
            <w:spacing w:val="-4"/>
            <w:position w:val="5"/>
            <w:sz w:val="14"/>
            <w:u w:val="single" w:color="005DA1"/>
          </w:rPr>
          <w:t>504</w:t>
        </w:r>
      </w:hyperlink>
      <w:r>
        <w:rPr>
          <w:spacing w:val="-4"/>
          <w:position w:val="5"/>
          <w:sz w:val="14"/>
        </w:rPr>
        <w:t>.</w:t>
      </w:r>
      <w:r>
        <w:rPr>
          <w:position w:val="5"/>
          <w:sz w:val="14"/>
        </w:rPr>
        <w:tab/>
      </w:r>
      <w:r>
        <w:rPr>
          <w:rFonts w:ascii="Arial"/>
          <w:i/>
          <w:sz w:val="20"/>
        </w:rPr>
        <w:t>Mulcaire v News Group Newspapers Ltd [2011] EWHC 3469 (Ch)</w:t>
      </w:r>
      <w:r>
        <w:rPr>
          <w:rFonts w:ascii="Arial"/>
          <w:i/>
          <w:spacing w:val="-1"/>
          <w:sz w:val="20"/>
        </w:rPr>
        <w:t> </w:t>
      </w:r>
      <w:r>
        <w:rPr>
          <w:sz w:val="20"/>
        </w:rPr>
        <w:t>at </w:t>
      </w:r>
      <w:r>
        <w:rPr>
          <w:spacing w:val="-2"/>
          <w:sz w:val="20"/>
        </w:rPr>
        <w:t>[35].</w:t>
      </w:r>
    </w:p>
    <w:p>
      <w:pPr>
        <w:pStyle w:val="BodyText"/>
        <w:spacing w:before="9"/>
      </w:pPr>
    </w:p>
    <w:p>
      <w:pPr>
        <w:pStyle w:val="BodyText"/>
        <w:tabs>
          <w:tab w:pos="705" w:val="left" w:leader="none"/>
        </w:tabs>
        <w:spacing w:line="235" w:lineRule="auto"/>
        <w:ind w:left="705" w:right="167" w:hanging="541"/>
      </w:pPr>
      <w:bookmarkStart w:name="_bookmark969" w:id="971"/>
      <w:bookmarkEnd w:id="971"/>
      <w:r>
        <w:rPr/>
      </w:r>
      <w:hyperlink w:history="true" w:anchor="_bookmark955">
        <w:r>
          <w:rPr>
            <w:color w:val="005DA1"/>
            <w:spacing w:val="-4"/>
            <w:position w:val="5"/>
            <w:sz w:val="14"/>
            <w:u w:val="single" w:color="005DA1"/>
          </w:rPr>
          <w:t>505</w:t>
        </w:r>
      </w:hyperlink>
      <w:r>
        <w:rPr>
          <w:spacing w:val="-4"/>
          <w:position w:val="5"/>
          <w:sz w:val="14"/>
        </w:rPr>
        <w:t>.</w:t>
      </w:r>
      <w:r>
        <w:rPr>
          <w:position w:val="5"/>
          <w:sz w:val="14"/>
        </w:rPr>
        <w:tab/>
      </w:r>
      <w:r>
        <w:rPr/>
        <w:t>See</w:t>
      </w:r>
      <w:r>
        <w:rPr>
          <w:spacing w:val="40"/>
        </w:rPr>
        <w:t> </w:t>
      </w:r>
      <w:r>
        <w:rPr/>
        <w:t>below,</w:t>
      </w:r>
      <w:r>
        <w:rPr>
          <w:spacing w:val="40"/>
        </w:rPr>
        <w:t> </w:t>
      </w:r>
      <w:r>
        <w:rPr/>
        <w:t>para.2-125;</w:t>
      </w:r>
      <w:r>
        <w:rPr>
          <w:spacing w:val="40"/>
        </w:rPr>
        <w:t> </w:t>
      </w:r>
      <w:r>
        <w:rPr/>
        <w:t>for</w:t>
      </w:r>
      <w:r>
        <w:rPr>
          <w:spacing w:val="40"/>
        </w:rPr>
        <w:t> </w:t>
      </w:r>
      <w:r>
        <w:rPr/>
        <w:t>the</w:t>
      </w:r>
      <w:r>
        <w:rPr>
          <w:spacing w:val="40"/>
        </w:rPr>
        <w:t> </w:t>
      </w:r>
      <w:r>
        <w:rPr/>
        <w:t>further</w:t>
      </w:r>
      <w:r>
        <w:rPr>
          <w:spacing w:val="40"/>
        </w:rPr>
        <w:t> </w:t>
      </w:r>
      <w:r>
        <w:rPr/>
        <w:t>requirement</w:t>
      </w:r>
      <w:r>
        <w:rPr>
          <w:spacing w:val="40"/>
        </w:rPr>
        <w:t> </w:t>
      </w:r>
      <w:r>
        <w:rPr/>
        <w:t>of</w:t>
      </w:r>
      <w:r>
        <w:rPr>
          <w:spacing w:val="40"/>
        </w:rPr>
        <w:t> </w:t>
      </w:r>
      <w:r>
        <w:rPr/>
        <w:t>“exchange</w:t>
      </w:r>
      <w:r>
        <w:rPr>
          <w:spacing w:val="40"/>
        </w:rPr>
        <w:t> </w:t>
      </w:r>
      <w:r>
        <w:rPr/>
        <w:t>of</w:t>
      </w:r>
      <w:r>
        <w:rPr>
          <w:spacing w:val="40"/>
        </w:rPr>
        <w:t> </w:t>
      </w:r>
      <w:r>
        <w:rPr/>
        <w:t>contracts”,</w:t>
      </w:r>
      <w:r>
        <w:rPr>
          <w:spacing w:val="40"/>
        </w:rPr>
        <w:t> </w:t>
      </w:r>
      <w:r>
        <w:rPr/>
        <w:t>see</w:t>
      </w:r>
      <w:r>
        <w:rPr>
          <w:spacing w:val="40"/>
        </w:rPr>
        <w:t> </w:t>
      </w:r>
      <w:r>
        <w:rPr/>
        <w:t>below, </w:t>
      </w:r>
      <w:r>
        <w:rPr>
          <w:spacing w:val="-2"/>
        </w:rPr>
        <w:t>para.2-126.</w:t>
      </w:r>
    </w:p>
    <w:p>
      <w:pPr>
        <w:pStyle w:val="BodyText"/>
        <w:spacing w:before="5"/>
      </w:pPr>
    </w:p>
    <w:p>
      <w:pPr>
        <w:tabs>
          <w:tab w:pos="705" w:val="left" w:leader="none"/>
        </w:tabs>
        <w:spacing w:before="1"/>
        <w:ind w:left="165" w:right="0" w:firstLine="0"/>
        <w:jc w:val="left"/>
        <w:rPr>
          <w:sz w:val="20"/>
        </w:rPr>
      </w:pPr>
      <w:bookmarkStart w:name="_bookmark970" w:id="972"/>
      <w:bookmarkEnd w:id="972"/>
      <w:r>
        <w:rPr/>
      </w:r>
      <w:hyperlink w:history="true" w:anchor="_bookmark956">
        <w:r>
          <w:rPr>
            <w:color w:val="005DA1"/>
            <w:spacing w:val="-4"/>
            <w:position w:val="5"/>
            <w:sz w:val="14"/>
            <w:u w:val="single" w:color="005DA1"/>
          </w:rPr>
          <w:t>506</w:t>
        </w:r>
      </w:hyperlink>
      <w:r>
        <w:rPr>
          <w:spacing w:val="-4"/>
          <w:position w:val="5"/>
          <w:sz w:val="14"/>
        </w:rPr>
        <w:t>.</w:t>
      </w:r>
      <w:r>
        <w:rPr>
          <w:position w:val="5"/>
          <w:sz w:val="14"/>
        </w:rPr>
        <w:tab/>
      </w:r>
      <w:r>
        <w:rPr>
          <w:rFonts w:ascii="Arial"/>
          <w:i/>
          <w:sz w:val="20"/>
        </w:rPr>
        <w:t>Bonner Properties Ltd v McGurran Construction Ltd [2009] NICA 49, [2010] N.I. 97</w:t>
      </w:r>
      <w:r>
        <w:rPr>
          <w:rFonts w:ascii="Arial"/>
          <w:i/>
          <w:spacing w:val="-1"/>
          <w:sz w:val="20"/>
        </w:rPr>
        <w:t> </w:t>
      </w:r>
      <w:r>
        <w:rPr>
          <w:sz w:val="20"/>
        </w:rPr>
        <w:t>at </w:t>
      </w:r>
      <w:r>
        <w:rPr>
          <w:spacing w:val="-2"/>
          <w:sz w:val="20"/>
        </w:rPr>
        <w:t>[13].</w:t>
      </w:r>
    </w:p>
    <w:p>
      <w:pPr>
        <w:pStyle w:val="BodyText"/>
        <w:spacing w:before="8"/>
      </w:pPr>
    </w:p>
    <w:p>
      <w:pPr>
        <w:spacing w:line="235" w:lineRule="auto" w:before="0"/>
        <w:ind w:left="705" w:right="167" w:hanging="541"/>
        <w:jc w:val="both"/>
        <w:rPr>
          <w:sz w:val="20"/>
        </w:rPr>
      </w:pPr>
      <w:bookmarkStart w:name="_bookmark971" w:id="973"/>
      <w:bookmarkEnd w:id="973"/>
      <w:r>
        <w:rPr/>
      </w:r>
      <w:hyperlink w:history="true" w:anchor="_bookmark957">
        <w:r>
          <w:rPr>
            <w:color w:val="005DA1"/>
            <w:position w:val="5"/>
            <w:sz w:val="14"/>
            <w:u w:val="single" w:color="005DA1"/>
          </w:rPr>
          <w:t>507</w:t>
        </w:r>
      </w:hyperlink>
      <w:r>
        <w:rPr>
          <w:position w:val="5"/>
          <w:sz w:val="14"/>
        </w:rPr>
        <w:t>.</w:t>
      </w:r>
      <w:r>
        <w:rPr>
          <w:spacing w:val="80"/>
          <w:w w:val="150"/>
          <w:position w:val="5"/>
          <w:sz w:val="14"/>
        </w:rPr>
        <w:t> </w:t>
      </w:r>
      <w:r>
        <w:rPr>
          <w:sz w:val="20"/>
        </w:rPr>
        <w:t>See the treatment in </w:t>
      </w:r>
      <w:r>
        <w:rPr>
          <w:rFonts w:ascii="Arial" w:hAnsi="Arial"/>
          <w:i/>
          <w:sz w:val="20"/>
        </w:rPr>
        <w:t>Tinn v Hoffmann (1873) 29 L.T. 271, 278 </w:t>
      </w:r>
      <w:r>
        <w:rPr>
          <w:sz w:val="20"/>
        </w:rPr>
        <w:t>of the claimant’s letter of November 27. For recognition of the distinction between a counter-offer and a request for information, see </w:t>
      </w:r>
      <w:r>
        <w:rPr>
          <w:rFonts w:ascii="Arial" w:hAnsi="Arial"/>
          <w:i/>
          <w:sz w:val="20"/>
        </w:rPr>
        <w:t>Grant v Bragg [2009] EWCA Civ 1228, [2010] 1 All E.R. (Comm) 1166 </w:t>
      </w:r>
      <w:r>
        <w:rPr>
          <w:sz w:val="20"/>
        </w:rPr>
        <w:t>at </w:t>
      </w:r>
      <w:r>
        <w:rPr>
          <w:sz w:val="20"/>
        </w:rPr>
        <w:t>[22] (where the relevant communication was held to amount to a rejection of the offer).</w:t>
      </w:r>
    </w:p>
    <w:p>
      <w:pPr>
        <w:pStyle w:val="BodyText"/>
        <w:spacing w:before="5"/>
      </w:pPr>
    </w:p>
    <w:p>
      <w:pPr>
        <w:pStyle w:val="BodyText"/>
        <w:tabs>
          <w:tab w:pos="705" w:val="left" w:leader="none"/>
        </w:tabs>
        <w:ind w:left="165"/>
      </w:pPr>
      <w:bookmarkStart w:name="_bookmark972" w:id="974"/>
      <w:bookmarkEnd w:id="974"/>
      <w:r>
        <w:rPr/>
      </w:r>
      <w:hyperlink w:history="true" w:anchor="_bookmark958">
        <w:r>
          <w:rPr>
            <w:color w:val="005DA1"/>
            <w:spacing w:val="-4"/>
            <w:position w:val="5"/>
            <w:sz w:val="14"/>
            <w:u w:val="single" w:color="005DA1"/>
          </w:rPr>
          <w:t>508</w:t>
        </w:r>
      </w:hyperlink>
      <w:r>
        <w:rPr>
          <w:spacing w:val="-4"/>
          <w:position w:val="5"/>
          <w:sz w:val="14"/>
        </w:rPr>
        <w:t>.</w:t>
      </w:r>
      <w:r>
        <w:rPr>
          <w:position w:val="5"/>
          <w:sz w:val="14"/>
        </w:rPr>
        <w:tab/>
      </w:r>
      <w:r>
        <w:rPr/>
        <w:t>cf. above, para.2-</w:t>
      </w:r>
      <w:r>
        <w:rPr>
          <w:spacing w:val="-4"/>
        </w:rPr>
        <w:t>031.</w:t>
      </w:r>
    </w:p>
    <w:p>
      <w:pPr>
        <w:pStyle w:val="BodyText"/>
        <w:spacing w:before="5"/>
      </w:pPr>
    </w:p>
    <w:p>
      <w:pPr>
        <w:pStyle w:val="BodyText"/>
        <w:tabs>
          <w:tab w:pos="705" w:val="left" w:leader="none"/>
        </w:tabs>
        <w:ind w:left="165"/>
      </w:pPr>
      <w:bookmarkStart w:name="_bookmark973" w:id="975"/>
      <w:bookmarkEnd w:id="975"/>
      <w:r>
        <w:rPr/>
      </w:r>
      <w:hyperlink w:history="true" w:anchor="_bookmark959">
        <w:r>
          <w:rPr>
            <w:color w:val="005DA1"/>
            <w:spacing w:val="-4"/>
            <w:position w:val="5"/>
            <w:sz w:val="14"/>
            <w:u w:val="single" w:color="005DA1"/>
          </w:rPr>
          <w:t>509</w:t>
        </w:r>
      </w:hyperlink>
      <w:r>
        <w:rPr>
          <w:spacing w:val="-4"/>
          <w:position w:val="5"/>
          <w:sz w:val="14"/>
        </w:rPr>
        <w:t>.</w:t>
      </w:r>
      <w:r>
        <w:rPr>
          <w:position w:val="5"/>
          <w:sz w:val="14"/>
        </w:rPr>
        <w:tab/>
      </w:r>
      <w:r>
        <w:rPr/>
        <w:t>Above,</w:t>
      </w:r>
      <w:r>
        <w:rPr>
          <w:spacing w:val="-2"/>
        </w:rPr>
        <w:t> </w:t>
      </w:r>
      <w:r>
        <w:rPr/>
        <w:t>paras 2-002, 2-</w:t>
      </w:r>
      <w:r>
        <w:rPr>
          <w:spacing w:val="-4"/>
        </w:rPr>
        <w:t>003.</w:t>
      </w:r>
    </w:p>
    <w:p>
      <w:pPr>
        <w:pStyle w:val="BodyText"/>
        <w:spacing w:before="5"/>
      </w:pPr>
    </w:p>
    <w:p>
      <w:pPr>
        <w:tabs>
          <w:tab w:pos="705" w:val="left" w:leader="none"/>
        </w:tabs>
        <w:spacing w:before="0"/>
        <w:ind w:left="165" w:right="0" w:firstLine="0"/>
        <w:jc w:val="left"/>
        <w:rPr>
          <w:sz w:val="20"/>
        </w:rPr>
      </w:pPr>
      <w:bookmarkStart w:name="_bookmark974" w:id="976"/>
      <w:bookmarkEnd w:id="976"/>
      <w:r>
        <w:rPr/>
      </w:r>
      <w:hyperlink w:history="true" w:anchor="_bookmark959">
        <w:r>
          <w:rPr>
            <w:color w:val="005DA1"/>
            <w:spacing w:val="-4"/>
            <w:position w:val="5"/>
            <w:sz w:val="14"/>
            <w:u w:val="single" w:color="005DA1"/>
          </w:rPr>
          <w:t>510</w:t>
        </w:r>
      </w:hyperlink>
      <w:r>
        <w:rPr>
          <w:spacing w:val="-4"/>
          <w:position w:val="5"/>
          <w:sz w:val="14"/>
        </w:rPr>
        <w:t>.</w:t>
      </w:r>
      <w:r>
        <w:rPr>
          <w:position w:val="5"/>
          <w:sz w:val="14"/>
        </w:rPr>
        <w:tab/>
      </w:r>
      <w:r>
        <w:rPr>
          <w:rFonts w:ascii="Arial"/>
          <w:i/>
          <w:sz w:val="20"/>
        </w:rPr>
        <w:t>(1880)</w:t>
      </w:r>
      <w:r>
        <w:rPr>
          <w:rFonts w:ascii="Arial"/>
          <w:i/>
          <w:spacing w:val="-2"/>
          <w:sz w:val="20"/>
        </w:rPr>
        <w:t> </w:t>
      </w:r>
      <w:r>
        <w:rPr>
          <w:rFonts w:ascii="Arial"/>
          <w:i/>
          <w:sz w:val="20"/>
        </w:rPr>
        <w:t>5 Q.B.D. </w:t>
      </w:r>
      <w:r>
        <w:rPr>
          <w:rFonts w:ascii="Arial"/>
          <w:i/>
          <w:spacing w:val="-4"/>
          <w:sz w:val="20"/>
        </w:rPr>
        <w:t>346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75" w:id="977"/>
      <w:bookmarkEnd w:id="977"/>
      <w:r>
        <w:rPr/>
      </w:r>
      <w:hyperlink w:history="true" w:anchor="_bookmark960">
        <w:r>
          <w:rPr>
            <w:color w:val="005DA1"/>
            <w:spacing w:val="-4"/>
            <w:position w:val="5"/>
            <w:sz w:val="14"/>
            <w:u w:val="single" w:color="005DA1"/>
          </w:rPr>
          <w:t>511</w:t>
        </w:r>
      </w:hyperlink>
      <w:r>
        <w:rPr>
          <w:spacing w:val="-4"/>
          <w:position w:val="5"/>
          <w:sz w:val="14"/>
        </w:rPr>
        <w:t>.</w:t>
      </w:r>
      <w:r>
        <w:rPr>
          <w:position w:val="5"/>
          <w:sz w:val="14"/>
        </w:rPr>
        <w:tab/>
      </w:r>
      <w:r>
        <w:rPr>
          <w:rFonts w:ascii="Arial" w:hAnsi="Arial"/>
          <w:i/>
          <w:sz w:val="20"/>
        </w:rPr>
        <w:t>(1880)</w:t>
      </w:r>
      <w:r>
        <w:rPr>
          <w:rFonts w:ascii="Arial" w:hAnsi="Arial"/>
          <w:i/>
          <w:spacing w:val="21"/>
          <w:sz w:val="20"/>
        </w:rPr>
        <w:t> </w:t>
      </w:r>
      <w:r>
        <w:rPr>
          <w:rFonts w:ascii="Arial" w:hAnsi="Arial"/>
          <w:i/>
          <w:sz w:val="20"/>
        </w:rPr>
        <w:t>5</w:t>
      </w:r>
      <w:r>
        <w:rPr>
          <w:rFonts w:ascii="Arial" w:hAnsi="Arial"/>
          <w:i/>
          <w:spacing w:val="21"/>
          <w:sz w:val="20"/>
        </w:rPr>
        <w:t> </w:t>
      </w:r>
      <w:r>
        <w:rPr>
          <w:rFonts w:ascii="Arial" w:hAnsi="Arial"/>
          <w:i/>
          <w:sz w:val="20"/>
        </w:rPr>
        <w:t>Q.B.D.</w:t>
      </w:r>
      <w:r>
        <w:rPr>
          <w:rFonts w:ascii="Arial" w:hAnsi="Arial"/>
          <w:i/>
          <w:spacing w:val="21"/>
          <w:sz w:val="20"/>
        </w:rPr>
        <w:t> </w:t>
      </w:r>
      <w:r>
        <w:rPr>
          <w:rFonts w:ascii="Arial" w:hAnsi="Arial"/>
          <w:i/>
          <w:sz w:val="20"/>
        </w:rPr>
        <w:t>346</w:t>
      </w:r>
      <w:r>
        <w:rPr>
          <w:rFonts w:ascii="Arial" w:hAnsi="Arial"/>
          <w:i/>
          <w:spacing w:val="21"/>
          <w:sz w:val="20"/>
        </w:rPr>
        <w:t> </w:t>
      </w:r>
      <w:r>
        <w:rPr>
          <w:sz w:val="20"/>
        </w:rPr>
        <w:t>at</w:t>
      </w:r>
      <w:r>
        <w:rPr>
          <w:spacing w:val="21"/>
          <w:sz w:val="20"/>
        </w:rPr>
        <w:t> </w:t>
      </w:r>
      <w:r>
        <w:rPr>
          <w:sz w:val="20"/>
        </w:rPr>
        <w:t>349–350;</w:t>
      </w:r>
      <w:r>
        <w:rPr>
          <w:spacing w:val="21"/>
          <w:sz w:val="20"/>
        </w:rPr>
        <w:t> </w:t>
      </w:r>
      <w:r>
        <w:rPr>
          <w:sz w:val="20"/>
        </w:rPr>
        <w:t>in</w:t>
      </w:r>
      <w:r>
        <w:rPr>
          <w:spacing w:val="21"/>
          <w:sz w:val="20"/>
        </w:rPr>
        <w:t> </w:t>
      </w:r>
      <w:r>
        <w:rPr>
          <w:sz w:val="20"/>
        </w:rPr>
        <w:t>fact</w:t>
      </w:r>
      <w:r>
        <w:rPr>
          <w:spacing w:val="21"/>
          <w:sz w:val="20"/>
        </w:rPr>
        <w:t> </w:t>
      </w:r>
      <w:r>
        <w:rPr>
          <w:sz w:val="20"/>
        </w:rPr>
        <w:t>the</w:t>
      </w:r>
      <w:r>
        <w:rPr>
          <w:spacing w:val="21"/>
          <w:sz w:val="20"/>
        </w:rPr>
        <w:t> </w:t>
      </w:r>
      <w:r>
        <w:rPr>
          <w:sz w:val="20"/>
        </w:rPr>
        <w:t>offeror</w:t>
      </w:r>
      <w:r>
        <w:rPr>
          <w:spacing w:val="21"/>
          <w:sz w:val="20"/>
        </w:rPr>
        <w:t> </w:t>
      </w:r>
      <w:r>
        <w:rPr>
          <w:sz w:val="20"/>
        </w:rPr>
        <w:t>did</w:t>
      </w:r>
      <w:r>
        <w:rPr>
          <w:spacing w:val="21"/>
          <w:sz w:val="20"/>
        </w:rPr>
        <w:t> </w:t>
      </w:r>
      <w:r>
        <w:rPr>
          <w:sz w:val="20"/>
        </w:rPr>
        <w:t>not</w:t>
      </w:r>
      <w:r>
        <w:rPr>
          <w:spacing w:val="21"/>
          <w:sz w:val="20"/>
        </w:rPr>
        <w:t> </w:t>
      </w:r>
      <w:r>
        <w:rPr>
          <w:sz w:val="20"/>
        </w:rPr>
        <w:t>so</w:t>
      </w:r>
      <w:r>
        <w:rPr>
          <w:spacing w:val="21"/>
          <w:sz w:val="20"/>
        </w:rPr>
        <w:t> </w:t>
      </w:r>
      <w:r>
        <w:rPr>
          <w:sz w:val="20"/>
        </w:rPr>
        <w:t>regard</w:t>
      </w:r>
      <w:r>
        <w:rPr>
          <w:spacing w:val="21"/>
          <w:sz w:val="20"/>
        </w:rPr>
        <w:t> </w:t>
      </w:r>
      <w:r>
        <w:rPr>
          <w:sz w:val="20"/>
        </w:rPr>
        <w:t>it</w:t>
      </w:r>
      <w:r>
        <w:rPr>
          <w:spacing w:val="21"/>
          <w:sz w:val="20"/>
        </w:rPr>
        <w:t> </w:t>
      </w:r>
      <w:r>
        <w:rPr>
          <w:sz w:val="20"/>
        </w:rPr>
        <w:t>but</w:t>
      </w:r>
      <w:r>
        <w:rPr>
          <w:spacing w:val="21"/>
          <w:sz w:val="20"/>
        </w:rPr>
        <w:t> </w:t>
      </w:r>
      <w:r>
        <w:rPr>
          <w:sz w:val="20"/>
        </w:rPr>
        <w:t>sold</w:t>
      </w:r>
      <w:r>
        <w:rPr>
          <w:spacing w:val="21"/>
          <w:sz w:val="20"/>
        </w:rPr>
        <w:t> </w:t>
      </w:r>
      <w:r>
        <w:rPr>
          <w:sz w:val="20"/>
        </w:rPr>
        <w:t>the</w:t>
      </w:r>
      <w:r>
        <w:rPr>
          <w:spacing w:val="21"/>
          <w:sz w:val="20"/>
        </w:rPr>
        <w:t> </w:t>
      </w:r>
      <w:r>
        <w:rPr>
          <w:sz w:val="20"/>
        </w:rPr>
        <w:t>iron</w:t>
      </w:r>
      <w:r>
        <w:rPr>
          <w:spacing w:val="21"/>
          <w:sz w:val="20"/>
        </w:rPr>
        <w:t> </w:t>
      </w:r>
      <w:r>
        <w:rPr>
          <w:sz w:val="20"/>
        </w:rPr>
        <w:t>to</w:t>
      </w:r>
      <w:r>
        <w:rPr>
          <w:spacing w:val="21"/>
          <w:sz w:val="20"/>
        </w:rPr>
        <w:t> </w:t>
      </w:r>
      <w:r>
        <w:rPr>
          <w:spacing w:val="-10"/>
          <w:sz w:val="20"/>
        </w:rPr>
        <w:t>a</w:t>
      </w:r>
    </w:p>
    <w:p>
      <w:pPr>
        <w:spacing w:after="0"/>
        <w:jc w:val="left"/>
        <w:rPr>
          <w:sz w:val="20"/>
        </w:rPr>
        <w:sectPr>
          <w:pgSz w:w="11900" w:h="16840"/>
          <w:pgMar w:header="971" w:footer="0" w:top="1300" w:bottom="280" w:left="1275" w:right="1275"/>
        </w:sectPr>
      </w:pPr>
    </w:p>
    <w:p>
      <w:pPr>
        <w:pStyle w:val="BodyText"/>
        <w:spacing w:before="106"/>
        <w:ind w:left="705"/>
      </w:pPr>
      <w:r>
        <w:rPr/>
        <w:t>third </w:t>
      </w:r>
      <w:r>
        <w:rPr>
          <w:spacing w:val="-2"/>
        </w:rPr>
        <w:t>party.</w:t>
      </w:r>
    </w:p>
    <w:p>
      <w:pPr>
        <w:pStyle w:val="BodyText"/>
        <w:spacing w:before="5"/>
      </w:pPr>
    </w:p>
    <w:p>
      <w:pPr>
        <w:tabs>
          <w:tab w:pos="705" w:val="left" w:leader="none"/>
        </w:tabs>
        <w:spacing w:before="1"/>
        <w:ind w:left="165" w:right="0" w:firstLine="0"/>
        <w:jc w:val="left"/>
        <w:rPr>
          <w:sz w:val="20"/>
        </w:rPr>
      </w:pPr>
      <w:bookmarkStart w:name="_bookmark976" w:id="978"/>
      <w:bookmarkEnd w:id="978"/>
      <w:r>
        <w:rPr/>
      </w:r>
      <w:hyperlink w:history="true" w:anchor="_bookmark961">
        <w:r>
          <w:rPr>
            <w:color w:val="005DA1"/>
            <w:spacing w:val="-4"/>
            <w:position w:val="5"/>
            <w:sz w:val="14"/>
            <w:u w:val="single" w:color="005DA1"/>
          </w:rPr>
          <w:t>512</w:t>
        </w:r>
      </w:hyperlink>
      <w:r>
        <w:rPr>
          <w:spacing w:val="-4"/>
          <w:position w:val="5"/>
          <w:sz w:val="14"/>
        </w:rPr>
        <w:t>.</w:t>
      </w:r>
      <w:r>
        <w:rPr>
          <w:position w:val="5"/>
          <w:sz w:val="14"/>
        </w:rPr>
        <w:tab/>
      </w:r>
      <w:r>
        <w:rPr>
          <w:rFonts w:ascii="Arial"/>
          <w:i/>
          <w:sz w:val="20"/>
        </w:rPr>
        <w:t>Gibson v Manchester City Council [1979] 1 W.L.R. 294, </w:t>
      </w:r>
      <w:r>
        <w:rPr>
          <w:rFonts w:ascii="Arial"/>
          <w:i/>
          <w:spacing w:val="-4"/>
          <w:sz w:val="20"/>
        </w:rPr>
        <w:t>302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977" w:id="979"/>
      <w:bookmarkEnd w:id="979"/>
      <w:r>
        <w:rPr/>
      </w:r>
      <w:hyperlink w:history="true" w:anchor="_bookmark962">
        <w:r>
          <w:rPr>
            <w:color w:val="005DA1"/>
            <w:spacing w:val="-4"/>
            <w:position w:val="5"/>
            <w:sz w:val="14"/>
            <w:u w:val="single" w:color="005DA1"/>
          </w:rPr>
          <w:t>513</w:t>
        </w:r>
      </w:hyperlink>
      <w:r>
        <w:rPr>
          <w:spacing w:val="-4"/>
          <w:position w:val="5"/>
          <w:sz w:val="14"/>
        </w:rPr>
        <w:t>.</w:t>
      </w:r>
      <w:r>
        <w:rPr>
          <w:position w:val="5"/>
          <w:sz w:val="14"/>
        </w:rPr>
        <w:tab/>
      </w:r>
      <w:r>
        <w:rPr>
          <w:sz w:val="20"/>
        </w:rPr>
        <w:t>Above, para.2-</w:t>
      </w:r>
      <w:r>
        <w:rPr>
          <w:spacing w:val="-4"/>
          <w:sz w:val="20"/>
        </w:rPr>
        <w:t>047.</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spacing w:before="194"/>
        <w:ind w:left="3612" w:right="0" w:firstLine="0"/>
        <w:jc w:val="left"/>
        <w:rPr>
          <w:rFonts w:ascii="Arial"/>
          <w:b/>
          <w:sz w:val="24"/>
        </w:rPr>
      </w:pPr>
      <w:r>
        <w:rPr>
          <w:rFonts w:ascii="Arial"/>
          <w:b/>
          <w:sz w:val="24"/>
        </w:rPr>
        <w:t>(c) - Lapse of </w:t>
      </w:r>
      <w:r>
        <w:rPr>
          <w:rFonts w:ascii="Arial"/>
          <w:b/>
          <w:spacing w:val="-4"/>
          <w:sz w:val="24"/>
        </w:rPr>
        <w:t>Time</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Specified </w:t>
      </w:r>
      <w:r>
        <w:rPr>
          <w:rFonts w:ascii="Arial"/>
          <w:b/>
          <w:spacing w:val="-4"/>
          <w:sz w:val="18"/>
        </w:rPr>
        <w:t>time</w:t>
      </w:r>
    </w:p>
    <w:p>
      <w:pPr>
        <w:pStyle w:val="BodyText"/>
        <w:spacing w:before="42"/>
        <w:rPr>
          <w:rFonts w:ascii="Arial"/>
          <w:b/>
          <w:sz w:val="18"/>
        </w:rPr>
      </w:pPr>
    </w:p>
    <w:p>
      <w:pPr>
        <w:pStyle w:val="Heading2"/>
      </w:pPr>
      <w:r>
        <w:rPr/>
        <w:t>2-</w:t>
      </w:r>
      <w:r>
        <w:rPr>
          <w:spacing w:val="-5"/>
        </w:rPr>
        <w:t>101</w:t>
      </w:r>
    </w:p>
    <w:p>
      <w:pPr>
        <w:pStyle w:val="BodyText"/>
        <w:spacing w:line="235" w:lineRule="auto" w:before="202"/>
        <w:ind w:left="165" w:right="167"/>
        <w:jc w:val="both"/>
      </w:pPr>
      <w:r>
        <w:rPr/>
        <w:t>An offer which expressly states that it will last only for a specified time cannot be accepted after that </w:t>
      </w:r>
      <w:bookmarkStart w:name="_bookmark978" w:id="980"/>
      <w:bookmarkEnd w:id="980"/>
      <w:r>
        <w:rPr/>
        <w:t>time;</w:t>
      </w:r>
      <w:r>
        <w:rPr/>
        <w:t> and the same is true where the time limit is set, not in the offer itself, but in the course of later </w:t>
      </w:r>
      <w:bookmarkStart w:name="_bookmark979" w:id="981"/>
      <w:bookmarkEnd w:id="981"/>
      <w:r>
        <w:rPr/>
        <w:t>negotiations</w:t>
      </w:r>
      <w:r>
        <w:rPr/>
        <w:t> between the parties to the alleged contract. </w:t>
      </w:r>
      <w:r>
        <w:rPr>
          <w:color w:val="005DA1"/>
          <w:u w:val="single" w:color="005DA1"/>
          <w:vertAlign w:val="superscript"/>
        </w:rPr>
        <w:t>514</w:t>
      </w:r>
      <w:r>
        <w:rPr>
          <w:color w:val="005DA1"/>
          <w:vertAlign w:val="baseline"/>
        </w:rPr>
        <w:t> </w:t>
      </w:r>
      <w:r>
        <w:rPr>
          <w:vertAlign w:val="baseline"/>
        </w:rPr>
        <w:t>The most common application of the present rule is to offers that take the form of options, </w:t>
      </w:r>
      <w:r>
        <w:rPr>
          <w:color w:val="005DA1"/>
          <w:u w:val="single" w:color="005DA1"/>
          <w:vertAlign w:val="superscript"/>
        </w:rPr>
        <w:t>515</w:t>
      </w:r>
      <w:r>
        <w:rPr>
          <w:color w:val="005DA1"/>
          <w:vertAlign w:val="baseline"/>
        </w:rPr>
        <w:t> </w:t>
      </w:r>
      <w:r>
        <w:rPr>
          <w:vertAlign w:val="baseline"/>
        </w:rPr>
        <w:t>which obviously cannot be accepted after the expiry of the period during which the option is expressed to be exercisable. On a similar principle, an </w:t>
      </w:r>
      <w:bookmarkStart w:name="_bookmark980" w:id="982"/>
      <w:bookmarkEnd w:id="982"/>
      <w:r>
        <w:rPr>
          <w:vertAlign w:val="baseline"/>
        </w:rPr>
        <w:t>offer</w:t>
      </w:r>
      <w:r>
        <w:rPr>
          <w:vertAlign w:val="baseline"/>
        </w:rPr>
        <w:t> that stipulates for acceptance “by return of post” must be accepted either in the specified way or by some other no less expeditious method. </w:t>
      </w:r>
      <w:r>
        <w:rPr>
          <w:color w:val="005DA1"/>
          <w:u w:val="single" w:color="005DA1"/>
          <w:vertAlign w:val="superscript"/>
        </w:rPr>
        <w:t>516</w:t>
      </w:r>
    </w:p>
    <w:p>
      <w:pPr>
        <w:pStyle w:val="BodyText"/>
      </w:pPr>
    </w:p>
    <w:p>
      <w:pPr>
        <w:pStyle w:val="BodyText"/>
        <w:spacing w:before="36"/>
      </w:pPr>
    </w:p>
    <w:p>
      <w:pPr>
        <w:spacing w:before="0"/>
        <w:ind w:left="165" w:right="0" w:firstLine="0"/>
        <w:jc w:val="left"/>
        <w:rPr>
          <w:rFonts w:ascii="Arial"/>
          <w:b/>
          <w:sz w:val="18"/>
        </w:rPr>
      </w:pPr>
      <w:r>
        <w:rPr>
          <w:rFonts w:ascii="Arial"/>
          <w:b/>
          <w:sz w:val="18"/>
        </w:rPr>
        <w:t>Reasonable </w:t>
      </w:r>
      <w:r>
        <w:rPr>
          <w:rFonts w:ascii="Arial"/>
          <w:b/>
          <w:spacing w:val="-4"/>
          <w:sz w:val="18"/>
        </w:rPr>
        <w:t>time</w:t>
      </w:r>
    </w:p>
    <w:p>
      <w:pPr>
        <w:pStyle w:val="BodyText"/>
        <w:spacing w:before="41"/>
        <w:rPr>
          <w:rFonts w:ascii="Arial"/>
          <w:b/>
          <w:sz w:val="18"/>
        </w:rPr>
      </w:pPr>
    </w:p>
    <w:p>
      <w:pPr>
        <w:pStyle w:val="Heading2"/>
        <w:spacing w:before="1"/>
      </w:pPr>
      <w:r>
        <w:rPr/>
        <w:t>2-</w:t>
      </w:r>
      <w:r>
        <w:rPr>
          <w:spacing w:val="-5"/>
        </w:rPr>
        <w:t>102</w:t>
      </w:r>
    </w:p>
    <w:p>
      <w:pPr>
        <w:pStyle w:val="BodyText"/>
        <w:spacing w:line="235" w:lineRule="auto" w:before="202"/>
        <w:ind w:left="165" w:right="167"/>
        <w:jc w:val="both"/>
      </w:pPr>
      <w:bookmarkStart w:name="_bookmark981" w:id="983"/>
      <w:bookmarkEnd w:id="983"/>
      <w:r>
        <w:rPr/>
      </w:r>
      <w:r>
        <w:rPr/>
        <w:t>Where the duration of an offer is not limited in one of the ways described in para.2-101 above, the offer comes to an end after the lapse of a reasonable time. </w:t>
      </w:r>
      <w:r>
        <w:rPr>
          <w:color w:val="005DA1"/>
          <w:u w:val="single" w:color="005DA1"/>
          <w:vertAlign w:val="superscript"/>
        </w:rPr>
        <w:t>517</w:t>
      </w:r>
      <w:r>
        <w:rPr>
          <w:color w:val="005DA1"/>
          <w:vertAlign w:val="baseline"/>
        </w:rPr>
        <w:t> </w:t>
      </w:r>
      <w:r>
        <w:rPr>
          <w:vertAlign w:val="baseline"/>
        </w:rPr>
        <w:t>What is a reasonable time depends on all the circumstances: for example on the nature of the subject-matter and on the means used </w:t>
      </w:r>
      <w:r>
        <w:rPr>
          <w:vertAlign w:val="baseline"/>
        </w:rPr>
        <w:t>to communicate the offer. An offer to sell a perishable thing, or a thing subject to sudden price </w:t>
      </w:r>
      <w:bookmarkStart w:name="_bookmark982" w:id="984"/>
      <w:bookmarkEnd w:id="984"/>
      <w:r>
        <w:rPr>
          <w:vertAlign w:val="baseline"/>
        </w:rPr>
        <w:t>fluctuations,</w:t>
      </w:r>
      <w:r>
        <w:rPr>
          <w:vertAlign w:val="baseline"/>
        </w:rPr>
        <w:t> would terminate after a relatively short time; and this would often also be true of an offer made by telegram</w:t>
      </w:r>
      <w:r>
        <w:rPr>
          <w:spacing w:val="-1"/>
          <w:vertAlign w:val="baseline"/>
        </w:rPr>
        <w:t> </w:t>
      </w:r>
      <w:r>
        <w:rPr>
          <w:color w:val="005DA1"/>
          <w:u w:val="single" w:color="005DA1"/>
          <w:vertAlign w:val="superscript"/>
        </w:rPr>
        <w:t>518</w:t>
      </w:r>
      <w:r>
        <w:rPr>
          <w:color w:val="005DA1"/>
          <w:spacing w:val="-1"/>
          <w:vertAlign w:val="baseline"/>
        </w:rPr>
        <w:t> </w:t>
      </w:r>
      <w:r>
        <w:rPr>
          <w:vertAlign w:val="baseline"/>
        </w:rPr>
        <w:t>or by other equally speedy means of communication such as email, telex or fax.</w:t>
      </w:r>
    </w:p>
    <w:p>
      <w:pPr>
        <w:pStyle w:val="BodyText"/>
      </w:pPr>
    </w:p>
    <w:p>
      <w:pPr>
        <w:pStyle w:val="BodyText"/>
        <w:spacing w:before="36"/>
      </w:pPr>
    </w:p>
    <w:p>
      <w:pPr>
        <w:spacing w:before="1"/>
        <w:ind w:left="165" w:right="0" w:firstLine="0"/>
        <w:jc w:val="left"/>
        <w:rPr>
          <w:rFonts w:ascii="Arial"/>
          <w:b/>
          <w:sz w:val="18"/>
        </w:rPr>
      </w:pPr>
      <w:r>
        <w:rPr>
          <w:rFonts w:ascii="Arial"/>
          <w:b/>
          <w:sz w:val="18"/>
        </w:rPr>
        <w:t>Effect of conduct of offeree known to </w:t>
      </w:r>
      <w:r>
        <w:rPr>
          <w:rFonts w:ascii="Arial"/>
          <w:b/>
          <w:spacing w:val="-2"/>
          <w:sz w:val="18"/>
        </w:rPr>
        <w:t>offeror</w:t>
      </w:r>
    </w:p>
    <w:p>
      <w:pPr>
        <w:pStyle w:val="BodyText"/>
        <w:spacing w:before="41"/>
        <w:rPr>
          <w:rFonts w:ascii="Arial"/>
          <w:b/>
          <w:sz w:val="18"/>
        </w:rPr>
      </w:pPr>
    </w:p>
    <w:p>
      <w:pPr>
        <w:pStyle w:val="Heading2"/>
      </w:pPr>
      <w:r>
        <w:rPr/>
        <w:t>2-</w:t>
      </w:r>
      <w:r>
        <w:rPr>
          <w:spacing w:val="-5"/>
        </w:rPr>
        <w:t>103</w:t>
      </w:r>
    </w:p>
    <w:p>
      <w:pPr>
        <w:pStyle w:val="BodyText"/>
        <w:spacing w:line="235" w:lineRule="auto" w:before="203"/>
        <w:ind w:left="165" w:right="167"/>
        <w:jc w:val="both"/>
      </w:pPr>
      <w:r>
        <w:rPr/>
        <w:t>The period which would normally constitute a reasonable time for acceptance may be extended if the conduct of the offeree within that period indicates an intention to accept and this is known to the offeror. Often on such facts there would be an acceptance by conduct, but this possibility may be</w:t>
      </w:r>
      <w:r>
        <w:rPr>
          <w:spacing w:val="40"/>
        </w:rPr>
        <w:t> </w:t>
      </w:r>
      <w:bookmarkStart w:name="_bookmark983" w:id="985"/>
      <w:bookmarkEnd w:id="985"/>
      <w:r>
        <w:rPr/>
        <w:t>ruled</w:t>
      </w:r>
      <w:r>
        <w:rPr/>
        <w:t> out by the terms of the offer, which may require the acceptance to be by written notice sent to a specified address. </w:t>
      </w:r>
      <w:r>
        <w:rPr>
          <w:color w:val="005DA1"/>
          <w:u w:val="single" w:color="005DA1"/>
          <w:vertAlign w:val="superscript"/>
        </w:rPr>
        <w:t>519</w:t>
      </w:r>
      <w:r>
        <w:rPr>
          <w:color w:val="005DA1"/>
          <w:vertAlign w:val="baseline"/>
        </w:rPr>
        <w:t> </w:t>
      </w:r>
      <w:r>
        <w:rPr>
          <w:vertAlign w:val="baseline"/>
        </w:rPr>
        <w:t>In such a case the offeree’s conduct, though it could not </w:t>
      </w:r>
      <w:r>
        <w:rPr>
          <w:rFonts w:ascii="Arial" w:hAnsi="Arial"/>
          <w:i/>
          <w:vertAlign w:val="baseline"/>
        </w:rPr>
        <w:t>amount </w:t>
      </w:r>
      <w:r>
        <w:rPr>
          <w:vertAlign w:val="baseline"/>
        </w:rPr>
        <w:t>to </w:t>
      </w:r>
      <w:r>
        <w:rPr>
          <w:vertAlign w:val="baseline"/>
        </w:rPr>
        <w:t>an acceptance, could nevertheless prolong the time for giving a proper notice of acceptance. For the offeree’s conduct to have this effect, it must be known to the offeror; for if this were not the case the offeror might reasonably suppose that the offer had not been accepted within the normal period of lapse, and act in reliance on that belief: e.g. by disposing elsewhere of the subject-matter.</w:t>
      </w:r>
    </w:p>
    <w:p>
      <w:pPr>
        <w:pStyle w:val="BodyText"/>
      </w:pPr>
    </w:p>
    <w:p>
      <w:pPr>
        <w:pStyle w:val="BodyText"/>
        <w:spacing w:before="35"/>
      </w:pPr>
    </w:p>
    <w:p>
      <w:pPr>
        <w:spacing w:before="0"/>
        <w:ind w:left="165" w:right="0" w:firstLine="0"/>
        <w:jc w:val="left"/>
        <w:rPr>
          <w:rFonts w:ascii="Arial"/>
          <w:b/>
          <w:sz w:val="18"/>
        </w:rPr>
      </w:pPr>
      <w:r>
        <w:rPr>
          <w:rFonts w:ascii="Arial"/>
          <w:b/>
          <w:sz w:val="18"/>
        </w:rPr>
        <w:t>Offer </w:t>
      </w:r>
      <w:r>
        <w:rPr>
          <w:rFonts w:ascii="Arial"/>
          <w:b/>
          <w:spacing w:val="-2"/>
          <w:sz w:val="18"/>
        </w:rPr>
        <w:t>delayed</w:t>
      </w:r>
    </w:p>
    <w:p>
      <w:pPr>
        <w:pStyle w:val="BodyText"/>
        <w:spacing w:before="41"/>
        <w:rPr>
          <w:rFonts w:ascii="Arial"/>
          <w:b/>
          <w:sz w:val="18"/>
        </w:rPr>
      </w:pPr>
    </w:p>
    <w:p>
      <w:pPr>
        <w:pStyle w:val="Heading2"/>
      </w:pPr>
      <w:r>
        <w:rPr/>
        <w:t>2-</w:t>
      </w:r>
      <w:r>
        <w:rPr>
          <w:spacing w:val="-5"/>
        </w:rPr>
        <w:t>104</w:t>
      </w:r>
    </w:p>
    <w:p>
      <w:pPr>
        <w:pStyle w:val="Heading2"/>
        <w:spacing w:after="0"/>
        <w:sectPr>
          <w:headerReference w:type="default" r:id="rId19"/>
          <w:pgSz w:w="11900" w:h="16840"/>
          <w:pgMar w:header="971" w:footer="0" w:top="1300" w:bottom="280" w:left="1275" w:right="1275"/>
          <w:pgNumType w:start="1"/>
        </w:sectPr>
      </w:pPr>
    </w:p>
    <w:p>
      <w:pPr>
        <w:pStyle w:val="BodyText"/>
        <w:spacing w:line="235" w:lineRule="auto" w:before="210"/>
        <w:ind w:left="165" w:right="167"/>
        <w:jc w:val="both"/>
      </w:pPr>
      <w:bookmarkStart w:name="_bookmark984" w:id="986"/>
      <w:bookmarkEnd w:id="986"/>
      <w:r>
        <w:rPr/>
      </w:r>
      <w:r>
        <w:rPr/>
        <w:t>If there has been some delay in the transmission of an offer that contains a time limit for its acceptance, the question </w:t>
      </w:r>
      <w:r>
        <w:rPr>
          <w:rFonts w:ascii="Arial" w:hAnsi="Arial"/>
          <w:i/>
        </w:rPr>
        <w:t>when </w:t>
      </w:r>
      <w:r>
        <w:rPr/>
        <w:t>the offer was made may arise. In </w:t>
      </w:r>
      <w:r>
        <w:rPr>
          <w:rFonts w:ascii="Arial" w:hAnsi="Arial"/>
          <w:i/>
        </w:rPr>
        <w:t>Adams v Lindsell </w:t>
      </w:r>
      <w:r>
        <w:rPr>
          <w:color w:val="005DA1"/>
          <w:u w:val="single" w:color="005DA1"/>
          <w:vertAlign w:val="superscript"/>
        </w:rPr>
        <w:t>520</w:t>
      </w:r>
      <w:r>
        <w:rPr>
          <w:color w:val="005DA1"/>
          <w:vertAlign w:val="baseline"/>
        </w:rPr>
        <w:t> </w:t>
      </w:r>
      <w:r>
        <w:rPr>
          <w:vertAlign w:val="baseline"/>
        </w:rPr>
        <w:t>the offeror sent a</w:t>
      </w:r>
      <w:r>
        <w:rPr>
          <w:spacing w:val="-1"/>
          <w:vertAlign w:val="baseline"/>
        </w:rPr>
        <w:t> </w:t>
      </w:r>
      <w:r>
        <w:rPr>
          <w:vertAlign w:val="baseline"/>
        </w:rPr>
        <w:t>letter</w:t>
      </w:r>
      <w:r>
        <w:rPr>
          <w:spacing w:val="-1"/>
          <w:vertAlign w:val="baseline"/>
        </w:rPr>
        <w:t> </w:t>
      </w:r>
      <w:r>
        <w:rPr>
          <w:vertAlign w:val="baseline"/>
        </w:rPr>
        <w:t>containing</w:t>
      </w:r>
      <w:r>
        <w:rPr>
          <w:spacing w:val="-1"/>
          <w:vertAlign w:val="baseline"/>
        </w:rPr>
        <w:t> </w:t>
      </w:r>
      <w:r>
        <w:rPr>
          <w:vertAlign w:val="baseline"/>
        </w:rPr>
        <w:t>an</w:t>
      </w:r>
      <w:r>
        <w:rPr>
          <w:spacing w:val="-1"/>
          <w:vertAlign w:val="baseline"/>
        </w:rPr>
        <w:t> </w:t>
      </w:r>
      <w:r>
        <w:rPr>
          <w:vertAlign w:val="baseline"/>
        </w:rPr>
        <w:t>offer</w:t>
      </w:r>
      <w:r>
        <w:rPr>
          <w:spacing w:val="-1"/>
          <w:vertAlign w:val="baseline"/>
        </w:rPr>
        <w:t> </w:t>
      </w:r>
      <w:r>
        <w:rPr>
          <w:vertAlign w:val="baseline"/>
        </w:rPr>
        <w:t>to</w:t>
      </w:r>
      <w:r>
        <w:rPr>
          <w:spacing w:val="-1"/>
          <w:vertAlign w:val="baseline"/>
        </w:rPr>
        <w:t> </w:t>
      </w:r>
      <w:r>
        <w:rPr>
          <w:vertAlign w:val="baseline"/>
        </w:rPr>
        <w:t>sell</w:t>
      </w:r>
      <w:r>
        <w:rPr>
          <w:spacing w:val="-1"/>
          <w:vertAlign w:val="baseline"/>
        </w:rPr>
        <w:t> </w:t>
      </w:r>
      <w:r>
        <w:rPr>
          <w:vertAlign w:val="baseline"/>
        </w:rPr>
        <w:t>wool</w:t>
      </w:r>
      <w:r>
        <w:rPr>
          <w:spacing w:val="-1"/>
          <w:vertAlign w:val="baseline"/>
        </w:rPr>
        <w:t> </w:t>
      </w:r>
      <w:r>
        <w:rPr>
          <w:vertAlign w:val="baseline"/>
        </w:rPr>
        <w:t>that</w:t>
      </w:r>
      <w:r>
        <w:rPr>
          <w:spacing w:val="-1"/>
          <w:vertAlign w:val="baseline"/>
        </w:rPr>
        <w:t> </w:t>
      </w:r>
      <w:r>
        <w:rPr>
          <w:vertAlign w:val="baseline"/>
        </w:rPr>
        <w:t>required</w:t>
      </w:r>
      <w:r>
        <w:rPr>
          <w:spacing w:val="-1"/>
          <w:vertAlign w:val="baseline"/>
        </w:rPr>
        <w:t> </w:t>
      </w:r>
      <w:r>
        <w:rPr>
          <w:vertAlign w:val="baseline"/>
        </w:rPr>
        <w:t>an</w:t>
      </w:r>
      <w:r>
        <w:rPr>
          <w:spacing w:val="-1"/>
          <w:vertAlign w:val="baseline"/>
        </w:rPr>
        <w:t> </w:t>
      </w:r>
      <w:r>
        <w:rPr>
          <w:vertAlign w:val="baseline"/>
        </w:rPr>
        <w:t>acceptance</w:t>
      </w:r>
      <w:r>
        <w:rPr>
          <w:spacing w:val="-1"/>
          <w:vertAlign w:val="baseline"/>
        </w:rPr>
        <w:t> </w:t>
      </w:r>
      <w:r>
        <w:rPr>
          <w:vertAlign w:val="baseline"/>
        </w:rPr>
        <w:t>by</w:t>
      </w:r>
      <w:r>
        <w:rPr>
          <w:spacing w:val="-1"/>
          <w:vertAlign w:val="baseline"/>
        </w:rPr>
        <w:t> </w:t>
      </w:r>
      <w:r>
        <w:rPr>
          <w:vertAlign w:val="baseline"/>
        </w:rPr>
        <w:t>return</w:t>
      </w:r>
      <w:r>
        <w:rPr>
          <w:spacing w:val="-1"/>
          <w:vertAlign w:val="baseline"/>
        </w:rPr>
        <w:t> </w:t>
      </w:r>
      <w:r>
        <w:rPr>
          <w:vertAlign w:val="baseline"/>
        </w:rPr>
        <w:t>post.</w:t>
      </w:r>
      <w:r>
        <w:rPr>
          <w:spacing w:val="-1"/>
          <w:vertAlign w:val="baseline"/>
        </w:rPr>
        <w:t> </w:t>
      </w:r>
      <w:r>
        <w:rPr>
          <w:vertAlign w:val="baseline"/>
        </w:rPr>
        <w:t>The</w:t>
      </w:r>
      <w:r>
        <w:rPr>
          <w:spacing w:val="-1"/>
          <w:vertAlign w:val="baseline"/>
        </w:rPr>
        <w:t> </w:t>
      </w:r>
      <w:r>
        <w:rPr>
          <w:vertAlign w:val="baseline"/>
        </w:rPr>
        <w:t>offer</w:t>
      </w:r>
      <w:r>
        <w:rPr>
          <w:spacing w:val="-1"/>
          <w:vertAlign w:val="baseline"/>
        </w:rPr>
        <w:t> </w:t>
      </w:r>
      <w:r>
        <w:rPr>
          <w:vertAlign w:val="baseline"/>
        </w:rPr>
        <w:t>letter</w:t>
      </w:r>
      <w:r>
        <w:rPr>
          <w:spacing w:val="-1"/>
          <w:vertAlign w:val="baseline"/>
        </w:rPr>
        <w:t> </w:t>
      </w:r>
      <w:r>
        <w:rPr>
          <w:vertAlign w:val="baseline"/>
        </w:rPr>
        <w:t>was misdirected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offerors</w:t>
      </w:r>
      <w:r>
        <w:rPr>
          <w:spacing w:val="-2"/>
          <w:vertAlign w:val="baseline"/>
        </w:rPr>
        <w:t> </w:t>
      </w:r>
      <w:r>
        <w:rPr>
          <w:vertAlign w:val="baseline"/>
        </w:rPr>
        <w:t>and</w:t>
      </w:r>
      <w:r>
        <w:rPr>
          <w:spacing w:val="-2"/>
          <w:vertAlign w:val="baseline"/>
        </w:rPr>
        <w:t> </w:t>
      </w:r>
      <w:r>
        <w:rPr>
          <w:vertAlign w:val="baseline"/>
        </w:rPr>
        <w:t>consequently</w:t>
      </w:r>
      <w:r>
        <w:rPr>
          <w:spacing w:val="-2"/>
          <w:vertAlign w:val="baseline"/>
        </w:rPr>
        <w:t> </w:t>
      </w:r>
      <w:r>
        <w:rPr>
          <w:vertAlign w:val="baseline"/>
        </w:rPr>
        <w:t>delayed</w:t>
      </w:r>
      <w:r>
        <w:rPr>
          <w:spacing w:val="-2"/>
          <w:vertAlign w:val="baseline"/>
        </w:rPr>
        <w:t> </w:t>
      </w:r>
      <w:r>
        <w:rPr>
          <w:vertAlign w:val="baseline"/>
        </w:rPr>
        <w:t>by</w:t>
      </w:r>
      <w:r>
        <w:rPr>
          <w:spacing w:val="-2"/>
          <w:vertAlign w:val="baseline"/>
        </w:rPr>
        <w:t> </w:t>
      </w:r>
      <w:r>
        <w:rPr>
          <w:vertAlign w:val="baseline"/>
        </w:rPr>
        <w:t>two</w:t>
      </w:r>
      <w:r>
        <w:rPr>
          <w:spacing w:val="-2"/>
          <w:vertAlign w:val="baseline"/>
        </w:rPr>
        <w:t> </w:t>
      </w:r>
      <w:r>
        <w:rPr>
          <w:vertAlign w:val="baseline"/>
        </w:rPr>
        <w:t>days.</w:t>
      </w:r>
      <w:r>
        <w:rPr>
          <w:spacing w:val="-2"/>
          <w:vertAlign w:val="baseline"/>
        </w:rPr>
        <w:t> </w:t>
      </w:r>
      <w:r>
        <w:rPr>
          <w:vertAlign w:val="baseline"/>
        </w:rPr>
        <w:t>On</w:t>
      </w:r>
      <w:r>
        <w:rPr>
          <w:spacing w:val="-2"/>
          <w:vertAlign w:val="baseline"/>
        </w:rPr>
        <w:t> </w:t>
      </w:r>
      <w:r>
        <w:rPr>
          <w:vertAlign w:val="baseline"/>
        </w:rPr>
        <w:t>receipt</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letter,</w:t>
      </w:r>
      <w:r>
        <w:rPr>
          <w:spacing w:val="-2"/>
          <w:vertAlign w:val="baseline"/>
        </w:rPr>
        <w:t> </w:t>
      </w:r>
      <w:r>
        <w:rPr>
          <w:vertAlign w:val="baseline"/>
        </w:rPr>
        <w:t>the</w:t>
      </w:r>
      <w:r>
        <w:rPr>
          <w:spacing w:val="-2"/>
          <w:vertAlign w:val="baseline"/>
        </w:rPr>
        <w:t> </w:t>
      </w:r>
      <w:r>
        <w:rPr>
          <w:vertAlign w:val="baseline"/>
        </w:rPr>
        <w:t>offeree immediately posted an acceptance. It was held that there was a binding contract as the delay arose “entirely from the mistake of the” offerors. However, if the delay had been of such length as to make it clear to the offeree that the offer was “stale,” it seems unlikely that the offeree could still have accepted; a fortiori, he could not have done so if the offer had reached him only after an expiry date specified in it. The emphasis placed in </w:t>
      </w:r>
      <w:r>
        <w:rPr>
          <w:rFonts w:ascii="Arial" w:hAnsi="Arial"/>
          <w:i/>
          <w:vertAlign w:val="baseline"/>
        </w:rPr>
        <w:t>Adams v Lindsell </w:t>
      </w:r>
      <w:r>
        <w:rPr>
          <w:vertAlign w:val="baseline"/>
        </w:rPr>
        <w:t>on the fault of the offerors also makes it possible to argue for a different result in that case if the delay had been due to some other factor,</w:t>
      </w:r>
      <w:r>
        <w:rPr>
          <w:spacing w:val="40"/>
          <w:vertAlign w:val="baseline"/>
        </w:rPr>
        <w:t> </w:t>
      </w:r>
      <w:r>
        <w:rPr>
          <w:vertAlign w:val="baseline"/>
        </w:rPr>
        <w:t>such as an accident in the post. The time within which the offer could be accepted might then have </w:t>
      </w:r>
      <w:bookmarkStart w:name="_bookmark985" w:id="987"/>
      <w:bookmarkEnd w:id="987"/>
      <w:r>
        <w:rPr>
          <w:vertAlign w:val="baseline"/>
        </w:rPr>
        <w:t>run,</w:t>
      </w:r>
      <w:r>
        <w:rPr>
          <w:vertAlign w:val="baseline"/>
        </w:rPr>
        <w:t> not from the time of the offeree’s receipt of the offer, but from the time at which the offer would, but for the accident, have been communicated </w:t>
      </w:r>
      <w:r>
        <w:rPr>
          <w:color w:val="005DA1"/>
          <w:u w:val="single" w:color="005DA1"/>
          <w:vertAlign w:val="superscript"/>
        </w:rPr>
        <w:t>521</w:t>
      </w:r>
      <w:r>
        <w:rPr>
          <w:color w:val="005DA1"/>
          <w:vertAlign w:val="baseline"/>
        </w:rPr>
        <w:t> </w:t>
      </w:r>
      <w:r>
        <w:rPr>
          <w:vertAlign w:val="baseline"/>
        </w:rPr>
        <w:t>to the offeree.</w:t>
      </w:r>
    </w:p>
    <w:p>
      <w:pPr>
        <w:pStyle w:val="BodyText"/>
      </w:pPr>
    </w:p>
    <w:p>
      <w:pPr>
        <w:pStyle w:val="BodyText"/>
        <w:spacing w:before="35"/>
      </w:pPr>
      <w:r>
        <w:rPr/>
        <mc:AlternateContent>
          <mc:Choice Requires="wps">
            <w:drawing>
              <wp:anchor distT="0" distB="0" distL="0" distR="0" allowOverlap="1" layoutInCell="1" locked="0" behindDoc="1" simplePos="0" relativeHeight="487608832">
                <wp:simplePos x="0" y="0"/>
                <wp:positionH relativeFrom="page">
                  <wp:posOffset>914400</wp:posOffset>
                </wp:positionH>
                <wp:positionV relativeFrom="paragraph">
                  <wp:posOffset>183795</wp:posOffset>
                </wp:positionV>
                <wp:extent cx="5724525" cy="1270"/>
                <wp:effectExtent l="0" t="0" r="0" b="0"/>
                <wp:wrapTopAndBottom/>
                <wp:docPr id="74" name="Graphic 74"/>
                <wp:cNvGraphicFramePr>
                  <a:graphicFrameLocks/>
                </wp:cNvGraphicFramePr>
                <a:graphic>
                  <a:graphicData uri="http://schemas.microsoft.com/office/word/2010/wordprocessingShape">
                    <wps:wsp>
                      <wps:cNvPr id="74" name="Graphic 7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72058pt;width:450.75pt;height:.1pt;mso-position-horizontal-relative:page;mso-position-vertical-relative:paragraph;z-index:-15707648;mso-wrap-distance-left:0;mso-wrap-distance-right:0" id="docshape27" coordorigin="1440,289" coordsize="9015,0" path="m1440,289l10454,289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986" w:id="988"/>
      <w:bookmarkEnd w:id="988"/>
      <w:r>
        <w:rPr/>
      </w:r>
      <w:hyperlink w:history="true" w:anchor="_bookmark978">
        <w:r>
          <w:rPr>
            <w:color w:val="005DA1"/>
            <w:position w:val="5"/>
            <w:sz w:val="14"/>
            <w:u w:val="single" w:color="005DA1"/>
          </w:rPr>
          <w:t>514</w:t>
        </w:r>
      </w:hyperlink>
      <w:r>
        <w:rPr>
          <w:position w:val="5"/>
          <w:sz w:val="14"/>
        </w:rPr>
        <w:t>.</w:t>
      </w:r>
      <w:r>
        <w:rPr>
          <w:spacing w:val="80"/>
          <w:position w:val="5"/>
          <w:sz w:val="14"/>
        </w:rPr>
        <w:t>  </w:t>
      </w:r>
      <w:r>
        <w:rPr>
          <w:rFonts w:ascii="Arial"/>
          <w:i/>
          <w:sz w:val="20"/>
        </w:rPr>
        <w:t>Grant v Bragg [2009] EWCA Civ 1228, [2009] 1 All E.R. (Comm) 1166 </w:t>
      </w:r>
      <w:r>
        <w:rPr>
          <w:sz w:val="20"/>
        </w:rPr>
        <w:t>at [25]. The concept </w:t>
      </w:r>
      <w:r>
        <w:rPr>
          <w:sz w:val="20"/>
        </w:rPr>
        <w:t>that an offer is terminated by lapse of time does not apply to an offer made under CPR Pt 36. It was held in </w:t>
      </w:r>
      <w:r>
        <w:rPr>
          <w:rFonts w:ascii="Arial"/>
          <w:i/>
          <w:sz w:val="20"/>
        </w:rPr>
        <w:t>C v D [2011] EWCA Civ 646, [2012] 1 All E.R. 302 </w:t>
      </w:r>
      <w:r>
        <w:rPr>
          <w:sz w:val="20"/>
        </w:rPr>
        <w:t>at [40], [70] and [83] that such an offer remains open for acceptance until it is formally withdrawn, in accordance with the provisions of Pt 36.</w:t>
      </w:r>
    </w:p>
    <w:p>
      <w:pPr>
        <w:pStyle w:val="BodyText"/>
        <w:spacing w:before="4"/>
      </w:pPr>
    </w:p>
    <w:p>
      <w:pPr>
        <w:pStyle w:val="BodyText"/>
        <w:tabs>
          <w:tab w:pos="705" w:val="left" w:leader="none"/>
        </w:tabs>
        <w:ind w:left="165"/>
      </w:pPr>
      <w:bookmarkStart w:name="_bookmark987" w:id="989"/>
      <w:bookmarkEnd w:id="989"/>
      <w:r>
        <w:rPr/>
      </w:r>
      <w:hyperlink w:history="true" w:anchor="_bookmark979">
        <w:r>
          <w:rPr>
            <w:color w:val="005DA1"/>
            <w:spacing w:val="-4"/>
            <w:position w:val="5"/>
            <w:sz w:val="14"/>
            <w:u w:val="single" w:color="005DA1"/>
          </w:rPr>
          <w:t>515</w:t>
        </w:r>
      </w:hyperlink>
      <w:r>
        <w:rPr>
          <w:spacing w:val="-4"/>
          <w:position w:val="5"/>
          <w:sz w:val="14"/>
        </w:rPr>
        <w:t>.</w:t>
      </w:r>
      <w:r>
        <w:rPr>
          <w:position w:val="5"/>
          <w:sz w:val="14"/>
        </w:rPr>
        <w:tab/>
      </w:r>
      <w:r>
        <w:rPr/>
        <w:t>For the legal nature of an enforceable option, see below, para.4-193 </w:t>
      </w:r>
      <w:r>
        <w:rPr>
          <w:spacing w:val="-2"/>
        </w:rPr>
        <w:t>n.1234.</w:t>
      </w:r>
    </w:p>
    <w:p>
      <w:pPr>
        <w:pStyle w:val="BodyText"/>
        <w:spacing w:before="5"/>
      </w:pPr>
    </w:p>
    <w:p>
      <w:pPr>
        <w:pStyle w:val="BodyText"/>
        <w:tabs>
          <w:tab w:pos="705" w:val="left" w:leader="none"/>
        </w:tabs>
        <w:ind w:left="165"/>
      </w:pPr>
      <w:bookmarkStart w:name="_bookmark988" w:id="990"/>
      <w:bookmarkEnd w:id="990"/>
      <w:r>
        <w:rPr/>
      </w:r>
      <w:hyperlink w:history="true" w:anchor="_bookmark980">
        <w:r>
          <w:rPr>
            <w:color w:val="005DA1"/>
            <w:spacing w:val="-4"/>
            <w:position w:val="5"/>
            <w:sz w:val="14"/>
            <w:u w:val="single" w:color="005DA1"/>
          </w:rPr>
          <w:t>516</w:t>
        </w:r>
      </w:hyperlink>
      <w:r>
        <w:rPr>
          <w:spacing w:val="-4"/>
          <w:position w:val="5"/>
          <w:sz w:val="14"/>
        </w:rPr>
        <w:t>.</w:t>
      </w:r>
      <w:r>
        <w:rPr>
          <w:position w:val="5"/>
          <w:sz w:val="14"/>
        </w:rPr>
        <w:tab/>
      </w:r>
      <w:r>
        <w:rPr/>
        <w:t>cf. above, paras 2-063, 2-</w:t>
      </w:r>
      <w:r>
        <w:rPr>
          <w:spacing w:val="-4"/>
        </w:rPr>
        <w:t>065.</w:t>
      </w:r>
    </w:p>
    <w:p>
      <w:pPr>
        <w:pStyle w:val="BodyText"/>
        <w:spacing w:before="9"/>
      </w:pPr>
    </w:p>
    <w:p>
      <w:pPr>
        <w:spacing w:line="235" w:lineRule="auto" w:before="0"/>
        <w:ind w:left="705" w:right="167" w:hanging="541"/>
        <w:jc w:val="both"/>
        <w:rPr>
          <w:sz w:val="20"/>
        </w:rPr>
      </w:pPr>
      <w:bookmarkStart w:name="_bookmark989" w:id="991"/>
      <w:bookmarkEnd w:id="991"/>
      <w:r>
        <w:rPr/>
      </w:r>
      <w:hyperlink w:history="true" w:anchor="_bookmark981">
        <w:r>
          <w:rPr>
            <w:color w:val="005DA1"/>
            <w:position w:val="5"/>
            <w:sz w:val="14"/>
            <w:u w:val="single" w:color="005DA1"/>
          </w:rPr>
          <w:t>517</w:t>
        </w:r>
      </w:hyperlink>
      <w:r>
        <w:rPr>
          <w:position w:val="5"/>
          <w:sz w:val="14"/>
        </w:rPr>
        <w:t>.</w:t>
      </w:r>
      <w:r>
        <w:rPr>
          <w:spacing w:val="80"/>
          <w:w w:val="150"/>
          <w:position w:val="5"/>
          <w:sz w:val="14"/>
        </w:rPr>
        <w:t> </w:t>
      </w:r>
      <w:r>
        <w:rPr>
          <w:rFonts w:ascii="Arial" w:hAnsi="Arial"/>
          <w:i/>
          <w:sz w:val="20"/>
        </w:rPr>
        <w:t>Ramsgate Victoria Hotel Co v Montefiore (1866) L.R. 1 Ex. 109</w:t>
      </w:r>
      <w:r>
        <w:rPr>
          <w:sz w:val="20"/>
        </w:rPr>
        <w:t>; see also </w:t>
      </w:r>
      <w:r>
        <w:rPr>
          <w:rFonts w:ascii="Arial" w:hAnsi="Arial"/>
          <w:i/>
          <w:sz w:val="20"/>
        </w:rPr>
        <w:t>Reynolds v </w:t>
      </w:r>
      <w:r>
        <w:rPr>
          <w:rFonts w:ascii="Arial" w:hAnsi="Arial"/>
          <w:i/>
          <w:sz w:val="20"/>
        </w:rPr>
        <w:t>Atherton (1922) 127 L.T. 189</w:t>
      </w:r>
      <w:r>
        <w:rPr>
          <w:sz w:val="20"/>
        </w:rPr>
        <w:t>; </w:t>
      </w:r>
      <w:r>
        <w:rPr>
          <w:rFonts w:ascii="Arial" w:hAnsi="Arial"/>
          <w:i/>
          <w:sz w:val="20"/>
        </w:rPr>
        <w:t>Chem Co Leasing SpA v Rediffusion [1987] 1 F.T.L.R. 201</w:t>
      </w:r>
      <w:r>
        <w:rPr>
          <w:sz w:val="20"/>
        </w:rPr>
        <w:t>. And cf. </w:t>
      </w:r>
      <w:r>
        <w:rPr>
          <w:rFonts w:ascii="Arial" w:hAnsi="Arial"/>
          <w:i/>
          <w:sz w:val="20"/>
        </w:rPr>
        <w:t>L.J. Korbetis v Transgrain Shipping BV [2005] EWHC 1345 (QB) </w:t>
      </w:r>
      <w:r>
        <w:rPr>
          <w:sz w:val="20"/>
        </w:rPr>
        <w:t>(offer to appoint an arbitrator to whom</w:t>
      </w:r>
      <w:r>
        <w:rPr>
          <w:spacing w:val="-1"/>
          <w:sz w:val="20"/>
        </w:rPr>
        <w:t> </w:t>
      </w:r>
      <w:r>
        <w:rPr>
          <w:sz w:val="20"/>
        </w:rPr>
        <w:t>disputes</w:t>
      </w:r>
      <w:r>
        <w:rPr>
          <w:spacing w:val="-1"/>
          <w:sz w:val="20"/>
        </w:rPr>
        <w:t> </w:t>
      </w:r>
      <w:r>
        <w:rPr>
          <w:sz w:val="20"/>
        </w:rPr>
        <w:t>under</w:t>
      </w:r>
      <w:r>
        <w:rPr>
          <w:spacing w:val="-1"/>
          <w:sz w:val="20"/>
        </w:rPr>
        <w:t> </w:t>
      </w:r>
      <w:r>
        <w:rPr>
          <w:sz w:val="20"/>
        </w:rPr>
        <w:t>a</w:t>
      </w:r>
      <w:r>
        <w:rPr>
          <w:spacing w:val="-1"/>
          <w:sz w:val="20"/>
        </w:rPr>
        <w:t> </w:t>
      </w:r>
      <w:r>
        <w:rPr>
          <w:sz w:val="20"/>
        </w:rPr>
        <w:t>charterparty</w:t>
      </w:r>
      <w:r>
        <w:rPr>
          <w:spacing w:val="-1"/>
          <w:sz w:val="20"/>
        </w:rPr>
        <w:t> </w:t>
      </w:r>
      <w:r>
        <w:rPr>
          <w:sz w:val="20"/>
        </w:rPr>
        <w:t>were</w:t>
      </w:r>
      <w:r>
        <w:rPr>
          <w:spacing w:val="-1"/>
          <w:sz w:val="20"/>
        </w:rPr>
        <w:t> </w:t>
      </w:r>
      <w:r>
        <w:rPr>
          <w:sz w:val="20"/>
        </w:rPr>
        <w:t>to</w:t>
      </w:r>
      <w:r>
        <w:rPr>
          <w:spacing w:val="-1"/>
          <w:sz w:val="20"/>
        </w:rPr>
        <w:t> </w:t>
      </w:r>
      <w:r>
        <w:rPr>
          <w:sz w:val="20"/>
        </w:rPr>
        <w:t>be</w:t>
      </w:r>
      <w:r>
        <w:rPr>
          <w:spacing w:val="-1"/>
          <w:sz w:val="20"/>
        </w:rPr>
        <w:t> </w:t>
      </w:r>
      <w:r>
        <w:rPr>
          <w:sz w:val="20"/>
        </w:rPr>
        <w:t>referred</w:t>
      </w:r>
      <w:r>
        <w:rPr>
          <w:spacing w:val="-1"/>
          <w:sz w:val="20"/>
        </w:rPr>
        <w:t> </w:t>
      </w:r>
      <w:r>
        <w:rPr>
          <w:sz w:val="20"/>
        </w:rPr>
        <w:t>held</w:t>
      </w:r>
      <w:r>
        <w:rPr>
          <w:spacing w:val="-1"/>
          <w:sz w:val="20"/>
        </w:rPr>
        <w:t> </w:t>
      </w:r>
      <w:r>
        <w:rPr>
          <w:sz w:val="20"/>
        </w:rPr>
        <w:t>to</w:t>
      </w:r>
      <w:r>
        <w:rPr>
          <w:spacing w:val="-1"/>
          <w:sz w:val="20"/>
        </w:rPr>
        <w:t> </w:t>
      </w:r>
      <w:r>
        <w:rPr>
          <w:sz w:val="20"/>
        </w:rPr>
        <w:t>have</w:t>
      </w:r>
      <w:r>
        <w:rPr>
          <w:spacing w:val="-1"/>
          <w:sz w:val="20"/>
        </w:rPr>
        <w:t> </w:t>
      </w:r>
      <w:r>
        <w:rPr>
          <w:sz w:val="20"/>
        </w:rPr>
        <w:t>lapsed</w:t>
      </w:r>
      <w:r>
        <w:rPr>
          <w:spacing w:val="-1"/>
          <w:sz w:val="20"/>
        </w:rPr>
        <w:t> </w:t>
      </w:r>
      <w:r>
        <w:rPr>
          <w:sz w:val="20"/>
        </w:rPr>
        <w:t>after</w:t>
      </w:r>
      <w:r>
        <w:rPr>
          <w:spacing w:val="-1"/>
          <w:sz w:val="20"/>
        </w:rPr>
        <w:t> </w:t>
      </w:r>
      <w:r>
        <w:rPr>
          <w:sz w:val="20"/>
        </w:rPr>
        <w:t>eight</w:t>
      </w:r>
      <w:r>
        <w:rPr>
          <w:spacing w:val="-1"/>
          <w:sz w:val="20"/>
        </w:rPr>
        <w:t> </w:t>
      </w:r>
      <w:r>
        <w:rPr>
          <w:sz w:val="20"/>
        </w:rPr>
        <w:t>months; the fact that the charterparty required agreement on the appointment to be made “forthwith”</w:t>
      </w:r>
      <w:r>
        <w:rPr>
          <w:spacing w:val="40"/>
          <w:sz w:val="20"/>
        </w:rPr>
        <w:t> </w:t>
      </w:r>
      <w:r>
        <w:rPr>
          <w:sz w:val="20"/>
        </w:rPr>
        <w:t>was said at [18] to connote “some urgency”). Semble, the offeror could waive the delay. See also Vienna Convention on Contracts for the International Sale of Goods (above, para.2-061) </w:t>
      </w:r>
      <w:r>
        <w:rPr>
          <w:spacing w:val="-2"/>
          <w:sz w:val="20"/>
        </w:rPr>
        <w:t>art.21(1).</w:t>
      </w:r>
    </w:p>
    <w:p>
      <w:pPr>
        <w:pStyle w:val="BodyText"/>
        <w:spacing w:before="3"/>
      </w:pPr>
    </w:p>
    <w:p>
      <w:pPr>
        <w:tabs>
          <w:tab w:pos="705" w:val="left" w:leader="none"/>
        </w:tabs>
        <w:spacing w:before="0"/>
        <w:ind w:left="165" w:right="0" w:firstLine="0"/>
        <w:jc w:val="left"/>
        <w:rPr>
          <w:sz w:val="20"/>
        </w:rPr>
      </w:pPr>
      <w:bookmarkStart w:name="_bookmark990" w:id="992"/>
      <w:bookmarkEnd w:id="992"/>
      <w:r>
        <w:rPr/>
      </w:r>
      <w:hyperlink w:history="true" w:anchor="_bookmark982">
        <w:r>
          <w:rPr>
            <w:color w:val="005DA1"/>
            <w:spacing w:val="-4"/>
            <w:position w:val="5"/>
            <w:sz w:val="14"/>
            <w:u w:val="single" w:color="005DA1"/>
          </w:rPr>
          <w:t>518</w:t>
        </w:r>
      </w:hyperlink>
      <w:r>
        <w:rPr>
          <w:spacing w:val="-4"/>
          <w:position w:val="5"/>
          <w:sz w:val="14"/>
        </w:rPr>
        <w:t>.</w:t>
      </w:r>
      <w:r>
        <w:rPr>
          <w:position w:val="5"/>
          <w:sz w:val="14"/>
        </w:rPr>
        <w:tab/>
      </w:r>
      <w:r>
        <w:rPr>
          <w:rFonts w:ascii="Arial"/>
          <w:i/>
          <w:sz w:val="20"/>
        </w:rPr>
        <w:t>Quenerduaine v Cole (1883) 32 W.R. </w:t>
      </w:r>
      <w:r>
        <w:rPr>
          <w:rFonts w:ascii="Arial"/>
          <w:i/>
          <w:spacing w:val="-4"/>
          <w:sz w:val="20"/>
        </w:rPr>
        <w:t>185</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991" w:id="993"/>
      <w:bookmarkEnd w:id="993"/>
      <w:r>
        <w:rPr/>
      </w:r>
      <w:hyperlink w:history="true" w:anchor="_bookmark983">
        <w:r>
          <w:rPr>
            <w:color w:val="005DA1"/>
            <w:spacing w:val="-4"/>
            <w:position w:val="5"/>
            <w:sz w:val="14"/>
            <w:u w:val="single" w:color="005DA1"/>
          </w:rPr>
          <w:t>519</w:t>
        </w:r>
      </w:hyperlink>
      <w:r>
        <w:rPr>
          <w:spacing w:val="-4"/>
          <w:position w:val="5"/>
          <w:sz w:val="14"/>
        </w:rPr>
        <w:t>.</w:t>
      </w:r>
      <w:r>
        <w:rPr>
          <w:position w:val="5"/>
          <w:sz w:val="14"/>
        </w:rPr>
        <w:tab/>
      </w:r>
      <w:r>
        <w:rPr>
          <w:sz w:val="20"/>
        </w:rPr>
        <w:t>As in </w:t>
      </w:r>
      <w:r>
        <w:rPr>
          <w:rFonts w:ascii="Arial"/>
          <w:i/>
          <w:sz w:val="20"/>
        </w:rPr>
        <w:t>Manchester Diocesan Council for Education v Commercial and General Investments </w:t>
      </w:r>
      <w:r>
        <w:rPr>
          <w:rFonts w:ascii="Arial"/>
          <w:i/>
          <w:sz w:val="20"/>
        </w:rPr>
        <w:t>Ltd [1970] 1 W.L.R. 241</w:t>
      </w:r>
      <w:r>
        <w:rPr>
          <w:sz w:val="20"/>
        </w:rPr>
        <w:t>.</w:t>
      </w:r>
    </w:p>
    <w:p>
      <w:pPr>
        <w:pStyle w:val="BodyText"/>
        <w:spacing w:before="5"/>
      </w:pPr>
    </w:p>
    <w:p>
      <w:pPr>
        <w:tabs>
          <w:tab w:pos="705" w:val="left" w:leader="none"/>
        </w:tabs>
        <w:spacing w:before="1"/>
        <w:ind w:left="165" w:right="0" w:firstLine="0"/>
        <w:jc w:val="left"/>
        <w:rPr>
          <w:sz w:val="20"/>
        </w:rPr>
      </w:pPr>
      <w:bookmarkStart w:name="_bookmark992" w:id="994"/>
      <w:bookmarkEnd w:id="994"/>
      <w:r>
        <w:rPr/>
      </w:r>
      <w:hyperlink w:history="true" w:anchor="_bookmark984">
        <w:r>
          <w:rPr>
            <w:color w:val="005DA1"/>
            <w:spacing w:val="-4"/>
            <w:position w:val="5"/>
            <w:sz w:val="14"/>
            <w:u w:val="single" w:color="005DA1"/>
          </w:rPr>
          <w:t>520</w:t>
        </w:r>
      </w:hyperlink>
      <w:r>
        <w:rPr>
          <w:spacing w:val="-4"/>
          <w:position w:val="5"/>
          <w:sz w:val="14"/>
        </w:rPr>
        <w:t>.</w:t>
      </w:r>
      <w:r>
        <w:rPr>
          <w:position w:val="5"/>
          <w:sz w:val="14"/>
        </w:rPr>
        <w:tab/>
      </w:r>
      <w:r>
        <w:rPr>
          <w:rFonts w:ascii="Arial" w:hAnsi="Arial"/>
          <w:i/>
          <w:sz w:val="20"/>
        </w:rPr>
        <w:t>(1818)</w:t>
      </w:r>
      <w:r>
        <w:rPr>
          <w:rFonts w:ascii="Arial" w:hAnsi="Arial"/>
          <w:i/>
          <w:spacing w:val="-1"/>
          <w:sz w:val="20"/>
        </w:rPr>
        <w:t> </w:t>
      </w:r>
      <w:r>
        <w:rPr>
          <w:rFonts w:ascii="Arial" w:hAnsi="Arial"/>
          <w:i/>
          <w:sz w:val="20"/>
        </w:rPr>
        <w:t>1 B. &amp; Ald. 681</w:t>
      </w:r>
      <w:r>
        <w:rPr>
          <w:sz w:val="20"/>
        </w:rPr>
        <w:t>; Winfield (1939) 55 L.Q.R. at 499, </w:t>
      </w:r>
      <w:r>
        <w:rPr>
          <w:spacing w:val="-2"/>
          <w:sz w:val="20"/>
        </w:rPr>
        <w:t>503–504.</w:t>
      </w:r>
    </w:p>
    <w:p>
      <w:pPr>
        <w:pStyle w:val="BodyText"/>
        <w:spacing w:before="4"/>
      </w:pPr>
    </w:p>
    <w:p>
      <w:pPr>
        <w:pStyle w:val="BodyText"/>
        <w:tabs>
          <w:tab w:pos="705" w:val="left" w:leader="none"/>
        </w:tabs>
        <w:spacing w:before="1"/>
        <w:ind w:left="165"/>
      </w:pPr>
      <w:bookmarkStart w:name="_bookmark993" w:id="995"/>
      <w:bookmarkEnd w:id="995"/>
      <w:r>
        <w:rPr/>
      </w:r>
      <w:hyperlink w:history="true" w:anchor="_bookmark985">
        <w:r>
          <w:rPr>
            <w:color w:val="005DA1"/>
            <w:spacing w:val="-4"/>
            <w:position w:val="5"/>
            <w:sz w:val="14"/>
            <w:u w:val="single" w:color="005DA1"/>
          </w:rPr>
          <w:t>521</w:t>
        </w:r>
      </w:hyperlink>
      <w:r>
        <w:rPr>
          <w:spacing w:val="-4"/>
          <w:position w:val="5"/>
          <w:sz w:val="14"/>
        </w:rPr>
        <w:t>.</w:t>
      </w:r>
      <w:r>
        <w:rPr>
          <w:position w:val="5"/>
          <w:sz w:val="14"/>
        </w:rPr>
        <w:tab/>
      </w:r>
      <w:r>
        <w:rPr/>
        <w:t>As to the meaning of “communicated” cf. above, paras 2-045, 2-</w:t>
      </w:r>
      <w:r>
        <w:rPr>
          <w:spacing w:val="-4"/>
        </w:rPr>
        <w:t>094.</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pStyle w:val="ListParagraph"/>
        <w:numPr>
          <w:ilvl w:val="0"/>
          <w:numId w:val="5"/>
        </w:numPr>
        <w:tabs>
          <w:tab w:pos="3378" w:val="left" w:leader="none"/>
        </w:tabs>
        <w:spacing w:line="240" w:lineRule="auto" w:before="194" w:after="0"/>
        <w:ind w:left="3378" w:right="0" w:hanging="373"/>
        <w:jc w:val="left"/>
        <w:rPr>
          <w:b/>
          <w:sz w:val="24"/>
        </w:rPr>
      </w:pPr>
      <w:r>
        <w:rPr>
          <w:b/>
          <w:sz w:val="24"/>
        </w:rPr>
        <w:t>- Occurrence of </w:t>
      </w:r>
      <w:r>
        <w:rPr>
          <w:b/>
          <w:spacing w:val="-2"/>
          <w:sz w:val="24"/>
        </w:rPr>
        <w:t>Condition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Provision for termination of </w:t>
      </w:r>
      <w:r>
        <w:rPr>
          <w:rFonts w:ascii="Arial"/>
          <w:b/>
          <w:spacing w:val="-2"/>
          <w:sz w:val="18"/>
        </w:rPr>
        <w:t>offer</w:t>
      </w:r>
    </w:p>
    <w:p>
      <w:pPr>
        <w:pStyle w:val="BodyText"/>
        <w:spacing w:before="42"/>
        <w:rPr>
          <w:rFonts w:ascii="Arial"/>
          <w:b/>
          <w:sz w:val="18"/>
        </w:rPr>
      </w:pPr>
    </w:p>
    <w:p>
      <w:pPr>
        <w:pStyle w:val="Heading2"/>
      </w:pPr>
      <w:r>
        <w:rPr/>
        <w:t>2-</w:t>
      </w:r>
      <w:r>
        <w:rPr>
          <w:spacing w:val="-5"/>
        </w:rPr>
        <w:t>105</w:t>
      </w:r>
    </w:p>
    <w:p>
      <w:pPr>
        <w:pStyle w:val="BodyText"/>
        <w:spacing w:line="235" w:lineRule="auto" w:before="202"/>
        <w:ind w:left="164" w:right="167"/>
        <w:jc w:val="both"/>
      </w:pPr>
      <w:r>
        <w:rPr/>
        <w:t>An offer which expressly provides that it is to determine on the occurrence of some condition cannot be accepted after that condition has occurred; and a similar provision for determination may </w:t>
      </w:r>
      <w:r>
        <w:rPr/>
        <w:t>be implied. If an offer to buy, or hire-purchase, goods is made after the offeror has examined them, it</w:t>
      </w:r>
      <w:r>
        <w:rPr>
          <w:spacing w:val="40"/>
        </w:rPr>
        <w:t> </w:t>
      </w:r>
      <w:r>
        <w:rPr/>
        <w:t>may be subject to the implied condition that they should, at the time of the acceptance, still be in </w:t>
      </w:r>
      <w:bookmarkStart w:name="_bookmark994" w:id="996"/>
      <w:bookmarkEnd w:id="996"/>
      <w:r>
        <w:rPr/>
        <w:t>substantially</w:t>
      </w:r>
      <w:r>
        <w:rPr/>
        <w:t> the same state as that in which they were when the offer was made. Such an offer could </w:t>
      </w:r>
      <w:bookmarkStart w:name="_bookmark995" w:id="997"/>
      <w:bookmarkEnd w:id="997"/>
      <w:r>
        <w:rPr/>
        <w:t>not</w:t>
      </w:r>
      <w:r>
        <w:rPr/>
        <w:t> be accepted after the goods had been seriously damaged. </w:t>
      </w:r>
      <w:r>
        <w:rPr>
          <w:color w:val="005DA1"/>
          <w:u w:val="single" w:color="005DA1"/>
          <w:vertAlign w:val="superscript"/>
        </w:rPr>
        <w:t>522</w:t>
      </w:r>
      <w:r>
        <w:rPr>
          <w:color w:val="005DA1"/>
          <w:vertAlign w:val="baseline"/>
        </w:rPr>
        <w:t> </w:t>
      </w:r>
      <w:r>
        <w:rPr>
          <w:vertAlign w:val="baseline"/>
        </w:rPr>
        <w:t>Similarly, an offer to insure the life</w:t>
      </w:r>
      <w:r>
        <w:rPr>
          <w:spacing w:val="40"/>
          <w:vertAlign w:val="baseline"/>
        </w:rPr>
        <w:t> </w:t>
      </w:r>
      <w:r>
        <w:rPr>
          <w:vertAlign w:val="baseline"/>
        </w:rPr>
        <w:t>of a person cannot be accepted after he has suffered serious injuries by falling over a cliff. </w:t>
      </w:r>
      <w:r>
        <w:rPr>
          <w:color w:val="005DA1"/>
          <w:u w:val="single" w:color="005DA1"/>
          <w:vertAlign w:val="superscript"/>
        </w:rPr>
        <w:t>523</w:t>
      </w:r>
      <w:r>
        <w:rPr>
          <w:color w:val="005DA1"/>
          <w:vertAlign w:val="baseline"/>
        </w:rPr>
        <w:t> </w:t>
      </w:r>
      <w:r>
        <w:rPr>
          <w:vertAlign w:val="baseline"/>
        </w:rPr>
        <w:t>On the </w:t>
      </w:r>
      <w:bookmarkStart w:name="_bookmark996" w:id="998"/>
      <w:bookmarkEnd w:id="998"/>
      <w:r>
        <w:rPr>
          <w:vertAlign w:val="baseline"/>
        </w:rPr>
        <w:t>same</w:t>
      </w:r>
      <w:r>
        <w:rPr>
          <w:vertAlign w:val="baseline"/>
        </w:rPr>
        <w:t> principle, it is submitted that the offer which is made by bidding at an auction impliedly provides that it is to lapse as soon as a higher bid is made. </w:t>
      </w:r>
      <w:r>
        <w:rPr>
          <w:color w:val="005DA1"/>
          <w:u w:val="single" w:color="005DA1"/>
          <w:vertAlign w:val="superscript"/>
        </w:rPr>
        <w:t>524</w:t>
      </w:r>
    </w:p>
    <w:p>
      <w:pPr>
        <w:pStyle w:val="BodyText"/>
      </w:pPr>
    </w:p>
    <w:p>
      <w:pPr>
        <w:pStyle w:val="BodyText"/>
        <w:spacing w:before="37"/>
      </w:pPr>
      <w:r>
        <w:rPr/>
        <mc:AlternateContent>
          <mc:Choice Requires="wps">
            <w:drawing>
              <wp:anchor distT="0" distB="0" distL="0" distR="0" allowOverlap="1" layoutInCell="1" locked="0" behindDoc="1" simplePos="0" relativeHeight="487609344">
                <wp:simplePos x="0" y="0"/>
                <wp:positionH relativeFrom="page">
                  <wp:posOffset>914400</wp:posOffset>
                </wp:positionH>
                <wp:positionV relativeFrom="paragraph">
                  <wp:posOffset>184787</wp:posOffset>
                </wp:positionV>
                <wp:extent cx="5724525" cy="1270"/>
                <wp:effectExtent l="0" t="0" r="0" b="0"/>
                <wp:wrapTopAndBottom/>
                <wp:docPr id="76" name="Graphic 76"/>
                <wp:cNvGraphicFramePr>
                  <a:graphicFrameLocks/>
                </wp:cNvGraphicFramePr>
                <a:graphic>
                  <a:graphicData uri="http://schemas.microsoft.com/office/word/2010/wordprocessingShape">
                    <wps:wsp>
                      <wps:cNvPr id="76" name="Graphic 7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0183pt;width:450.75pt;height:.1pt;mso-position-horizontal-relative:page;mso-position-vertical-relative:paragraph;z-index:-15707136;mso-wrap-distance-left:0;mso-wrap-distance-right:0" id="docshape29"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997" w:id="999"/>
      <w:bookmarkEnd w:id="999"/>
      <w:r>
        <w:rPr/>
      </w:r>
      <w:hyperlink w:history="true" w:anchor="_bookmark994">
        <w:r>
          <w:rPr>
            <w:color w:val="005DA1"/>
            <w:spacing w:val="-4"/>
            <w:position w:val="5"/>
            <w:sz w:val="14"/>
            <w:u w:val="single" w:color="005DA1"/>
          </w:rPr>
          <w:t>522</w:t>
        </w:r>
      </w:hyperlink>
      <w:r>
        <w:rPr>
          <w:spacing w:val="-4"/>
          <w:position w:val="5"/>
          <w:sz w:val="14"/>
        </w:rPr>
        <w:t>.</w:t>
      </w:r>
      <w:r>
        <w:rPr>
          <w:position w:val="5"/>
          <w:sz w:val="14"/>
        </w:rPr>
        <w:tab/>
      </w:r>
      <w:r>
        <w:rPr>
          <w:rFonts w:ascii="Arial"/>
          <w:i/>
          <w:sz w:val="20"/>
        </w:rPr>
        <w:t>Financings Ltd v Stimson [1962] 1 W.L.R. </w:t>
      </w:r>
      <w:r>
        <w:rPr>
          <w:rFonts w:ascii="Arial"/>
          <w:i/>
          <w:spacing w:val="-2"/>
          <w:sz w:val="20"/>
        </w:rPr>
        <w:t>1184</w:t>
      </w:r>
      <w:r>
        <w:rPr>
          <w:spacing w:val="-2"/>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998" w:id="1000"/>
      <w:bookmarkEnd w:id="1000"/>
      <w:r>
        <w:rPr/>
      </w:r>
      <w:hyperlink w:history="true" w:anchor="_bookmark995">
        <w:r>
          <w:rPr>
            <w:color w:val="005DA1"/>
            <w:spacing w:val="-4"/>
            <w:position w:val="5"/>
            <w:sz w:val="14"/>
            <w:u w:val="single" w:color="005DA1"/>
          </w:rPr>
          <w:t>523</w:t>
        </w:r>
      </w:hyperlink>
      <w:r>
        <w:rPr>
          <w:spacing w:val="-4"/>
          <w:position w:val="5"/>
          <w:sz w:val="14"/>
        </w:rPr>
        <w:t>.</w:t>
      </w:r>
      <w:r>
        <w:rPr>
          <w:position w:val="5"/>
          <w:sz w:val="14"/>
        </w:rPr>
        <w:tab/>
      </w:r>
      <w:r>
        <w:rPr>
          <w:rFonts w:ascii="Arial"/>
          <w:i/>
          <w:sz w:val="20"/>
        </w:rPr>
        <w:t>Canning</w:t>
      </w:r>
      <w:r>
        <w:rPr>
          <w:rFonts w:ascii="Arial"/>
          <w:i/>
          <w:spacing w:val="4"/>
          <w:sz w:val="20"/>
        </w:rPr>
        <w:t> </w:t>
      </w:r>
      <w:r>
        <w:rPr>
          <w:rFonts w:ascii="Arial"/>
          <w:i/>
          <w:sz w:val="20"/>
        </w:rPr>
        <w:t>v</w:t>
      </w:r>
      <w:r>
        <w:rPr>
          <w:rFonts w:ascii="Arial"/>
          <w:i/>
          <w:spacing w:val="5"/>
          <w:sz w:val="20"/>
        </w:rPr>
        <w:t> </w:t>
      </w:r>
      <w:r>
        <w:rPr>
          <w:rFonts w:ascii="Arial"/>
          <w:i/>
          <w:sz w:val="20"/>
        </w:rPr>
        <w:t>Farquhar</w:t>
      </w:r>
      <w:r>
        <w:rPr>
          <w:rFonts w:ascii="Arial"/>
          <w:i/>
          <w:spacing w:val="5"/>
          <w:sz w:val="20"/>
        </w:rPr>
        <w:t> </w:t>
      </w:r>
      <w:r>
        <w:rPr>
          <w:rFonts w:ascii="Arial"/>
          <w:i/>
          <w:sz w:val="20"/>
        </w:rPr>
        <w:t>(1885)</w:t>
      </w:r>
      <w:r>
        <w:rPr>
          <w:rFonts w:ascii="Arial"/>
          <w:i/>
          <w:spacing w:val="5"/>
          <w:sz w:val="20"/>
        </w:rPr>
        <w:t> </w:t>
      </w:r>
      <w:r>
        <w:rPr>
          <w:rFonts w:ascii="Arial"/>
          <w:i/>
          <w:sz w:val="20"/>
        </w:rPr>
        <w:t>16</w:t>
      </w:r>
      <w:r>
        <w:rPr>
          <w:rFonts w:ascii="Arial"/>
          <w:i/>
          <w:spacing w:val="5"/>
          <w:sz w:val="20"/>
        </w:rPr>
        <w:t> </w:t>
      </w:r>
      <w:r>
        <w:rPr>
          <w:rFonts w:ascii="Arial"/>
          <w:i/>
          <w:sz w:val="20"/>
        </w:rPr>
        <w:t>Q.B.D.</w:t>
      </w:r>
      <w:r>
        <w:rPr>
          <w:rFonts w:ascii="Arial"/>
          <w:i/>
          <w:spacing w:val="5"/>
          <w:sz w:val="20"/>
        </w:rPr>
        <w:t> </w:t>
      </w:r>
      <w:r>
        <w:rPr>
          <w:rFonts w:ascii="Arial"/>
          <w:i/>
          <w:sz w:val="20"/>
        </w:rPr>
        <w:t>727</w:t>
      </w:r>
      <w:r>
        <w:rPr>
          <w:sz w:val="20"/>
        </w:rPr>
        <w:t>;</w:t>
      </w:r>
      <w:r>
        <w:rPr>
          <w:spacing w:val="5"/>
          <w:sz w:val="20"/>
        </w:rPr>
        <w:t> </w:t>
      </w:r>
      <w:r>
        <w:rPr>
          <w:rFonts w:ascii="Arial"/>
          <w:i/>
          <w:sz w:val="20"/>
        </w:rPr>
        <w:t>Looker</w:t>
      </w:r>
      <w:r>
        <w:rPr>
          <w:rFonts w:ascii="Arial"/>
          <w:i/>
          <w:spacing w:val="5"/>
          <w:sz w:val="20"/>
        </w:rPr>
        <w:t> </w:t>
      </w:r>
      <w:r>
        <w:rPr>
          <w:rFonts w:ascii="Arial"/>
          <w:i/>
          <w:sz w:val="20"/>
        </w:rPr>
        <w:t>v</w:t>
      </w:r>
      <w:r>
        <w:rPr>
          <w:rFonts w:ascii="Arial"/>
          <w:i/>
          <w:spacing w:val="5"/>
          <w:sz w:val="20"/>
        </w:rPr>
        <w:t> </w:t>
      </w:r>
      <w:r>
        <w:rPr>
          <w:rFonts w:ascii="Arial"/>
          <w:i/>
          <w:sz w:val="20"/>
        </w:rPr>
        <w:t>Law</w:t>
      </w:r>
      <w:r>
        <w:rPr>
          <w:rFonts w:ascii="Arial"/>
          <w:i/>
          <w:spacing w:val="5"/>
          <w:sz w:val="20"/>
        </w:rPr>
        <w:t> </w:t>
      </w:r>
      <w:r>
        <w:rPr>
          <w:rFonts w:ascii="Arial"/>
          <w:i/>
          <w:sz w:val="20"/>
        </w:rPr>
        <w:t>Union</w:t>
      </w:r>
      <w:r>
        <w:rPr>
          <w:rFonts w:ascii="Arial"/>
          <w:i/>
          <w:spacing w:val="5"/>
          <w:sz w:val="20"/>
        </w:rPr>
        <w:t> </w:t>
      </w:r>
      <w:r>
        <w:rPr>
          <w:rFonts w:ascii="Arial"/>
          <w:i/>
          <w:sz w:val="20"/>
        </w:rPr>
        <w:t>Insurance</w:t>
      </w:r>
      <w:r>
        <w:rPr>
          <w:rFonts w:ascii="Arial"/>
          <w:i/>
          <w:spacing w:val="5"/>
          <w:sz w:val="20"/>
        </w:rPr>
        <w:t> </w:t>
      </w:r>
      <w:r>
        <w:rPr>
          <w:rFonts w:ascii="Arial"/>
          <w:i/>
          <w:sz w:val="20"/>
        </w:rPr>
        <w:t>Co</w:t>
      </w:r>
      <w:r>
        <w:rPr>
          <w:rFonts w:ascii="Arial"/>
          <w:i/>
          <w:spacing w:val="5"/>
          <w:sz w:val="20"/>
        </w:rPr>
        <w:t> </w:t>
      </w:r>
      <w:r>
        <w:rPr>
          <w:rFonts w:ascii="Arial"/>
          <w:i/>
          <w:sz w:val="20"/>
        </w:rPr>
        <w:t>Ltd</w:t>
      </w:r>
      <w:r>
        <w:rPr>
          <w:rFonts w:ascii="Arial"/>
          <w:i/>
          <w:spacing w:val="5"/>
          <w:sz w:val="20"/>
        </w:rPr>
        <w:t> </w:t>
      </w:r>
      <w:r>
        <w:rPr>
          <w:rFonts w:ascii="Arial"/>
          <w:i/>
          <w:sz w:val="20"/>
        </w:rPr>
        <w:t>[1928]</w:t>
      </w:r>
      <w:r>
        <w:rPr>
          <w:rFonts w:ascii="Arial"/>
          <w:i/>
          <w:spacing w:val="5"/>
          <w:sz w:val="20"/>
        </w:rPr>
        <w:t> </w:t>
      </w:r>
      <w:r>
        <w:rPr>
          <w:rFonts w:ascii="Arial"/>
          <w:i/>
          <w:sz w:val="20"/>
        </w:rPr>
        <w:t>1</w:t>
      </w:r>
      <w:r>
        <w:rPr>
          <w:rFonts w:ascii="Arial"/>
          <w:i/>
          <w:spacing w:val="5"/>
          <w:sz w:val="20"/>
        </w:rPr>
        <w:t> </w:t>
      </w:r>
      <w:r>
        <w:rPr>
          <w:rFonts w:ascii="Arial"/>
          <w:i/>
          <w:spacing w:val="-4"/>
          <w:sz w:val="20"/>
        </w:rPr>
        <w:t>K.B.</w:t>
      </w:r>
    </w:p>
    <w:p>
      <w:pPr>
        <w:spacing w:line="227" w:lineRule="exact" w:before="0"/>
        <w:ind w:left="705" w:right="0" w:firstLine="0"/>
        <w:jc w:val="left"/>
        <w:rPr>
          <w:sz w:val="20"/>
        </w:rPr>
      </w:pPr>
      <w:r>
        <w:rPr>
          <w:rFonts w:ascii="Arial"/>
          <w:i/>
          <w:spacing w:val="-4"/>
          <w:sz w:val="20"/>
        </w:rPr>
        <w:t>554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999" w:id="1001"/>
      <w:bookmarkEnd w:id="1001"/>
      <w:r>
        <w:rPr/>
      </w:r>
      <w:hyperlink w:history="true" w:anchor="_bookmark996">
        <w:r>
          <w:rPr>
            <w:color w:val="005DA1"/>
            <w:spacing w:val="-4"/>
            <w:position w:val="5"/>
            <w:sz w:val="14"/>
            <w:u w:val="single" w:color="005DA1"/>
          </w:rPr>
          <w:t>524</w:t>
        </w:r>
      </w:hyperlink>
      <w:r>
        <w:rPr>
          <w:spacing w:val="-4"/>
          <w:position w:val="5"/>
          <w:sz w:val="14"/>
        </w:rPr>
        <w:t>.</w:t>
      </w:r>
      <w:r>
        <w:rPr>
          <w:position w:val="5"/>
          <w:sz w:val="14"/>
        </w:rPr>
        <w:tab/>
      </w:r>
      <w:r>
        <w:rPr>
          <w:sz w:val="20"/>
        </w:rPr>
        <w:t>Above, para.2-</w:t>
      </w:r>
      <w:r>
        <w:rPr>
          <w:spacing w:val="-4"/>
          <w:sz w:val="20"/>
        </w:rPr>
        <w:t>019.</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0"/>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pStyle w:val="ListParagraph"/>
        <w:numPr>
          <w:ilvl w:val="0"/>
          <w:numId w:val="5"/>
        </w:numPr>
        <w:tabs>
          <w:tab w:pos="4445" w:val="left" w:leader="none"/>
        </w:tabs>
        <w:spacing w:line="240" w:lineRule="auto" w:before="194" w:after="0"/>
        <w:ind w:left="4445" w:right="0" w:hanging="360"/>
        <w:jc w:val="left"/>
        <w:rPr>
          <w:b/>
          <w:sz w:val="24"/>
        </w:rPr>
      </w:pPr>
      <w:r>
        <w:rPr>
          <w:b/>
          <w:sz w:val="24"/>
        </w:rPr>
        <w:t>- </w:t>
      </w:r>
      <w:r>
        <w:rPr>
          <w:b/>
          <w:spacing w:val="-2"/>
          <w:sz w:val="24"/>
        </w:rPr>
        <w:t>Death</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In </w:t>
      </w:r>
      <w:r>
        <w:rPr>
          <w:rFonts w:ascii="Arial"/>
          <w:b/>
          <w:spacing w:val="-2"/>
          <w:sz w:val="18"/>
        </w:rPr>
        <w:t>general</w:t>
      </w:r>
    </w:p>
    <w:p>
      <w:pPr>
        <w:pStyle w:val="BodyText"/>
        <w:spacing w:before="42"/>
        <w:rPr>
          <w:rFonts w:ascii="Arial"/>
          <w:b/>
          <w:sz w:val="18"/>
        </w:rPr>
      </w:pPr>
    </w:p>
    <w:p>
      <w:pPr>
        <w:pStyle w:val="Heading2"/>
      </w:pPr>
      <w:r>
        <w:rPr/>
        <w:t>2-</w:t>
      </w:r>
      <w:r>
        <w:rPr>
          <w:spacing w:val="-5"/>
        </w:rPr>
        <w:t>106</w:t>
      </w:r>
    </w:p>
    <w:p>
      <w:pPr>
        <w:pStyle w:val="BodyText"/>
        <w:spacing w:line="235" w:lineRule="auto" w:before="202"/>
        <w:ind w:left="164" w:right="167"/>
        <w:jc w:val="both"/>
      </w:pPr>
      <w:bookmarkStart w:name="_bookmark1000" w:id="1002"/>
      <w:bookmarkEnd w:id="1002"/>
      <w:r>
        <w:rPr/>
      </w:r>
      <w:r>
        <w:rPr/>
        <w:t>It has been suggested that the death of either party terminates the offer as it is, thereafter </w:t>
      </w:r>
      <w:r>
        <w:rPr/>
        <w:t>impossible </w:t>
      </w:r>
      <w:bookmarkStart w:name="_bookmark1001" w:id="1003"/>
      <w:bookmarkEnd w:id="1003"/>
      <w:r>
        <w:rPr/>
        <w:t>for</w:t>
      </w:r>
      <w:r>
        <w:rPr/>
        <w:t> the parties to reach agreement. </w:t>
      </w:r>
      <w:r>
        <w:rPr>
          <w:color w:val="005DA1"/>
          <w:u w:val="single" w:color="005DA1"/>
          <w:vertAlign w:val="superscript"/>
        </w:rPr>
        <w:t>525</w:t>
      </w:r>
      <w:r>
        <w:rPr>
          <w:color w:val="005DA1"/>
          <w:vertAlign w:val="baseline"/>
        </w:rPr>
        <w:t> </w:t>
      </w:r>
      <w:r>
        <w:rPr>
          <w:vertAlign w:val="baseline"/>
        </w:rPr>
        <w:t>But there may be a contract in spite of a demonstrable lack of agreement, if this result is required by considerations of convenience </w:t>
      </w:r>
      <w:r>
        <w:rPr>
          <w:color w:val="005DA1"/>
          <w:u w:val="single" w:color="005DA1"/>
          <w:vertAlign w:val="superscript"/>
        </w:rPr>
        <w:t>526</w:t>
      </w:r>
      <w:r>
        <w:rPr>
          <w:vertAlign w:val="baseline"/>
        </w:rPr>
        <w:t>; and such considerations might</w:t>
      </w:r>
      <w:r>
        <w:rPr>
          <w:spacing w:val="-1"/>
          <w:vertAlign w:val="baseline"/>
        </w:rPr>
        <w:t> </w:t>
      </w:r>
      <w:r>
        <w:rPr>
          <w:vertAlign w:val="baseline"/>
        </w:rPr>
        <w:t>in</w:t>
      </w:r>
      <w:r>
        <w:rPr>
          <w:spacing w:val="-1"/>
          <w:vertAlign w:val="baseline"/>
        </w:rPr>
        <w:t> </w:t>
      </w:r>
      <w:r>
        <w:rPr>
          <w:vertAlign w:val="baseline"/>
        </w:rPr>
        <w:t>some</w:t>
      </w:r>
      <w:r>
        <w:rPr>
          <w:spacing w:val="-1"/>
          <w:vertAlign w:val="baseline"/>
        </w:rPr>
        <w:t> </w:t>
      </w:r>
      <w:r>
        <w:rPr>
          <w:vertAlign w:val="baseline"/>
        </w:rPr>
        <w:t>circumstances</w:t>
      </w:r>
      <w:r>
        <w:rPr>
          <w:spacing w:val="-1"/>
          <w:vertAlign w:val="baseline"/>
        </w:rPr>
        <w:t> </w:t>
      </w:r>
      <w:r>
        <w:rPr>
          <w:vertAlign w:val="baseline"/>
        </w:rPr>
        <w:t>support</w:t>
      </w:r>
      <w:r>
        <w:rPr>
          <w:spacing w:val="-1"/>
          <w:vertAlign w:val="baseline"/>
        </w:rPr>
        <w:t> </w:t>
      </w:r>
      <w:r>
        <w:rPr>
          <w:vertAlign w:val="baseline"/>
        </w:rPr>
        <w:t>the</w:t>
      </w:r>
      <w:r>
        <w:rPr>
          <w:spacing w:val="-1"/>
          <w:vertAlign w:val="baseline"/>
        </w:rPr>
        <w:t> </w:t>
      </w:r>
      <w:r>
        <w:rPr>
          <w:vertAlign w:val="baseline"/>
        </w:rPr>
        <w:t>view</w:t>
      </w:r>
      <w:r>
        <w:rPr>
          <w:spacing w:val="-1"/>
          <w:vertAlign w:val="baseline"/>
        </w:rPr>
        <w:t> </w:t>
      </w:r>
      <w:r>
        <w:rPr>
          <w:vertAlign w:val="baseline"/>
        </w:rPr>
        <w:t>that</w:t>
      </w:r>
      <w:r>
        <w:rPr>
          <w:spacing w:val="-1"/>
          <w:vertAlign w:val="baseline"/>
        </w:rPr>
        <w:t> </w:t>
      </w:r>
      <w:r>
        <w:rPr>
          <w:vertAlign w:val="baseline"/>
        </w:rPr>
        <w:t>an</w:t>
      </w:r>
      <w:r>
        <w:rPr>
          <w:spacing w:val="-1"/>
          <w:vertAlign w:val="baseline"/>
        </w:rPr>
        <w:t> </w:t>
      </w:r>
      <w:r>
        <w:rPr>
          <w:vertAlign w:val="baseline"/>
        </w:rPr>
        <w:t>offer</w:t>
      </w:r>
      <w:r>
        <w:rPr>
          <w:spacing w:val="-1"/>
          <w:vertAlign w:val="baseline"/>
        </w:rPr>
        <w:t> </w:t>
      </w:r>
      <w:r>
        <w:rPr>
          <w:vertAlign w:val="baseline"/>
        </w:rPr>
        <w:t>should</w:t>
      </w:r>
      <w:r>
        <w:rPr>
          <w:spacing w:val="-1"/>
          <w:vertAlign w:val="baseline"/>
        </w:rPr>
        <w:t> </w:t>
      </w:r>
      <w:r>
        <w:rPr>
          <w:vertAlign w:val="baseline"/>
        </w:rPr>
        <w:t>be</w:t>
      </w:r>
      <w:r>
        <w:rPr>
          <w:spacing w:val="-1"/>
          <w:vertAlign w:val="baseline"/>
        </w:rPr>
        <w:t> </w:t>
      </w:r>
      <w:r>
        <w:rPr>
          <w:vertAlign w:val="baseline"/>
        </w:rPr>
        <w:t>capable</w:t>
      </w:r>
      <w:r>
        <w:rPr>
          <w:spacing w:val="-1"/>
          <w:vertAlign w:val="baseline"/>
        </w:rPr>
        <w:t> </w:t>
      </w:r>
      <w:r>
        <w:rPr>
          <w:vertAlign w:val="baseline"/>
        </w:rPr>
        <w:t>of</w:t>
      </w:r>
      <w:r>
        <w:rPr>
          <w:spacing w:val="-1"/>
          <w:vertAlign w:val="baseline"/>
        </w:rPr>
        <w:t> </w:t>
      </w:r>
      <w:r>
        <w:rPr>
          <w:vertAlign w:val="baseline"/>
        </w:rPr>
        <w:t>acceptance</w:t>
      </w:r>
      <w:r>
        <w:rPr>
          <w:spacing w:val="-1"/>
          <w:vertAlign w:val="baseline"/>
        </w:rPr>
        <w:t> </w:t>
      </w:r>
      <w:r>
        <w:rPr>
          <w:vertAlign w:val="baseline"/>
        </w:rPr>
        <w:t>after</w:t>
      </w:r>
      <w:r>
        <w:rPr>
          <w:spacing w:val="-1"/>
          <w:vertAlign w:val="baseline"/>
        </w:rPr>
        <w:t> </w:t>
      </w:r>
      <w:r>
        <w:rPr>
          <w:vertAlign w:val="baseline"/>
        </w:rPr>
        <w:t>the death of one party. This would, in particular, be the case if the death of one of the parties was unknown to the other at the relevant time; or where a person who had validly contracted not to revoke an offer for a fixed period died during that time. More generally, unless the offer is one to enter into a </w:t>
      </w:r>
      <w:bookmarkStart w:name="_bookmark1002" w:id="1004"/>
      <w:bookmarkEnd w:id="1004"/>
      <w:r>
        <w:rPr>
          <w:vertAlign w:val="baseline"/>
        </w:rPr>
        <w:t>contract</w:t>
      </w:r>
      <w:r>
        <w:rPr>
          <w:vertAlign w:val="baseline"/>
        </w:rPr>
        <w:t> of a “personal” nature, it is doubtful that there are any grounds of convenience for holding</w:t>
      </w:r>
      <w:r>
        <w:rPr>
          <w:spacing w:val="40"/>
          <w:vertAlign w:val="baseline"/>
        </w:rPr>
        <w:t> </w:t>
      </w:r>
      <w:r>
        <w:rPr>
          <w:vertAlign w:val="baseline"/>
        </w:rPr>
        <w:t>that the death of either party should of itself terminate an offer. </w:t>
      </w:r>
      <w:r>
        <w:rPr>
          <w:color w:val="005DA1"/>
          <w:u w:val="single" w:color="005DA1"/>
          <w:vertAlign w:val="superscript"/>
        </w:rPr>
        <w:t>527</w:t>
      </w:r>
    </w:p>
    <w:p>
      <w:pPr>
        <w:pStyle w:val="BodyText"/>
      </w:pPr>
    </w:p>
    <w:p>
      <w:pPr>
        <w:pStyle w:val="BodyText"/>
        <w:spacing w:before="35"/>
      </w:pPr>
    </w:p>
    <w:p>
      <w:pPr>
        <w:spacing w:before="1"/>
        <w:ind w:left="165" w:right="0" w:firstLine="0"/>
        <w:jc w:val="left"/>
        <w:rPr>
          <w:rFonts w:ascii="Arial"/>
          <w:b/>
          <w:sz w:val="18"/>
        </w:rPr>
      </w:pPr>
      <w:r>
        <w:rPr>
          <w:rFonts w:ascii="Arial"/>
          <w:b/>
          <w:sz w:val="18"/>
        </w:rPr>
        <w:t>Death of the </w:t>
      </w:r>
      <w:r>
        <w:rPr>
          <w:rFonts w:ascii="Arial"/>
          <w:b/>
          <w:spacing w:val="-2"/>
          <w:sz w:val="18"/>
        </w:rPr>
        <w:t>offeror</w:t>
      </w:r>
    </w:p>
    <w:p>
      <w:pPr>
        <w:pStyle w:val="BodyText"/>
        <w:spacing w:before="41"/>
        <w:rPr>
          <w:rFonts w:ascii="Arial"/>
          <w:b/>
          <w:sz w:val="18"/>
        </w:rPr>
      </w:pPr>
    </w:p>
    <w:p>
      <w:pPr>
        <w:pStyle w:val="Heading2"/>
      </w:pPr>
      <w:r>
        <w:rPr/>
        <w:t>2-</w:t>
      </w:r>
      <w:r>
        <w:rPr>
          <w:spacing w:val="-5"/>
        </w:rPr>
        <w:t>107</w:t>
      </w:r>
    </w:p>
    <w:p>
      <w:pPr>
        <w:pStyle w:val="BodyText"/>
        <w:spacing w:line="235" w:lineRule="auto" w:before="202"/>
        <w:ind w:left="165" w:right="167"/>
        <w:jc w:val="both"/>
      </w:pPr>
      <w:r>
        <w:rPr/>
        <w:t>The effect of the death of the offeror has been considered in a number of cases concerning</w:t>
      </w:r>
      <w:r>
        <w:rPr>
          <w:spacing w:val="80"/>
        </w:rPr>
        <w:t> </w:t>
      </w:r>
      <w:r>
        <w:rPr/>
        <w:t>continuing guarantees. Such a guarantee (e.g. of a bank overdraft) is, in general, divisible: it is </w:t>
      </w:r>
      <w:r>
        <w:rPr/>
        <w:t>a </w:t>
      </w:r>
      <w:bookmarkStart w:name="_bookmark1003" w:id="1005"/>
      <w:bookmarkEnd w:id="1005"/>
      <w:r>
        <w:rPr/>
        <w:t>continuing</w:t>
      </w:r>
      <w:r>
        <w:rPr/>
        <w:t> offer, accepted from time to time as the bank makes further loans to its customer. It seems that a guarantee of this kind is not terminated merely by the death of the guarantor. </w:t>
      </w:r>
      <w:r>
        <w:rPr>
          <w:color w:val="005DA1"/>
          <w:u w:val="single" w:color="005DA1"/>
          <w:vertAlign w:val="superscript"/>
        </w:rPr>
        <w:t>528</w:t>
      </w:r>
      <w:r>
        <w:rPr>
          <w:color w:val="005DA1"/>
          <w:vertAlign w:val="baseline"/>
        </w:rPr>
        <w:t> </w:t>
      </w:r>
      <w:r>
        <w:rPr>
          <w:vertAlign w:val="baseline"/>
        </w:rPr>
        <w:t>But it is </w:t>
      </w:r>
      <w:bookmarkStart w:name="_bookmark1004" w:id="1006"/>
      <w:bookmarkEnd w:id="1006"/>
      <w:r>
        <w:rPr>
          <w:vertAlign w:val="baseline"/>
        </w:rPr>
        <w:t>terminated</w:t>
      </w:r>
      <w:r>
        <w:rPr>
          <w:vertAlign w:val="baseline"/>
        </w:rPr>
        <w:t> if the creditor knows that the guarantor is dead and that his personal representatives have </w:t>
      </w:r>
      <w:bookmarkStart w:name="_bookmark1005" w:id="1007"/>
      <w:bookmarkEnd w:id="1007"/>
      <w:r>
        <w:rPr>
          <w:vertAlign w:val="baseline"/>
        </w:rPr>
        <w:t>no</w:t>
      </w:r>
      <w:r>
        <w:rPr>
          <w:vertAlign w:val="baseline"/>
        </w:rPr>
        <w:t> power under his will to continue the guarantee </w:t>
      </w:r>
      <w:r>
        <w:rPr>
          <w:color w:val="005DA1"/>
          <w:u w:val="single" w:color="005DA1"/>
          <w:vertAlign w:val="superscript"/>
        </w:rPr>
        <w:t>529</w:t>
      </w:r>
      <w:r>
        <w:rPr>
          <w:vertAlign w:val="baseline"/>
        </w:rPr>
        <w:t>; or if for some other reason it is inequitable to charge</w:t>
      </w:r>
      <w:r>
        <w:rPr>
          <w:spacing w:val="-1"/>
          <w:vertAlign w:val="baseline"/>
        </w:rPr>
        <w:t> </w:t>
      </w:r>
      <w:r>
        <w:rPr>
          <w:vertAlign w:val="baseline"/>
        </w:rPr>
        <w:t>the</w:t>
      </w:r>
      <w:r>
        <w:rPr>
          <w:spacing w:val="-1"/>
          <w:vertAlign w:val="baseline"/>
        </w:rPr>
        <w:t> </w:t>
      </w:r>
      <w:r>
        <w:rPr>
          <w:vertAlign w:val="baseline"/>
        </w:rPr>
        <w:t>guarantor’s</w:t>
      </w:r>
      <w:r>
        <w:rPr>
          <w:spacing w:val="-1"/>
          <w:vertAlign w:val="baseline"/>
        </w:rPr>
        <w:t> </w:t>
      </w:r>
      <w:r>
        <w:rPr>
          <w:vertAlign w:val="baseline"/>
        </w:rPr>
        <w:t>estate.</w:t>
      </w:r>
      <w:r>
        <w:rPr>
          <w:spacing w:val="-1"/>
          <w:vertAlign w:val="baseline"/>
        </w:rPr>
        <w:t> </w:t>
      </w:r>
      <w:r>
        <w:rPr>
          <w:color w:val="005DA1"/>
          <w:u w:val="single" w:color="005DA1"/>
          <w:vertAlign w:val="superscript"/>
        </w:rPr>
        <w:t>530</w:t>
      </w:r>
      <w:r>
        <w:rPr>
          <w:color w:val="005DA1"/>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guarantee</w:t>
      </w:r>
      <w:r>
        <w:rPr>
          <w:spacing w:val="-1"/>
          <w:vertAlign w:val="baseline"/>
        </w:rPr>
        <w:t> </w:t>
      </w:r>
      <w:r>
        <w:rPr>
          <w:vertAlign w:val="baseline"/>
        </w:rPr>
        <w:t>expressly</w:t>
      </w:r>
      <w:r>
        <w:rPr>
          <w:spacing w:val="-1"/>
          <w:vertAlign w:val="baseline"/>
        </w:rPr>
        <w:t> </w:t>
      </w:r>
      <w:r>
        <w:rPr>
          <w:vertAlign w:val="baseline"/>
        </w:rPr>
        <w:t>provides</w:t>
      </w:r>
      <w:r>
        <w:rPr>
          <w:spacing w:val="-1"/>
          <w:vertAlign w:val="baseline"/>
        </w:rPr>
        <w:t> </w:t>
      </w:r>
      <w:r>
        <w:rPr>
          <w:vertAlign w:val="baseline"/>
        </w:rPr>
        <w:t>that</w:t>
      </w:r>
      <w:r>
        <w:rPr>
          <w:spacing w:val="-1"/>
          <w:vertAlign w:val="baseline"/>
        </w:rPr>
        <w:t> </w:t>
      </w:r>
      <w:r>
        <w:rPr>
          <w:vertAlign w:val="baseline"/>
        </w:rPr>
        <w:t>it</w:t>
      </w:r>
      <w:r>
        <w:rPr>
          <w:spacing w:val="-1"/>
          <w:vertAlign w:val="baseline"/>
        </w:rPr>
        <w:t> </w:t>
      </w:r>
      <w:r>
        <w:rPr>
          <w:vertAlign w:val="baseline"/>
        </w:rPr>
        <w:t>can</w:t>
      </w:r>
      <w:r>
        <w:rPr>
          <w:spacing w:val="-1"/>
          <w:vertAlign w:val="baseline"/>
        </w:rPr>
        <w:t> </w:t>
      </w:r>
      <w:r>
        <w:rPr>
          <w:vertAlign w:val="baseline"/>
        </w:rPr>
        <w:t>be</w:t>
      </w:r>
      <w:r>
        <w:rPr>
          <w:spacing w:val="-1"/>
          <w:vertAlign w:val="baseline"/>
        </w:rPr>
        <w:t> </w:t>
      </w:r>
      <w:r>
        <w:rPr>
          <w:vertAlign w:val="baseline"/>
        </w:rPr>
        <w:t>terminated</w:t>
      </w:r>
      <w:r>
        <w:rPr>
          <w:spacing w:val="-1"/>
          <w:vertAlign w:val="baseline"/>
        </w:rPr>
        <w:t> </w:t>
      </w:r>
      <w:r>
        <w:rPr>
          <w:vertAlign w:val="baseline"/>
        </w:rPr>
        <w:t>only</w:t>
      </w:r>
      <w:r>
        <w:rPr>
          <w:spacing w:val="-1"/>
          <w:vertAlign w:val="baseline"/>
        </w:rPr>
        <w:t> </w:t>
      </w:r>
      <w:r>
        <w:rPr>
          <w:vertAlign w:val="baseline"/>
        </w:rPr>
        <w:t>by </w:t>
      </w:r>
      <w:bookmarkStart w:name="_bookmark1006" w:id="1008"/>
      <w:bookmarkEnd w:id="1008"/>
      <w:r>
        <w:rPr>
          <w:vertAlign w:val="baseline"/>
        </w:rPr>
        <w:t>notice</w:t>
      </w:r>
      <w:r>
        <w:rPr>
          <w:vertAlign w:val="baseline"/>
        </w:rPr>
        <w:t> given by the guarantor or his personal representatives, the death of the guarantor (even if known to the creditor) will not terminate the guarantee; only express notice will have this effect. </w:t>
      </w:r>
      <w:r>
        <w:rPr>
          <w:color w:val="005DA1"/>
          <w:u w:val="single" w:color="005DA1"/>
          <w:vertAlign w:val="superscript"/>
        </w:rPr>
        <w:t>531</w:t>
      </w:r>
      <w:r>
        <w:rPr>
          <w:color w:val="005DA1"/>
          <w:vertAlign w:val="baseline"/>
        </w:rPr>
        <w:t> </w:t>
      </w:r>
      <w:r>
        <w:rPr>
          <w:vertAlign w:val="baseline"/>
        </w:rPr>
        <w:t>In so far as any general statement can be based on this special group of cases, it seems that the death of the offeror determines an offer only if the offer on its true construction so provides.</w:t>
      </w:r>
    </w:p>
    <w:p>
      <w:pPr>
        <w:pStyle w:val="BodyText"/>
      </w:pPr>
    </w:p>
    <w:p>
      <w:pPr>
        <w:pStyle w:val="BodyText"/>
        <w:spacing w:before="35"/>
      </w:pPr>
    </w:p>
    <w:p>
      <w:pPr>
        <w:spacing w:before="0"/>
        <w:ind w:left="165" w:right="0" w:firstLine="0"/>
        <w:jc w:val="left"/>
        <w:rPr>
          <w:rFonts w:ascii="Arial"/>
          <w:b/>
          <w:sz w:val="18"/>
        </w:rPr>
      </w:pPr>
      <w:r>
        <w:rPr>
          <w:rFonts w:ascii="Arial"/>
          <w:b/>
          <w:sz w:val="18"/>
        </w:rPr>
        <w:t>Death of the </w:t>
      </w:r>
      <w:r>
        <w:rPr>
          <w:rFonts w:ascii="Arial"/>
          <w:b/>
          <w:spacing w:val="-2"/>
          <w:sz w:val="18"/>
        </w:rPr>
        <w:t>offeree</w:t>
      </w:r>
    </w:p>
    <w:p>
      <w:pPr>
        <w:pStyle w:val="BodyText"/>
        <w:spacing w:before="41"/>
        <w:rPr>
          <w:rFonts w:ascii="Arial"/>
          <w:b/>
          <w:sz w:val="18"/>
        </w:rPr>
      </w:pPr>
    </w:p>
    <w:p>
      <w:pPr>
        <w:pStyle w:val="Heading2"/>
      </w:pPr>
      <w:r>
        <w:rPr/>
        <w:t>2-</w:t>
      </w:r>
      <w:r>
        <w:rPr>
          <w:spacing w:val="-5"/>
        </w:rPr>
        <w:t>108</w:t>
      </w:r>
    </w:p>
    <w:p>
      <w:pPr>
        <w:pStyle w:val="BodyText"/>
        <w:spacing w:line="235" w:lineRule="auto" w:before="203"/>
        <w:ind w:left="164" w:right="167"/>
        <w:jc w:val="both"/>
      </w:pPr>
      <w:bookmarkStart w:name="_bookmark1007" w:id="1009"/>
      <w:bookmarkEnd w:id="1009"/>
      <w:r>
        <w:rPr/>
      </w:r>
      <w:r>
        <w:rPr/>
        <w:t>Two cases have some bearing on the effect of the death of the offeree. In </w:t>
      </w:r>
      <w:r>
        <w:rPr>
          <w:rFonts w:ascii="Arial" w:hAnsi="Arial"/>
          <w:i/>
        </w:rPr>
        <w:t>Reynolds v Atherton </w:t>
      </w:r>
      <w:r>
        <w:rPr>
          <w:color w:val="005DA1"/>
          <w:u w:val="single" w:color="005DA1"/>
          <w:vertAlign w:val="superscript"/>
        </w:rPr>
        <w:t>532</w:t>
      </w:r>
      <w:r>
        <w:rPr>
          <w:color w:val="005DA1"/>
          <w:vertAlign w:val="baseline"/>
        </w:rPr>
        <w:t> </w:t>
      </w:r>
      <w:r>
        <w:rPr>
          <w:vertAlign w:val="baseline"/>
        </w:rPr>
        <w:t>an offer to sell shares was made in 1911 to “the directors of” a company. An attempt to accept the offer was made in 1919 by the survivors of the persons who were directors in 1911 and by the personal representatives of those who had since died. The purported acceptance was held to be </w:t>
      </w:r>
      <w:r>
        <w:rPr>
          <w:vertAlign w:val="baseline"/>
        </w:rPr>
        <w:t>ineffective; and Warrington L.J. said:</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“The offer having been made to a living person who ceases to be a living person before the offer is accepted, there is no longer an offer at all. The offer is not intended to be made to a dead person or to his executors, and the offer ceases to be an offer capable of </w:t>
      </w:r>
      <w:r>
        <w:rPr>
          <w:spacing w:val="-2"/>
        </w:rPr>
        <w:t>acceptance.”</w:t>
      </w:r>
    </w:p>
    <w:p>
      <w:pPr>
        <w:pStyle w:val="BodyText"/>
        <w:spacing w:before="115"/>
      </w:pPr>
    </w:p>
    <w:p>
      <w:pPr>
        <w:pStyle w:val="BodyText"/>
        <w:spacing w:line="235" w:lineRule="auto"/>
        <w:ind w:left="165" w:right="167"/>
        <w:jc w:val="both"/>
      </w:pPr>
      <w:r>
        <w:rPr/>
        <w:t>The actual ground for the decision, however, was that the offer had, on its true construction, been </w:t>
      </w:r>
      <w:bookmarkStart w:name="_bookmark1008" w:id="1010"/>
      <w:bookmarkEnd w:id="1010"/>
      <w:r>
        <w:rPr/>
        <w:t>made</w:t>
      </w:r>
      <w:r>
        <w:rPr/>
        <w:t> to the directors of the company for the time being, and not to those who had happened to </w:t>
      </w:r>
      <w:r>
        <w:rPr/>
        <w:t>hold office in 1911. In </w:t>
      </w:r>
      <w:r>
        <w:rPr>
          <w:rFonts w:ascii="Arial" w:hAnsi="Arial"/>
          <w:i/>
        </w:rPr>
        <w:t>Kennedy v Thomassen </w:t>
      </w:r>
      <w:r>
        <w:rPr>
          <w:color w:val="005DA1"/>
          <w:u w:val="single" w:color="005DA1"/>
          <w:vertAlign w:val="superscript"/>
        </w:rPr>
        <w:t>533</w:t>
      </w:r>
      <w:r>
        <w:rPr>
          <w:color w:val="005DA1"/>
          <w:vertAlign w:val="baseline"/>
        </w:rPr>
        <w:t> </w:t>
      </w:r>
      <w:r>
        <w:rPr>
          <w:vertAlign w:val="baseline"/>
        </w:rPr>
        <w:t>acceptance by solicitors of the offeree in ignorance of her </w:t>
      </w:r>
      <w:bookmarkStart w:name="_bookmark1009" w:id="1011"/>
      <w:bookmarkEnd w:id="1011"/>
      <w:r>
        <w:rPr>
          <w:vertAlign w:val="baseline"/>
        </w:rPr>
        <w:t>death</w:t>
      </w:r>
      <w:r>
        <w:rPr>
          <w:vertAlign w:val="baseline"/>
        </w:rPr>
        <w:t> was held ineffective on the grounds that their authority to act on her behalf had been revoked</w:t>
      </w:r>
      <w:r>
        <w:rPr>
          <w:spacing w:val="40"/>
          <w:vertAlign w:val="baseline"/>
        </w:rPr>
        <w:t> </w:t>
      </w:r>
      <w:r>
        <w:rPr>
          <w:vertAlign w:val="baseline"/>
        </w:rPr>
        <w:t>by her death </w:t>
      </w:r>
      <w:r>
        <w:rPr>
          <w:color w:val="005DA1"/>
          <w:u w:val="single" w:color="005DA1"/>
          <w:vertAlign w:val="superscript"/>
        </w:rPr>
        <w:t>534</w:t>
      </w:r>
      <w:r>
        <w:rPr>
          <w:color w:val="005DA1"/>
          <w:vertAlign w:val="baseline"/>
        </w:rPr>
        <w:t> </w:t>
      </w:r>
      <w:r>
        <w:rPr>
          <w:vertAlign w:val="baseline"/>
        </w:rPr>
        <w:t>and that they had acted under a mistake. Neither case supports the view that an offer </w:t>
      </w:r>
      <w:bookmarkStart w:name="_bookmark1010" w:id="1012"/>
      <w:bookmarkEnd w:id="1012"/>
      <w:r>
        <w:rPr>
          <w:vertAlign w:val="baseline"/>
        </w:rPr>
        <w:t>can</w:t>
      </w:r>
      <w:r>
        <w:rPr>
          <w:vertAlign w:val="baseline"/>
        </w:rPr>
        <w:t> never be accepted after the death of the offeree. It is submitted that, where an offer related to a contract that was not “personal”, </w:t>
      </w:r>
      <w:r>
        <w:rPr>
          <w:color w:val="005DA1"/>
          <w:u w:val="single" w:color="005DA1"/>
          <w:vertAlign w:val="superscript"/>
        </w:rPr>
        <w:t>535</w:t>
      </w:r>
      <w:r>
        <w:rPr>
          <w:color w:val="005DA1"/>
          <w:vertAlign w:val="baseline"/>
        </w:rPr>
        <w:t> </w:t>
      </w:r>
      <w:r>
        <w:rPr>
          <w:vertAlign w:val="baseline"/>
        </w:rPr>
        <w:t>it might, on its true construction, be held to have been made to</w:t>
      </w:r>
      <w:r>
        <w:rPr>
          <w:spacing w:val="40"/>
          <w:vertAlign w:val="baseline"/>
        </w:rPr>
        <w:t> </w:t>
      </w:r>
      <w:r>
        <w:rPr>
          <w:vertAlign w:val="baseline"/>
        </w:rPr>
        <w:t>the offeree or to his executors, and that such an offer could be accepted after the death of the original </w:t>
      </w:r>
      <w:r>
        <w:rPr>
          <w:spacing w:val="-2"/>
          <w:vertAlign w:val="baseline"/>
        </w:rPr>
        <w:t>offeree.</w:t>
      </w:r>
    </w:p>
    <w:p>
      <w:pPr>
        <w:pStyle w:val="BodyText"/>
      </w:pPr>
    </w:p>
    <w:p>
      <w:pPr>
        <w:pStyle w:val="BodyText"/>
        <w:spacing w:before="37"/>
      </w:pPr>
      <w:r>
        <w:rPr/>
        <mc:AlternateContent>
          <mc:Choice Requires="wps">
            <w:drawing>
              <wp:anchor distT="0" distB="0" distL="0" distR="0" allowOverlap="1" layoutInCell="1" locked="0" behindDoc="1" simplePos="0" relativeHeight="487609856">
                <wp:simplePos x="0" y="0"/>
                <wp:positionH relativeFrom="page">
                  <wp:posOffset>914400</wp:posOffset>
                </wp:positionH>
                <wp:positionV relativeFrom="paragraph">
                  <wp:posOffset>184785</wp:posOffset>
                </wp:positionV>
                <wp:extent cx="5724525" cy="1270"/>
                <wp:effectExtent l="0" t="0" r="0" b="0"/>
                <wp:wrapTopAndBottom/>
                <wp:docPr id="78" name="Graphic 78"/>
                <wp:cNvGraphicFramePr>
                  <a:graphicFrameLocks/>
                </wp:cNvGraphicFramePr>
                <a:graphic>
                  <a:graphicData uri="http://schemas.microsoft.com/office/word/2010/wordprocessingShape">
                    <wps:wsp>
                      <wps:cNvPr id="78" name="Graphic 7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50012pt;width:450.75pt;height:.1pt;mso-position-horizontal-relative:page;mso-position-vertical-relative:paragraph;z-index:-15706624;mso-wrap-distance-left:0;mso-wrap-distance-right:0" id="docshape31" coordorigin="1440,291" coordsize="9015,0" path="m1440,291l10454,291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011" w:id="1013"/>
      <w:bookmarkEnd w:id="1013"/>
      <w:r>
        <w:rPr/>
      </w:r>
      <w:hyperlink w:history="true" w:anchor="_bookmark1000">
        <w:r>
          <w:rPr>
            <w:color w:val="005DA1"/>
            <w:spacing w:val="-4"/>
            <w:position w:val="5"/>
            <w:sz w:val="14"/>
            <w:u w:val="single" w:color="005DA1"/>
          </w:rPr>
          <w:t>525</w:t>
        </w:r>
      </w:hyperlink>
      <w:r>
        <w:rPr>
          <w:spacing w:val="-4"/>
          <w:position w:val="5"/>
          <w:sz w:val="14"/>
        </w:rPr>
        <w:t>.</w:t>
      </w:r>
      <w:r>
        <w:rPr>
          <w:position w:val="5"/>
          <w:sz w:val="14"/>
        </w:rPr>
        <w:tab/>
      </w:r>
      <w:r>
        <w:rPr>
          <w:rFonts w:ascii="Arial"/>
          <w:i/>
          <w:sz w:val="20"/>
        </w:rPr>
        <w:t>Dickinson v Dodds (1876) 2 Ch. D. 463, </w:t>
      </w:r>
      <w:r>
        <w:rPr>
          <w:rFonts w:ascii="Arial"/>
          <w:i/>
          <w:spacing w:val="-4"/>
          <w:sz w:val="20"/>
        </w:rPr>
        <w:t>475</w:t>
      </w:r>
      <w:r>
        <w:rPr>
          <w:spacing w:val="-4"/>
          <w:sz w:val="20"/>
        </w:rPr>
        <w:t>.</w:t>
      </w:r>
    </w:p>
    <w:p>
      <w:pPr>
        <w:pStyle w:val="BodyText"/>
        <w:spacing w:before="9"/>
      </w:pPr>
    </w:p>
    <w:p>
      <w:pPr>
        <w:spacing w:line="235" w:lineRule="auto" w:before="0"/>
        <w:ind w:left="705" w:right="167" w:hanging="541"/>
        <w:jc w:val="both"/>
        <w:rPr>
          <w:sz w:val="20"/>
        </w:rPr>
      </w:pPr>
      <w:bookmarkStart w:name="_bookmark1012" w:id="1014"/>
      <w:bookmarkEnd w:id="1014"/>
      <w:r>
        <w:rPr/>
      </w:r>
      <w:hyperlink w:history="true" w:anchor="_bookmark1001">
        <w:r>
          <w:rPr>
            <w:color w:val="005DA1"/>
            <w:position w:val="5"/>
            <w:sz w:val="14"/>
            <w:u w:val="single" w:color="005DA1"/>
          </w:rPr>
          <w:t>526</w:t>
        </w:r>
      </w:hyperlink>
      <w:r>
        <w:rPr>
          <w:position w:val="5"/>
          <w:sz w:val="14"/>
        </w:rPr>
        <w:t>.</w:t>
      </w:r>
      <w:r>
        <w:rPr>
          <w:spacing w:val="80"/>
          <w:position w:val="5"/>
          <w:sz w:val="14"/>
        </w:rPr>
        <w:t>  </w:t>
      </w:r>
      <w:r>
        <w:rPr>
          <w:sz w:val="20"/>
        </w:rPr>
        <w:t>As, for example, in </w:t>
      </w:r>
      <w:r>
        <w:rPr>
          <w:rFonts w:ascii="Arial"/>
          <w:i/>
          <w:sz w:val="20"/>
        </w:rPr>
        <w:t>Byrne &amp; Co v Van Tienhoven (1880) 5 C.P.D. 344 </w:t>
      </w:r>
      <w:r>
        <w:rPr>
          <w:sz w:val="20"/>
        </w:rPr>
        <w:t>(above, para.2-094), where the offeree did not know that the offeror intended to contract with him until after </w:t>
      </w:r>
      <w:r>
        <w:rPr>
          <w:sz w:val="20"/>
        </w:rPr>
        <w:t>the offeror had ceased to have any such intention.</w:t>
      </w:r>
    </w:p>
    <w:p>
      <w:pPr>
        <w:pStyle w:val="BodyText"/>
        <w:spacing w:before="9"/>
      </w:pPr>
    </w:p>
    <w:p>
      <w:pPr>
        <w:pStyle w:val="BodyText"/>
        <w:spacing w:line="235" w:lineRule="auto"/>
        <w:ind w:left="705" w:right="167" w:hanging="541"/>
        <w:jc w:val="both"/>
      </w:pPr>
      <w:bookmarkStart w:name="_bookmark1013" w:id="1015"/>
      <w:bookmarkEnd w:id="1015"/>
      <w:r>
        <w:rPr/>
      </w:r>
      <w:hyperlink w:history="true" w:anchor="_bookmark1002">
        <w:r>
          <w:rPr>
            <w:color w:val="005DA1"/>
            <w:position w:val="5"/>
            <w:sz w:val="14"/>
            <w:u w:val="single" w:color="005DA1"/>
          </w:rPr>
          <w:t>527</w:t>
        </w:r>
      </w:hyperlink>
      <w:r>
        <w:rPr>
          <w:position w:val="5"/>
          <w:sz w:val="14"/>
        </w:rPr>
        <w:t>.</w:t>
      </w:r>
      <w:r>
        <w:rPr>
          <w:spacing w:val="80"/>
          <w:position w:val="5"/>
          <w:sz w:val="14"/>
        </w:rPr>
        <w:t> </w:t>
      </w:r>
      <w:r>
        <w:rPr/>
        <w:t>Below,</w:t>
      </w:r>
      <w:r>
        <w:rPr>
          <w:spacing w:val="40"/>
        </w:rPr>
        <w:t> </w:t>
      </w:r>
      <w:r>
        <w:rPr/>
        <w:t>para.23-037.</w:t>
      </w:r>
      <w:r>
        <w:rPr>
          <w:spacing w:val="40"/>
        </w:rPr>
        <w:t> </w:t>
      </w:r>
      <w:r>
        <w:rPr/>
        <w:t>Even</w:t>
      </w:r>
      <w:r>
        <w:rPr>
          <w:spacing w:val="40"/>
        </w:rPr>
        <w:t> </w:t>
      </w:r>
      <w:r>
        <w:rPr/>
        <w:t>in</w:t>
      </w:r>
      <w:r>
        <w:rPr>
          <w:spacing w:val="40"/>
        </w:rPr>
        <w:t> </w:t>
      </w:r>
      <w:r>
        <w:rPr/>
        <w:t>such</w:t>
      </w:r>
      <w:r>
        <w:rPr>
          <w:spacing w:val="40"/>
        </w:rPr>
        <w:t> </w:t>
      </w:r>
      <w:r>
        <w:rPr/>
        <w:t>cases</w:t>
      </w:r>
      <w:r>
        <w:rPr>
          <w:spacing w:val="40"/>
        </w:rPr>
        <w:t> </w:t>
      </w:r>
      <w:r>
        <w:rPr/>
        <w:t>the</w:t>
      </w:r>
      <w:r>
        <w:rPr>
          <w:spacing w:val="40"/>
        </w:rPr>
        <w:t> </w:t>
      </w:r>
      <w:r>
        <w:rPr/>
        <w:t>legal</w:t>
      </w:r>
      <w:r>
        <w:rPr>
          <w:spacing w:val="40"/>
        </w:rPr>
        <w:t> </w:t>
      </w:r>
      <w:r>
        <w:rPr/>
        <w:t>effects</w:t>
      </w:r>
      <w:r>
        <w:rPr>
          <w:spacing w:val="40"/>
        </w:rPr>
        <w:t> </w:t>
      </w:r>
      <w:r>
        <w:rPr/>
        <w:t>of</w:t>
      </w:r>
      <w:r>
        <w:rPr>
          <w:spacing w:val="40"/>
        </w:rPr>
        <w:t> </w:t>
      </w:r>
      <w:r>
        <w:rPr/>
        <w:t>saying</w:t>
      </w:r>
      <w:r>
        <w:rPr>
          <w:spacing w:val="40"/>
        </w:rPr>
        <w:t> </w:t>
      </w:r>
      <w:r>
        <w:rPr/>
        <w:t>that</w:t>
      </w:r>
      <w:r>
        <w:rPr>
          <w:spacing w:val="40"/>
        </w:rPr>
        <w:t> </w:t>
      </w:r>
      <w:r>
        <w:rPr/>
        <w:t>the</w:t>
      </w:r>
      <w:r>
        <w:rPr>
          <w:spacing w:val="40"/>
        </w:rPr>
        <w:t> </w:t>
      </w:r>
      <w:r>
        <w:rPr/>
        <w:t>offer</w:t>
      </w:r>
      <w:r>
        <w:rPr>
          <w:spacing w:val="40"/>
        </w:rPr>
        <w:t> </w:t>
      </w:r>
      <w:r>
        <w:rPr/>
        <w:t>was determined, so that there was never any contract, would be likely to differ from those of saying that there had been a contract which had been terminated: e.g. the Law Reform (Frustrated Contracts) Act 1943 could apply to the latter, but not to the former, situation.</w:t>
      </w:r>
    </w:p>
    <w:p>
      <w:pPr>
        <w:pStyle w:val="BodyText"/>
        <w:spacing w:before="4"/>
      </w:pPr>
    </w:p>
    <w:p>
      <w:pPr>
        <w:tabs>
          <w:tab w:pos="705" w:val="left" w:leader="none"/>
        </w:tabs>
        <w:spacing w:line="227" w:lineRule="exact" w:before="1"/>
        <w:ind w:left="165" w:right="0" w:firstLine="0"/>
        <w:jc w:val="left"/>
        <w:rPr>
          <w:sz w:val="20"/>
        </w:rPr>
      </w:pPr>
      <w:bookmarkStart w:name="_bookmark1014" w:id="1016"/>
      <w:bookmarkEnd w:id="1016"/>
      <w:r>
        <w:rPr/>
      </w:r>
      <w:hyperlink w:history="true" w:anchor="_bookmark1003">
        <w:r>
          <w:rPr>
            <w:color w:val="005DA1"/>
            <w:spacing w:val="-4"/>
            <w:position w:val="5"/>
            <w:sz w:val="14"/>
            <w:u w:val="single" w:color="005DA1"/>
          </w:rPr>
          <w:t>528</w:t>
        </w:r>
      </w:hyperlink>
      <w:r>
        <w:rPr>
          <w:spacing w:val="-4"/>
          <w:position w:val="5"/>
          <w:sz w:val="14"/>
        </w:rPr>
        <w:t>.</w:t>
      </w:r>
      <w:r>
        <w:rPr>
          <w:position w:val="5"/>
          <w:sz w:val="14"/>
        </w:rPr>
        <w:tab/>
      </w:r>
      <w:r>
        <w:rPr>
          <w:rFonts w:ascii="Arial"/>
          <w:i/>
          <w:sz w:val="20"/>
        </w:rPr>
        <w:t>Bradbury</w:t>
      </w:r>
      <w:r>
        <w:rPr>
          <w:rFonts w:ascii="Arial"/>
          <w:i/>
          <w:spacing w:val="14"/>
          <w:sz w:val="20"/>
        </w:rPr>
        <w:t> </w:t>
      </w:r>
      <w:r>
        <w:rPr>
          <w:rFonts w:ascii="Arial"/>
          <w:i/>
          <w:sz w:val="20"/>
        </w:rPr>
        <w:t>v</w:t>
      </w:r>
      <w:r>
        <w:rPr>
          <w:rFonts w:ascii="Arial"/>
          <w:i/>
          <w:spacing w:val="15"/>
          <w:sz w:val="20"/>
        </w:rPr>
        <w:t> </w:t>
      </w:r>
      <w:r>
        <w:rPr>
          <w:rFonts w:ascii="Arial"/>
          <w:i/>
          <w:sz w:val="20"/>
        </w:rPr>
        <w:t>Morgan</w:t>
      </w:r>
      <w:r>
        <w:rPr>
          <w:rFonts w:ascii="Arial"/>
          <w:i/>
          <w:spacing w:val="15"/>
          <w:sz w:val="20"/>
        </w:rPr>
        <w:t> </w:t>
      </w:r>
      <w:r>
        <w:rPr>
          <w:rFonts w:ascii="Arial"/>
          <w:i/>
          <w:sz w:val="20"/>
        </w:rPr>
        <w:t>(1862)</w:t>
      </w:r>
      <w:r>
        <w:rPr>
          <w:rFonts w:ascii="Arial"/>
          <w:i/>
          <w:spacing w:val="15"/>
          <w:sz w:val="20"/>
        </w:rPr>
        <w:t> </w:t>
      </w:r>
      <w:r>
        <w:rPr>
          <w:rFonts w:ascii="Arial"/>
          <w:i/>
          <w:sz w:val="20"/>
        </w:rPr>
        <w:t>1</w:t>
      </w:r>
      <w:r>
        <w:rPr>
          <w:rFonts w:ascii="Arial"/>
          <w:i/>
          <w:spacing w:val="15"/>
          <w:sz w:val="20"/>
        </w:rPr>
        <w:t> </w:t>
      </w:r>
      <w:r>
        <w:rPr>
          <w:rFonts w:ascii="Arial"/>
          <w:i/>
          <w:sz w:val="20"/>
        </w:rPr>
        <w:t>H.</w:t>
      </w:r>
      <w:r>
        <w:rPr>
          <w:rFonts w:ascii="Arial"/>
          <w:i/>
          <w:spacing w:val="15"/>
          <w:sz w:val="20"/>
        </w:rPr>
        <w:t> </w:t>
      </w:r>
      <w:r>
        <w:rPr>
          <w:rFonts w:ascii="Arial"/>
          <w:i/>
          <w:sz w:val="20"/>
        </w:rPr>
        <w:t>&amp;</w:t>
      </w:r>
      <w:r>
        <w:rPr>
          <w:rFonts w:ascii="Arial"/>
          <w:i/>
          <w:spacing w:val="15"/>
          <w:sz w:val="20"/>
        </w:rPr>
        <w:t> </w:t>
      </w:r>
      <w:r>
        <w:rPr>
          <w:rFonts w:ascii="Arial"/>
          <w:i/>
          <w:sz w:val="20"/>
        </w:rPr>
        <w:t>C.</w:t>
      </w:r>
      <w:r>
        <w:rPr>
          <w:rFonts w:ascii="Arial"/>
          <w:i/>
          <w:spacing w:val="15"/>
          <w:sz w:val="20"/>
        </w:rPr>
        <w:t> </w:t>
      </w:r>
      <w:r>
        <w:rPr>
          <w:rFonts w:ascii="Arial"/>
          <w:i/>
          <w:sz w:val="20"/>
        </w:rPr>
        <w:t>249</w:t>
      </w:r>
      <w:r>
        <w:rPr>
          <w:sz w:val="20"/>
        </w:rPr>
        <w:t>;</w:t>
      </w:r>
      <w:r>
        <w:rPr>
          <w:spacing w:val="15"/>
          <w:sz w:val="20"/>
        </w:rPr>
        <w:t> </w:t>
      </w:r>
      <w:r>
        <w:rPr>
          <w:rFonts w:ascii="Arial"/>
          <w:i/>
          <w:sz w:val="20"/>
        </w:rPr>
        <w:t>Harriss</w:t>
      </w:r>
      <w:r>
        <w:rPr>
          <w:rFonts w:ascii="Arial"/>
          <w:i/>
          <w:spacing w:val="15"/>
          <w:sz w:val="20"/>
        </w:rPr>
        <w:t> </w:t>
      </w:r>
      <w:r>
        <w:rPr>
          <w:rFonts w:ascii="Arial"/>
          <w:i/>
          <w:sz w:val="20"/>
        </w:rPr>
        <w:t>v</w:t>
      </w:r>
      <w:r>
        <w:rPr>
          <w:rFonts w:ascii="Arial"/>
          <w:i/>
          <w:spacing w:val="15"/>
          <w:sz w:val="20"/>
        </w:rPr>
        <w:t> </w:t>
      </w:r>
      <w:r>
        <w:rPr>
          <w:rFonts w:ascii="Arial"/>
          <w:i/>
          <w:sz w:val="20"/>
        </w:rPr>
        <w:t>Fawcett</w:t>
      </w:r>
      <w:r>
        <w:rPr>
          <w:rFonts w:ascii="Arial"/>
          <w:i/>
          <w:spacing w:val="15"/>
          <w:sz w:val="20"/>
        </w:rPr>
        <w:t> </w:t>
      </w:r>
      <w:r>
        <w:rPr>
          <w:rFonts w:ascii="Arial"/>
          <w:i/>
          <w:sz w:val="20"/>
        </w:rPr>
        <w:t>(1873)</w:t>
      </w:r>
      <w:r>
        <w:rPr>
          <w:rFonts w:ascii="Arial"/>
          <w:i/>
          <w:spacing w:val="15"/>
          <w:sz w:val="20"/>
        </w:rPr>
        <w:t> </w:t>
      </w:r>
      <w:r>
        <w:rPr>
          <w:rFonts w:ascii="Arial"/>
          <w:i/>
          <w:sz w:val="20"/>
        </w:rPr>
        <w:t>L.R.</w:t>
      </w:r>
      <w:r>
        <w:rPr>
          <w:rFonts w:ascii="Arial"/>
          <w:i/>
          <w:spacing w:val="15"/>
          <w:sz w:val="20"/>
        </w:rPr>
        <w:t> </w:t>
      </w:r>
      <w:r>
        <w:rPr>
          <w:rFonts w:ascii="Arial"/>
          <w:i/>
          <w:sz w:val="20"/>
        </w:rPr>
        <w:t>8</w:t>
      </w:r>
      <w:r>
        <w:rPr>
          <w:rFonts w:ascii="Arial"/>
          <w:i/>
          <w:spacing w:val="15"/>
          <w:sz w:val="20"/>
        </w:rPr>
        <w:t> </w:t>
      </w:r>
      <w:r>
        <w:rPr>
          <w:rFonts w:ascii="Arial"/>
          <w:i/>
          <w:sz w:val="20"/>
        </w:rPr>
        <w:t>Ch.</w:t>
      </w:r>
      <w:r>
        <w:rPr>
          <w:rFonts w:ascii="Arial"/>
          <w:i/>
          <w:spacing w:val="15"/>
          <w:sz w:val="20"/>
        </w:rPr>
        <w:t> </w:t>
      </w:r>
      <w:r>
        <w:rPr>
          <w:rFonts w:ascii="Arial"/>
          <w:i/>
          <w:sz w:val="20"/>
        </w:rPr>
        <w:t>App.</w:t>
      </w:r>
      <w:r>
        <w:rPr>
          <w:rFonts w:ascii="Arial"/>
          <w:i/>
          <w:spacing w:val="15"/>
          <w:sz w:val="20"/>
        </w:rPr>
        <w:t> </w:t>
      </w:r>
      <w:r>
        <w:rPr>
          <w:rFonts w:ascii="Arial"/>
          <w:i/>
          <w:sz w:val="20"/>
        </w:rPr>
        <w:t>866,</w:t>
      </w:r>
      <w:r>
        <w:rPr>
          <w:rFonts w:ascii="Arial"/>
          <w:i/>
          <w:spacing w:val="15"/>
          <w:sz w:val="20"/>
        </w:rPr>
        <w:t> </w:t>
      </w:r>
      <w:r>
        <w:rPr>
          <w:rFonts w:ascii="Arial"/>
          <w:i/>
          <w:spacing w:val="-4"/>
          <w:sz w:val="20"/>
        </w:rPr>
        <w:t>869</w:t>
      </w:r>
      <w:r>
        <w:rPr>
          <w:spacing w:val="-4"/>
          <w:sz w:val="20"/>
        </w:rPr>
        <w:t>;</w:t>
      </w:r>
    </w:p>
    <w:p>
      <w:pPr>
        <w:spacing w:line="227" w:lineRule="exact" w:before="0"/>
        <w:ind w:left="705" w:right="0" w:firstLine="0"/>
        <w:jc w:val="left"/>
        <w:rPr>
          <w:sz w:val="20"/>
        </w:rPr>
      </w:pPr>
      <w:r>
        <w:rPr>
          <w:rFonts w:ascii="Arial"/>
          <w:i/>
          <w:sz w:val="20"/>
        </w:rPr>
        <w:t>Coulthart v Clementson (1879) 5 Q.B.D. 42, </w:t>
      </w:r>
      <w:r>
        <w:rPr>
          <w:rFonts w:ascii="Arial"/>
          <w:i/>
          <w:spacing w:val="-5"/>
          <w:sz w:val="20"/>
        </w:rPr>
        <w:t>46</w:t>
      </w:r>
      <w:r>
        <w:rPr>
          <w:spacing w:val="-5"/>
          <w:sz w:val="20"/>
        </w:rPr>
        <w:t>.</w:t>
      </w:r>
    </w:p>
    <w:p>
      <w:pPr>
        <w:pStyle w:val="BodyText"/>
        <w:spacing w:before="4"/>
      </w:pPr>
    </w:p>
    <w:p>
      <w:pPr>
        <w:tabs>
          <w:tab w:pos="705" w:val="left" w:leader="none"/>
        </w:tabs>
        <w:spacing w:before="1"/>
        <w:ind w:left="165" w:right="0" w:firstLine="0"/>
        <w:jc w:val="left"/>
        <w:rPr>
          <w:sz w:val="20"/>
        </w:rPr>
      </w:pPr>
      <w:bookmarkStart w:name="_bookmark1015" w:id="1017"/>
      <w:bookmarkEnd w:id="1017"/>
      <w:r>
        <w:rPr/>
      </w:r>
      <w:hyperlink w:history="true" w:anchor="_bookmark1004">
        <w:r>
          <w:rPr>
            <w:color w:val="005DA1"/>
            <w:spacing w:val="-4"/>
            <w:position w:val="5"/>
            <w:sz w:val="14"/>
            <w:u w:val="single" w:color="005DA1"/>
          </w:rPr>
          <w:t>529</w:t>
        </w:r>
      </w:hyperlink>
      <w:r>
        <w:rPr>
          <w:spacing w:val="-4"/>
          <w:position w:val="5"/>
          <w:sz w:val="14"/>
        </w:rPr>
        <w:t>.</w:t>
      </w:r>
      <w:r>
        <w:rPr>
          <w:position w:val="5"/>
          <w:sz w:val="14"/>
        </w:rPr>
        <w:tab/>
      </w:r>
      <w:r>
        <w:rPr>
          <w:rFonts w:ascii="Arial"/>
          <w:i/>
          <w:sz w:val="20"/>
        </w:rPr>
        <w:t>Coulthart</w:t>
      </w:r>
      <w:r>
        <w:rPr>
          <w:rFonts w:ascii="Arial"/>
          <w:i/>
          <w:spacing w:val="-1"/>
          <w:sz w:val="20"/>
        </w:rPr>
        <w:t> </w:t>
      </w:r>
      <w:r>
        <w:rPr>
          <w:rFonts w:ascii="Arial"/>
          <w:i/>
          <w:sz w:val="20"/>
        </w:rPr>
        <w:t>v Clementson</w:t>
      </w:r>
      <w:r>
        <w:rPr>
          <w:sz w:val="20"/>
        </w:rPr>
        <w:t>, above, </w:t>
      </w:r>
      <w:r>
        <w:rPr>
          <w:spacing w:val="-2"/>
          <w:sz w:val="20"/>
        </w:rPr>
        <w:t>n.517.</w:t>
      </w:r>
    </w:p>
    <w:p>
      <w:pPr>
        <w:pStyle w:val="BodyText"/>
        <w:spacing w:before="4"/>
      </w:pPr>
    </w:p>
    <w:p>
      <w:pPr>
        <w:tabs>
          <w:tab w:pos="705" w:val="left" w:leader="none"/>
        </w:tabs>
        <w:spacing w:before="1"/>
        <w:ind w:left="165" w:right="0" w:firstLine="0"/>
        <w:jc w:val="left"/>
        <w:rPr>
          <w:sz w:val="20"/>
        </w:rPr>
      </w:pPr>
      <w:bookmarkStart w:name="_bookmark1016" w:id="1018"/>
      <w:bookmarkEnd w:id="1018"/>
      <w:r>
        <w:rPr/>
      </w:r>
      <w:hyperlink w:history="true" w:anchor="_bookmark1005">
        <w:r>
          <w:rPr>
            <w:color w:val="005DA1"/>
            <w:spacing w:val="-4"/>
            <w:position w:val="5"/>
            <w:sz w:val="14"/>
            <w:u w:val="single" w:color="005DA1"/>
          </w:rPr>
          <w:t>530</w:t>
        </w:r>
      </w:hyperlink>
      <w:r>
        <w:rPr>
          <w:spacing w:val="-4"/>
          <w:position w:val="5"/>
          <w:sz w:val="14"/>
        </w:rPr>
        <w:t>.</w:t>
      </w:r>
      <w:r>
        <w:rPr>
          <w:position w:val="5"/>
          <w:sz w:val="14"/>
        </w:rPr>
        <w:tab/>
      </w:r>
      <w:r>
        <w:rPr>
          <w:rFonts w:ascii="Arial"/>
          <w:i/>
          <w:sz w:val="20"/>
        </w:rPr>
        <w:t>Harriss v Fawcett (1873) L.R. 8 Ch. App. </w:t>
      </w:r>
      <w:r>
        <w:rPr>
          <w:rFonts w:ascii="Arial"/>
          <w:i/>
          <w:spacing w:val="-4"/>
          <w:sz w:val="20"/>
        </w:rPr>
        <w:t>866</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017" w:id="1019"/>
      <w:bookmarkEnd w:id="1019"/>
      <w:r>
        <w:rPr/>
      </w:r>
      <w:hyperlink w:history="true" w:anchor="_bookmark1006">
        <w:r>
          <w:rPr>
            <w:color w:val="005DA1"/>
            <w:spacing w:val="-4"/>
            <w:position w:val="5"/>
            <w:sz w:val="14"/>
            <w:u w:val="single" w:color="005DA1"/>
          </w:rPr>
          <w:t>531</w:t>
        </w:r>
      </w:hyperlink>
      <w:r>
        <w:rPr>
          <w:spacing w:val="-4"/>
          <w:position w:val="5"/>
          <w:sz w:val="14"/>
        </w:rPr>
        <w:t>.</w:t>
      </w:r>
      <w:r>
        <w:rPr>
          <w:position w:val="5"/>
          <w:sz w:val="14"/>
        </w:rPr>
        <w:tab/>
      </w:r>
      <w:r>
        <w:rPr>
          <w:rFonts w:ascii="Arial"/>
          <w:i/>
          <w:sz w:val="20"/>
        </w:rPr>
        <w:t>Re Silvester [1895] 1 Ch. </w:t>
      </w:r>
      <w:r>
        <w:rPr>
          <w:rFonts w:ascii="Arial"/>
          <w:i/>
          <w:spacing w:val="-4"/>
          <w:sz w:val="20"/>
        </w:rPr>
        <w:t>573</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018" w:id="1020"/>
      <w:bookmarkEnd w:id="1020"/>
      <w:r>
        <w:rPr/>
      </w:r>
      <w:hyperlink w:history="true" w:anchor="_bookmark1007">
        <w:r>
          <w:rPr>
            <w:color w:val="005DA1"/>
            <w:spacing w:val="-4"/>
            <w:position w:val="5"/>
            <w:sz w:val="14"/>
            <w:u w:val="single" w:color="005DA1"/>
          </w:rPr>
          <w:t>532</w:t>
        </w:r>
      </w:hyperlink>
      <w:r>
        <w:rPr>
          <w:spacing w:val="-4"/>
          <w:position w:val="5"/>
          <w:sz w:val="14"/>
        </w:rPr>
        <w:t>.</w:t>
      </w:r>
      <w:r>
        <w:rPr>
          <w:position w:val="5"/>
          <w:sz w:val="14"/>
        </w:rPr>
        <w:tab/>
      </w:r>
      <w:r>
        <w:rPr>
          <w:rFonts w:ascii="Arial"/>
          <w:i/>
          <w:sz w:val="20"/>
        </w:rPr>
        <w:t>(1921)</w:t>
      </w:r>
      <w:r>
        <w:rPr>
          <w:rFonts w:ascii="Arial"/>
          <w:i/>
          <w:spacing w:val="23"/>
          <w:sz w:val="20"/>
        </w:rPr>
        <w:t> </w:t>
      </w:r>
      <w:r>
        <w:rPr>
          <w:rFonts w:ascii="Arial"/>
          <w:i/>
          <w:sz w:val="20"/>
        </w:rPr>
        <w:t>125</w:t>
      </w:r>
      <w:r>
        <w:rPr>
          <w:rFonts w:ascii="Arial"/>
          <w:i/>
          <w:spacing w:val="24"/>
          <w:sz w:val="20"/>
        </w:rPr>
        <w:t> </w:t>
      </w:r>
      <w:r>
        <w:rPr>
          <w:rFonts w:ascii="Arial"/>
          <w:i/>
          <w:sz w:val="20"/>
        </w:rPr>
        <w:t>L.T.</w:t>
      </w:r>
      <w:r>
        <w:rPr>
          <w:rFonts w:ascii="Arial"/>
          <w:i/>
          <w:spacing w:val="24"/>
          <w:sz w:val="20"/>
        </w:rPr>
        <w:t> </w:t>
      </w:r>
      <w:r>
        <w:rPr>
          <w:rFonts w:ascii="Arial"/>
          <w:i/>
          <w:sz w:val="20"/>
        </w:rPr>
        <w:t>690,</w:t>
      </w:r>
      <w:r>
        <w:rPr>
          <w:rFonts w:ascii="Arial"/>
          <w:i/>
          <w:spacing w:val="24"/>
          <w:sz w:val="20"/>
        </w:rPr>
        <w:t> </w:t>
      </w:r>
      <w:r>
        <w:rPr>
          <w:rFonts w:ascii="Arial"/>
          <w:i/>
          <w:sz w:val="20"/>
        </w:rPr>
        <w:t>695;</w:t>
      </w:r>
      <w:r>
        <w:rPr>
          <w:rFonts w:ascii="Arial"/>
          <w:i/>
          <w:spacing w:val="24"/>
          <w:sz w:val="20"/>
        </w:rPr>
        <w:t> </w:t>
      </w:r>
      <w:r>
        <w:rPr>
          <w:rFonts w:ascii="Arial"/>
          <w:i/>
          <w:sz w:val="20"/>
        </w:rPr>
        <w:t>affirmed</w:t>
      </w:r>
      <w:r>
        <w:rPr>
          <w:rFonts w:ascii="Arial"/>
          <w:i/>
          <w:spacing w:val="24"/>
          <w:sz w:val="20"/>
        </w:rPr>
        <w:t> </w:t>
      </w:r>
      <w:r>
        <w:rPr>
          <w:rFonts w:ascii="Arial"/>
          <w:i/>
          <w:sz w:val="20"/>
        </w:rPr>
        <w:t>(1922)</w:t>
      </w:r>
      <w:r>
        <w:rPr>
          <w:rFonts w:ascii="Arial"/>
          <w:i/>
          <w:spacing w:val="24"/>
          <w:sz w:val="20"/>
        </w:rPr>
        <w:t> </w:t>
      </w:r>
      <w:r>
        <w:rPr>
          <w:rFonts w:ascii="Arial"/>
          <w:i/>
          <w:sz w:val="20"/>
        </w:rPr>
        <w:t>127</w:t>
      </w:r>
      <w:r>
        <w:rPr>
          <w:rFonts w:ascii="Arial"/>
          <w:i/>
          <w:spacing w:val="24"/>
          <w:sz w:val="20"/>
        </w:rPr>
        <w:t> </w:t>
      </w:r>
      <w:r>
        <w:rPr>
          <w:rFonts w:ascii="Arial"/>
          <w:i/>
          <w:sz w:val="20"/>
        </w:rPr>
        <w:t>L.T.</w:t>
      </w:r>
      <w:r>
        <w:rPr>
          <w:rFonts w:ascii="Arial"/>
          <w:i/>
          <w:spacing w:val="24"/>
          <w:sz w:val="20"/>
        </w:rPr>
        <w:t> </w:t>
      </w:r>
      <w:r>
        <w:rPr>
          <w:rFonts w:ascii="Arial"/>
          <w:i/>
          <w:sz w:val="20"/>
        </w:rPr>
        <w:t>189</w:t>
      </w:r>
      <w:r>
        <w:rPr>
          <w:sz w:val="20"/>
        </w:rPr>
        <w:t>;</w:t>
      </w:r>
      <w:r>
        <w:rPr>
          <w:spacing w:val="24"/>
          <w:sz w:val="20"/>
        </w:rPr>
        <w:t> </w:t>
      </w:r>
      <w:r>
        <w:rPr>
          <w:sz w:val="20"/>
        </w:rPr>
        <w:t>cf.</w:t>
      </w:r>
      <w:r>
        <w:rPr>
          <w:spacing w:val="24"/>
          <w:sz w:val="20"/>
        </w:rPr>
        <w:t> </w:t>
      </w:r>
      <w:r>
        <w:rPr>
          <w:rFonts w:ascii="Arial"/>
          <w:i/>
          <w:sz w:val="20"/>
        </w:rPr>
        <w:t>Somerville</w:t>
      </w:r>
      <w:r>
        <w:rPr>
          <w:rFonts w:ascii="Arial"/>
          <w:i/>
          <w:spacing w:val="24"/>
          <w:sz w:val="20"/>
        </w:rPr>
        <w:t> </w:t>
      </w:r>
      <w:r>
        <w:rPr>
          <w:rFonts w:ascii="Arial"/>
          <w:i/>
          <w:sz w:val="20"/>
        </w:rPr>
        <w:t>v</w:t>
      </w:r>
      <w:r>
        <w:rPr>
          <w:rFonts w:ascii="Arial"/>
          <w:i/>
          <w:spacing w:val="24"/>
          <w:sz w:val="20"/>
        </w:rPr>
        <w:t> </w:t>
      </w:r>
      <w:r>
        <w:rPr>
          <w:rFonts w:ascii="Arial"/>
          <w:i/>
          <w:sz w:val="20"/>
        </w:rPr>
        <w:t>N.C.B.,</w:t>
      </w:r>
      <w:r>
        <w:rPr>
          <w:rFonts w:ascii="Arial"/>
          <w:i/>
          <w:spacing w:val="24"/>
          <w:sz w:val="20"/>
        </w:rPr>
        <w:t> </w:t>
      </w:r>
      <w:r>
        <w:rPr>
          <w:rFonts w:ascii="Arial"/>
          <w:i/>
          <w:sz w:val="20"/>
        </w:rPr>
        <w:t>1963</w:t>
      </w:r>
      <w:r>
        <w:rPr>
          <w:rFonts w:ascii="Arial"/>
          <w:i/>
          <w:spacing w:val="24"/>
          <w:sz w:val="20"/>
        </w:rPr>
        <w:t> </w:t>
      </w:r>
      <w:r>
        <w:rPr>
          <w:rFonts w:ascii="Arial"/>
          <w:i/>
          <w:spacing w:val="-2"/>
          <w:sz w:val="20"/>
        </w:rPr>
        <w:t>S.L.T.</w:t>
      </w:r>
    </w:p>
    <w:p>
      <w:pPr>
        <w:spacing w:line="227" w:lineRule="exact" w:before="0"/>
        <w:ind w:left="705" w:right="0" w:firstLine="0"/>
        <w:jc w:val="left"/>
        <w:rPr>
          <w:sz w:val="20"/>
        </w:rPr>
      </w:pPr>
      <w:r>
        <w:rPr>
          <w:rFonts w:ascii="Arial"/>
          <w:i/>
          <w:spacing w:val="-4"/>
          <w:sz w:val="20"/>
        </w:rPr>
        <w:t>334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019" w:id="1021"/>
      <w:bookmarkEnd w:id="1021"/>
      <w:r>
        <w:rPr/>
      </w:r>
      <w:hyperlink w:history="true" w:anchor="_bookmark1008">
        <w:r>
          <w:rPr>
            <w:color w:val="005DA1"/>
            <w:spacing w:val="-4"/>
            <w:position w:val="5"/>
            <w:sz w:val="14"/>
            <w:u w:val="single" w:color="005DA1"/>
          </w:rPr>
          <w:t>533</w:t>
        </w:r>
      </w:hyperlink>
      <w:r>
        <w:rPr>
          <w:spacing w:val="-4"/>
          <w:position w:val="5"/>
          <w:sz w:val="14"/>
        </w:rPr>
        <w:t>.</w:t>
      </w:r>
      <w:r>
        <w:rPr>
          <w:position w:val="5"/>
          <w:sz w:val="14"/>
        </w:rPr>
        <w:tab/>
      </w:r>
      <w:r>
        <w:rPr>
          <w:rFonts w:ascii="Arial"/>
          <w:i/>
          <w:sz w:val="20"/>
        </w:rPr>
        <w:t>[1929]</w:t>
      </w:r>
      <w:r>
        <w:rPr>
          <w:rFonts w:ascii="Arial"/>
          <w:i/>
          <w:spacing w:val="-2"/>
          <w:sz w:val="20"/>
        </w:rPr>
        <w:t> </w:t>
      </w:r>
      <w:r>
        <w:rPr>
          <w:rFonts w:ascii="Arial"/>
          <w:i/>
          <w:sz w:val="20"/>
        </w:rPr>
        <w:t>1 Ch. </w:t>
      </w:r>
      <w:r>
        <w:rPr>
          <w:rFonts w:ascii="Arial"/>
          <w:i/>
          <w:spacing w:val="-4"/>
          <w:sz w:val="20"/>
        </w:rPr>
        <w:t>426</w:t>
      </w:r>
      <w:r>
        <w:rPr>
          <w:spacing w:val="-4"/>
          <w:sz w:val="20"/>
        </w:rPr>
        <w:t>.</w:t>
      </w:r>
    </w:p>
    <w:p>
      <w:pPr>
        <w:pStyle w:val="BodyText"/>
        <w:spacing w:before="5"/>
      </w:pPr>
    </w:p>
    <w:p>
      <w:pPr>
        <w:pStyle w:val="BodyText"/>
        <w:tabs>
          <w:tab w:pos="705" w:val="left" w:leader="none"/>
        </w:tabs>
        <w:ind w:left="165"/>
      </w:pPr>
      <w:bookmarkStart w:name="_bookmark1020" w:id="1022"/>
      <w:bookmarkEnd w:id="1022"/>
      <w:r>
        <w:rPr/>
      </w:r>
      <w:hyperlink w:history="true" w:anchor="_bookmark1009">
        <w:r>
          <w:rPr>
            <w:color w:val="005DA1"/>
            <w:spacing w:val="-4"/>
            <w:position w:val="5"/>
            <w:sz w:val="14"/>
            <w:u w:val="single" w:color="005DA1"/>
          </w:rPr>
          <w:t>534</w:t>
        </w:r>
      </w:hyperlink>
      <w:r>
        <w:rPr>
          <w:spacing w:val="-4"/>
          <w:position w:val="5"/>
          <w:sz w:val="14"/>
        </w:rPr>
        <w:t>.</w:t>
      </w:r>
      <w:r>
        <w:rPr>
          <w:position w:val="5"/>
          <w:sz w:val="14"/>
        </w:rPr>
        <w:tab/>
      </w:r>
      <w:r>
        <w:rPr/>
        <w:t>Vol.II, para.31-</w:t>
      </w:r>
      <w:r>
        <w:rPr>
          <w:spacing w:val="-4"/>
        </w:rPr>
        <w:t>166.</w:t>
      </w:r>
    </w:p>
    <w:p>
      <w:pPr>
        <w:pStyle w:val="BodyText"/>
        <w:spacing w:before="8"/>
      </w:pPr>
    </w:p>
    <w:p>
      <w:pPr>
        <w:pStyle w:val="BodyText"/>
        <w:tabs>
          <w:tab w:pos="705" w:val="left" w:leader="none"/>
        </w:tabs>
        <w:spacing w:line="235" w:lineRule="auto" w:before="1"/>
        <w:ind w:left="705" w:right="168" w:hanging="541"/>
      </w:pPr>
      <w:bookmarkStart w:name="_bookmark1021" w:id="1023"/>
      <w:bookmarkEnd w:id="1023"/>
      <w:r>
        <w:rPr/>
      </w:r>
      <w:hyperlink w:history="true" w:anchor="_bookmark1010">
        <w:r>
          <w:rPr>
            <w:color w:val="005DA1"/>
            <w:spacing w:val="-4"/>
            <w:position w:val="5"/>
            <w:sz w:val="14"/>
            <w:u w:val="single" w:color="005DA1"/>
          </w:rPr>
          <w:t>535</w:t>
        </w:r>
      </w:hyperlink>
      <w:r>
        <w:rPr>
          <w:spacing w:val="-4"/>
          <w:position w:val="5"/>
          <w:sz w:val="14"/>
        </w:rPr>
        <w:t>.</w:t>
      </w:r>
      <w:r>
        <w:rPr>
          <w:position w:val="5"/>
          <w:sz w:val="14"/>
        </w:rPr>
        <w:tab/>
      </w:r>
      <w:r>
        <w:rPr/>
        <w:t>“Personal” is here used in the same sense as in the law relating to termination of a contract by the death of a party: see n.516, above.</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1"/>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pStyle w:val="ListParagraph"/>
        <w:numPr>
          <w:ilvl w:val="0"/>
          <w:numId w:val="6"/>
        </w:numPr>
        <w:tabs>
          <w:tab w:pos="2864" w:val="left" w:leader="none"/>
        </w:tabs>
        <w:spacing w:line="240" w:lineRule="auto" w:before="194" w:after="0"/>
        <w:ind w:left="2864" w:right="0" w:hanging="306"/>
        <w:jc w:val="left"/>
        <w:rPr>
          <w:b/>
          <w:sz w:val="24"/>
        </w:rPr>
      </w:pPr>
      <w:r>
        <w:rPr>
          <w:b/>
          <w:sz w:val="24"/>
        </w:rPr>
        <w:t>- Supervening Personal </w:t>
      </w:r>
      <w:r>
        <w:rPr>
          <w:b/>
          <w:spacing w:val="-2"/>
          <w:sz w:val="24"/>
        </w:rPr>
        <w:t>Incapacity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Mental </w:t>
      </w:r>
      <w:r>
        <w:rPr>
          <w:rFonts w:ascii="Arial"/>
          <w:b/>
          <w:spacing w:val="-2"/>
          <w:sz w:val="18"/>
        </w:rPr>
        <w:t>incapacity</w:t>
      </w:r>
    </w:p>
    <w:p>
      <w:pPr>
        <w:pStyle w:val="BodyText"/>
        <w:spacing w:before="42"/>
        <w:rPr>
          <w:rFonts w:ascii="Arial"/>
          <w:b/>
          <w:sz w:val="18"/>
        </w:rPr>
      </w:pPr>
    </w:p>
    <w:p>
      <w:pPr>
        <w:pStyle w:val="Heading2"/>
      </w:pPr>
      <w:r>
        <w:rPr/>
        <w:t>2-</w:t>
      </w:r>
      <w:r>
        <w:rPr>
          <w:spacing w:val="-5"/>
        </w:rPr>
        <w:t>109</w:t>
      </w:r>
    </w:p>
    <w:p>
      <w:pPr>
        <w:pStyle w:val="BodyText"/>
        <w:spacing w:line="235" w:lineRule="auto" w:before="202"/>
        <w:ind w:left="165" w:right="167"/>
        <w:jc w:val="both"/>
      </w:pPr>
      <w:bookmarkStart w:name="_bookmark1022" w:id="1024"/>
      <w:bookmarkEnd w:id="1024"/>
      <w:r>
        <w:rPr/>
      </w:r>
      <w:r>
        <w:rPr/>
        <w:t>If, after making an offer, the offeror suffers from “an impairment of, or a disturbance in the functioning of, the mind or brain” </w:t>
      </w:r>
      <w:r>
        <w:rPr>
          <w:color w:val="005DA1"/>
          <w:u w:val="single" w:color="005DA1"/>
          <w:vertAlign w:val="superscript"/>
        </w:rPr>
        <w:t>536</w:t>
      </w:r>
      <w:r>
        <w:rPr>
          <w:color w:val="005DA1"/>
          <w:vertAlign w:val="baseline"/>
        </w:rPr>
        <w:t> </w:t>
      </w:r>
      <w:r>
        <w:rPr>
          <w:vertAlign w:val="baseline"/>
        </w:rPr>
        <w:t>and for that reason “lacks capacity”, </w:t>
      </w:r>
      <w:r>
        <w:rPr>
          <w:color w:val="005DA1"/>
          <w:u w:val="single" w:color="005DA1"/>
          <w:vertAlign w:val="superscript"/>
        </w:rPr>
        <w:t>537</w:t>
      </w:r>
      <w:r>
        <w:rPr>
          <w:color w:val="005DA1"/>
          <w:vertAlign w:val="baseline"/>
        </w:rPr>
        <w:t> </w:t>
      </w:r>
      <w:r>
        <w:rPr>
          <w:vertAlign w:val="baseline"/>
        </w:rPr>
        <w:t>then he will not be bound by an acceptance made after this fact has become known to the offeree, or after the offeror’s property has been made subject to the control of the court. But the offeror could hold the other party to the acceptance; and an offer made to a person who later became so incapacitated could be accepted so </w:t>
      </w:r>
      <w:bookmarkStart w:name="_bookmark1023" w:id="1025"/>
      <w:bookmarkEnd w:id="1025"/>
      <w:r>
        <w:rPr>
          <w:vertAlign w:val="baseline"/>
        </w:rPr>
        <w:t>as</w:t>
      </w:r>
      <w:r>
        <w:rPr>
          <w:vertAlign w:val="baseline"/>
        </w:rPr>
        <w:t> to bind the other party. These rules can readily be deduced from the law as to contracts </w:t>
      </w:r>
      <w:r>
        <w:rPr>
          <w:vertAlign w:val="baseline"/>
        </w:rPr>
        <w:t>with persons who lack mental capacity. </w:t>
      </w:r>
      <w:r>
        <w:rPr>
          <w:color w:val="005DA1"/>
          <w:u w:val="single" w:color="005DA1"/>
          <w:vertAlign w:val="superscript"/>
        </w:rPr>
        <w:t>538</w:t>
      </w:r>
    </w:p>
    <w:p>
      <w:pPr>
        <w:pStyle w:val="BodyText"/>
      </w:pPr>
    </w:p>
    <w:p>
      <w:pPr>
        <w:pStyle w:val="BodyText"/>
        <w:spacing w:before="37"/>
      </w:pPr>
      <w:r>
        <w:rPr/>
        <mc:AlternateContent>
          <mc:Choice Requires="wps">
            <w:drawing>
              <wp:anchor distT="0" distB="0" distL="0" distR="0" allowOverlap="1" layoutInCell="1" locked="0" behindDoc="1" simplePos="0" relativeHeight="487610368">
                <wp:simplePos x="0" y="0"/>
                <wp:positionH relativeFrom="page">
                  <wp:posOffset>914400</wp:posOffset>
                </wp:positionH>
                <wp:positionV relativeFrom="paragraph">
                  <wp:posOffset>185271</wp:posOffset>
                </wp:positionV>
                <wp:extent cx="5724525" cy="1270"/>
                <wp:effectExtent l="0" t="0" r="0" b="0"/>
                <wp:wrapTopAndBottom/>
                <wp:docPr id="80" name="Graphic 80"/>
                <wp:cNvGraphicFramePr>
                  <a:graphicFrameLocks/>
                </wp:cNvGraphicFramePr>
                <a:graphic>
                  <a:graphicData uri="http://schemas.microsoft.com/office/word/2010/wordprocessingShape">
                    <wps:wsp>
                      <wps:cNvPr id="80" name="Graphic 8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8269pt;width:450.75pt;height:.1pt;mso-position-horizontal-relative:page;mso-position-vertical-relative:paragraph;z-index:-15706112;mso-wrap-distance-left:0;mso-wrap-distance-right:0" id="docshape33"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024" w:id="1026"/>
      <w:bookmarkEnd w:id="1026"/>
      <w:r>
        <w:rPr/>
      </w:r>
      <w:hyperlink w:history="true" w:anchor="_bookmark1022">
        <w:r>
          <w:rPr>
            <w:color w:val="005DA1"/>
            <w:spacing w:val="-4"/>
            <w:position w:val="5"/>
            <w:sz w:val="14"/>
            <w:u w:val="single" w:color="005DA1"/>
          </w:rPr>
          <w:t>536</w:t>
        </w:r>
      </w:hyperlink>
      <w:r>
        <w:rPr>
          <w:spacing w:val="-4"/>
          <w:position w:val="5"/>
          <w:sz w:val="14"/>
        </w:rPr>
        <w:t>.</w:t>
      </w:r>
      <w:r>
        <w:rPr>
          <w:position w:val="5"/>
          <w:sz w:val="14"/>
        </w:rPr>
        <w:tab/>
      </w:r>
      <w:r>
        <w:rPr/>
        <w:t>Mental Capacity Act 2005 </w:t>
      </w:r>
      <w:r>
        <w:rPr>
          <w:spacing w:val="-4"/>
        </w:rPr>
        <w:t>s.2.</w:t>
      </w:r>
    </w:p>
    <w:p>
      <w:pPr>
        <w:pStyle w:val="BodyText"/>
        <w:spacing w:before="5"/>
      </w:pPr>
    </w:p>
    <w:p>
      <w:pPr>
        <w:pStyle w:val="BodyText"/>
        <w:tabs>
          <w:tab w:pos="705" w:val="left" w:leader="none"/>
        </w:tabs>
        <w:ind w:left="165"/>
      </w:pPr>
      <w:bookmarkStart w:name="_bookmark1025" w:id="1027"/>
      <w:bookmarkEnd w:id="1027"/>
      <w:r>
        <w:rPr/>
      </w:r>
      <w:hyperlink w:history="true" w:anchor="_bookmark1022">
        <w:r>
          <w:rPr>
            <w:color w:val="005DA1"/>
            <w:spacing w:val="-4"/>
            <w:position w:val="5"/>
            <w:sz w:val="14"/>
            <w:u w:val="single" w:color="005DA1"/>
          </w:rPr>
          <w:t>537</w:t>
        </w:r>
      </w:hyperlink>
      <w:r>
        <w:rPr>
          <w:spacing w:val="-4"/>
          <w:position w:val="5"/>
          <w:sz w:val="14"/>
        </w:rPr>
        <w:t>.</w:t>
      </w:r>
      <w:r>
        <w:rPr>
          <w:position w:val="5"/>
          <w:sz w:val="14"/>
        </w:rPr>
        <w:tab/>
      </w:r>
      <w:r>
        <w:rPr/>
        <w:t>Mental Capacity Act 2005 </w:t>
      </w:r>
      <w:r>
        <w:rPr>
          <w:spacing w:val="-4"/>
        </w:rPr>
        <w:t>s.2.</w:t>
      </w:r>
    </w:p>
    <w:p>
      <w:pPr>
        <w:pStyle w:val="BodyText"/>
        <w:spacing w:before="5"/>
      </w:pPr>
    </w:p>
    <w:p>
      <w:pPr>
        <w:pStyle w:val="BodyText"/>
        <w:tabs>
          <w:tab w:pos="705" w:val="left" w:leader="none"/>
        </w:tabs>
        <w:ind w:left="165"/>
      </w:pPr>
      <w:bookmarkStart w:name="_bookmark1026" w:id="1028"/>
      <w:bookmarkEnd w:id="1028"/>
      <w:r>
        <w:rPr/>
      </w:r>
      <w:hyperlink w:history="true" w:anchor="_bookmark1023">
        <w:r>
          <w:rPr>
            <w:color w:val="005DA1"/>
            <w:spacing w:val="-4"/>
            <w:position w:val="5"/>
            <w:sz w:val="14"/>
            <w:u w:val="single" w:color="005DA1"/>
          </w:rPr>
          <w:t>538</w:t>
        </w:r>
      </w:hyperlink>
      <w:r>
        <w:rPr>
          <w:spacing w:val="-4"/>
          <w:position w:val="5"/>
          <w:sz w:val="14"/>
        </w:rPr>
        <w:t>.</w:t>
      </w:r>
      <w:r>
        <w:rPr>
          <w:position w:val="5"/>
          <w:sz w:val="14"/>
        </w:rPr>
        <w:tab/>
      </w:r>
      <w:r>
        <w:rPr/>
        <w:t>Below,</w:t>
      </w:r>
      <w:r>
        <w:rPr>
          <w:spacing w:val="-2"/>
        </w:rPr>
        <w:t> </w:t>
      </w:r>
      <w:r>
        <w:rPr/>
        <w:t>paras 9-075—9-</w:t>
      </w:r>
      <w:r>
        <w:rPr>
          <w:spacing w:val="-4"/>
        </w:rPr>
        <w:t>104.</w:t>
      </w:r>
    </w:p>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headerReference w:type="default" r:id="rId22"/>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4. - Termination of the </w:t>
      </w:r>
      <w:r>
        <w:rPr>
          <w:rFonts w:ascii="Arial"/>
          <w:b/>
          <w:spacing w:val="-2"/>
          <w:sz w:val="24"/>
        </w:rPr>
        <w:t>Offer</w:t>
      </w:r>
    </w:p>
    <w:p>
      <w:pPr>
        <w:pStyle w:val="ListParagraph"/>
        <w:numPr>
          <w:ilvl w:val="0"/>
          <w:numId w:val="6"/>
        </w:numPr>
        <w:tabs>
          <w:tab w:pos="2831" w:val="left" w:leader="none"/>
        </w:tabs>
        <w:spacing w:line="240" w:lineRule="auto" w:before="194" w:after="0"/>
        <w:ind w:left="2831" w:right="0" w:hanging="373"/>
        <w:jc w:val="left"/>
        <w:rPr>
          <w:b/>
          <w:sz w:val="24"/>
        </w:rPr>
      </w:pPr>
      <w:r>
        <w:rPr>
          <w:b/>
          <w:sz w:val="24"/>
        </w:rPr>
        <w:t>- Supervening Corporate </w:t>
      </w:r>
      <w:r>
        <w:rPr>
          <w:b/>
          <w:spacing w:val="-2"/>
          <w:sz w:val="24"/>
        </w:rPr>
        <w:t>Incapacity</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Supervening corporate </w:t>
      </w:r>
      <w:r>
        <w:rPr>
          <w:rFonts w:ascii="Arial"/>
          <w:b/>
          <w:spacing w:val="-2"/>
          <w:sz w:val="18"/>
        </w:rPr>
        <w:t>incapacity</w:t>
      </w:r>
    </w:p>
    <w:p>
      <w:pPr>
        <w:pStyle w:val="BodyText"/>
        <w:spacing w:before="42"/>
        <w:rPr>
          <w:rFonts w:ascii="Arial"/>
          <w:b/>
          <w:sz w:val="18"/>
        </w:rPr>
      </w:pPr>
    </w:p>
    <w:p>
      <w:pPr>
        <w:pStyle w:val="Heading2"/>
      </w:pPr>
      <w:r>
        <w:rPr/>
        <w:t>2-</w:t>
      </w:r>
      <w:r>
        <w:rPr>
          <w:spacing w:val="-5"/>
        </w:rPr>
        <w:t>110</w:t>
      </w:r>
    </w:p>
    <w:p>
      <w:pPr>
        <w:pStyle w:val="BodyText"/>
        <w:spacing w:line="235" w:lineRule="auto" w:before="202"/>
        <w:ind w:left="165" w:right="167"/>
        <w:jc w:val="both"/>
      </w:pPr>
      <w:r>
        <w:rPr/>
        <w:t>In discussing the effect on an offer of supervening corporate incapacity, a distinction must be drawn between companies incorporated under the Companies Acts (and now governed by the </w:t>
      </w:r>
      <w:r>
        <w:rPr/>
        <w:t>Companies Act 2006) and other corporations.</w:t>
      </w:r>
    </w:p>
    <w:p>
      <w:pPr>
        <w:pStyle w:val="BodyText"/>
      </w:pPr>
    </w:p>
    <w:p>
      <w:pPr>
        <w:pStyle w:val="BodyText"/>
        <w:spacing w:before="38"/>
      </w:pPr>
    </w:p>
    <w:p>
      <w:pPr>
        <w:spacing w:before="0"/>
        <w:ind w:left="165" w:right="0" w:firstLine="0"/>
        <w:jc w:val="both"/>
        <w:rPr>
          <w:rFonts w:ascii="Arial"/>
          <w:b/>
          <w:sz w:val="18"/>
        </w:rPr>
      </w:pPr>
      <w:r>
        <w:rPr>
          <w:rFonts w:ascii="Arial"/>
          <w:b/>
          <w:sz w:val="18"/>
        </w:rPr>
        <w:t>Companies incorporated under the Companies </w:t>
      </w:r>
      <w:r>
        <w:rPr>
          <w:rFonts w:ascii="Arial"/>
          <w:b/>
          <w:spacing w:val="-4"/>
          <w:sz w:val="18"/>
        </w:rPr>
        <w:t>Acts</w:t>
      </w:r>
    </w:p>
    <w:p>
      <w:pPr>
        <w:pStyle w:val="BodyText"/>
        <w:spacing w:before="41"/>
        <w:rPr>
          <w:rFonts w:ascii="Arial"/>
          <w:b/>
          <w:sz w:val="18"/>
        </w:rPr>
      </w:pPr>
    </w:p>
    <w:p>
      <w:pPr>
        <w:pStyle w:val="Heading2"/>
      </w:pPr>
      <w:r>
        <w:rPr/>
        <w:t>2-</w:t>
      </w:r>
      <w:r>
        <w:rPr>
          <w:spacing w:val="-5"/>
        </w:rPr>
        <w:t>111</w:t>
      </w:r>
    </w:p>
    <w:p>
      <w:pPr>
        <w:pStyle w:val="BodyText"/>
        <w:spacing w:line="235" w:lineRule="auto" w:before="203"/>
        <w:ind w:left="164" w:right="167"/>
        <w:jc w:val="both"/>
      </w:pPr>
      <w:bookmarkStart w:name="_bookmark1027" w:id="1029"/>
      <w:bookmarkEnd w:id="1029"/>
      <w:r>
        <w:rPr/>
      </w:r>
      <w:r>
        <w:rPr/>
        <w:t>In these Acts, the expression “company” generally means a company formed and registered under</w:t>
      </w:r>
      <w:r>
        <w:rPr>
          <w:spacing w:val="40"/>
        </w:rPr>
        <w:t> </w:t>
      </w:r>
      <w:bookmarkStart w:name="_bookmark1028" w:id="1030"/>
      <w:bookmarkEnd w:id="1030"/>
      <w:r>
        <w:rPr/>
        <w:t>the</w:t>
      </w:r>
      <w:r>
        <w:rPr/>
        <w:t> Companies Act 2006 or under earlier Companies Acts. </w:t>
      </w:r>
      <w:r>
        <w:rPr>
          <w:color w:val="005DA1"/>
          <w:u w:val="single" w:color="005DA1"/>
          <w:vertAlign w:val="superscript"/>
        </w:rPr>
        <w:t>539</w:t>
      </w:r>
      <w:r>
        <w:rPr>
          <w:color w:val="005DA1"/>
          <w:vertAlign w:val="baseline"/>
        </w:rPr>
        <w:t> </w:t>
      </w:r>
      <w:r>
        <w:rPr>
          <w:vertAlign w:val="baseline"/>
        </w:rPr>
        <w:t>The legal capacity of such a company </w:t>
      </w:r>
      <w:bookmarkStart w:name="_bookmark1029" w:id="1031"/>
      <w:bookmarkEnd w:id="1031"/>
      <w:r>
        <w:rPr>
          <w:vertAlign w:val="baseline"/>
        </w:rPr>
        <w:t>depends</w:t>
      </w:r>
      <w:r>
        <w:rPr>
          <w:vertAlign w:val="baseline"/>
        </w:rPr>
        <w:t> on the company’s constitution, an expression which includes the company’s articles</w:t>
      </w:r>
      <w:r>
        <w:rPr>
          <w:spacing w:val="-2"/>
          <w:vertAlign w:val="baseline"/>
        </w:rPr>
        <w:t> </w:t>
      </w:r>
      <w:r>
        <w:rPr>
          <w:color w:val="005DA1"/>
          <w:u w:val="single" w:color="005DA1"/>
          <w:vertAlign w:val="superscript"/>
        </w:rPr>
        <w:t>540</w:t>
      </w:r>
      <w:r>
        <w:rPr>
          <w:vertAlign w:val="baseline"/>
        </w:rPr>
        <w:t>; </w:t>
      </w:r>
      <w:r>
        <w:rPr>
          <w:vertAlign w:val="baseline"/>
        </w:rPr>
        <w:t>and, </w:t>
      </w:r>
      <w:bookmarkStart w:name="_bookmark1030" w:id="1032"/>
      <w:bookmarkEnd w:id="1032"/>
      <w:r>
        <w:rPr>
          <w:vertAlign w:val="baseline"/>
        </w:rPr>
        <w:t>in</w:t>
      </w:r>
      <w:r>
        <w:rPr>
          <w:vertAlign w:val="baseline"/>
        </w:rPr>
        <w:t> particular, on any statement of the company’s objects in the articles, </w:t>
      </w:r>
      <w:r>
        <w:rPr>
          <w:color w:val="005DA1"/>
          <w:u w:val="single" w:color="005DA1"/>
          <w:vertAlign w:val="superscript"/>
        </w:rPr>
        <w:t>541</w:t>
      </w:r>
      <w:r>
        <w:rPr>
          <w:color w:val="005DA1"/>
          <w:vertAlign w:val="baseline"/>
        </w:rPr>
        <w:t> </w:t>
      </w:r>
      <w:r>
        <w:rPr>
          <w:vertAlign w:val="baseline"/>
        </w:rPr>
        <w:t>which may be amended by </w:t>
      </w:r>
      <w:bookmarkStart w:name="_bookmark1031" w:id="1033"/>
      <w:bookmarkEnd w:id="1033"/>
      <w:r>
        <w:rPr>
          <w:vertAlign w:val="baseline"/>
        </w:rPr>
        <w:t>special</w:t>
      </w:r>
      <w:r>
        <w:rPr>
          <w:vertAlign w:val="baseline"/>
        </w:rPr>
        <w:t> resolution. </w:t>
      </w:r>
      <w:r>
        <w:rPr>
          <w:color w:val="005DA1"/>
          <w:u w:val="single" w:color="005DA1"/>
          <w:vertAlign w:val="superscript"/>
        </w:rPr>
        <w:t>542</w:t>
      </w:r>
      <w:r>
        <w:rPr>
          <w:color w:val="005DA1"/>
          <w:vertAlign w:val="baseline"/>
        </w:rPr>
        <w:t> </w:t>
      </w:r>
      <w:r>
        <w:rPr>
          <w:vertAlign w:val="baseline"/>
        </w:rPr>
        <w:t>Unless the articles specifically restrict the objects of a company, its objects are (in general) unrestricted </w:t>
      </w:r>
      <w:r>
        <w:rPr>
          <w:color w:val="005DA1"/>
          <w:u w:val="single" w:color="005DA1"/>
          <w:vertAlign w:val="superscript"/>
        </w:rPr>
        <w:t>543</w:t>
      </w:r>
      <w:r>
        <w:rPr>
          <w:vertAlign w:val="baseline"/>
        </w:rPr>
        <w:t>; but our present concern is with cases in which a special resolution amends the articles by either restricting originally unrestricted objects or imposing further restrictions on</w:t>
      </w:r>
      <w:r>
        <w:rPr>
          <w:spacing w:val="-2"/>
          <w:vertAlign w:val="baseline"/>
        </w:rPr>
        <w:t> </w:t>
      </w:r>
      <w:r>
        <w:rPr>
          <w:vertAlign w:val="baseline"/>
        </w:rPr>
        <w:t>originally</w:t>
      </w:r>
      <w:r>
        <w:rPr>
          <w:spacing w:val="-2"/>
          <w:vertAlign w:val="baseline"/>
        </w:rPr>
        <w:t> </w:t>
      </w:r>
      <w:r>
        <w:rPr>
          <w:vertAlign w:val="baseline"/>
        </w:rPr>
        <w:t>restricted</w:t>
      </w:r>
      <w:r>
        <w:rPr>
          <w:spacing w:val="-2"/>
          <w:vertAlign w:val="baseline"/>
        </w:rPr>
        <w:t> </w:t>
      </w:r>
      <w:r>
        <w:rPr>
          <w:vertAlign w:val="baseline"/>
        </w:rPr>
        <w:t>objects.</w:t>
      </w:r>
      <w:r>
        <w:rPr>
          <w:spacing w:val="-2"/>
          <w:vertAlign w:val="baseline"/>
        </w:rPr>
        <w:t> </w:t>
      </w:r>
      <w:r>
        <w:rPr>
          <w:vertAlign w:val="baseline"/>
        </w:rPr>
        <w:t>If</w:t>
      </w:r>
      <w:r>
        <w:rPr>
          <w:spacing w:val="-2"/>
          <w:vertAlign w:val="baseline"/>
        </w:rPr>
        <w:t> </w:t>
      </w:r>
      <w:r>
        <w:rPr>
          <w:vertAlign w:val="baseline"/>
        </w:rPr>
        <w:t>the</w:t>
      </w:r>
      <w:r>
        <w:rPr>
          <w:spacing w:val="-2"/>
          <w:vertAlign w:val="baseline"/>
        </w:rPr>
        <w:t> </w:t>
      </w:r>
      <w:r>
        <w:rPr>
          <w:vertAlign w:val="baseline"/>
        </w:rPr>
        <w:t>company</w:t>
      </w:r>
      <w:r>
        <w:rPr>
          <w:spacing w:val="-2"/>
          <w:vertAlign w:val="baseline"/>
        </w:rPr>
        <w:t> </w:t>
      </w:r>
      <w:r>
        <w:rPr>
          <w:vertAlign w:val="baseline"/>
        </w:rPr>
        <w:t>nevertheless</w:t>
      </w:r>
      <w:r>
        <w:rPr>
          <w:spacing w:val="-2"/>
          <w:vertAlign w:val="baseline"/>
        </w:rPr>
        <w:t> </w:t>
      </w:r>
      <w:r>
        <w:rPr>
          <w:vertAlign w:val="baseline"/>
        </w:rPr>
        <w:t>entered</w:t>
      </w:r>
      <w:r>
        <w:rPr>
          <w:spacing w:val="-2"/>
          <w:vertAlign w:val="baseline"/>
        </w:rPr>
        <w:t> </w:t>
      </w:r>
      <w:r>
        <w:rPr>
          <w:vertAlign w:val="baseline"/>
        </w:rPr>
        <w:t>into</w:t>
      </w:r>
      <w:r>
        <w:rPr>
          <w:spacing w:val="-2"/>
          <w:vertAlign w:val="baseline"/>
        </w:rPr>
        <w:t> </w:t>
      </w:r>
      <w:r>
        <w:rPr>
          <w:vertAlign w:val="baseline"/>
        </w:rPr>
        <w:t>a</w:t>
      </w:r>
      <w:r>
        <w:rPr>
          <w:spacing w:val="-2"/>
          <w:vertAlign w:val="baseline"/>
        </w:rPr>
        <w:t> </w:t>
      </w:r>
      <w:r>
        <w:rPr>
          <w:vertAlign w:val="baseline"/>
        </w:rPr>
        <w:t>transaction</w:t>
      </w:r>
      <w:r>
        <w:rPr>
          <w:spacing w:val="-2"/>
          <w:vertAlign w:val="baseline"/>
        </w:rPr>
        <w:t> </w:t>
      </w:r>
      <w:r>
        <w:rPr>
          <w:vertAlign w:val="baseline"/>
        </w:rPr>
        <w:t>which</w:t>
      </w:r>
      <w:r>
        <w:rPr>
          <w:spacing w:val="-2"/>
          <w:vertAlign w:val="baseline"/>
        </w:rPr>
        <w:t> </w:t>
      </w:r>
      <w:r>
        <w:rPr>
          <w:vertAlign w:val="baseline"/>
        </w:rPr>
        <w:t>fell</w:t>
      </w:r>
      <w:r>
        <w:rPr>
          <w:spacing w:val="-2"/>
          <w:vertAlign w:val="baseline"/>
        </w:rPr>
        <w:t> </w:t>
      </w:r>
      <w:r>
        <w:rPr>
          <w:vertAlign w:val="baseline"/>
        </w:rPr>
        <w:t>within </w:t>
      </w:r>
      <w:bookmarkStart w:name="_bookmark1032" w:id="1034"/>
      <w:bookmarkEnd w:id="1034"/>
      <w:r>
        <w:rPr>
          <w:vertAlign w:val="baseline"/>
        </w:rPr>
        <w:t>the</w:t>
      </w:r>
      <w:r>
        <w:rPr>
          <w:vertAlign w:val="baseline"/>
        </w:rPr>
        <w:t> newly imposed restrictions on its objects, that transaction would formerly have been ultra vires</w:t>
      </w:r>
      <w:r>
        <w:rPr>
          <w:spacing w:val="40"/>
          <w:vertAlign w:val="baseline"/>
        </w:rPr>
        <w:t> </w:t>
      </w:r>
      <w:r>
        <w:rPr>
          <w:vertAlign w:val="baseline"/>
        </w:rPr>
        <w:t>and void. </w:t>
      </w:r>
      <w:r>
        <w:rPr>
          <w:color w:val="005DA1"/>
          <w:u w:val="single" w:color="005DA1"/>
          <w:vertAlign w:val="superscript"/>
        </w:rPr>
        <w:t>544</w:t>
      </w:r>
      <w:r>
        <w:rPr>
          <w:color w:val="005DA1"/>
          <w:vertAlign w:val="baseline"/>
        </w:rPr>
        <w:t> </w:t>
      </w:r>
      <w:r>
        <w:rPr>
          <w:vertAlign w:val="baseline"/>
        </w:rPr>
        <w:t>The Companies Act 2006 does not abolish this ultra vires doctrine but it contains a number of provisions which significantly restrict its operation. Of these, the following are of particular </w:t>
      </w:r>
      <w:bookmarkStart w:name="_bookmark1033" w:id="1035"/>
      <w:bookmarkEnd w:id="1035"/>
      <w:r>
        <w:rPr>
          <w:vertAlign w:val="baseline"/>
        </w:rPr>
        <w:t>importance</w:t>
      </w:r>
      <w:r>
        <w:rPr>
          <w:vertAlign w:val="baseline"/>
        </w:rPr>
        <w:t> for the purposes of the discussion that follows in paras 2-112—2-114 below. First, s.31(3) provides that, in general, </w:t>
      </w:r>
      <w:r>
        <w:rPr>
          <w:color w:val="005DA1"/>
          <w:u w:val="single" w:color="005DA1"/>
          <w:vertAlign w:val="superscript"/>
        </w:rPr>
        <w:t>545</w:t>
      </w:r>
      <w:r>
        <w:rPr>
          <w:color w:val="005DA1"/>
          <w:vertAlign w:val="baseline"/>
        </w:rPr>
        <w:t> </w:t>
      </w:r>
      <w:r>
        <w:rPr>
          <w:vertAlign w:val="baseline"/>
        </w:rPr>
        <w:t>“Any such amendment does not affect any rights or obligations of the </w:t>
      </w:r>
      <w:bookmarkStart w:name="_bookmark1034" w:id="1036"/>
      <w:bookmarkEnd w:id="1036"/>
      <w:r>
        <w:rPr>
          <w:vertAlign w:val="baseline"/>
        </w:rPr>
        <w:t>company”;</w:t>
      </w:r>
      <w:r>
        <w:rPr>
          <w:vertAlign w:val="baseline"/>
        </w:rPr>
        <w:t> the phrase </w:t>
      </w:r>
      <w:r>
        <w:rPr>
          <w:rFonts w:ascii="Arial" w:hAnsi="Arial"/>
          <w:i/>
          <w:vertAlign w:val="baseline"/>
        </w:rPr>
        <w:t>"such amendment"</w:t>
      </w:r>
      <w:r>
        <w:rPr>
          <w:rFonts w:ascii="Arial" w:hAnsi="Arial"/>
          <w:i/>
          <w:spacing w:val="40"/>
          <w:vertAlign w:val="baseline"/>
        </w:rPr>
        <w:t> </w:t>
      </w:r>
      <w:r>
        <w:rPr>
          <w:vertAlign w:val="baseline"/>
        </w:rPr>
        <w:t>here refers to an amendment of the company’s “articles so </w:t>
      </w:r>
      <w:bookmarkStart w:name="_bookmark1035" w:id="1037"/>
      <w:bookmarkEnd w:id="1037"/>
      <w:r>
        <w:rPr>
          <w:vertAlign w:val="baseline"/>
        </w:rPr>
        <w:t>as</w:t>
      </w:r>
      <w:r>
        <w:rPr>
          <w:vertAlign w:val="baseline"/>
        </w:rPr>
        <w:t> to add, remove or alter a statement of the company’s objects”. </w:t>
      </w:r>
      <w:r>
        <w:rPr>
          <w:color w:val="005DA1"/>
          <w:u w:val="single" w:color="005DA1"/>
          <w:vertAlign w:val="superscript"/>
        </w:rPr>
        <w:t>546</w:t>
      </w:r>
      <w:r>
        <w:rPr>
          <w:color w:val="005DA1"/>
          <w:vertAlign w:val="baseline"/>
        </w:rPr>
        <w:t> </w:t>
      </w:r>
      <w:r>
        <w:rPr>
          <w:vertAlign w:val="baseline"/>
        </w:rPr>
        <w:t>Secondly, s.39(1) provides that, in general </w:t>
      </w:r>
      <w:r>
        <w:rPr>
          <w:color w:val="005DA1"/>
          <w:u w:val="single" w:color="005DA1"/>
          <w:vertAlign w:val="superscript"/>
        </w:rPr>
        <w:t>547</w:t>
      </w:r>
      <w:r>
        <w:rPr>
          <w:vertAlign w:val="baseline"/>
        </w:rPr>
        <w:t>:</w:t>
      </w:r>
    </w:p>
    <w:p>
      <w:pPr>
        <w:pStyle w:val="BodyText"/>
      </w:pPr>
    </w:p>
    <w:p>
      <w:pPr>
        <w:pStyle w:val="BodyText"/>
        <w:spacing w:before="120"/>
      </w:pPr>
    </w:p>
    <w:p>
      <w:pPr>
        <w:pStyle w:val="BodyText"/>
        <w:spacing w:line="235" w:lineRule="auto"/>
        <w:ind w:left="1245" w:right="168"/>
      </w:pPr>
      <w:bookmarkStart w:name="_bookmark1036" w:id="1038"/>
      <w:bookmarkEnd w:id="1038"/>
      <w:r>
        <w:rPr/>
      </w:r>
      <w:r>
        <w:rPr/>
        <w:t>“the validity of an act done by a company shall not be called into question on the ground of lack of capacity by reason of anything in the company’s constitution.” </w:t>
      </w:r>
      <w:r>
        <w:rPr>
          <w:color w:val="005DA1"/>
          <w:u w:val="single" w:color="005DA1"/>
          <w:vertAlign w:val="superscript"/>
        </w:rPr>
        <w:t>548</w:t>
      </w:r>
    </w:p>
    <w:p>
      <w:pPr>
        <w:pStyle w:val="BodyText"/>
      </w:pPr>
    </w:p>
    <w:p>
      <w:pPr>
        <w:pStyle w:val="BodyText"/>
        <w:spacing w:before="206"/>
      </w:pPr>
    </w:p>
    <w:p>
      <w:pPr>
        <w:pStyle w:val="BodyText"/>
        <w:spacing w:line="235" w:lineRule="auto"/>
        <w:ind w:left="165" w:right="167"/>
        <w:jc w:val="both"/>
      </w:pPr>
      <w:r>
        <w:rPr/>
        <w:t>Further problems can, however, arise from the fact that a contract which violated a restriction on the </w:t>
      </w:r>
      <w:bookmarkStart w:name="_bookmark1037" w:id="1039"/>
      <w:bookmarkEnd w:id="1039"/>
      <w:r>
        <w:rPr/>
        <w:t>company’s</w:t>
      </w:r>
      <w:r>
        <w:rPr/>
        <w:t> objects would on that ground be beyond the power of its directors. Section 40(1) </w:t>
      </w:r>
      <w:r>
        <w:rPr/>
        <w:t>therefore provides, thirdly, that, in general </w:t>
      </w:r>
      <w:r>
        <w:rPr>
          <w:color w:val="005DA1"/>
          <w:u w:val="single" w:color="005DA1"/>
          <w:vertAlign w:val="superscript"/>
        </w:rPr>
        <w:t>549</w:t>
      </w:r>
      <w:r>
        <w:rPr>
          <w:vertAlign w:val="baseline"/>
        </w:rPr>
        <w:t>:</w:t>
      </w:r>
    </w:p>
    <w:p>
      <w:pPr>
        <w:pStyle w:val="BodyText"/>
      </w:pPr>
    </w:p>
    <w:p>
      <w:pPr>
        <w:pStyle w:val="BodyText"/>
        <w:spacing w:before="122"/>
      </w:pPr>
    </w:p>
    <w:p>
      <w:pPr>
        <w:pStyle w:val="BodyText"/>
        <w:ind w:left="1245"/>
      </w:pPr>
      <w:r>
        <w:rPr/>
        <w:t>“In</w:t>
      </w:r>
      <w:r>
        <w:rPr>
          <w:spacing w:val="13"/>
        </w:rPr>
        <w:t> </w:t>
      </w:r>
      <w:r>
        <w:rPr/>
        <w:t>favour</w:t>
      </w:r>
      <w:r>
        <w:rPr>
          <w:spacing w:val="13"/>
        </w:rPr>
        <w:t> </w:t>
      </w:r>
      <w:r>
        <w:rPr/>
        <w:t>of</w:t>
      </w:r>
      <w:r>
        <w:rPr>
          <w:spacing w:val="13"/>
        </w:rPr>
        <w:t> </w:t>
      </w:r>
      <w:r>
        <w:rPr/>
        <w:t>a</w:t>
      </w:r>
      <w:r>
        <w:rPr>
          <w:spacing w:val="13"/>
        </w:rPr>
        <w:t> </w:t>
      </w:r>
      <w:r>
        <w:rPr/>
        <w:t>person</w:t>
      </w:r>
      <w:r>
        <w:rPr>
          <w:spacing w:val="13"/>
        </w:rPr>
        <w:t> </w:t>
      </w:r>
      <w:r>
        <w:rPr/>
        <w:t>dealing</w:t>
      </w:r>
      <w:r>
        <w:rPr>
          <w:spacing w:val="13"/>
        </w:rPr>
        <w:t> </w:t>
      </w:r>
      <w:r>
        <w:rPr/>
        <w:t>with</w:t>
      </w:r>
      <w:r>
        <w:rPr>
          <w:spacing w:val="13"/>
        </w:rPr>
        <w:t> </w:t>
      </w:r>
      <w:r>
        <w:rPr/>
        <w:t>the</w:t>
      </w:r>
      <w:r>
        <w:rPr>
          <w:spacing w:val="13"/>
        </w:rPr>
        <w:t> </w:t>
      </w:r>
      <w:r>
        <w:rPr/>
        <w:t>company</w:t>
      </w:r>
      <w:r>
        <w:rPr>
          <w:spacing w:val="13"/>
        </w:rPr>
        <w:t> </w:t>
      </w:r>
      <w:r>
        <w:rPr/>
        <w:t>in</w:t>
      </w:r>
      <w:r>
        <w:rPr>
          <w:spacing w:val="13"/>
        </w:rPr>
        <w:t> </w:t>
      </w:r>
      <w:r>
        <w:rPr/>
        <w:t>good</w:t>
      </w:r>
      <w:r>
        <w:rPr>
          <w:spacing w:val="13"/>
        </w:rPr>
        <w:t> </w:t>
      </w:r>
      <w:r>
        <w:rPr/>
        <w:t>faith,</w:t>
      </w:r>
      <w:r>
        <w:rPr>
          <w:spacing w:val="13"/>
        </w:rPr>
        <w:t> </w:t>
      </w:r>
      <w:r>
        <w:rPr/>
        <w:t>the</w:t>
      </w:r>
      <w:r>
        <w:rPr>
          <w:spacing w:val="13"/>
        </w:rPr>
        <w:t> </w:t>
      </w:r>
      <w:r>
        <w:rPr/>
        <w:t>power</w:t>
      </w:r>
      <w:r>
        <w:rPr>
          <w:spacing w:val="13"/>
        </w:rPr>
        <w:t> </w:t>
      </w:r>
      <w:r>
        <w:rPr/>
        <w:t>of</w:t>
      </w:r>
      <w:r>
        <w:rPr>
          <w:spacing w:val="13"/>
        </w:rPr>
        <w:t> </w:t>
      </w:r>
      <w:r>
        <w:rPr/>
        <w:t>the</w:t>
      </w:r>
      <w:r>
        <w:rPr>
          <w:spacing w:val="13"/>
        </w:rPr>
        <w:t> </w:t>
      </w:r>
      <w:r>
        <w:rPr>
          <w:spacing w:val="-2"/>
        </w:rPr>
        <w:t>directors</w:t>
      </w:r>
    </w:p>
    <w:p>
      <w:pPr>
        <w:pStyle w:val="BodyText"/>
        <w:spacing w:after="0"/>
        <w:sectPr>
          <w:pgSz w:w="11900" w:h="16840"/>
          <w:pgMar w:header="971" w:footer="0" w:top="1300" w:bottom="280" w:left="1275" w:right="1275"/>
        </w:sectPr>
      </w:pPr>
    </w:p>
    <w:p>
      <w:pPr>
        <w:pStyle w:val="BodyText"/>
        <w:spacing w:before="227"/>
      </w:pPr>
    </w:p>
    <w:p>
      <w:pPr>
        <w:pStyle w:val="BodyText"/>
        <w:spacing w:line="235" w:lineRule="auto"/>
        <w:ind w:left="1245" w:right="167"/>
        <w:jc w:val="both"/>
      </w:pPr>
      <w:r>
        <w:rPr/>
        <w:t>to bind the company, or authorise others to do so, is deemed to be free of any </w:t>
      </w:r>
      <w:r>
        <w:rPr/>
        <w:t>limitations under the company’s constitution.”</w:t>
      </w:r>
    </w:p>
    <w:p>
      <w:pPr>
        <w:pStyle w:val="BodyText"/>
      </w:pPr>
    </w:p>
    <w:p>
      <w:pPr>
        <w:pStyle w:val="BodyText"/>
        <w:spacing w:before="206"/>
      </w:pPr>
    </w:p>
    <w:p>
      <w:pPr>
        <w:pStyle w:val="BodyText"/>
        <w:spacing w:line="235" w:lineRule="auto"/>
        <w:ind w:left="165" w:right="167"/>
        <w:jc w:val="both"/>
      </w:pPr>
      <w:bookmarkStart w:name="_bookmark1038" w:id="1040"/>
      <w:bookmarkEnd w:id="1040"/>
      <w:r>
        <w:rPr/>
      </w:r>
      <w:r>
        <w:rPr/>
        <w:t>Section 40(4), however, provides that, in general, </w:t>
      </w:r>
      <w:r>
        <w:rPr>
          <w:color w:val="005DA1"/>
          <w:u w:val="single" w:color="005DA1"/>
          <w:vertAlign w:val="superscript"/>
        </w:rPr>
        <w:t>550</w:t>
      </w:r>
      <w:r>
        <w:rPr>
          <w:color w:val="005DA1"/>
          <w:vertAlign w:val="baseline"/>
        </w:rPr>
        <w:t> </w:t>
      </w:r>
      <w:r>
        <w:rPr>
          <w:vertAlign w:val="baseline"/>
        </w:rPr>
        <w:t>s.40 “does not affect any right of a member </w:t>
      </w:r>
      <w:r>
        <w:rPr>
          <w:vertAlign w:val="baseline"/>
        </w:rPr>
        <w:t>of</w:t>
      </w:r>
      <w:r>
        <w:rPr>
          <w:spacing w:val="40"/>
          <w:vertAlign w:val="baseline"/>
        </w:rPr>
        <w:t> </w:t>
      </w:r>
      <w:r>
        <w:rPr>
          <w:vertAlign w:val="baseline"/>
        </w:rPr>
        <w:t>the company to bring proceedings to restrain the doing of an action that is beyond the powers of the directors”; but that “no such proceedings lie in respect of an act to be done in fulfilment of a legal obligation arising from a previous act of the company.” Our concern here is with the effect of these provisions where an offer is made either to or by a company which then changes its articles by </w:t>
      </w:r>
      <w:bookmarkStart w:name="_bookmark1039" w:id="1041"/>
      <w:bookmarkEnd w:id="1041"/>
      <w:r>
        <w:rPr>
          <w:vertAlign w:val="baseline"/>
        </w:rPr>
        <w:t>restricting</w:t>
      </w:r>
      <w:r>
        <w:rPr>
          <w:vertAlign w:val="baseline"/>
        </w:rPr>
        <w:t> its objects so as to deprive itself of the power of entering into the contract that would, but</w:t>
      </w:r>
      <w:r>
        <w:rPr>
          <w:spacing w:val="40"/>
          <w:vertAlign w:val="baseline"/>
        </w:rPr>
        <w:t> </w:t>
      </w:r>
      <w:r>
        <w:rPr>
          <w:vertAlign w:val="baseline"/>
        </w:rPr>
        <w:t>for such changes, have resulted from an acceptance of the offer. </w:t>
      </w:r>
      <w:r>
        <w:rPr>
          <w:color w:val="005DA1"/>
          <w:u w:val="single" w:color="005DA1"/>
          <w:vertAlign w:val="superscript"/>
        </w:rPr>
        <w:t>551</w:t>
      </w:r>
    </w:p>
    <w:p>
      <w:pPr>
        <w:pStyle w:val="BodyText"/>
      </w:pPr>
    </w:p>
    <w:p>
      <w:pPr>
        <w:pStyle w:val="BodyText"/>
        <w:spacing w:before="36"/>
      </w:pPr>
    </w:p>
    <w:p>
      <w:pPr>
        <w:spacing w:before="0"/>
        <w:ind w:left="165" w:right="0" w:firstLine="0"/>
        <w:jc w:val="both"/>
        <w:rPr>
          <w:rFonts w:ascii="Arial"/>
          <w:b/>
          <w:sz w:val="18"/>
        </w:rPr>
      </w:pPr>
      <w:r>
        <w:rPr>
          <w:rFonts w:ascii="Arial"/>
          <w:b/>
          <w:sz w:val="18"/>
        </w:rPr>
        <w:t>Company as </w:t>
      </w:r>
      <w:r>
        <w:rPr>
          <w:rFonts w:ascii="Arial"/>
          <w:b/>
          <w:spacing w:val="-2"/>
          <w:sz w:val="18"/>
        </w:rPr>
        <w:t>offeree</w:t>
      </w:r>
    </w:p>
    <w:p>
      <w:pPr>
        <w:pStyle w:val="BodyText"/>
        <w:spacing w:before="41"/>
        <w:rPr>
          <w:rFonts w:ascii="Arial"/>
          <w:b/>
          <w:sz w:val="18"/>
        </w:rPr>
      </w:pPr>
    </w:p>
    <w:p>
      <w:pPr>
        <w:pStyle w:val="Heading2"/>
      </w:pPr>
      <w:r>
        <w:rPr/>
        <w:t>2-</w:t>
      </w:r>
      <w:r>
        <w:rPr>
          <w:spacing w:val="-5"/>
        </w:rPr>
        <w:t>112</w:t>
      </w:r>
    </w:p>
    <w:p>
      <w:pPr>
        <w:pStyle w:val="BodyText"/>
        <w:spacing w:line="235" w:lineRule="auto" w:before="203"/>
        <w:ind w:left="165" w:right="167"/>
        <w:jc w:val="both"/>
      </w:pPr>
      <w:r>
        <w:rPr/>
        <w:t>A company may receive an offer to enter into a contract and then amend its articles so as to restrict</w:t>
      </w:r>
      <w:r>
        <w:rPr>
          <w:spacing w:val="40"/>
        </w:rPr>
        <w:t> </w:t>
      </w:r>
      <w:r>
        <w:rPr/>
        <w:t>its objects in such a way as to deprive itself of its capacity to enter into that contract. If the company nevertheless then (whether by oversight or for good commercial reasons) accepts the offer, two provisions</w:t>
      </w:r>
      <w:r>
        <w:rPr>
          <w:spacing w:val="-2"/>
        </w:rPr>
        <w:t> </w:t>
      </w:r>
      <w:r>
        <w:rPr/>
        <w:t>of</w:t>
      </w:r>
      <w:r>
        <w:rPr>
          <w:spacing w:val="-2"/>
        </w:rPr>
        <w:t> </w:t>
      </w:r>
      <w:r>
        <w:rPr/>
        <w:t>the</w:t>
      </w:r>
      <w:r>
        <w:rPr>
          <w:spacing w:val="-2"/>
        </w:rPr>
        <w:t> </w:t>
      </w:r>
      <w:r>
        <w:rPr/>
        <w:t>Companies</w:t>
      </w:r>
      <w:r>
        <w:rPr>
          <w:spacing w:val="-2"/>
        </w:rPr>
        <w:t> </w:t>
      </w:r>
      <w:r>
        <w:rPr/>
        <w:t>Act</w:t>
      </w:r>
      <w:r>
        <w:rPr>
          <w:spacing w:val="-2"/>
        </w:rPr>
        <w:t> </w:t>
      </w:r>
      <w:r>
        <w:rPr/>
        <w:t>2006</w:t>
      </w:r>
      <w:r>
        <w:rPr>
          <w:spacing w:val="-2"/>
        </w:rPr>
        <w:t> </w:t>
      </w:r>
      <w:r>
        <w:rPr/>
        <w:t>referred</w:t>
      </w:r>
      <w:r>
        <w:rPr>
          <w:spacing w:val="-2"/>
        </w:rPr>
        <w:t> </w:t>
      </w:r>
      <w:r>
        <w:rPr/>
        <w:t>to</w:t>
      </w:r>
      <w:r>
        <w:rPr>
          <w:spacing w:val="-2"/>
        </w:rPr>
        <w:t> </w:t>
      </w:r>
      <w:r>
        <w:rPr/>
        <w:t>in</w:t>
      </w:r>
      <w:r>
        <w:rPr>
          <w:spacing w:val="-2"/>
        </w:rPr>
        <w:t> </w:t>
      </w:r>
      <w:r>
        <w:rPr/>
        <w:t>para.2-111</w:t>
      </w:r>
      <w:r>
        <w:rPr>
          <w:spacing w:val="-2"/>
        </w:rPr>
        <w:t> </w:t>
      </w:r>
      <w:r>
        <w:rPr/>
        <w:t>above</w:t>
      </w:r>
      <w:r>
        <w:rPr>
          <w:spacing w:val="-2"/>
        </w:rPr>
        <w:t> </w:t>
      </w:r>
      <w:r>
        <w:rPr/>
        <w:t>may</w:t>
      </w:r>
      <w:r>
        <w:rPr>
          <w:spacing w:val="-2"/>
        </w:rPr>
        <w:t> </w:t>
      </w:r>
      <w:r>
        <w:rPr/>
        <w:t>determine</w:t>
      </w:r>
      <w:r>
        <w:rPr>
          <w:spacing w:val="-2"/>
        </w:rPr>
        <w:t> </w:t>
      </w:r>
      <w:r>
        <w:rPr/>
        <w:t>the</w:t>
      </w:r>
      <w:r>
        <w:rPr>
          <w:spacing w:val="-2"/>
        </w:rPr>
        <w:t> </w:t>
      </w:r>
      <w:r>
        <w:rPr/>
        <w:t>effect</w:t>
      </w:r>
      <w:r>
        <w:rPr>
          <w:spacing w:val="-2"/>
        </w:rPr>
        <w:t> </w:t>
      </w:r>
      <w:r>
        <w:rPr/>
        <w:t>of</w:t>
      </w:r>
      <w:r>
        <w:rPr>
          <w:spacing w:val="-2"/>
        </w:rPr>
        <w:t> </w:t>
      </w:r>
      <w:r>
        <w:rPr/>
        <w:t>the acceptance. The first is s.31(3), by which “any such amendment does not affect the rights or obligations of the company”. The second is s.40(1), by which:</w:t>
      </w:r>
    </w:p>
    <w:p>
      <w:pPr>
        <w:pStyle w:val="BodyText"/>
      </w:pPr>
    </w:p>
    <w:p>
      <w:pPr>
        <w:pStyle w:val="BodyText"/>
        <w:spacing w:before="124"/>
      </w:pPr>
    </w:p>
    <w:p>
      <w:pPr>
        <w:pStyle w:val="BodyText"/>
        <w:spacing w:line="235" w:lineRule="auto"/>
        <w:ind w:left="1245" w:right="167"/>
        <w:jc w:val="both"/>
      </w:pPr>
      <w:r>
        <w:rPr/>
        <w:t>“in favour of a person dealing with the company in good faith, the power of the directors</w:t>
      </w:r>
      <w:r>
        <w:rPr>
          <w:spacing w:val="80"/>
        </w:rPr>
        <w:t> </w:t>
      </w:r>
      <w:bookmarkStart w:name="_bookmark1040" w:id="1042"/>
      <w:bookmarkEnd w:id="1042"/>
      <w:r>
        <w:rPr/>
        <w:t>to</w:t>
      </w:r>
      <w:r>
        <w:rPr/>
        <w:t> bind the company … is deemed to be free of any limitation under the </w:t>
      </w:r>
      <w:r>
        <w:rPr/>
        <w:t>company’s constitution.” </w:t>
      </w:r>
      <w:r>
        <w:rPr>
          <w:color w:val="005DA1"/>
          <w:u w:val="single" w:color="005DA1"/>
          <w:vertAlign w:val="superscript"/>
        </w:rPr>
        <w:t>552</w:t>
      </w:r>
    </w:p>
    <w:p>
      <w:pPr>
        <w:pStyle w:val="BodyText"/>
        <w:spacing w:before="116"/>
      </w:pPr>
    </w:p>
    <w:p>
      <w:pPr>
        <w:pStyle w:val="BodyText"/>
        <w:spacing w:line="235" w:lineRule="auto"/>
        <w:ind w:left="164" w:right="167"/>
        <w:jc w:val="both"/>
      </w:pPr>
      <w:r>
        <w:rPr/>
        <w:t>Both these provisions can lead to the conclusion that the acceptance is effective; but they give rise, in the present context, to the problem that the scope of s.40(1) differs in several respects from that of s.31(3). First, the requirement in s.40(1) of “dealing … in good faith” has no counterpart in s.31(3). Secondly, s.40(1) applies only “in favour of a person dealing with the company” while s.31(3) can apply also in favour of the company itself; this view is reinforced by the reference in s.31(3) to “the </w:t>
      </w:r>
      <w:r>
        <w:rPr>
          <w:rFonts w:ascii="Arial" w:hAnsi="Arial"/>
          <w:i/>
        </w:rPr>
        <w:t>rights or </w:t>
      </w:r>
      <w:r>
        <w:rPr/>
        <w:t>obligations of the company”. Thirdly, s.40(4) provides that “</w:t>
      </w:r>
      <w:r>
        <w:rPr>
          <w:rFonts w:ascii="Arial" w:hAnsi="Arial"/>
          <w:i/>
        </w:rPr>
        <w:t>this section </w:t>
      </w:r>
      <w:r>
        <w:rPr/>
        <w:t>does not affect any right of a member of a company to bring proceedings to restrain the doing of an action that is beyond the powers of the directors …”; and this subsection of s.40 (further provisions of which are discussed in para.2-113 below) has no counterpart in s.31. Fourthly, ss.31(3) and 40(1) lay down general rules </w:t>
      </w:r>
      <w:bookmarkStart w:name="_bookmark1041" w:id="1043"/>
      <w:bookmarkEnd w:id="1043"/>
      <w:r>
        <w:rPr/>
        <w:t>but</w:t>
      </w:r>
      <w:r>
        <w:rPr/>
        <w:t> the qualifications to which these rules are subject are not the same. Section 31 is subject only to </w:t>
      </w:r>
      <w:bookmarkStart w:name="_bookmark1042" w:id="1044"/>
      <w:bookmarkEnd w:id="1044"/>
      <w:r>
        <w:rPr/>
        <w:t>one</w:t>
      </w:r>
      <w:r>
        <w:rPr>
          <w:spacing w:val="-3"/>
        </w:rPr>
        <w:t> </w:t>
      </w:r>
      <w:r>
        <w:rPr/>
        <w:t>qualification,</w:t>
      </w:r>
      <w:r>
        <w:rPr>
          <w:spacing w:val="-3"/>
        </w:rPr>
        <w:t> </w:t>
      </w:r>
      <w:r>
        <w:rPr/>
        <w:t>which</w:t>
      </w:r>
      <w:r>
        <w:rPr>
          <w:spacing w:val="-3"/>
        </w:rPr>
        <w:t> </w:t>
      </w:r>
      <w:r>
        <w:rPr/>
        <w:t>applies</w:t>
      </w:r>
      <w:r>
        <w:rPr>
          <w:spacing w:val="-3"/>
        </w:rPr>
        <w:t> </w:t>
      </w:r>
      <w:r>
        <w:rPr/>
        <w:t>where</w:t>
      </w:r>
      <w:r>
        <w:rPr>
          <w:spacing w:val="-3"/>
        </w:rPr>
        <w:t> </w:t>
      </w:r>
      <w:r>
        <w:rPr/>
        <w:t>the</w:t>
      </w:r>
      <w:r>
        <w:rPr>
          <w:spacing w:val="-3"/>
        </w:rPr>
        <w:t> </w:t>
      </w:r>
      <w:r>
        <w:rPr/>
        <w:t>company</w:t>
      </w:r>
      <w:r>
        <w:rPr>
          <w:spacing w:val="-3"/>
        </w:rPr>
        <w:t> </w:t>
      </w:r>
      <w:r>
        <w:rPr/>
        <w:t>is</w:t>
      </w:r>
      <w:r>
        <w:rPr>
          <w:spacing w:val="-3"/>
        </w:rPr>
        <w:t> </w:t>
      </w:r>
      <w:r>
        <w:rPr/>
        <w:t>a</w:t>
      </w:r>
      <w:r>
        <w:rPr>
          <w:spacing w:val="-3"/>
        </w:rPr>
        <w:t> </w:t>
      </w:r>
      <w:r>
        <w:rPr/>
        <w:t>charity</w:t>
      </w:r>
      <w:r>
        <w:rPr>
          <w:spacing w:val="-4"/>
        </w:rPr>
        <w:t> </w:t>
      </w:r>
      <w:r>
        <w:rPr>
          <w:color w:val="005DA1"/>
          <w:u w:val="single" w:color="005DA1"/>
          <w:vertAlign w:val="superscript"/>
        </w:rPr>
        <w:t>553</w:t>
      </w:r>
      <w:r>
        <w:rPr>
          <w:vertAlign w:val="baseline"/>
        </w:rPr>
        <w:t>;</w:t>
      </w:r>
      <w:r>
        <w:rPr>
          <w:spacing w:val="-3"/>
          <w:vertAlign w:val="baseline"/>
        </w:rPr>
        <w:t> </w:t>
      </w:r>
      <w:r>
        <w:rPr>
          <w:vertAlign w:val="baseline"/>
        </w:rPr>
        <w:t>s.40</w:t>
      </w:r>
      <w:r>
        <w:rPr>
          <w:spacing w:val="-3"/>
          <w:vertAlign w:val="baseline"/>
        </w:rPr>
        <w:t> </w:t>
      </w:r>
      <w:r>
        <w:rPr>
          <w:vertAlign w:val="baseline"/>
        </w:rPr>
        <w:t>is</w:t>
      </w:r>
      <w:r>
        <w:rPr>
          <w:spacing w:val="-3"/>
          <w:vertAlign w:val="baseline"/>
        </w:rPr>
        <w:t> </w:t>
      </w:r>
      <w:r>
        <w:rPr>
          <w:vertAlign w:val="baseline"/>
        </w:rPr>
        <w:t>subject</w:t>
      </w:r>
      <w:r>
        <w:rPr>
          <w:spacing w:val="-3"/>
          <w:vertAlign w:val="baseline"/>
        </w:rPr>
        <w:t> </w:t>
      </w:r>
      <w:r>
        <w:rPr>
          <w:vertAlign w:val="baseline"/>
        </w:rPr>
        <w:t>to</w:t>
      </w:r>
      <w:r>
        <w:rPr>
          <w:spacing w:val="-3"/>
          <w:vertAlign w:val="baseline"/>
        </w:rPr>
        <w:t> </w:t>
      </w:r>
      <w:r>
        <w:rPr>
          <w:vertAlign w:val="baseline"/>
        </w:rPr>
        <w:t>two</w:t>
      </w:r>
      <w:r>
        <w:rPr>
          <w:spacing w:val="-3"/>
          <w:vertAlign w:val="baseline"/>
        </w:rPr>
        <w:t> </w:t>
      </w:r>
      <w:r>
        <w:rPr>
          <w:vertAlign w:val="baseline"/>
        </w:rPr>
        <w:t>qualifications which apply to certain transactions with directors and where the company is a charity. </w:t>
      </w:r>
      <w:r>
        <w:rPr>
          <w:color w:val="005DA1"/>
          <w:u w:val="single" w:color="005DA1"/>
          <w:vertAlign w:val="superscript"/>
        </w:rPr>
        <w:t>554</w:t>
      </w:r>
      <w:r>
        <w:rPr>
          <w:color w:val="005DA1"/>
          <w:vertAlign w:val="baseline"/>
        </w:rPr>
        <w:t> </w:t>
      </w:r>
      <w:r>
        <w:rPr>
          <w:vertAlign w:val="baseline"/>
        </w:rPr>
        <w:t>The scope</w:t>
      </w:r>
      <w:r>
        <w:rPr>
          <w:spacing w:val="40"/>
          <w:vertAlign w:val="baseline"/>
        </w:rPr>
        <w:t> </w:t>
      </w:r>
      <w:r>
        <w:rPr>
          <w:vertAlign w:val="baseline"/>
        </w:rPr>
        <w:t>of s.40(1) is in all these respects narrower than that of s.31(3) and it is by no means obvious which subsection</w:t>
      </w:r>
      <w:r>
        <w:rPr>
          <w:spacing w:val="-2"/>
          <w:vertAlign w:val="baseline"/>
        </w:rPr>
        <w:t> </w:t>
      </w:r>
      <w:r>
        <w:rPr>
          <w:vertAlign w:val="baseline"/>
        </w:rPr>
        <w:t>would,</w:t>
      </w:r>
      <w:r>
        <w:rPr>
          <w:spacing w:val="-2"/>
          <w:vertAlign w:val="baseline"/>
        </w:rPr>
        <w:t> </w:t>
      </w:r>
      <w:r>
        <w:rPr>
          <w:vertAlign w:val="baseline"/>
        </w:rPr>
        <w:t>in</w:t>
      </w:r>
      <w:r>
        <w:rPr>
          <w:spacing w:val="-2"/>
          <w:vertAlign w:val="baseline"/>
        </w:rPr>
        <w:t> </w:t>
      </w:r>
      <w:r>
        <w:rPr>
          <w:vertAlign w:val="baseline"/>
        </w:rPr>
        <w:t>case</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conflict</w:t>
      </w:r>
      <w:r>
        <w:rPr>
          <w:spacing w:val="-2"/>
          <w:vertAlign w:val="baseline"/>
        </w:rPr>
        <w:t> </w:t>
      </w:r>
      <w:r>
        <w:rPr>
          <w:vertAlign w:val="baseline"/>
        </w:rPr>
        <w:t>between</w:t>
      </w:r>
      <w:r>
        <w:rPr>
          <w:spacing w:val="-2"/>
          <w:vertAlign w:val="baseline"/>
        </w:rPr>
        <w:t> </w:t>
      </w:r>
      <w:r>
        <w:rPr>
          <w:vertAlign w:val="baseline"/>
        </w:rPr>
        <w:t>them,</w:t>
      </w:r>
      <w:r>
        <w:rPr>
          <w:spacing w:val="-2"/>
          <w:vertAlign w:val="baseline"/>
        </w:rPr>
        <w:t> </w:t>
      </w:r>
      <w:r>
        <w:rPr>
          <w:vertAlign w:val="baseline"/>
        </w:rPr>
        <w:t>prevail.</w:t>
      </w:r>
      <w:r>
        <w:rPr>
          <w:spacing w:val="-2"/>
          <w:vertAlign w:val="baseline"/>
        </w:rPr>
        <w:t> </w:t>
      </w:r>
      <w:r>
        <w:rPr>
          <w:vertAlign w:val="baseline"/>
        </w:rPr>
        <w:t>One</w:t>
      </w:r>
      <w:r>
        <w:rPr>
          <w:spacing w:val="-2"/>
          <w:vertAlign w:val="baseline"/>
        </w:rPr>
        <w:t> </w:t>
      </w:r>
      <w:r>
        <w:rPr>
          <w:vertAlign w:val="baseline"/>
        </w:rPr>
        <w:t>possible</w:t>
      </w:r>
      <w:r>
        <w:rPr>
          <w:spacing w:val="-2"/>
          <w:vertAlign w:val="baseline"/>
        </w:rPr>
        <w:t> </w:t>
      </w:r>
      <w:r>
        <w:rPr>
          <w:vertAlign w:val="baseline"/>
        </w:rPr>
        <w:t>view</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present context, s.31(3) should prevail since it deals specifically with the effect of an </w:t>
      </w:r>
      <w:r>
        <w:rPr>
          <w:rFonts w:ascii="Arial" w:hAnsi="Arial"/>
          <w:i/>
          <w:vertAlign w:val="baseline"/>
        </w:rPr>
        <w:t>amendment </w:t>
      </w:r>
      <w:r>
        <w:rPr>
          <w:vertAlign w:val="baseline"/>
        </w:rPr>
        <w:t>of </w:t>
      </w:r>
      <w:r>
        <w:rPr>
          <w:vertAlign w:val="baseline"/>
        </w:rPr>
        <w:t>the </w:t>
      </w:r>
      <w:bookmarkStart w:name="_bookmark1043" w:id="1045"/>
      <w:bookmarkEnd w:id="1045"/>
      <w:r>
        <w:rPr>
          <w:vertAlign w:val="baseline"/>
        </w:rPr>
        <w:t>articles.</w:t>
      </w:r>
      <w:r>
        <w:rPr>
          <w:vertAlign w:val="baseline"/>
        </w:rPr>
        <w:t> But s.40(1) is expressed to apply to limitations on the directors’ powers deriving “from a </w:t>
      </w:r>
      <w:bookmarkStart w:name="_bookmark1044" w:id="1046"/>
      <w:bookmarkEnd w:id="1046"/>
      <w:r>
        <w:rPr>
          <w:vertAlign w:val="baseline"/>
        </w:rPr>
        <w:t>resolution</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company</w:t>
      </w:r>
      <w:r>
        <w:rPr>
          <w:spacing w:val="-3"/>
          <w:vertAlign w:val="baseline"/>
        </w:rPr>
        <w:t> </w:t>
      </w:r>
      <w:r>
        <w:rPr>
          <w:vertAlign w:val="baseline"/>
        </w:rPr>
        <w:t>…”</w:t>
      </w:r>
      <w:r>
        <w:rPr>
          <w:spacing w:val="-3"/>
          <w:vertAlign w:val="baseline"/>
        </w:rPr>
        <w:t> </w:t>
      </w:r>
      <w:r>
        <w:rPr>
          <w:color w:val="005DA1"/>
          <w:u w:val="single" w:color="005DA1"/>
          <w:vertAlign w:val="superscript"/>
        </w:rPr>
        <w:t>555</w:t>
      </w:r>
      <w:r>
        <w:rPr>
          <w:color w:val="005DA1"/>
          <w:spacing w:val="-3"/>
          <w:vertAlign w:val="baseline"/>
        </w:rPr>
        <w:t> </w:t>
      </w:r>
      <w:r>
        <w:rPr>
          <w:vertAlign w:val="baseline"/>
        </w:rPr>
        <w:t>and</w:t>
      </w:r>
      <w:r>
        <w:rPr>
          <w:spacing w:val="-3"/>
          <w:vertAlign w:val="baseline"/>
        </w:rPr>
        <w:t> </w:t>
      </w:r>
      <w:r>
        <w:rPr>
          <w:vertAlign w:val="baseline"/>
        </w:rPr>
        <w:t>“from</w:t>
      </w:r>
      <w:r>
        <w:rPr>
          <w:spacing w:val="-3"/>
          <w:vertAlign w:val="baseline"/>
        </w:rPr>
        <w:t> </w:t>
      </w:r>
      <w:r>
        <w:rPr>
          <w:vertAlign w:val="baseline"/>
        </w:rPr>
        <w:t>any</w:t>
      </w:r>
      <w:r>
        <w:rPr>
          <w:spacing w:val="-3"/>
          <w:vertAlign w:val="baseline"/>
        </w:rPr>
        <w:t> </w:t>
      </w:r>
      <w:r>
        <w:rPr>
          <w:vertAlign w:val="baseline"/>
        </w:rPr>
        <w:t>agreement</w:t>
      </w:r>
      <w:r>
        <w:rPr>
          <w:spacing w:val="-3"/>
          <w:vertAlign w:val="baseline"/>
        </w:rPr>
        <w:t> </w:t>
      </w:r>
      <w:r>
        <w:rPr>
          <w:vertAlign w:val="baseline"/>
        </w:rPr>
        <w:t>between</w:t>
      </w:r>
      <w:r>
        <w:rPr>
          <w:spacing w:val="-3"/>
          <w:vertAlign w:val="baseline"/>
        </w:rPr>
        <w:t> </w:t>
      </w:r>
      <w:r>
        <w:rPr>
          <w:vertAlign w:val="baseline"/>
        </w:rPr>
        <w:t>the</w:t>
      </w:r>
      <w:r>
        <w:rPr>
          <w:spacing w:val="-3"/>
          <w:vertAlign w:val="baseline"/>
        </w:rPr>
        <w:t> </w:t>
      </w:r>
      <w:r>
        <w:rPr>
          <w:vertAlign w:val="baseline"/>
        </w:rPr>
        <w:t>members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company</w:t>
      </w:r>
      <w:r>
        <w:rPr>
          <w:spacing w:val="-3"/>
          <w:vertAlign w:val="baseline"/>
        </w:rPr>
        <w:t> </w:t>
      </w:r>
      <w:r>
        <w:rPr>
          <w:vertAlign w:val="baseline"/>
        </w:rPr>
        <w:t>…”; and such resolutions and agreements can form part of the company’s “constitution”, </w:t>
      </w:r>
      <w:r>
        <w:rPr>
          <w:color w:val="005DA1"/>
          <w:u w:val="single" w:color="005DA1"/>
          <w:vertAlign w:val="superscript"/>
        </w:rPr>
        <w:t>556</w:t>
      </w:r>
      <w:r>
        <w:rPr>
          <w:color w:val="005DA1"/>
          <w:vertAlign w:val="baseline"/>
        </w:rPr>
        <w:t> </w:t>
      </w:r>
      <w:r>
        <w:rPr>
          <w:vertAlign w:val="baseline"/>
        </w:rPr>
        <w:t>to which s.40(1) applies. A second possible view is that the words “rights or obligations of the company” in s.31(3) refer to rights already in existence at the time of the amendment of the articles, and not to rights</w:t>
      </w:r>
      <w:r>
        <w:rPr>
          <w:spacing w:val="-2"/>
          <w:vertAlign w:val="baseline"/>
        </w:rPr>
        <w:t> </w:t>
      </w:r>
      <w:r>
        <w:rPr>
          <w:vertAlign w:val="baseline"/>
        </w:rPr>
        <w:t>which</w:t>
      </w:r>
      <w:r>
        <w:rPr>
          <w:spacing w:val="-2"/>
          <w:vertAlign w:val="baseline"/>
        </w:rPr>
        <w:t> </w:t>
      </w:r>
      <w:r>
        <w:rPr>
          <w:vertAlign w:val="baseline"/>
        </w:rPr>
        <w:t>are</w:t>
      </w:r>
      <w:r>
        <w:rPr>
          <w:spacing w:val="-2"/>
          <w:vertAlign w:val="baseline"/>
        </w:rPr>
        <w:t> </w:t>
      </w:r>
      <w:r>
        <w:rPr>
          <w:vertAlign w:val="baseline"/>
        </w:rPr>
        <w:t>alleged</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come</w:t>
      </w:r>
      <w:r>
        <w:rPr>
          <w:spacing w:val="-2"/>
          <w:vertAlign w:val="baseline"/>
        </w:rPr>
        <w:t> </w:t>
      </w:r>
      <w:r>
        <w:rPr>
          <w:vertAlign w:val="baseline"/>
        </w:rPr>
        <w:t>into</w:t>
      </w:r>
      <w:r>
        <w:rPr>
          <w:spacing w:val="-2"/>
          <w:vertAlign w:val="baseline"/>
        </w:rPr>
        <w:t> </w:t>
      </w:r>
      <w:r>
        <w:rPr>
          <w:vertAlign w:val="baseline"/>
        </w:rPr>
        <w:t>existence</w:t>
      </w:r>
      <w:r>
        <w:rPr>
          <w:spacing w:val="-2"/>
          <w:vertAlign w:val="baseline"/>
        </w:rPr>
        <w:t> </w:t>
      </w:r>
      <w:r>
        <w:rPr>
          <w:vertAlign w:val="baseline"/>
        </w:rPr>
        <w:t>after</w:t>
      </w:r>
      <w:r>
        <w:rPr>
          <w:spacing w:val="-2"/>
          <w:vertAlign w:val="baseline"/>
        </w:rPr>
        <w:t> </w:t>
      </w:r>
      <w:r>
        <w:rPr>
          <w:vertAlign w:val="baseline"/>
        </w:rPr>
        <w:t>that</w:t>
      </w:r>
      <w:r>
        <w:rPr>
          <w:spacing w:val="-2"/>
          <w:vertAlign w:val="baseline"/>
        </w:rPr>
        <w:t> </w:t>
      </w:r>
      <w:r>
        <w:rPr>
          <w:vertAlign w:val="baseline"/>
        </w:rPr>
        <w:t>time.</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submitted,</w:t>
      </w:r>
      <w:r>
        <w:rPr>
          <w:spacing w:val="-2"/>
          <w:vertAlign w:val="baseline"/>
        </w:rPr>
        <w:t> </w:t>
      </w:r>
      <w:r>
        <w:rPr>
          <w:vertAlign w:val="baseline"/>
        </w:rPr>
        <w:t>though</w:t>
      </w:r>
      <w:r>
        <w:rPr>
          <w:spacing w:val="-2"/>
          <w:vertAlign w:val="baseline"/>
        </w:rPr>
        <w:t> </w:t>
      </w:r>
      <w:r>
        <w:rPr>
          <w:vertAlign w:val="baseline"/>
        </w:rPr>
        <w:t>not</w:t>
      </w:r>
      <w:r>
        <w:rPr>
          <w:spacing w:val="-2"/>
          <w:vertAlign w:val="baseline"/>
        </w:rPr>
        <w:t> </w:t>
      </w:r>
      <w:r>
        <w:rPr>
          <w:vertAlign w:val="baseline"/>
        </w:rPr>
        <w:t>without hesitation, that this second view is to be preferred as it avoids what would be a conflict between the two subsections; and that accordingly the rights of the offeror would, in the situation discussed in this paragraph, be governed, not by s.31(3), but by s.40. The rights of the company itself would be governed by the general principle, stated in s.39(1), that the validity of an act done by it was not to be </w:t>
      </w:r>
      <w:bookmarkStart w:name="_bookmark1045" w:id="1047"/>
      <w:bookmarkEnd w:id="1047"/>
      <w:r>
        <w:rPr>
          <w:vertAlign w:val="baseline"/>
        </w:rPr>
        <w:t>“called</w:t>
      </w:r>
      <w:r>
        <w:rPr>
          <w:vertAlign w:val="baseline"/>
        </w:rPr>
        <w:t> into question by reason of anything in the company’s constitution”. At the relevant time (i.e.</w:t>
      </w:r>
      <w:r>
        <w:rPr>
          <w:spacing w:val="40"/>
          <w:vertAlign w:val="baseline"/>
        </w:rPr>
        <w:t> </w:t>
      </w:r>
      <w:r>
        <w:rPr>
          <w:vertAlign w:val="baseline"/>
        </w:rPr>
        <w:t>that of the acceptance) the “constitution” would include the amendment of the articles. </w:t>
      </w:r>
      <w:r>
        <w:rPr>
          <w:color w:val="005DA1"/>
          <w:u w:val="single" w:color="005DA1"/>
          <w:vertAlign w:val="superscript"/>
        </w:rPr>
        <w:t>557</w:t>
      </w:r>
      <w:r>
        <w:rPr>
          <w:color w:val="005DA1"/>
          <w:vertAlign w:val="baseline"/>
        </w:rPr>
        <w:t> </w:t>
      </w:r>
      <w:r>
        <w:rPr>
          <w:vertAlign w:val="baseline"/>
        </w:rPr>
        <w:t>Hence the company</w:t>
      </w:r>
      <w:r>
        <w:rPr>
          <w:spacing w:val="5"/>
          <w:vertAlign w:val="baseline"/>
        </w:rPr>
        <w:t> </w:t>
      </w:r>
      <w:r>
        <w:rPr>
          <w:vertAlign w:val="baseline"/>
        </w:rPr>
        <w:t>would</w:t>
      </w:r>
      <w:r>
        <w:rPr>
          <w:spacing w:val="5"/>
          <w:vertAlign w:val="baseline"/>
        </w:rPr>
        <w:t> </w:t>
      </w:r>
      <w:r>
        <w:rPr>
          <w:vertAlign w:val="baseline"/>
        </w:rPr>
        <w:t>be</w:t>
      </w:r>
      <w:r>
        <w:rPr>
          <w:spacing w:val="5"/>
          <w:vertAlign w:val="baseline"/>
        </w:rPr>
        <w:t> </w:t>
      </w:r>
      <w:r>
        <w:rPr>
          <w:vertAlign w:val="baseline"/>
        </w:rPr>
        <w:t>able</w:t>
      </w:r>
      <w:r>
        <w:rPr>
          <w:spacing w:val="5"/>
          <w:vertAlign w:val="baseline"/>
        </w:rPr>
        <w:t> </w:t>
      </w:r>
      <w:r>
        <w:rPr>
          <w:vertAlign w:val="baseline"/>
        </w:rPr>
        <w:t>to</w:t>
      </w:r>
      <w:r>
        <w:rPr>
          <w:spacing w:val="5"/>
          <w:vertAlign w:val="baseline"/>
        </w:rPr>
        <w:t> </w:t>
      </w:r>
      <w:r>
        <w:rPr>
          <w:vertAlign w:val="baseline"/>
        </w:rPr>
        <w:t>enforce</w:t>
      </w:r>
      <w:r>
        <w:rPr>
          <w:spacing w:val="5"/>
          <w:vertAlign w:val="baseline"/>
        </w:rPr>
        <w:t> </w:t>
      </w:r>
      <w:r>
        <w:rPr>
          <w:vertAlign w:val="baseline"/>
        </w:rPr>
        <w:t>the</w:t>
      </w:r>
      <w:r>
        <w:rPr>
          <w:spacing w:val="5"/>
          <w:vertAlign w:val="baseline"/>
        </w:rPr>
        <w:t> </w:t>
      </w:r>
      <w:r>
        <w:rPr>
          <w:vertAlign w:val="baseline"/>
        </w:rPr>
        <w:t>contract</w:t>
      </w:r>
      <w:r>
        <w:rPr>
          <w:spacing w:val="5"/>
          <w:vertAlign w:val="baseline"/>
        </w:rPr>
        <w:t> </w:t>
      </w:r>
      <w:r>
        <w:rPr>
          <w:vertAlign w:val="baseline"/>
        </w:rPr>
        <w:t>by</w:t>
      </w:r>
      <w:r>
        <w:rPr>
          <w:spacing w:val="5"/>
          <w:vertAlign w:val="baseline"/>
        </w:rPr>
        <w:t> </w:t>
      </w:r>
      <w:r>
        <w:rPr>
          <w:vertAlign w:val="baseline"/>
        </w:rPr>
        <w:t>virtue</w:t>
      </w:r>
      <w:r>
        <w:rPr>
          <w:spacing w:val="5"/>
          <w:vertAlign w:val="baseline"/>
        </w:rPr>
        <w:t> </w:t>
      </w:r>
      <w:r>
        <w:rPr>
          <w:vertAlign w:val="baseline"/>
        </w:rPr>
        <w:t>of</w:t>
      </w:r>
      <w:r>
        <w:rPr>
          <w:spacing w:val="5"/>
          <w:vertAlign w:val="baseline"/>
        </w:rPr>
        <w:t> </w:t>
      </w:r>
      <w:r>
        <w:rPr>
          <w:vertAlign w:val="baseline"/>
        </w:rPr>
        <w:t>s.39(1)</w:t>
      </w:r>
      <w:r>
        <w:rPr>
          <w:spacing w:val="5"/>
          <w:vertAlign w:val="baseline"/>
        </w:rPr>
        <w:t> </w:t>
      </w:r>
      <w:r>
        <w:rPr>
          <w:vertAlign w:val="baseline"/>
        </w:rPr>
        <w:t>and</w:t>
      </w:r>
      <w:r>
        <w:rPr>
          <w:spacing w:val="5"/>
          <w:vertAlign w:val="baseline"/>
        </w:rPr>
        <w:t> </w:t>
      </w:r>
      <w:r>
        <w:rPr>
          <w:vertAlign w:val="baseline"/>
        </w:rPr>
        <w:t>its</w:t>
      </w:r>
      <w:r>
        <w:rPr>
          <w:spacing w:val="5"/>
          <w:vertAlign w:val="baseline"/>
        </w:rPr>
        <w:t> </w:t>
      </w:r>
      <w:r>
        <w:rPr>
          <w:vertAlign w:val="baseline"/>
        </w:rPr>
        <w:t>right</w:t>
      </w:r>
      <w:r>
        <w:rPr>
          <w:spacing w:val="5"/>
          <w:vertAlign w:val="baseline"/>
        </w:rPr>
        <w:t> </w:t>
      </w:r>
      <w:r>
        <w:rPr>
          <w:vertAlign w:val="baseline"/>
        </w:rPr>
        <w:t>to</w:t>
      </w:r>
      <w:r>
        <w:rPr>
          <w:spacing w:val="5"/>
          <w:vertAlign w:val="baseline"/>
        </w:rPr>
        <w:t> </w:t>
      </w:r>
      <w:r>
        <w:rPr>
          <w:vertAlign w:val="baseline"/>
        </w:rPr>
        <w:t>do</w:t>
      </w:r>
      <w:r>
        <w:rPr>
          <w:spacing w:val="5"/>
          <w:vertAlign w:val="baseline"/>
        </w:rPr>
        <w:t> </w:t>
      </w:r>
      <w:r>
        <w:rPr>
          <w:vertAlign w:val="baseline"/>
        </w:rPr>
        <w:t>so</w:t>
      </w:r>
      <w:r>
        <w:rPr>
          <w:spacing w:val="5"/>
          <w:vertAlign w:val="baseline"/>
        </w:rPr>
        <w:t> </w:t>
      </w:r>
      <w:r>
        <w:rPr>
          <w:vertAlign w:val="baseline"/>
        </w:rPr>
        <w:t>would</w:t>
      </w:r>
      <w:r>
        <w:rPr>
          <w:spacing w:val="5"/>
          <w:vertAlign w:val="baseline"/>
        </w:rPr>
        <w:t> </w:t>
      </w:r>
      <w:r>
        <w:rPr>
          <w:vertAlign w:val="baseline"/>
        </w:rPr>
        <w:t>not</w:t>
      </w:r>
      <w:r>
        <w:rPr>
          <w:spacing w:val="5"/>
          <w:vertAlign w:val="baseline"/>
        </w:rPr>
        <w:t> </w:t>
      </w:r>
      <w:r>
        <w:rPr>
          <w:spacing w:val="-5"/>
          <w:vertAlign w:val="baseline"/>
        </w:rPr>
        <w:t>be</w:t>
      </w:r>
    </w:p>
    <w:p>
      <w:pPr>
        <w:pStyle w:val="BodyText"/>
        <w:spacing w:after="0" w:line="235" w:lineRule="auto"/>
        <w:jc w:val="both"/>
        <w:sectPr>
          <w:headerReference w:type="default" r:id="rId23"/>
          <w:pgSz w:w="11900" w:h="16840"/>
          <w:pgMar w:header="971" w:footer="0" w:top="1300" w:bottom="280" w:left="1275" w:right="1275"/>
          <w:pgNumType w:start="2"/>
        </w:sectPr>
      </w:pPr>
    </w:p>
    <w:p>
      <w:pPr>
        <w:pStyle w:val="BodyText"/>
        <w:spacing w:before="106"/>
        <w:ind w:left="165"/>
        <w:jc w:val="both"/>
      </w:pPr>
      <w:r>
        <w:rPr/>
        <w:t>subject to the restrictions placed by s.40 on the rights of the offeror to do </w:t>
      </w:r>
      <w:r>
        <w:rPr>
          <w:spacing w:val="-5"/>
        </w:rPr>
        <w:t>so.</w:t>
      </w:r>
    </w:p>
    <w:p>
      <w:pPr>
        <w:pStyle w:val="BodyText"/>
      </w:pPr>
    </w:p>
    <w:p>
      <w:pPr>
        <w:pStyle w:val="BodyText"/>
        <w:spacing w:before="38"/>
      </w:pPr>
    </w:p>
    <w:p>
      <w:pPr>
        <w:spacing w:before="0"/>
        <w:ind w:left="165" w:right="0" w:firstLine="0"/>
        <w:jc w:val="both"/>
        <w:rPr>
          <w:rFonts w:ascii="Arial"/>
          <w:b/>
          <w:sz w:val="18"/>
        </w:rPr>
      </w:pPr>
      <w:r>
        <w:rPr>
          <w:rFonts w:ascii="Arial"/>
          <w:b/>
          <w:sz w:val="18"/>
        </w:rPr>
        <w:t>Company as </w:t>
      </w:r>
      <w:r>
        <w:rPr>
          <w:rFonts w:ascii="Arial"/>
          <w:b/>
          <w:spacing w:val="-2"/>
          <w:sz w:val="18"/>
        </w:rPr>
        <w:t>offeror</w:t>
      </w:r>
    </w:p>
    <w:p>
      <w:pPr>
        <w:pStyle w:val="BodyText"/>
        <w:spacing w:before="41"/>
        <w:rPr>
          <w:rFonts w:ascii="Arial"/>
          <w:b/>
          <w:sz w:val="18"/>
        </w:rPr>
      </w:pPr>
    </w:p>
    <w:p>
      <w:pPr>
        <w:pStyle w:val="Heading2"/>
      </w:pPr>
      <w:r>
        <w:rPr/>
        <w:t>2-</w:t>
      </w:r>
      <w:r>
        <w:rPr>
          <w:spacing w:val="-5"/>
        </w:rPr>
        <w:t>113</w:t>
      </w:r>
    </w:p>
    <w:p>
      <w:pPr>
        <w:pStyle w:val="BodyText"/>
        <w:spacing w:line="235" w:lineRule="auto" w:before="203"/>
        <w:ind w:left="165" w:right="167"/>
        <w:jc w:val="both"/>
      </w:pPr>
      <w:r>
        <w:rPr/>
        <w:t>A</w:t>
      </w:r>
      <w:r>
        <w:rPr>
          <w:spacing w:val="-1"/>
        </w:rPr>
        <w:t> </w:t>
      </w:r>
      <w:r>
        <w:rPr/>
        <w:t>company</w:t>
      </w:r>
      <w:r>
        <w:rPr>
          <w:spacing w:val="-1"/>
        </w:rPr>
        <w:t> </w:t>
      </w:r>
      <w:r>
        <w:rPr/>
        <w:t>may</w:t>
      </w:r>
      <w:r>
        <w:rPr>
          <w:spacing w:val="-1"/>
        </w:rPr>
        <w:t> </w:t>
      </w:r>
      <w:r>
        <w:rPr/>
        <w:t>make</w:t>
      </w:r>
      <w:r>
        <w:rPr>
          <w:spacing w:val="-1"/>
        </w:rPr>
        <w:t> </w:t>
      </w:r>
      <w:r>
        <w:rPr/>
        <w:t>an</w:t>
      </w:r>
      <w:r>
        <w:rPr>
          <w:spacing w:val="-1"/>
        </w:rPr>
        <w:t> </w:t>
      </w:r>
      <w:r>
        <w:rPr/>
        <w:t>offer</w:t>
      </w:r>
      <w:r>
        <w:rPr>
          <w:spacing w:val="-1"/>
        </w:rPr>
        <w:t> </w:t>
      </w:r>
      <w:r>
        <w:rPr/>
        <w:t>to</w:t>
      </w:r>
      <w:r>
        <w:rPr>
          <w:spacing w:val="-1"/>
        </w:rPr>
        <w:t> </w:t>
      </w:r>
      <w:r>
        <w:rPr/>
        <w:t>enter</w:t>
      </w:r>
      <w:r>
        <w:rPr>
          <w:spacing w:val="-1"/>
        </w:rPr>
        <w:t> </w:t>
      </w:r>
      <w:r>
        <w:rPr/>
        <w:t>into</w:t>
      </w:r>
      <w:r>
        <w:rPr>
          <w:spacing w:val="-1"/>
        </w:rPr>
        <w:t> </w:t>
      </w:r>
      <w:r>
        <w:rPr/>
        <w:t>a</w:t>
      </w:r>
      <w:r>
        <w:rPr>
          <w:spacing w:val="-1"/>
        </w:rPr>
        <w:t> </w:t>
      </w:r>
      <w:r>
        <w:rPr/>
        <w:t>contract,</w:t>
      </w:r>
      <w:r>
        <w:rPr>
          <w:spacing w:val="-1"/>
        </w:rPr>
        <w:t> </w:t>
      </w:r>
      <w:r>
        <w:rPr/>
        <w:t>amend</w:t>
      </w:r>
      <w:r>
        <w:rPr>
          <w:spacing w:val="-1"/>
        </w:rPr>
        <w:t> </w:t>
      </w:r>
      <w:r>
        <w:rPr/>
        <w:t>its</w:t>
      </w:r>
      <w:r>
        <w:rPr>
          <w:spacing w:val="-1"/>
        </w:rPr>
        <w:t> </w:t>
      </w:r>
      <w:r>
        <w:rPr/>
        <w:t>articles</w:t>
      </w:r>
      <w:r>
        <w:rPr>
          <w:spacing w:val="-1"/>
        </w:rPr>
        <w:t> </w:t>
      </w:r>
      <w:r>
        <w:rPr/>
        <w:t>so</w:t>
      </w:r>
      <w:r>
        <w:rPr>
          <w:spacing w:val="-1"/>
        </w:rPr>
        <w:t> </w:t>
      </w:r>
      <w:r>
        <w:rPr/>
        <w:t>as</w:t>
      </w:r>
      <w:r>
        <w:rPr>
          <w:spacing w:val="-1"/>
        </w:rPr>
        <w:t> </w:t>
      </w:r>
      <w:r>
        <w:rPr/>
        <w:t>to</w:t>
      </w:r>
      <w:r>
        <w:rPr>
          <w:spacing w:val="-1"/>
        </w:rPr>
        <w:t> </w:t>
      </w:r>
      <w:r>
        <w:rPr/>
        <w:t>restrict</w:t>
      </w:r>
      <w:r>
        <w:rPr>
          <w:spacing w:val="-1"/>
        </w:rPr>
        <w:t> </w:t>
      </w:r>
      <w:r>
        <w:rPr/>
        <w:t>its</w:t>
      </w:r>
      <w:r>
        <w:rPr>
          <w:spacing w:val="-1"/>
        </w:rPr>
        <w:t> </w:t>
      </w:r>
      <w:r>
        <w:rPr/>
        <w:t>objects</w:t>
      </w:r>
      <w:r>
        <w:rPr>
          <w:spacing w:val="-1"/>
        </w:rPr>
        <w:t> </w:t>
      </w:r>
      <w:r>
        <w:rPr/>
        <w:t>in such a way as to deprive itself of the capacity to enter into that contract, and the offeree may then (perhaps in ignorance of the amendment) accept the offer. If the reasoning in para.2-112 is correct, such a case would not be governed by s.31(3) of the Companies Act 2006 since at the time of the amendment of the articles the company would not have acquired any rights or been subjected to any liabilities by reason of the then unaccepted offer. Nor (subject to a possible argument to be discussed below) would the case be governed by s.40 since, when the offer was made, there was no relevant “limitation under the company’s constitution” on “the power of the directors to bind the company”</w:t>
      </w:r>
      <w:r>
        <w:rPr>
          <w:spacing w:val="40"/>
        </w:rPr>
        <w:t> </w:t>
      </w:r>
      <w:r>
        <w:rPr/>
        <w:t>within s.40(1); or by s.39(1) since, when the offer was made, the company suffered from no “lack of capacity</w:t>
      </w:r>
      <w:r>
        <w:rPr>
          <w:spacing w:val="-1"/>
        </w:rPr>
        <w:t> </w:t>
      </w:r>
      <w:r>
        <w:rPr/>
        <w:t>[to</w:t>
      </w:r>
      <w:r>
        <w:rPr>
          <w:spacing w:val="-1"/>
        </w:rPr>
        <w:t> </w:t>
      </w:r>
      <w:r>
        <w:rPr/>
        <w:t>make</w:t>
      </w:r>
      <w:r>
        <w:rPr>
          <w:spacing w:val="-1"/>
        </w:rPr>
        <w:t> </w:t>
      </w:r>
      <w:r>
        <w:rPr/>
        <w:t>it]</w:t>
      </w:r>
      <w:r>
        <w:rPr>
          <w:spacing w:val="-1"/>
        </w:rPr>
        <w:t> </w:t>
      </w:r>
      <w:r>
        <w:rPr/>
        <w:t>by</w:t>
      </w:r>
      <w:r>
        <w:rPr>
          <w:spacing w:val="-1"/>
        </w:rPr>
        <w:t> </w:t>
      </w:r>
      <w:r>
        <w:rPr/>
        <w:t>reason</w:t>
      </w:r>
      <w:r>
        <w:rPr>
          <w:spacing w:val="-1"/>
        </w:rPr>
        <w:t> </w:t>
      </w:r>
      <w:r>
        <w:rPr/>
        <w:t>of</w:t>
      </w:r>
      <w:r>
        <w:rPr>
          <w:spacing w:val="-1"/>
        </w:rPr>
        <w:t> </w:t>
      </w:r>
      <w:r>
        <w:rPr/>
        <w:t>anything</w:t>
      </w:r>
      <w:r>
        <w:rPr>
          <w:spacing w:val="-1"/>
        </w:rPr>
        <w:t> </w:t>
      </w:r>
      <w:r>
        <w:rPr/>
        <w:t>in</w:t>
      </w:r>
      <w:r>
        <w:rPr>
          <w:spacing w:val="-1"/>
        </w:rPr>
        <w:t> </w:t>
      </w:r>
      <w:r>
        <w:rPr/>
        <w:t>the</w:t>
      </w:r>
      <w:r>
        <w:rPr>
          <w:spacing w:val="-1"/>
        </w:rPr>
        <w:t> </w:t>
      </w:r>
      <w:r>
        <w:rPr/>
        <w:t>company’s</w:t>
      </w:r>
      <w:r>
        <w:rPr>
          <w:spacing w:val="-1"/>
        </w:rPr>
        <w:t> </w:t>
      </w:r>
      <w:r>
        <w:rPr/>
        <w:t>constitution”.</w:t>
      </w:r>
      <w:r>
        <w:rPr>
          <w:spacing w:val="-1"/>
        </w:rPr>
        <w:t> </w:t>
      </w:r>
      <w:r>
        <w:rPr/>
        <w:t>It</w:t>
      </w:r>
      <w:r>
        <w:rPr>
          <w:spacing w:val="-1"/>
        </w:rPr>
        <w:t> </w:t>
      </w:r>
      <w:r>
        <w:rPr/>
        <w:t>is,</w:t>
      </w:r>
      <w:r>
        <w:rPr>
          <w:spacing w:val="-1"/>
        </w:rPr>
        <w:t> </w:t>
      </w:r>
      <w:r>
        <w:rPr/>
        <w:t>however,</w:t>
      </w:r>
      <w:r>
        <w:rPr>
          <w:spacing w:val="-1"/>
        </w:rPr>
        <w:t> </w:t>
      </w:r>
      <w:r>
        <w:rPr/>
        <w:t>arguable</w:t>
      </w:r>
      <w:r>
        <w:rPr>
          <w:spacing w:val="-1"/>
        </w:rPr>
        <w:t> </w:t>
      </w:r>
      <w:r>
        <w:rPr/>
        <w:t>that holding the offer open was a continuing act; and if that argument were accepted two consequences could follow. First, the offeree could acquire rights against the company by virtue of s.40(1) if he accepted the offer in good faith, i.e. (presumably) in ignorance of the amendment of the articles. But, secondly, it would appear to be open to a member of the company to bring proceedings to “restrain the doing of an action that is beyond the powers of the directors” (i.e. the continued making of the </w:t>
      </w:r>
      <w:bookmarkStart w:name="_bookmark1046" w:id="1048"/>
      <w:bookmarkEnd w:id="1048"/>
      <w:r>
        <w:rPr/>
        <w:t>offer)</w:t>
      </w:r>
      <w:r>
        <w:rPr/>
        <w:t> at any time before the offer had been accepted. The company could also normally withdraw the offer at any time before it had been accepted </w:t>
      </w:r>
      <w:r>
        <w:rPr>
          <w:color w:val="005DA1"/>
          <w:u w:val="single" w:color="005DA1"/>
          <w:vertAlign w:val="superscript"/>
        </w:rPr>
        <w:t>558</w:t>
      </w:r>
      <w:r>
        <w:rPr>
          <w:color w:val="005DA1"/>
          <w:vertAlign w:val="baseline"/>
        </w:rPr>
        <w:t> </w:t>
      </w:r>
      <w:r>
        <w:rPr>
          <w:vertAlign w:val="baseline"/>
        </w:rPr>
        <w:t>and would be likely to do so in pursuance of the policy which had led it to amend its articles in the way described at the beginning of this paragraph. </w:t>
      </w:r>
      <w:bookmarkStart w:name="_bookmark1047" w:id="1049"/>
      <w:bookmarkEnd w:id="1049"/>
      <w:r>
        <w:rPr>
          <w:vertAlign w:val="baseline"/>
        </w:rPr>
        <w:t>But</w:t>
      </w:r>
      <w:r>
        <w:rPr>
          <w:vertAlign w:val="baseline"/>
        </w:rPr>
        <w:t> this possibility would not be open to the company where it had bound itself not to withdraw the offer, i.e. where it had granted a legally enforceable option. </w:t>
      </w:r>
      <w:r>
        <w:rPr>
          <w:color w:val="005DA1"/>
          <w:u w:val="single" w:color="005DA1"/>
          <w:vertAlign w:val="superscript"/>
        </w:rPr>
        <w:t>559</w:t>
      </w:r>
      <w:r>
        <w:rPr>
          <w:color w:val="005DA1"/>
          <w:vertAlign w:val="baseline"/>
        </w:rPr>
        <w:t> </w:t>
      </w:r>
      <w:r>
        <w:rPr>
          <w:vertAlign w:val="baseline"/>
        </w:rPr>
        <w:t>In such a case, it is clear that a member of the company could not take proceedings to prevent the conclusion of the contract since </w:t>
      </w:r>
      <w:bookmarkStart w:name="_bookmark1048" w:id="1050"/>
      <w:bookmarkEnd w:id="1050"/>
      <w:r>
        <w:rPr>
          <w:vertAlign w:val="baseline"/>
        </w:rPr>
        <w:t>“no</w:t>
      </w:r>
      <w:r>
        <w:rPr>
          <w:vertAlign w:val="baseline"/>
        </w:rPr>
        <w:t> such proceedings lie in respect of an act to be done in fulfilment of a legal obligation arising from</w:t>
      </w:r>
      <w:r>
        <w:rPr>
          <w:spacing w:val="40"/>
          <w:vertAlign w:val="baseline"/>
        </w:rPr>
        <w:t> </w:t>
      </w:r>
      <w:r>
        <w:rPr>
          <w:vertAlign w:val="baseline"/>
        </w:rPr>
        <w:t>a previous act of the company” </w:t>
      </w:r>
      <w:r>
        <w:rPr>
          <w:color w:val="005DA1"/>
          <w:u w:val="single" w:color="005DA1"/>
          <w:vertAlign w:val="superscript"/>
        </w:rPr>
        <w:t>560</w:t>
      </w:r>
      <w:r>
        <w:rPr>
          <w:color w:val="005DA1"/>
          <w:vertAlign w:val="baseline"/>
        </w:rPr>
        <w:t> </w:t>
      </w:r>
      <w:r>
        <w:rPr>
          <w:vertAlign w:val="baseline"/>
        </w:rPr>
        <w:t>i.e. in the case put, from the grant of the option.</w:t>
      </w:r>
    </w:p>
    <w:p>
      <w:pPr>
        <w:pStyle w:val="BodyText"/>
        <w:spacing w:before="72"/>
      </w:pPr>
    </w:p>
    <w:p>
      <w:pPr>
        <w:pStyle w:val="Heading2"/>
        <w:spacing w:before="1"/>
      </w:pPr>
      <w:r>
        <w:rPr/>
        <w:t>2-</w:t>
      </w:r>
      <w:r>
        <w:rPr>
          <w:spacing w:val="-5"/>
        </w:rPr>
        <w:t>114</w:t>
      </w:r>
    </w:p>
    <w:p>
      <w:pPr>
        <w:pStyle w:val="BodyText"/>
        <w:spacing w:line="235" w:lineRule="auto" w:before="202"/>
        <w:ind w:left="165" w:right="167"/>
        <w:jc w:val="both"/>
      </w:pPr>
      <w:r>
        <w:rPr/>
        <w:t>A further problem that arises in the situation described in para.2-113 above is whether, if the company’s offer were accepted when the company no longer had the capacity to enter into the contract, and were accepted by the offeree in good faith so as to confer rights under it on the </w:t>
      </w:r>
      <w:r>
        <w:rPr/>
        <w:t>offeree, the company would also be entitled to enforce the contract. No doubt, if the offeree sought to enforce the contract, then he could normally do so only on condition of performing his own obligations under</w:t>
      </w:r>
      <w:r>
        <w:rPr>
          <w:spacing w:val="40"/>
        </w:rPr>
        <w:t> </w:t>
      </w:r>
      <w:r>
        <w:rPr/>
        <w:t>it. But there is also the possibility that, having accepted the offer, the offeree might nevertheless refuse to perform its part and that the company might then seek to enforce the contract (e.g. by claiming damages for its breach) even though by the time of the acceptance of its offer it no longer had the capacity to enter into the contract. Section 40(1) of the Companies Act 2006 would not support such a claim since it applies only “in favour of a person dealing with the company …” and not in favour of the company itself; nor could the claim be brought under s.31(3) if, as has been</w:t>
      </w:r>
      <w:r>
        <w:rPr>
          <w:spacing w:val="40"/>
        </w:rPr>
        <w:t> </w:t>
      </w:r>
      <w:r>
        <w:rPr/>
        <w:t>suggested in para.2-112 above, that section refers only to rights and obligations already in existence when the company amended its constitution. An attempt by the company to enforce the contract</w:t>
      </w:r>
      <w:r>
        <w:rPr>
          <w:spacing w:val="40"/>
        </w:rPr>
        <w:t> </w:t>
      </w:r>
      <w:r>
        <w:rPr/>
        <w:t>under s.39(1) would run into a difficulty similar to that discussed in para.2-113 above. The difficulty arises because s.39(1) provides that “The validity of an </w:t>
      </w:r>
      <w:r>
        <w:rPr>
          <w:rFonts w:ascii="Arial" w:hAnsi="Arial"/>
          <w:i/>
        </w:rPr>
        <w:t>act done by the company </w:t>
      </w:r>
      <w:r>
        <w:rPr/>
        <w:t>shall not be called into question” by reason of anything in the company’s constitution. If the “act done by the company” were the making of the offer, then s.39(1) would, at first sight, be irrelevant since, when the offer was made, it was, ex hypothesi, within the company’s capacity. It would be the validity of an act done by the offeree (i.e. the acceptance), rather than any act by the company, that would be in question. The outcome would depend on s.39(1) only if a suggestion similar to that put forward in para.2-113 above were accepted: i.e. if the making of the offer were regarded as a continuous act. If that argument </w:t>
      </w:r>
      <w:bookmarkStart w:name="_bookmark1049" w:id="1051"/>
      <w:bookmarkEnd w:id="1051"/>
      <w:r>
        <w:rPr/>
        <w:t>failed,</w:t>
      </w:r>
      <w:r>
        <w:rPr/>
        <w:t> the company would be driven back on argument that a contract outside its capacity was </w:t>
      </w:r>
      <w:r>
        <w:rPr>
          <w:rFonts w:ascii="Arial" w:hAnsi="Arial"/>
          <w:i/>
        </w:rPr>
        <w:t>at </w:t>
      </w:r>
      <w:bookmarkStart w:name="_bookmark1050" w:id="1052"/>
      <w:bookmarkEnd w:id="1052"/>
      <w:r>
        <w:rPr>
          <w:rFonts w:ascii="Arial" w:hAnsi="Arial"/>
          <w:i/>
        </w:rPr>
        <w:t>common</w:t>
      </w:r>
      <w:r>
        <w:rPr>
          <w:rFonts w:ascii="Arial" w:hAnsi="Arial"/>
          <w:i/>
        </w:rPr>
        <w:t> law </w:t>
      </w:r>
      <w:r>
        <w:rPr>
          <w:color w:val="005DA1"/>
          <w:u w:val="single" w:color="005DA1"/>
          <w:vertAlign w:val="superscript"/>
        </w:rPr>
        <w:t>561</w:t>
      </w:r>
      <w:r>
        <w:rPr>
          <w:color w:val="005DA1"/>
          <w:vertAlign w:val="baseline"/>
        </w:rPr>
        <w:t> </w:t>
      </w:r>
      <w:r>
        <w:rPr>
          <w:vertAlign w:val="baseline"/>
        </w:rPr>
        <w:t>enforceable </w:t>
      </w:r>
      <w:r>
        <w:rPr>
          <w:rFonts w:ascii="Arial" w:hAnsi="Arial"/>
          <w:i/>
          <w:vertAlign w:val="baseline"/>
        </w:rPr>
        <w:t>by</w:t>
      </w:r>
      <w:r>
        <w:rPr>
          <w:vertAlign w:val="baseline"/>
        </w:rPr>
        <w:t>, even though not </w:t>
      </w:r>
      <w:r>
        <w:rPr>
          <w:rFonts w:ascii="Arial" w:hAnsi="Arial"/>
          <w:i/>
          <w:vertAlign w:val="baseline"/>
        </w:rPr>
        <w:t>against</w:t>
      </w:r>
      <w:r>
        <w:rPr>
          <w:vertAlign w:val="baseline"/>
        </w:rPr>
        <w:t>, it. This argument would not prevail if, as is </w:t>
      </w:r>
      <w:bookmarkStart w:name="_bookmark1051" w:id="1053"/>
      <w:bookmarkEnd w:id="1053"/>
      <w:r>
        <w:rPr>
          <w:vertAlign w:val="baseline"/>
        </w:rPr>
        <w:t>sometimes</w:t>
      </w:r>
      <w:r>
        <w:rPr>
          <w:vertAlign w:val="baseline"/>
        </w:rPr>
        <w:t> said, ultra vires contracts were at common law “wholly void”,</w:t>
      </w:r>
      <w:r>
        <w:rPr>
          <w:spacing w:val="-1"/>
          <w:vertAlign w:val="baseline"/>
        </w:rPr>
        <w:t> </w:t>
      </w:r>
      <w:r>
        <w:rPr>
          <w:color w:val="005DA1"/>
          <w:u w:val="single" w:color="005DA1"/>
          <w:vertAlign w:val="superscript"/>
        </w:rPr>
        <w:t>562</w:t>
      </w:r>
      <w:r>
        <w:rPr>
          <w:color w:val="005DA1"/>
          <w:vertAlign w:val="baseline"/>
        </w:rPr>
        <w:t> </w:t>
      </w:r>
      <w:r>
        <w:rPr>
          <w:vertAlign w:val="baseline"/>
        </w:rPr>
        <w:t>but the authorities give no clear guidance on the point. </w:t>
      </w:r>
      <w:r>
        <w:rPr>
          <w:color w:val="005DA1"/>
          <w:u w:val="single" w:color="005DA1"/>
          <w:vertAlign w:val="superscript"/>
        </w:rPr>
        <w:t>563</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Other </w:t>
      </w:r>
      <w:r>
        <w:rPr>
          <w:rFonts w:ascii="Arial"/>
          <w:b/>
          <w:spacing w:val="-2"/>
          <w:sz w:val="18"/>
        </w:rPr>
        <w:t>corporations</w:t>
      </w:r>
    </w:p>
    <w:p>
      <w:pPr>
        <w:pStyle w:val="BodyText"/>
        <w:spacing w:before="41"/>
        <w:rPr>
          <w:rFonts w:ascii="Arial"/>
          <w:b/>
          <w:sz w:val="18"/>
        </w:rPr>
      </w:pPr>
    </w:p>
    <w:p>
      <w:pPr>
        <w:pStyle w:val="Heading2"/>
      </w:pPr>
      <w:r>
        <w:rPr/>
        <w:t>2-</w:t>
      </w:r>
      <w:r>
        <w:rPr>
          <w:spacing w:val="-5"/>
        </w:rPr>
        <w:t>115</w:t>
      </w:r>
    </w:p>
    <w:p>
      <w:pPr>
        <w:pStyle w:val="BodyText"/>
        <w:spacing w:line="235" w:lineRule="auto" w:before="203"/>
        <w:ind w:left="165" w:right="167"/>
        <w:jc w:val="both"/>
      </w:pPr>
      <w:r>
        <w:rPr/>
        <w:t>Companies may also be incorporated by Royal Charter or by special legislation. Charter corporations </w:t>
      </w:r>
      <w:bookmarkStart w:name="_bookmark1052" w:id="1054"/>
      <w:bookmarkEnd w:id="1054"/>
      <w:r>
        <w:rPr/>
        <w:t>have</w:t>
      </w:r>
      <w:r>
        <w:rPr/>
        <w:t> the legal capacity of a natural person so that an alteration of the charter would not affect </w:t>
      </w:r>
      <w:r>
        <w:rPr/>
        <w:t>the validity of an offer or acceptance made by the corporation. </w:t>
      </w:r>
      <w:r>
        <w:rPr>
          <w:color w:val="005DA1"/>
          <w:u w:val="single" w:color="005DA1"/>
          <w:vertAlign w:val="superscript"/>
        </w:rPr>
        <w:t>564</w:t>
      </w:r>
      <w:r>
        <w:rPr>
          <w:color w:val="005DA1"/>
          <w:vertAlign w:val="baseline"/>
        </w:rPr>
        <w:t> </w:t>
      </w:r>
      <w:r>
        <w:rPr>
          <w:vertAlign w:val="baseline"/>
        </w:rPr>
        <w:t>The legal capacity of corporations </w:t>
      </w:r>
      <w:bookmarkStart w:name="_bookmark1053" w:id="1055"/>
      <w:bookmarkEnd w:id="1055"/>
      <w:r>
        <w:rPr>
          <w:vertAlign w:val="baseline"/>
        </w:rPr>
        <w:t>incorporated</w:t>
      </w:r>
      <w:r>
        <w:rPr>
          <w:vertAlign w:val="baseline"/>
        </w:rPr>
        <w:t> by special statute is governed by the statute, and acts not within that capacity are ultra vires and void. </w:t>
      </w:r>
      <w:r>
        <w:rPr>
          <w:color w:val="005DA1"/>
          <w:u w:val="single" w:color="005DA1"/>
          <w:vertAlign w:val="superscript"/>
        </w:rPr>
        <w:t>565</w:t>
      </w:r>
      <w:r>
        <w:rPr>
          <w:color w:val="005DA1"/>
          <w:vertAlign w:val="baseline"/>
        </w:rPr>
        <w:t> </w:t>
      </w:r>
      <w:r>
        <w:rPr>
          <w:vertAlign w:val="baseline"/>
        </w:rPr>
        <w:t>An alteration of the statute could therefore prevent the corporation from accepting an offer made to it, and from being bound by the acceptance of an offer made by it, where the offer was made before the alteration came into effect. In practice, the problem is likely to be dealt with in the statute which changes the capacity of the corporation.</w:t>
      </w:r>
    </w:p>
    <w:p>
      <w:pPr>
        <w:pStyle w:val="BodyText"/>
      </w:pPr>
    </w:p>
    <w:p>
      <w:pPr>
        <w:pStyle w:val="BodyText"/>
        <w:spacing w:before="35"/>
      </w:pPr>
    </w:p>
    <w:p>
      <w:pPr>
        <w:spacing w:before="0"/>
        <w:ind w:left="165" w:right="0" w:firstLine="0"/>
        <w:jc w:val="both"/>
        <w:rPr>
          <w:rFonts w:ascii="Arial"/>
          <w:b/>
          <w:sz w:val="18"/>
        </w:rPr>
      </w:pPr>
      <w:r>
        <w:rPr>
          <w:rFonts w:ascii="Arial"/>
          <w:b/>
          <w:sz w:val="18"/>
        </w:rPr>
        <w:t>Limited liability </w:t>
      </w:r>
      <w:r>
        <w:rPr>
          <w:rFonts w:ascii="Arial"/>
          <w:b/>
          <w:spacing w:val="-2"/>
          <w:sz w:val="18"/>
        </w:rPr>
        <w:t>partnerships</w:t>
      </w:r>
    </w:p>
    <w:p>
      <w:pPr>
        <w:pStyle w:val="BodyText"/>
        <w:spacing w:before="42"/>
        <w:rPr>
          <w:rFonts w:ascii="Arial"/>
          <w:b/>
          <w:sz w:val="18"/>
        </w:rPr>
      </w:pPr>
    </w:p>
    <w:p>
      <w:pPr>
        <w:pStyle w:val="Heading2"/>
      </w:pPr>
      <w:r>
        <w:rPr/>
        <w:t>2-</w:t>
      </w:r>
      <w:r>
        <w:rPr>
          <w:spacing w:val="-5"/>
        </w:rPr>
        <w:t>116</w:t>
      </w:r>
    </w:p>
    <w:p>
      <w:pPr>
        <w:pStyle w:val="BodyText"/>
        <w:spacing w:line="235" w:lineRule="auto" w:before="202"/>
        <w:ind w:left="165" w:right="167"/>
        <w:jc w:val="both"/>
      </w:pPr>
      <w:bookmarkStart w:name="_bookmark1054" w:id="1056"/>
      <w:bookmarkEnd w:id="1056"/>
      <w:r>
        <w:rPr/>
      </w:r>
      <w:bookmarkStart w:name="_bookmark1055" w:id="1057"/>
      <w:bookmarkEnd w:id="1057"/>
      <w:r>
        <w:rPr/>
      </w:r>
      <w:r>
        <w:rPr/>
        <w:t>Limited liability partnerships incorporated under the Limited Liability Partnerships Act 2000 </w:t>
      </w:r>
      <w:r>
        <w:rPr>
          <w:color w:val="005DA1"/>
          <w:u w:val="single" w:color="005DA1"/>
          <w:vertAlign w:val="superscript"/>
        </w:rPr>
        <w:t>566</w:t>
      </w:r>
      <w:r>
        <w:rPr>
          <w:color w:val="005DA1"/>
          <w:vertAlign w:val="baseline"/>
        </w:rPr>
        <w:t> </w:t>
      </w:r>
      <w:r>
        <w:rPr>
          <w:vertAlign w:val="baseline"/>
        </w:rPr>
        <w:t>are </w:t>
      </w:r>
      <w:bookmarkStart w:name="_bookmark1056" w:id="1058"/>
      <w:bookmarkEnd w:id="1058"/>
      <w:r>
        <w:rPr>
          <w:vertAlign w:val="baseline"/>
        </w:rPr>
        <w:t>bodies</w:t>
      </w:r>
      <w:r>
        <w:rPr>
          <w:vertAlign w:val="baseline"/>
        </w:rPr>
        <w:t> corporate </w:t>
      </w:r>
      <w:r>
        <w:rPr>
          <w:color w:val="005DA1"/>
          <w:u w:val="single" w:color="005DA1"/>
          <w:vertAlign w:val="superscript"/>
        </w:rPr>
        <w:t>567</w:t>
      </w:r>
      <w:r>
        <w:rPr>
          <w:color w:val="005DA1"/>
          <w:vertAlign w:val="baseline"/>
        </w:rPr>
        <w:t> </w:t>
      </w:r>
      <w:r>
        <w:rPr>
          <w:vertAlign w:val="baseline"/>
        </w:rPr>
        <w:t>but problems of the kind discussed in paras 2-110—2-114 above cannot arise with regard to them as they have “unlimited capacity”. </w:t>
      </w:r>
      <w:r>
        <w:rPr>
          <w:color w:val="005DA1"/>
          <w:u w:val="single" w:color="005DA1"/>
          <w:vertAlign w:val="superscript"/>
        </w:rPr>
        <w:t>568</w:t>
      </w:r>
    </w:p>
    <w:p>
      <w:pPr>
        <w:pStyle w:val="BodyText"/>
      </w:pPr>
    </w:p>
    <w:p>
      <w:pPr>
        <w:pStyle w:val="BodyText"/>
        <w:spacing w:before="39"/>
      </w:pPr>
      <w:r>
        <w:rPr/>
        <mc:AlternateContent>
          <mc:Choice Requires="wps">
            <w:drawing>
              <wp:anchor distT="0" distB="0" distL="0" distR="0" allowOverlap="1" layoutInCell="1" locked="0" behindDoc="1" simplePos="0" relativeHeight="487610880">
                <wp:simplePos x="0" y="0"/>
                <wp:positionH relativeFrom="page">
                  <wp:posOffset>914400</wp:posOffset>
                </wp:positionH>
                <wp:positionV relativeFrom="paragraph">
                  <wp:posOffset>186294</wp:posOffset>
                </wp:positionV>
                <wp:extent cx="5724525" cy="1270"/>
                <wp:effectExtent l="0" t="0" r="0" b="0"/>
                <wp:wrapTopAndBottom/>
                <wp:docPr id="82" name="Graphic 82"/>
                <wp:cNvGraphicFramePr>
                  <a:graphicFrameLocks/>
                </wp:cNvGraphicFramePr>
                <a:graphic>
                  <a:graphicData uri="http://schemas.microsoft.com/office/word/2010/wordprocessingShape">
                    <wps:wsp>
                      <wps:cNvPr id="82" name="Graphic 82"/>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8836pt;width:450.75pt;height:.1pt;mso-position-horizontal-relative:page;mso-position-vertical-relative:paragraph;z-index:-15705600;mso-wrap-distance-left:0;mso-wrap-distance-right:0" id="docshape35"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057" w:id="1059"/>
      <w:bookmarkEnd w:id="1059"/>
      <w:r>
        <w:rPr/>
      </w:r>
      <w:hyperlink w:history="true" w:anchor="_bookmark1027">
        <w:r>
          <w:rPr>
            <w:color w:val="005DA1"/>
            <w:spacing w:val="-4"/>
            <w:position w:val="5"/>
            <w:sz w:val="14"/>
            <w:u w:val="single" w:color="005DA1"/>
          </w:rPr>
          <w:t>539</w:t>
        </w:r>
      </w:hyperlink>
      <w:r>
        <w:rPr>
          <w:spacing w:val="-4"/>
          <w:position w:val="5"/>
          <w:sz w:val="14"/>
        </w:rPr>
        <w:t>.</w:t>
      </w:r>
      <w:r>
        <w:rPr>
          <w:position w:val="5"/>
          <w:sz w:val="14"/>
        </w:rPr>
        <w:tab/>
      </w:r>
      <w:r>
        <w:rPr/>
        <w:t>Companies</w:t>
      </w:r>
      <w:r>
        <w:rPr>
          <w:spacing w:val="-2"/>
        </w:rPr>
        <w:t> </w:t>
      </w:r>
      <w:r>
        <w:rPr/>
        <w:t>Act 2006 </w:t>
      </w:r>
      <w:r>
        <w:rPr>
          <w:spacing w:val="-4"/>
        </w:rPr>
        <w:t>s.1.</w:t>
      </w:r>
    </w:p>
    <w:p>
      <w:pPr>
        <w:pStyle w:val="BodyText"/>
        <w:spacing w:before="5"/>
      </w:pPr>
    </w:p>
    <w:p>
      <w:pPr>
        <w:pStyle w:val="BodyText"/>
        <w:tabs>
          <w:tab w:pos="705" w:val="left" w:leader="none"/>
        </w:tabs>
        <w:ind w:left="165"/>
      </w:pPr>
      <w:bookmarkStart w:name="_bookmark1058" w:id="1060"/>
      <w:bookmarkEnd w:id="1060"/>
      <w:r>
        <w:rPr/>
      </w:r>
      <w:hyperlink w:history="true" w:anchor="_bookmark1028">
        <w:r>
          <w:rPr>
            <w:color w:val="005DA1"/>
            <w:spacing w:val="-4"/>
            <w:position w:val="5"/>
            <w:sz w:val="14"/>
            <w:u w:val="single" w:color="005DA1"/>
          </w:rPr>
          <w:t>540</w:t>
        </w:r>
      </w:hyperlink>
      <w:r>
        <w:rPr>
          <w:spacing w:val="-4"/>
          <w:position w:val="5"/>
          <w:sz w:val="14"/>
        </w:rPr>
        <w:t>.</w:t>
      </w:r>
      <w:r>
        <w:rPr>
          <w:position w:val="5"/>
          <w:sz w:val="14"/>
        </w:rPr>
        <w:tab/>
      </w:r>
      <w:r>
        <w:rPr/>
        <w:t>Companies Act 2006 </w:t>
      </w:r>
      <w:r>
        <w:rPr>
          <w:spacing w:val="-2"/>
        </w:rPr>
        <w:t>s.17(a).</w:t>
      </w:r>
    </w:p>
    <w:p>
      <w:pPr>
        <w:pStyle w:val="BodyText"/>
        <w:spacing w:before="5"/>
      </w:pPr>
    </w:p>
    <w:p>
      <w:pPr>
        <w:pStyle w:val="BodyText"/>
        <w:tabs>
          <w:tab w:pos="705" w:val="left" w:leader="none"/>
        </w:tabs>
        <w:ind w:left="165"/>
      </w:pPr>
      <w:bookmarkStart w:name="_bookmark1059" w:id="1061"/>
      <w:bookmarkEnd w:id="1061"/>
      <w:r>
        <w:rPr/>
      </w:r>
      <w:hyperlink w:history="true" w:anchor="_bookmark1029">
        <w:r>
          <w:rPr>
            <w:color w:val="005DA1"/>
            <w:spacing w:val="-4"/>
            <w:position w:val="5"/>
            <w:sz w:val="14"/>
            <w:u w:val="single" w:color="005DA1"/>
          </w:rPr>
          <w:t>541</w:t>
        </w:r>
      </w:hyperlink>
      <w:r>
        <w:rPr>
          <w:spacing w:val="-4"/>
          <w:position w:val="5"/>
          <w:sz w:val="14"/>
        </w:rPr>
        <w:t>.</w:t>
      </w:r>
      <w:r>
        <w:rPr>
          <w:position w:val="5"/>
          <w:sz w:val="14"/>
        </w:rPr>
        <w:tab/>
      </w:r>
      <w:r>
        <w:rPr/>
        <w:t>See Companies Act 2006 </w:t>
      </w:r>
      <w:r>
        <w:rPr>
          <w:spacing w:val="-2"/>
        </w:rPr>
        <w:t>s.31.</w:t>
      </w:r>
    </w:p>
    <w:p>
      <w:pPr>
        <w:pStyle w:val="BodyText"/>
        <w:spacing w:before="9"/>
      </w:pPr>
    </w:p>
    <w:p>
      <w:pPr>
        <w:pStyle w:val="BodyText"/>
        <w:tabs>
          <w:tab w:pos="705" w:val="left" w:leader="none"/>
        </w:tabs>
        <w:spacing w:line="235" w:lineRule="auto"/>
        <w:ind w:left="705" w:right="168" w:hanging="541"/>
      </w:pPr>
      <w:bookmarkStart w:name="_bookmark1060" w:id="1062"/>
      <w:bookmarkEnd w:id="1062"/>
      <w:r>
        <w:rPr/>
      </w:r>
      <w:hyperlink w:history="true" w:anchor="_bookmark1030">
        <w:r>
          <w:rPr>
            <w:color w:val="005DA1"/>
            <w:spacing w:val="-4"/>
            <w:position w:val="5"/>
            <w:sz w:val="14"/>
            <w:u w:val="single" w:color="005DA1"/>
          </w:rPr>
          <w:t>542</w:t>
        </w:r>
      </w:hyperlink>
      <w:r>
        <w:rPr>
          <w:spacing w:val="-4"/>
          <w:position w:val="5"/>
          <w:sz w:val="14"/>
        </w:rPr>
        <w:t>.</w:t>
      </w:r>
      <w:r>
        <w:rPr>
          <w:position w:val="5"/>
          <w:sz w:val="14"/>
        </w:rPr>
        <w:tab/>
      </w:r>
      <w:r>
        <w:rPr/>
        <w:t>Companies</w:t>
      </w:r>
      <w:r>
        <w:rPr>
          <w:spacing w:val="30"/>
        </w:rPr>
        <w:t> </w:t>
      </w:r>
      <w:r>
        <w:rPr/>
        <w:t>Act</w:t>
      </w:r>
      <w:r>
        <w:rPr>
          <w:spacing w:val="30"/>
        </w:rPr>
        <w:t> </w:t>
      </w:r>
      <w:r>
        <w:rPr/>
        <w:t>2006</w:t>
      </w:r>
      <w:r>
        <w:rPr>
          <w:spacing w:val="30"/>
        </w:rPr>
        <w:t> </w:t>
      </w:r>
      <w:r>
        <w:rPr/>
        <w:t>s.21;</w:t>
      </w:r>
      <w:r>
        <w:rPr>
          <w:spacing w:val="30"/>
        </w:rPr>
        <w:t> </w:t>
      </w:r>
      <w:r>
        <w:rPr/>
        <w:t>such</w:t>
      </w:r>
      <w:r>
        <w:rPr>
          <w:spacing w:val="30"/>
        </w:rPr>
        <w:t> </w:t>
      </w:r>
      <w:r>
        <w:rPr/>
        <w:t>a</w:t>
      </w:r>
      <w:r>
        <w:rPr>
          <w:spacing w:val="30"/>
        </w:rPr>
        <w:t> </w:t>
      </w:r>
      <w:r>
        <w:rPr/>
        <w:t>resolution</w:t>
      </w:r>
      <w:r>
        <w:rPr>
          <w:spacing w:val="30"/>
        </w:rPr>
        <w:t> </w:t>
      </w:r>
      <w:r>
        <w:rPr/>
        <w:t>is</w:t>
      </w:r>
      <w:r>
        <w:rPr>
          <w:spacing w:val="30"/>
        </w:rPr>
        <w:t> </w:t>
      </w:r>
      <w:r>
        <w:rPr/>
        <w:t>also</w:t>
      </w:r>
      <w:r>
        <w:rPr>
          <w:spacing w:val="30"/>
        </w:rPr>
        <w:t> </w:t>
      </w:r>
      <w:r>
        <w:rPr/>
        <w:t>part</w:t>
      </w:r>
      <w:r>
        <w:rPr>
          <w:spacing w:val="30"/>
        </w:rPr>
        <w:t> </w:t>
      </w:r>
      <w:r>
        <w:rPr/>
        <w:t>of</w:t>
      </w:r>
      <w:r>
        <w:rPr>
          <w:spacing w:val="30"/>
        </w:rPr>
        <w:t> </w:t>
      </w:r>
      <w:r>
        <w:rPr/>
        <w:t>the</w:t>
      </w:r>
      <w:r>
        <w:rPr>
          <w:spacing w:val="30"/>
        </w:rPr>
        <w:t> </w:t>
      </w:r>
      <w:r>
        <w:rPr/>
        <w:t>company’s</w:t>
      </w:r>
      <w:r>
        <w:rPr>
          <w:spacing w:val="30"/>
        </w:rPr>
        <w:t> </w:t>
      </w:r>
      <w:r>
        <w:rPr/>
        <w:t>constitution:</w:t>
      </w:r>
      <w:r>
        <w:rPr>
          <w:spacing w:val="30"/>
        </w:rPr>
        <w:t> </w:t>
      </w:r>
      <w:r>
        <w:rPr/>
        <w:t>see ss.17(b), 29.</w:t>
      </w:r>
    </w:p>
    <w:p>
      <w:pPr>
        <w:pStyle w:val="BodyText"/>
        <w:spacing w:before="9"/>
      </w:pPr>
    </w:p>
    <w:p>
      <w:pPr>
        <w:pStyle w:val="BodyText"/>
        <w:spacing w:line="235" w:lineRule="auto"/>
        <w:ind w:left="705" w:right="167" w:hanging="541"/>
        <w:jc w:val="both"/>
      </w:pPr>
      <w:bookmarkStart w:name="_bookmark1061" w:id="1063"/>
      <w:bookmarkEnd w:id="1063"/>
      <w:r>
        <w:rPr/>
      </w:r>
      <w:hyperlink w:history="true" w:anchor="_bookmark1031">
        <w:r>
          <w:rPr>
            <w:color w:val="005DA1"/>
            <w:position w:val="5"/>
            <w:sz w:val="14"/>
            <w:u w:val="single" w:color="005DA1"/>
          </w:rPr>
          <w:t>543</w:t>
        </w:r>
      </w:hyperlink>
      <w:r>
        <w:rPr>
          <w:position w:val="5"/>
          <w:sz w:val="14"/>
        </w:rPr>
        <w:t>.</w:t>
      </w:r>
      <w:r>
        <w:rPr>
          <w:spacing w:val="80"/>
          <w:w w:val="150"/>
          <w:position w:val="5"/>
          <w:sz w:val="14"/>
        </w:rPr>
        <w:t> </w:t>
      </w:r>
      <w:r>
        <w:rPr/>
        <w:t>Companies Act 2006 s.31(1); for special rules applicable to companies that are charities, see s.31(4);</w:t>
      </w:r>
      <w:r>
        <w:rPr>
          <w:spacing w:val="-2"/>
        </w:rPr>
        <w:t> </w:t>
      </w:r>
      <w:r>
        <w:rPr/>
        <w:t>Charities</w:t>
      </w:r>
      <w:r>
        <w:rPr>
          <w:spacing w:val="-2"/>
        </w:rPr>
        <w:t> </w:t>
      </w:r>
      <w:r>
        <w:rPr/>
        <w:t>Act</w:t>
      </w:r>
      <w:r>
        <w:rPr>
          <w:spacing w:val="-2"/>
        </w:rPr>
        <w:t> </w:t>
      </w:r>
      <w:r>
        <w:rPr/>
        <w:t>2011</w:t>
      </w:r>
      <w:r>
        <w:rPr>
          <w:spacing w:val="-2"/>
        </w:rPr>
        <w:t> </w:t>
      </w:r>
      <w:r>
        <w:rPr/>
        <w:t>ss.197,</w:t>
      </w:r>
      <w:r>
        <w:rPr>
          <w:spacing w:val="-2"/>
        </w:rPr>
        <w:t> </w:t>
      </w:r>
      <w:r>
        <w:rPr/>
        <w:t>198;</w:t>
      </w:r>
      <w:r>
        <w:rPr>
          <w:spacing w:val="-2"/>
        </w:rPr>
        <w:t> </w:t>
      </w:r>
      <w:r>
        <w:rPr/>
        <w:t>cf.</w:t>
      </w:r>
      <w:r>
        <w:rPr>
          <w:spacing w:val="-2"/>
        </w:rPr>
        <w:t> </w:t>
      </w:r>
      <w:r>
        <w:rPr/>
        <w:t>in</w:t>
      </w:r>
      <w:r>
        <w:rPr>
          <w:spacing w:val="-2"/>
        </w:rPr>
        <w:t> </w:t>
      </w:r>
      <w:r>
        <w:rPr/>
        <w:t>the</w:t>
      </w:r>
      <w:r>
        <w:rPr>
          <w:spacing w:val="-2"/>
        </w:rPr>
        <w:t> </w:t>
      </w:r>
      <w:r>
        <w:rPr/>
        <w:t>case</w:t>
      </w:r>
      <w:r>
        <w:rPr>
          <w:spacing w:val="-2"/>
        </w:rPr>
        <w:t> </w:t>
      </w:r>
      <w:r>
        <w:rPr/>
        <w:t>of</w:t>
      </w:r>
      <w:r>
        <w:rPr>
          <w:spacing w:val="-2"/>
        </w:rPr>
        <w:t> </w:t>
      </w:r>
      <w:r>
        <w:rPr/>
        <w:t>Charitable</w:t>
      </w:r>
      <w:r>
        <w:rPr>
          <w:spacing w:val="-2"/>
        </w:rPr>
        <w:t> </w:t>
      </w:r>
      <w:r>
        <w:rPr/>
        <w:t>Incorporated</w:t>
      </w:r>
      <w:r>
        <w:rPr>
          <w:spacing w:val="-2"/>
        </w:rPr>
        <w:t> </w:t>
      </w:r>
      <w:r>
        <w:rPr/>
        <w:t>Organisations (as defined in ss.204 and 205 of that Act), Pt 11 Ch.3 of the Act.</w:t>
      </w:r>
    </w:p>
    <w:p>
      <w:pPr>
        <w:pStyle w:val="BodyText"/>
        <w:spacing w:before="5"/>
      </w:pPr>
    </w:p>
    <w:p>
      <w:pPr>
        <w:pStyle w:val="BodyText"/>
        <w:tabs>
          <w:tab w:pos="705" w:val="left" w:leader="none"/>
        </w:tabs>
        <w:ind w:left="165"/>
      </w:pPr>
      <w:bookmarkStart w:name="_bookmark1062" w:id="1064"/>
      <w:bookmarkEnd w:id="1064"/>
      <w:r>
        <w:rPr/>
      </w:r>
      <w:hyperlink w:history="true" w:anchor="_bookmark1032">
        <w:r>
          <w:rPr>
            <w:color w:val="005DA1"/>
            <w:spacing w:val="-4"/>
            <w:position w:val="5"/>
            <w:sz w:val="14"/>
            <w:u w:val="single" w:color="005DA1"/>
          </w:rPr>
          <w:t>544</w:t>
        </w:r>
      </w:hyperlink>
      <w:r>
        <w:rPr>
          <w:spacing w:val="-4"/>
          <w:position w:val="5"/>
          <w:sz w:val="14"/>
        </w:rPr>
        <w:t>.</w:t>
      </w:r>
      <w:r>
        <w:rPr>
          <w:position w:val="5"/>
          <w:sz w:val="14"/>
        </w:rPr>
        <w:tab/>
      </w:r>
      <w:r>
        <w:rPr/>
        <w:t>See</w:t>
      </w:r>
      <w:r>
        <w:rPr>
          <w:spacing w:val="-2"/>
        </w:rPr>
        <w:t> </w:t>
      </w:r>
      <w:r>
        <w:rPr/>
        <w:t>below, para.10-</w:t>
      </w:r>
      <w:r>
        <w:rPr>
          <w:spacing w:val="-4"/>
        </w:rPr>
        <w:t>020.</w:t>
      </w:r>
    </w:p>
    <w:p>
      <w:pPr>
        <w:pStyle w:val="BodyText"/>
        <w:spacing w:before="5"/>
      </w:pPr>
    </w:p>
    <w:p>
      <w:pPr>
        <w:pStyle w:val="BodyText"/>
        <w:tabs>
          <w:tab w:pos="705" w:val="left" w:leader="none"/>
        </w:tabs>
        <w:ind w:left="165"/>
      </w:pPr>
      <w:bookmarkStart w:name="_bookmark1063" w:id="1065"/>
      <w:bookmarkEnd w:id="1065"/>
      <w:r>
        <w:rPr/>
      </w:r>
      <w:hyperlink w:history="true" w:anchor="_bookmark1033">
        <w:r>
          <w:rPr>
            <w:color w:val="005DA1"/>
            <w:spacing w:val="-4"/>
            <w:position w:val="5"/>
            <w:sz w:val="14"/>
            <w:u w:val="single" w:color="005DA1"/>
          </w:rPr>
          <w:t>545</w:t>
        </w:r>
      </w:hyperlink>
      <w:r>
        <w:rPr>
          <w:spacing w:val="-4"/>
          <w:position w:val="5"/>
          <w:sz w:val="14"/>
        </w:rPr>
        <w:t>.</w:t>
      </w:r>
      <w:r>
        <w:rPr>
          <w:position w:val="5"/>
          <w:sz w:val="14"/>
        </w:rPr>
        <w:tab/>
      </w:r>
      <w:r>
        <w:rPr/>
        <w:t>For the position of charitable companies, see above, </w:t>
      </w:r>
      <w:r>
        <w:rPr>
          <w:spacing w:val="-2"/>
        </w:rPr>
        <w:t>n.532.</w:t>
      </w:r>
    </w:p>
    <w:p>
      <w:pPr>
        <w:pStyle w:val="BodyText"/>
        <w:spacing w:before="5"/>
      </w:pPr>
    </w:p>
    <w:p>
      <w:pPr>
        <w:pStyle w:val="BodyText"/>
        <w:tabs>
          <w:tab w:pos="705" w:val="left" w:leader="none"/>
        </w:tabs>
        <w:ind w:left="165"/>
      </w:pPr>
      <w:bookmarkStart w:name="_bookmark1064" w:id="1066"/>
      <w:bookmarkEnd w:id="1066"/>
      <w:r>
        <w:rPr/>
      </w:r>
      <w:hyperlink w:history="true" w:anchor="_bookmark1034">
        <w:r>
          <w:rPr>
            <w:color w:val="005DA1"/>
            <w:spacing w:val="-4"/>
            <w:position w:val="5"/>
            <w:sz w:val="14"/>
            <w:u w:val="single" w:color="005DA1"/>
          </w:rPr>
          <w:t>546</w:t>
        </w:r>
      </w:hyperlink>
      <w:r>
        <w:rPr>
          <w:spacing w:val="-4"/>
          <w:position w:val="5"/>
          <w:sz w:val="14"/>
        </w:rPr>
        <w:t>.</w:t>
      </w:r>
      <w:r>
        <w:rPr>
          <w:position w:val="5"/>
          <w:sz w:val="14"/>
        </w:rPr>
        <w:tab/>
      </w:r>
      <w:r>
        <w:rPr/>
        <w:t>Companies Act 2006 </w:t>
      </w:r>
      <w:r>
        <w:rPr>
          <w:spacing w:val="-2"/>
        </w:rPr>
        <w:t>s.31(2).</w:t>
      </w:r>
    </w:p>
    <w:p>
      <w:pPr>
        <w:pStyle w:val="BodyText"/>
        <w:spacing w:before="9"/>
      </w:pPr>
    </w:p>
    <w:p>
      <w:pPr>
        <w:pStyle w:val="BodyText"/>
        <w:tabs>
          <w:tab w:pos="705" w:val="left" w:leader="none"/>
        </w:tabs>
        <w:spacing w:line="235" w:lineRule="auto"/>
        <w:ind w:left="705" w:right="168" w:hanging="541"/>
      </w:pPr>
      <w:bookmarkStart w:name="_bookmark1065" w:id="1067"/>
      <w:bookmarkEnd w:id="1067"/>
      <w:r>
        <w:rPr/>
      </w:r>
      <w:hyperlink w:history="true" w:anchor="_bookmark1035">
        <w:r>
          <w:rPr>
            <w:color w:val="005DA1"/>
            <w:spacing w:val="-4"/>
            <w:position w:val="5"/>
            <w:sz w:val="14"/>
            <w:u w:val="single" w:color="005DA1"/>
          </w:rPr>
          <w:t>547</w:t>
        </w:r>
      </w:hyperlink>
      <w:r>
        <w:rPr>
          <w:spacing w:val="-4"/>
          <w:position w:val="5"/>
          <w:sz w:val="14"/>
        </w:rPr>
        <w:t>.</w:t>
      </w:r>
      <w:r>
        <w:rPr>
          <w:position w:val="5"/>
          <w:sz w:val="14"/>
        </w:rPr>
        <w:tab/>
      </w:r>
      <w:r>
        <w:rPr/>
        <w:t>For special rules applicable to companies that are charities, see Companies Act 2006 </w:t>
      </w:r>
      <w:r>
        <w:rPr/>
        <w:t>ss.39(2), </w:t>
      </w:r>
      <w:r>
        <w:rPr>
          <w:spacing w:val="-4"/>
        </w:rPr>
        <w:t>42.</w:t>
      </w:r>
    </w:p>
    <w:p>
      <w:pPr>
        <w:pStyle w:val="BodyText"/>
        <w:spacing w:before="6"/>
      </w:pPr>
    </w:p>
    <w:p>
      <w:pPr>
        <w:pStyle w:val="BodyText"/>
        <w:tabs>
          <w:tab w:pos="705" w:val="left" w:leader="none"/>
        </w:tabs>
        <w:ind w:left="165"/>
      </w:pPr>
      <w:bookmarkStart w:name="_bookmark1066" w:id="1068"/>
      <w:bookmarkEnd w:id="1068"/>
      <w:r>
        <w:rPr/>
      </w:r>
      <w:hyperlink w:history="true" w:anchor="_bookmark1036">
        <w:r>
          <w:rPr>
            <w:color w:val="005DA1"/>
            <w:spacing w:val="-4"/>
            <w:position w:val="5"/>
            <w:sz w:val="14"/>
            <w:u w:val="single" w:color="005DA1"/>
          </w:rPr>
          <w:t>548</w:t>
        </w:r>
      </w:hyperlink>
      <w:r>
        <w:rPr>
          <w:spacing w:val="-4"/>
          <w:position w:val="5"/>
          <w:sz w:val="14"/>
        </w:rPr>
        <w:t>.</w:t>
      </w:r>
      <w:r>
        <w:rPr>
          <w:position w:val="5"/>
          <w:sz w:val="14"/>
        </w:rPr>
        <w:tab/>
      </w:r>
      <w:r>
        <w:rPr/>
        <w:t>Companies Act 2006 </w:t>
      </w:r>
      <w:r>
        <w:rPr>
          <w:spacing w:val="-2"/>
        </w:rPr>
        <w:t>s.39(1).</w:t>
      </w:r>
    </w:p>
    <w:p>
      <w:pPr>
        <w:pStyle w:val="BodyText"/>
        <w:spacing w:before="8"/>
      </w:pPr>
    </w:p>
    <w:p>
      <w:pPr>
        <w:pStyle w:val="BodyText"/>
        <w:tabs>
          <w:tab w:pos="705" w:val="left" w:leader="none"/>
        </w:tabs>
        <w:spacing w:line="235" w:lineRule="auto" w:before="1"/>
        <w:ind w:left="705" w:right="168" w:hanging="541"/>
      </w:pPr>
      <w:bookmarkStart w:name="_bookmark1067" w:id="1069"/>
      <w:bookmarkEnd w:id="1069"/>
      <w:r>
        <w:rPr/>
      </w:r>
      <w:hyperlink w:history="true" w:anchor="_bookmark1037">
        <w:r>
          <w:rPr>
            <w:color w:val="005DA1"/>
            <w:spacing w:val="-4"/>
            <w:position w:val="5"/>
            <w:sz w:val="14"/>
            <w:u w:val="single" w:color="005DA1"/>
          </w:rPr>
          <w:t>549</w:t>
        </w:r>
      </w:hyperlink>
      <w:r>
        <w:rPr>
          <w:spacing w:val="-4"/>
          <w:position w:val="5"/>
          <w:sz w:val="14"/>
        </w:rPr>
        <w:t>.</w:t>
      </w:r>
      <w:r>
        <w:rPr>
          <w:position w:val="5"/>
          <w:sz w:val="14"/>
        </w:rPr>
        <w:tab/>
      </w:r>
      <w:r>
        <w:rPr/>
        <w:t>i.e. subject to s.40(6)(a) (certain transactions with directors: see s.41) and 40(6)(b) (companies that are charitable: see s.42).</w:t>
      </w:r>
    </w:p>
    <w:p>
      <w:pPr>
        <w:pStyle w:val="BodyText"/>
        <w:spacing w:before="5"/>
      </w:pPr>
    </w:p>
    <w:p>
      <w:pPr>
        <w:pStyle w:val="BodyText"/>
        <w:tabs>
          <w:tab w:pos="705" w:val="left" w:leader="none"/>
        </w:tabs>
        <w:ind w:left="165"/>
      </w:pPr>
      <w:bookmarkStart w:name="_bookmark1068" w:id="1070"/>
      <w:bookmarkEnd w:id="1070"/>
      <w:r>
        <w:rPr/>
      </w:r>
      <w:hyperlink w:history="true" w:anchor="_bookmark1038">
        <w:r>
          <w:rPr>
            <w:color w:val="005DA1"/>
            <w:spacing w:val="-4"/>
            <w:position w:val="5"/>
            <w:sz w:val="14"/>
            <w:u w:val="single" w:color="005DA1"/>
          </w:rPr>
          <w:t>550</w:t>
        </w:r>
      </w:hyperlink>
      <w:r>
        <w:rPr>
          <w:spacing w:val="-4"/>
          <w:position w:val="5"/>
          <w:sz w:val="14"/>
        </w:rPr>
        <w:t>.</w:t>
      </w:r>
      <w:r>
        <w:rPr>
          <w:position w:val="5"/>
          <w:sz w:val="14"/>
        </w:rPr>
        <w:tab/>
      </w:r>
      <w:r>
        <w:rPr/>
        <w:t>i.e.</w:t>
      </w:r>
      <w:r>
        <w:rPr>
          <w:spacing w:val="-2"/>
        </w:rPr>
        <w:t> </w:t>
      </w:r>
      <w:r>
        <w:rPr/>
        <w:t>subject to the restrictions referred to in n.538 </w:t>
      </w:r>
      <w:r>
        <w:rPr>
          <w:spacing w:val="-2"/>
        </w:rPr>
        <w:t>above.</w:t>
      </w:r>
    </w:p>
    <w:p>
      <w:pPr>
        <w:pStyle w:val="BodyText"/>
        <w:spacing w:before="9"/>
      </w:pPr>
    </w:p>
    <w:p>
      <w:pPr>
        <w:pStyle w:val="BodyText"/>
        <w:tabs>
          <w:tab w:pos="705" w:val="left" w:leader="none"/>
        </w:tabs>
        <w:spacing w:line="235" w:lineRule="auto"/>
        <w:ind w:left="705" w:right="168" w:hanging="541"/>
      </w:pPr>
      <w:bookmarkStart w:name="_bookmark1069" w:id="1071"/>
      <w:bookmarkEnd w:id="1071"/>
      <w:r>
        <w:rPr/>
      </w:r>
      <w:hyperlink w:history="true" w:anchor="_bookmark1039">
        <w:r>
          <w:rPr>
            <w:color w:val="005DA1"/>
            <w:spacing w:val="-4"/>
            <w:position w:val="5"/>
            <w:sz w:val="14"/>
            <w:u w:val="single" w:color="005DA1"/>
          </w:rPr>
          <w:t>551</w:t>
        </w:r>
      </w:hyperlink>
      <w:r>
        <w:rPr>
          <w:spacing w:val="-4"/>
          <w:position w:val="5"/>
          <w:sz w:val="14"/>
        </w:rPr>
        <w:t>.</w:t>
      </w:r>
      <w:r>
        <w:rPr>
          <w:position w:val="5"/>
          <w:sz w:val="14"/>
        </w:rPr>
        <w:tab/>
      </w:r>
      <w:r>
        <w:rPr/>
        <w:t>The text will be concerned only with the effect of the general rules stated in this paragraph. It</w:t>
      </w:r>
      <w:r>
        <w:rPr>
          <w:spacing w:val="80"/>
        </w:rPr>
        <w:t> </w:t>
      </w:r>
      <w:r>
        <w:rPr/>
        <w:t>will not deal with the exceptional cases referred to in nn.532, 536, 538 and 539 above.</w:t>
      </w:r>
    </w:p>
    <w:p>
      <w:pPr>
        <w:pStyle w:val="BodyText"/>
        <w:spacing w:before="9"/>
      </w:pPr>
    </w:p>
    <w:p>
      <w:pPr>
        <w:pStyle w:val="BodyText"/>
        <w:tabs>
          <w:tab w:pos="705" w:val="left" w:leader="none"/>
        </w:tabs>
        <w:spacing w:line="235" w:lineRule="auto"/>
        <w:ind w:left="705" w:right="168" w:hanging="541"/>
      </w:pPr>
      <w:bookmarkStart w:name="_bookmark1070" w:id="1072"/>
      <w:bookmarkEnd w:id="1072"/>
      <w:r>
        <w:rPr/>
      </w:r>
      <w:hyperlink w:history="true" w:anchor="_bookmark1040">
        <w:r>
          <w:rPr>
            <w:color w:val="005DA1"/>
            <w:spacing w:val="-4"/>
            <w:position w:val="5"/>
            <w:sz w:val="14"/>
            <w:u w:val="single" w:color="005DA1"/>
          </w:rPr>
          <w:t>552</w:t>
        </w:r>
      </w:hyperlink>
      <w:r>
        <w:rPr>
          <w:spacing w:val="-4"/>
          <w:position w:val="5"/>
          <w:sz w:val="14"/>
        </w:rPr>
        <w:t>.</w:t>
      </w:r>
      <w:r>
        <w:rPr>
          <w:position w:val="5"/>
          <w:sz w:val="14"/>
        </w:rPr>
        <w:tab/>
      </w:r>
      <w:r>
        <w:rPr/>
        <w:t>The</w:t>
      </w:r>
      <w:r>
        <w:rPr>
          <w:spacing w:val="65"/>
        </w:rPr>
        <w:t> </w:t>
      </w:r>
      <w:r>
        <w:rPr/>
        <w:t>company’s</w:t>
      </w:r>
      <w:r>
        <w:rPr>
          <w:spacing w:val="65"/>
        </w:rPr>
        <w:t> </w:t>
      </w:r>
      <w:r>
        <w:rPr/>
        <w:t>constitution</w:t>
      </w:r>
      <w:r>
        <w:rPr>
          <w:spacing w:val="65"/>
        </w:rPr>
        <w:t> </w:t>
      </w:r>
      <w:r>
        <w:rPr/>
        <w:t>includes</w:t>
      </w:r>
      <w:r>
        <w:rPr>
          <w:spacing w:val="65"/>
        </w:rPr>
        <w:t> </w:t>
      </w:r>
      <w:r>
        <w:rPr/>
        <w:t>its</w:t>
      </w:r>
      <w:r>
        <w:rPr>
          <w:spacing w:val="65"/>
        </w:rPr>
        <w:t> </w:t>
      </w:r>
      <w:r>
        <w:rPr/>
        <w:t>articles</w:t>
      </w:r>
      <w:r>
        <w:rPr>
          <w:spacing w:val="65"/>
        </w:rPr>
        <w:t> </w:t>
      </w:r>
      <w:r>
        <w:rPr/>
        <w:t>and</w:t>
      </w:r>
      <w:r>
        <w:rPr>
          <w:spacing w:val="65"/>
        </w:rPr>
        <w:t> </w:t>
      </w:r>
      <w:r>
        <w:rPr/>
        <w:t>any</w:t>
      </w:r>
      <w:r>
        <w:rPr>
          <w:spacing w:val="65"/>
        </w:rPr>
        <w:t> </w:t>
      </w:r>
      <w:r>
        <w:rPr/>
        <w:t>resolution</w:t>
      </w:r>
      <w:r>
        <w:rPr>
          <w:spacing w:val="65"/>
        </w:rPr>
        <w:t> </w:t>
      </w:r>
      <w:r>
        <w:rPr/>
        <w:t>amending</w:t>
      </w:r>
      <w:r>
        <w:rPr>
          <w:spacing w:val="65"/>
        </w:rPr>
        <w:t> </w:t>
      </w:r>
      <w:r>
        <w:rPr/>
        <w:t>them:</w:t>
      </w:r>
      <w:r>
        <w:rPr>
          <w:spacing w:val="65"/>
        </w:rPr>
        <w:t> </w:t>
      </w:r>
      <w:r>
        <w:rPr/>
        <w:t>see Companies Act 2006 ss.17, 29.</w:t>
      </w:r>
    </w:p>
    <w:p>
      <w:pPr>
        <w:pStyle w:val="BodyText"/>
        <w:spacing w:after="0" w:line="235" w:lineRule="auto"/>
        <w:sectPr>
          <w:pgSz w:w="11900" w:h="16840"/>
          <w:pgMar w:header="971" w:footer="0" w:top="1300" w:bottom="280" w:left="1275" w:right="1275"/>
        </w:sectPr>
      </w:pPr>
    </w:p>
    <w:p>
      <w:pPr>
        <w:pStyle w:val="BodyText"/>
        <w:tabs>
          <w:tab w:pos="705" w:val="left" w:leader="none"/>
        </w:tabs>
        <w:spacing w:before="166"/>
        <w:ind w:left="165"/>
      </w:pPr>
      <w:hyperlink w:history="true" w:anchor="_bookmark1041">
        <w:r>
          <w:rPr>
            <w:color w:val="005DA1"/>
            <w:spacing w:val="-4"/>
            <w:position w:val="5"/>
            <w:sz w:val="14"/>
            <w:u w:val="single" w:color="005DA1"/>
          </w:rPr>
          <w:t>553</w:t>
        </w:r>
      </w:hyperlink>
      <w:r>
        <w:rPr>
          <w:spacing w:val="-4"/>
          <w:position w:val="5"/>
          <w:sz w:val="14"/>
        </w:rPr>
        <w:t>.</w:t>
      </w:r>
      <w:r>
        <w:rPr>
          <w:position w:val="5"/>
          <w:sz w:val="14"/>
        </w:rPr>
        <w:tab/>
      </w:r>
      <w:r>
        <w:rPr/>
        <w:t>Companies Act 2006 s.31(4), as amended by Charities Act 2011 s.354 and Sch.7 </w:t>
      </w:r>
      <w:r>
        <w:rPr>
          <w:spacing w:val="-2"/>
        </w:rPr>
        <w:t>para.114.</w:t>
      </w:r>
    </w:p>
    <w:p>
      <w:pPr>
        <w:pStyle w:val="BodyText"/>
        <w:spacing w:before="5"/>
      </w:pPr>
    </w:p>
    <w:p>
      <w:pPr>
        <w:pStyle w:val="BodyText"/>
        <w:tabs>
          <w:tab w:pos="705" w:val="left" w:leader="none"/>
        </w:tabs>
        <w:spacing w:before="1"/>
        <w:ind w:left="165"/>
      </w:pPr>
      <w:bookmarkStart w:name="_bookmark1071" w:id="1073"/>
      <w:bookmarkEnd w:id="1073"/>
      <w:r>
        <w:rPr/>
      </w:r>
      <w:hyperlink w:history="true" w:anchor="_bookmark1042">
        <w:r>
          <w:rPr>
            <w:color w:val="005DA1"/>
            <w:spacing w:val="-4"/>
            <w:position w:val="5"/>
            <w:sz w:val="14"/>
            <w:u w:val="single" w:color="005DA1"/>
          </w:rPr>
          <w:t>554</w:t>
        </w:r>
      </w:hyperlink>
      <w:r>
        <w:rPr>
          <w:spacing w:val="-4"/>
          <w:position w:val="5"/>
          <w:sz w:val="14"/>
        </w:rPr>
        <w:t>.</w:t>
      </w:r>
      <w:r>
        <w:rPr>
          <w:position w:val="5"/>
          <w:sz w:val="14"/>
        </w:rPr>
        <w:tab/>
      </w:r>
      <w:r>
        <w:rPr/>
        <w:t>Companies Act 2006 s.40(6), referring to ss.41 and </w:t>
      </w:r>
      <w:r>
        <w:rPr>
          <w:spacing w:val="-5"/>
        </w:rPr>
        <w:t>42.</w:t>
      </w:r>
    </w:p>
    <w:p>
      <w:pPr>
        <w:pStyle w:val="BodyText"/>
        <w:spacing w:before="4"/>
      </w:pPr>
    </w:p>
    <w:p>
      <w:pPr>
        <w:pStyle w:val="BodyText"/>
        <w:tabs>
          <w:tab w:pos="705" w:val="left" w:leader="none"/>
        </w:tabs>
        <w:spacing w:before="1"/>
        <w:ind w:left="165"/>
      </w:pPr>
      <w:bookmarkStart w:name="_bookmark1072" w:id="1074"/>
      <w:bookmarkEnd w:id="1074"/>
      <w:r>
        <w:rPr/>
      </w:r>
      <w:hyperlink w:history="true" w:anchor="_bookmark1043">
        <w:r>
          <w:rPr>
            <w:color w:val="005DA1"/>
            <w:spacing w:val="-4"/>
            <w:position w:val="5"/>
            <w:sz w:val="14"/>
            <w:u w:val="single" w:color="005DA1"/>
          </w:rPr>
          <w:t>555</w:t>
        </w:r>
      </w:hyperlink>
      <w:r>
        <w:rPr>
          <w:spacing w:val="-4"/>
          <w:position w:val="5"/>
          <w:sz w:val="14"/>
        </w:rPr>
        <w:t>.</w:t>
      </w:r>
      <w:r>
        <w:rPr>
          <w:position w:val="5"/>
          <w:sz w:val="14"/>
        </w:rPr>
        <w:tab/>
      </w:r>
      <w:r>
        <w:rPr/>
        <w:t>Companies Act 2006 </w:t>
      </w:r>
      <w:r>
        <w:rPr>
          <w:spacing w:val="-2"/>
        </w:rPr>
        <w:t>s.40(3)(a).</w:t>
      </w:r>
    </w:p>
    <w:p>
      <w:pPr>
        <w:pStyle w:val="BodyText"/>
        <w:spacing w:before="4"/>
      </w:pPr>
    </w:p>
    <w:p>
      <w:pPr>
        <w:pStyle w:val="BodyText"/>
        <w:tabs>
          <w:tab w:pos="705" w:val="left" w:leader="none"/>
        </w:tabs>
        <w:spacing w:before="1"/>
        <w:ind w:left="165"/>
      </w:pPr>
      <w:bookmarkStart w:name="_bookmark1073" w:id="1075"/>
      <w:bookmarkEnd w:id="1075"/>
      <w:r>
        <w:rPr/>
      </w:r>
      <w:hyperlink w:history="true" w:anchor="_bookmark1044">
        <w:r>
          <w:rPr>
            <w:color w:val="005DA1"/>
            <w:spacing w:val="-4"/>
            <w:position w:val="5"/>
            <w:sz w:val="14"/>
            <w:u w:val="single" w:color="005DA1"/>
          </w:rPr>
          <w:t>556</w:t>
        </w:r>
      </w:hyperlink>
      <w:r>
        <w:rPr>
          <w:spacing w:val="-4"/>
          <w:position w:val="5"/>
          <w:sz w:val="14"/>
        </w:rPr>
        <w:t>.</w:t>
      </w:r>
      <w:r>
        <w:rPr>
          <w:position w:val="5"/>
          <w:sz w:val="14"/>
        </w:rPr>
        <w:tab/>
      </w:r>
      <w:r>
        <w:rPr/>
        <w:t>Companies Act 2006 ss.17, </w:t>
      </w:r>
      <w:r>
        <w:rPr>
          <w:spacing w:val="-5"/>
        </w:rPr>
        <w:t>29.</w:t>
      </w:r>
    </w:p>
    <w:p>
      <w:pPr>
        <w:pStyle w:val="BodyText"/>
        <w:spacing w:before="4"/>
      </w:pPr>
    </w:p>
    <w:p>
      <w:pPr>
        <w:pStyle w:val="BodyText"/>
        <w:tabs>
          <w:tab w:pos="705" w:val="left" w:leader="none"/>
        </w:tabs>
        <w:spacing w:before="1"/>
        <w:ind w:left="165"/>
      </w:pPr>
      <w:bookmarkStart w:name="_bookmark1074" w:id="1076"/>
      <w:bookmarkEnd w:id="1076"/>
      <w:r>
        <w:rPr/>
      </w:r>
      <w:hyperlink w:history="true" w:anchor="_bookmark1045">
        <w:r>
          <w:rPr>
            <w:color w:val="005DA1"/>
            <w:spacing w:val="-4"/>
            <w:position w:val="5"/>
            <w:sz w:val="14"/>
            <w:u w:val="single" w:color="005DA1"/>
          </w:rPr>
          <w:t>557</w:t>
        </w:r>
      </w:hyperlink>
      <w:r>
        <w:rPr>
          <w:spacing w:val="-4"/>
          <w:position w:val="5"/>
          <w:sz w:val="14"/>
        </w:rPr>
        <w:t>.</w:t>
      </w:r>
      <w:r>
        <w:rPr>
          <w:position w:val="5"/>
          <w:sz w:val="14"/>
        </w:rPr>
        <w:tab/>
      </w:r>
      <w:r>
        <w:rPr/>
        <w:t>Companies Act 2006 ss.17, </w:t>
      </w:r>
      <w:r>
        <w:rPr>
          <w:spacing w:val="-5"/>
        </w:rPr>
        <w:t>29.</w:t>
      </w:r>
    </w:p>
    <w:p>
      <w:pPr>
        <w:pStyle w:val="BodyText"/>
        <w:spacing w:before="4"/>
      </w:pPr>
    </w:p>
    <w:p>
      <w:pPr>
        <w:pStyle w:val="BodyText"/>
        <w:tabs>
          <w:tab w:pos="705" w:val="left" w:leader="none"/>
        </w:tabs>
        <w:spacing w:before="1"/>
        <w:ind w:left="165"/>
      </w:pPr>
      <w:bookmarkStart w:name="_bookmark1075" w:id="1077"/>
      <w:bookmarkEnd w:id="1077"/>
      <w:r>
        <w:rPr/>
      </w:r>
      <w:hyperlink w:history="true" w:anchor="_bookmark1046">
        <w:r>
          <w:rPr>
            <w:color w:val="005DA1"/>
            <w:spacing w:val="-4"/>
            <w:position w:val="5"/>
            <w:sz w:val="14"/>
            <w:u w:val="single" w:color="005DA1"/>
          </w:rPr>
          <w:t>558</w:t>
        </w:r>
      </w:hyperlink>
      <w:r>
        <w:rPr>
          <w:spacing w:val="-4"/>
          <w:position w:val="5"/>
          <w:sz w:val="14"/>
        </w:rPr>
        <w:t>.</w:t>
      </w:r>
      <w:r>
        <w:rPr>
          <w:position w:val="5"/>
          <w:sz w:val="14"/>
        </w:rPr>
        <w:tab/>
      </w:r>
      <w:r>
        <w:rPr/>
        <w:t>See</w:t>
      </w:r>
      <w:r>
        <w:rPr>
          <w:spacing w:val="-2"/>
        </w:rPr>
        <w:t> </w:t>
      </w:r>
      <w:r>
        <w:rPr/>
        <w:t>above, para.2-</w:t>
      </w:r>
      <w:r>
        <w:rPr>
          <w:spacing w:val="-4"/>
        </w:rPr>
        <w:t>093.</w:t>
      </w:r>
    </w:p>
    <w:p>
      <w:pPr>
        <w:pStyle w:val="BodyText"/>
        <w:spacing w:before="5"/>
      </w:pPr>
    </w:p>
    <w:p>
      <w:pPr>
        <w:pStyle w:val="BodyText"/>
        <w:tabs>
          <w:tab w:pos="705" w:val="left" w:leader="none"/>
        </w:tabs>
        <w:ind w:left="165"/>
      </w:pPr>
      <w:bookmarkStart w:name="_bookmark1076" w:id="1078"/>
      <w:bookmarkEnd w:id="1078"/>
      <w:r>
        <w:rPr/>
      </w:r>
      <w:hyperlink w:history="true" w:anchor="_bookmark1047">
        <w:r>
          <w:rPr>
            <w:color w:val="005DA1"/>
            <w:spacing w:val="-4"/>
            <w:position w:val="5"/>
            <w:sz w:val="14"/>
            <w:u w:val="single" w:color="005DA1"/>
          </w:rPr>
          <w:t>559</w:t>
        </w:r>
      </w:hyperlink>
      <w:r>
        <w:rPr>
          <w:spacing w:val="-4"/>
          <w:position w:val="5"/>
          <w:sz w:val="14"/>
        </w:rPr>
        <w:t>.</w:t>
      </w:r>
      <w:r>
        <w:rPr>
          <w:position w:val="5"/>
          <w:sz w:val="14"/>
        </w:rPr>
        <w:tab/>
      </w:r>
      <w:r>
        <w:rPr/>
        <w:t>For the nature of legally enforceable options, see below, para.4-193 </w:t>
      </w:r>
      <w:r>
        <w:rPr>
          <w:spacing w:val="-2"/>
        </w:rPr>
        <w:t>n.1234.</w:t>
      </w:r>
    </w:p>
    <w:p>
      <w:pPr>
        <w:pStyle w:val="BodyText"/>
        <w:spacing w:before="5"/>
      </w:pPr>
    </w:p>
    <w:p>
      <w:pPr>
        <w:pStyle w:val="BodyText"/>
        <w:tabs>
          <w:tab w:pos="705" w:val="left" w:leader="none"/>
        </w:tabs>
        <w:ind w:left="165"/>
      </w:pPr>
      <w:bookmarkStart w:name="_bookmark1077" w:id="1079"/>
      <w:bookmarkEnd w:id="1079"/>
      <w:r>
        <w:rPr/>
      </w:r>
      <w:hyperlink w:history="true" w:anchor="_bookmark1048">
        <w:r>
          <w:rPr>
            <w:color w:val="005DA1"/>
            <w:spacing w:val="-4"/>
            <w:position w:val="5"/>
            <w:sz w:val="14"/>
            <w:u w:val="single" w:color="005DA1"/>
          </w:rPr>
          <w:t>560</w:t>
        </w:r>
      </w:hyperlink>
      <w:r>
        <w:rPr>
          <w:spacing w:val="-4"/>
          <w:position w:val="5"/>
          <w:sz w:val="14"/>
        </w:rPr>
        <w:t>.</w:t>
      </w:r>
      <w:r>
        <w:rPr>
          <w:position w:val="5"/>
          <w:sz w:val="14"/>
        </w:rPr>
        <w:tab/>
      </w:r>
      <w:r>
        <w:rPr/>
        <w:t>Companies Act 2006 </w:t>
      </w:r>
      <w:r>
        <w:rPr>
          <w:spacing w:val="-2"/>
        </w:rPr>
        <w:t>s.40(4).</w:t>
      </w:r>
    </w:p>
    <w:p>
      <w:pPr>
        <w:pStyle w:val="BodyText"/>
        <w:spacing w:before="8"/>
      </w:pPr>
    </w:p>
    <w:p>
      <w:pPr>
        <w:pStyle w:val="BodyText"/>
        <w:tabs>
          <w:tab w:pos="705" w:val="left" w:leader="none"/>
        </w:tabs>
        <w:spacing w:line="235" w:lineRule="auto" w:before="1"/>
        <w:ind w:left="705" w:right="168" w:hanging="541"/>
      </w:pPr>
      <w:bookmarkStart w:name="_bookmark1078" w:id="1080"/>
      <w:bookmarkEnd w:id="1080"/>
      <w:r>
        <w:rPr/>
      </w:r>
      <w:hyperlink w:history="true" w:anchor="_bookmark1049">
        <w:r>
          <w:rPr>
            <w:color w:val="005DA1"/>
            <w:spacing w:val="-4"/>
            <w:position w:val="5"/>
            <w:sz w:val="14"/>
            <w:u w:val="single" w:color="005DA1"/>
          </w:rPr>
          <w:t>561</w:t>
        </w:r>
      </w:hyperlink>
      <w:r>
        <w:rPr>
          <w:spacing w:val="-4"/>
          <w:position w:val="5"/>
          <w:sz w:val="14"/>
        </w:rPr>
        <w:t>.</w:t>
      </w:r>
      <w:r>
        <w:rPr>
          <w:position w:val="5"/>
          <w:sz w:val="14"/>
        </w:rPr>
        <w:tab/>
      </w:r>
      <w:r>
        <w:rPr/>
        <w:t>i.e. apart from s.39(1); no doubt in a case </w:t>
      </w:r>
      <w:r>
        <w:rPr>
          <w:rFonts w:ascii="Arial"/>
          <w:i/>
        </w:rPr>
        <w:t>within </w:t>
      </w:r>
      <w:r>
        <w:rPr/>
        <w:t>s.39(1), the contract could be enforced by </w:t>
      </w:r>
      <w:r>
        <w:rPr/>
        <w:t>the </w:t>
      </w:r>
      <w:r>
        <w:rPr>
          <w:spacing w:val="-2"/>
        </w:rPr>
        <w:t>company.</w:t>
      </w:r>
    </w:p>
    <w:p>
      <w:pPr>
        <w:pStyle w:val="BodyText"/>
        <w:spacing w:before="5"/>
      </w:pPr>
    </w:p>
    <w:p>
      <w:pPr>
        <w:pStyle w:val="BodyText"/>
        <w:tabs>
          <w:tab w:pos="705" w:val="left" w:leader="none"/>
        </w:tabs>
        <w:ind w:left="165"/>
      </w:pPr>
      <w:bookmarkStart w:name="_bookmark1079" w:id="1081"/>
      <w:bookmarkEnd w:id="1081"/>
      <w:r>
        <w:rPr/>
      </w:r>
      <w:hyperlink w:history="true" w:anchor="_bookmark1050">
        <w:r>
          <w:rPr>
            <w:color w:val="005DA1"/>
            <w:spacing w:val="-4"/>
            <w:position w:val="5"/>
            <w:sz w:val="14"/>
            <w:u w:val="single" w:color="005DA1"/>
          </w:rPr>
          <w:t>562</w:t>
        </w:r>
      </w:hyperlink>
      <w:r>
        <w:rPr>
          <w:spacing w:val="-4"/>
          <w:position w:val="5"/>
          <w:sz w:val="14"/>
        </w:rPr>
        <w:t>.</w:t>
      </w:r>
      <w:r>
        <w:rPr>
          <w:position w:val="5"/>
          <w:sz w:val="14"/>
        </w:rPr>
        <w:tab/>
      </w:r>
      <w:r>
        <w:rPr/>
        <w:t>See</w:t>
      </w:r>
      <w:r>
        <w:rPr>
          <w:spacing w:val="-2"/>
        </w:rPr>
        <w:t> </w:t>
      </w:r>
      <w:r>
        <w:rPr/>
        <w:t>below, para.10-</w:t>
      </w:r>
      <w:r>
        <w:rPr>
          <w:spacing w:val="-4"/>
        </w:rPr>
        <w:t>021.</w:t>
      </w:r>
    </w:p>
    <w:p>
      <w:pPr>
        <w:pStyle w:val="BodyText"/>
        <w:spacing w:before="9"/>
      </w:pPr>
    </w:p>
    <w:p>
      <w:pPr>
        <w:pStyle w:val="BodyText"/>
        <w:tabs>
          <w:tab w:pos="705" w:val="left" w:leader="none"/>
        </w:tabs>
        <w:spacing w:line="235" w:lineRule="auto"/>
        <w:ind w:left="705" w:right="168" w:hanging="541"/>
      </w:pPr>
      <w:bookmarkStart w:name="_bookmark1080" w:id="1082"/>
      <w:bookmarkEnd w:id="1082"/>
      <w:r>
        <w:rPr/>
      </w:r>
      <w:hyperlink w:history="true" w:anchor="_bookmark1051">
        <w:r>
          <w:rPr>
            <w:color w:val="005DA1"/>
            <w:spacing w:val="-4"/>
            <w:position w:val="5"/>
            <w:sz w:val="14"/>
            <w:u w:val="single" w:color="005DA1"/>
          </w:rPr>
          <w:t>563</w:t>
        </w:r>
      </w:hyperlink>
      <w:r>
        <w:rPr>
          <w:spacing w:val="-4"/>
          <w:position w:val="5"/>
          <w:sz w:val="14"/>
        </w:rPr>
        <w:t>.</w:t>
      </w:r>
      <w:r>
        <w:rPr>
          <w:position w:val="5"/>
          <w:sz w:val="14"/>
        </w:rPr>
        <w:tab/>
      </w:r>
      <w:r>
        <w:rPr/>
        <w:t>For a discussion of policy considerations which should govern the outcome in such cases, see Treitel, </w:t>
      </w:r>
      <w:r>
        <w:rPr>
          <w:rFonts w:ascii="Arial" w:hAnsi="Arial"/>
          <w:i/>
        </w:rPr>
        <w:t>The Law of Contract </w:t>
      </w:r>
      <w:r>
        <w:rPr/>
        <w:t>13th edn (2011), para.12–080.</w:t>
      </w:r>
    </w:p>
    <w:p>
      <w:pPr>
        <w:pStyle w:val="BodyText"/>
        <w:spacing w:before="9"/>
      </w:pPr>
    </w:p>
    <w:p>
      <w:pPr>
        <w:pStyle w:val="BodyText"/>
        <w:tabs>
          <w:tab w:pos="705" w:val="left" w:leader="none"/>
        </w:tabs>
        <w:spacing w:line="235" w:lineRule="auto"/>
        <w:ind w:left="705" w:right="168" w:hanging="541"/>
      </w:pPr>
      <w:bookmarkStart w:name="_bookmark1081" w:id="1083"/>
      <w:bookmarkEnd w:id="1083"/>
      <w:r>
        <w:rPr/>
      </w:r>
      <w:hyperlink w:history="true" w:anchor="_bookmark1052">
        <w:r>
          <w:rPr>
            <w:color w:val="005DA1"/>
            <w:spacing w:val="-4"/>
            <w:position w:val="5"/>
            <w:sz w:val="14"/>
            <w:u w:val="single" w:color="005DA1"/>
          </w:rPr>
          <w:t>564</w:t>
        </w:r>
      </w:hyperlink>
      <w:r>
        <w:rPr>
          <w:spacing w:val="-4"/>
          <w:position w:val="5"/>
          <w:sz w:val="14"/>
        </w:rPr>
        <w:t>.</w:t>
      </w:r>
      <w:r>
        <w:rPr>
          <w:position w:val="5"/>
          <w:sz w:val="14"/>
        </w:rPr>
        <w:tab/>
      </w:r>
      <w:r>
        <w:rPr/>
        <w:t>Below,</w:t>
      </w:r>
      <w:r>
        <w:rPr>
          <w:spacing w:val="22"/>
        </w:rPr>
        <w:t> </w:t>
      </w:r>
      <w:r>
        <w:rPr/>
        <w:t>para.10-004;</w:t>
      </w:r>
      <w:r>
        <w:rPr>
          <w:spacing w:val="22"/>
        </w:rPr>
        <w:t> </w:t>
      </w:r>
      <w:r>
        <w:rPr/>
        <w:t>but</w:t>
      </w:r>
      <w:r>
        <w:rPr>
          <w:spacing w:val="22"/>
        </w:rPr>
        <w:t> </w:t>
      </w:r>
      <w:r>
        <w:rPr/>
        <w:t>a</w:t>
      </w:r>
      <w:r>
        <w:rPr>
          <w:spacing w:val="22"/>
        </w:rPr>
        <w:t> </w:t>
      </w:r>
      <w:r>
        <w:rPr/>
        <w:t>member</w:t>
      </w:r>
      <w:r>
        <w:rPr>
          <w:spacing w:val="22"/>
        </w:rPr>
        <w:t> </w:t>
      </w:r>
      <w:r>
        <w:rPr/>
        <w:t>of</w:t>
      </w:r>
      <w:r>
        <w:rPr>
          <w:spacing w:val="22"/>
        </w:rPr>
        <w:t> </w:t>
      </w:r>
      <w:r>
        <w:rPr/>
        <w:t>the</w:t>
      </w:r>
      <w:r>
        <w:rPr>
          <w:spacing w:val="22"/>
        </w:rPr>
        <w:t> </w:t>
      </w:r>
      <w:r>
        <w:rPr/>
        <w:t>corporation</w:t>
      </w:r>
      <w:r>
        <w:rPr>
          <w:spacing w:val="22"/>
        </w:rPr>
        <w:t> </w:t>
      </w:r>
      <w:r>
        <w:rPr/>
        <w:t>could</w:t>
      </w:r>
      <w:r>
        <w:rPr>
          <w:spacing w:val="22"/>
        </w:rPr>
        <w:t> </w:t>
      </w:r>
      <w:r>
        <w:rPr/>
        <w:t>bring</w:t>
      </w:r>
      <w:r>
        <w:rPr>
          <w:spacing w:val="22"/>
        </w:rPr>
        <w:t> </w:t>
      </w:r>
      <w:r>
        <w:rPr/>
        <w:t>proceedings</w:t>
      </w:r>
      <w:r>
        <w:rPr>
          <w:spacing w:val="22"/>
        </w:rPr>
        <w:t> </w:t>
      </w:r>
      <w:r>
        <w:rPr/>
        <w:t>to</w:t>
      </w:r>
      <w:r>
        <w:rPr>
          <w:spacing w:val="22"/>
        </w:rPr>
        <w:t> </w:t>
      </w:r>
      <w:r>
        <w:rPr/>
        <w:t>restrain</w:t>
      </w:r>
      <w:r>
        <w:rPr>
          <w:spacing w:val="22"/>
        </w:rPr>
        <w:t> </w:t>
      </w:r>
      <w:r>
        <w:rPr/>
        <w:t>the conclusion of the contract.</w:t>
      </w:r>
    </w:p>
    <w:p>
      <w:pPr>
        <w:pStyle w:val="BodyText"/>
        <w:spacing w:before="9"/>
      </w:pPr>
    </w:p>
    <w:p>
      <w:pPr>
        <w:pStyle w:val="BodyText"/>
        <w:tabs>
          <w:tab w:pos="705" w:val="left" w:leader="none"/>
        </w:tabs>
        <w:spacing w:line="235" w:lineRule="auto"/>
        <w:ind w:left="705" w:right="168" w:hanging="541"/>
      </w:pPr>
      <w:bookmarkStart w:name="_bookmark1082" w:id="1084"/>
      <w:bookmarkEnd w:id="1084"/>
      <w:r>
        <w:rPr/>
      </w:r>
      <w:hyperlink w:history="true" w:anchor="_bookmark1053">
        <w:r>
          <w:rPr>
            <w:color w:val="005DA1"/>
            <w:spacing w:val="-4"/>
            <w:position w:val="5"/>
            <w:sz w:val="14"/>
            <w:u w:val="single" w:color="005DA1"/>
          </w:rPr>
          <w:t>565</w:t>
        </w:r>
      </w:hyperlink>
      <w:r>
        <w:rPr>
          <w:spacing w:val="-4"/>
          <w:position w:val="5"/>
          <w:sz w:val="14"/>
        </w:rPr>
        <w:t>.</w:t>
      </w:r>
      <w:r>
        <w:rPr>
          <w:position w:val="5"/>
          <w:sz w:val="14"/>
        </w:rPr>
        <w:tab/>
      </w:r>
      <w:r>
        <w:rPr/>
        <w:t>Subject</w:t>
      </w:r>
      <w:r>
        <w:rPr>
          <w:spacing w:val="29"/>
        </w:rPr>
        <w:t> </w:t>
      </w:r>
      <w:r>
        <w:rPr/>
        <w:t>to</w:t>
      </w:r>
      <w:r>
        <w:rPr>
          <w:spacing w:val="29"/>
        </w:rPr>
        <w:t> </w:t>
      </w:r>
      <w:r>
        <w:rPr/>
        <w:t>mitigations</w:t>
      </w:r>
      <w:r>
        <w:rPr>
          <w:spacing w:val="29"/>
        </w:rPr>
        <w:t> </w:t>
      </w:r>
      <w:r>
        <w:rPr/>
        <w:t>provided</w:t>
      </w:r>
      <w:r>
        <w:rPr>
          <w:spacing w:val="29"/>
        </w:rPr>
        <w:t> </w:t>
      </w:r>
      <w:r>
        <w:rPr/>
        <w:t>for,</w:t>
      </w:r>
      <w:r>
        <w:rPr>
          <w:spacing w:val="29"/>
        </w:rPr>
        <w:t> </w:t>
      </w:r>
      <w:r>
        <w:rPr/>
        <w:t>in</w:t>
      </w:r>
      <w:r>
        <w:rPr>
          <w:spacing w:val="29"/>
        </w:rPr>
        <w:t> </w:t>
      </w:r>
      <w:r>
        <w:rPr/>
        <w:t>the</w:t>
      </w:r>
      <w:r>
        <w:rPr>
          <w:spacing w:val="29"/>
        </w:rPr>
        <w:t> </w:t>
      </w:r>
      <w:r>
        <w:rPr/>
        <w:t>case</w:t>
      </w:r>
      <w:r>
        <w:rPr>
          <w:spacing w:val="29"/>
        </w:rPr>
        <w:t> </w:t>
      </w:r>
      <w:r>
        <w:rPr/>
        <w:t>of</w:t>
      </w:r>
      <w:r>
        <w:rPr>
          <w:spacing w:val="29"/>
        </w:rPr>
        <w:t> </w:t>
      </w:r>
      <w:r>
        <w:rPr/>
        <w:t>contracts</w:t>
      </w:r>
      <w:r>
        <w:rPr>
          <w:spacing w:val="29"/>
        </w:rPr>
        <w:t> </w:t>
      </w:r>
      <w:r>
        <w:rPr/>
        <w:t>with</w:t>
      </w:r>
      <w:r>
        <w:rPr>
          <w:spacing w:val="29"/>
        </w:rPr>
        <w:t> </w:t>
      </w:r>
      <w:r>
        <w:rPr/>
        <w:t>“local</w:t>
      </w:r>
      <w:r>
        <w:rPr>
          <w:spacing w:val="29"/>
        </w:rPr>
        <w:t> </w:t>
      </w:r>
      <w:r>
        <w:rPr/>
        <w:t>authorities”,</w:t>
      </w:r>
      <w:r>
        <w:rPr>
          <w:spacing w:val="29"/>
        </w:rPr>
        <w:t> </w:t>
      </w:r>
      <w:r>
        <w:rPr/>
        <w:t>by</w:t>
      </w:r>
      <w:r>
        <w:rPr>
          <w:spacing w:val="29"/>
        </w:rPr>
        <w:t> </w:t>
      </w:r>
      <w:r>
        <w:rPr/>
        <w:t>Local Government Contracts Act 1996.</w:t>
      </w:r>
    </w:p>
    <w:p>
      <w:pPr>
        <w:pStyle w:val="BodyText"/>
        <w:spacing w:before="6"/>
      </w:pPr>
    </w:p>
    <w:p>
      <w:pPr>
        <w:pStyle w:val="BodyText"/>
        <w:tabs>
          <w:tab w:pos="705" w:val="left" w:leader="none"/>
        </w:tabs>
        <w:ind w:left="165"/>
      </w:pPr>
      <w:bookmarkStart w:name="_bookmark1083" w:id="1085"/>
      <w:bookmarkEnd w:id="1085"/>
      <w:r>
        <w:rPr/>
      </w:r>
      <w:hyperlink w:history="true" w:anchor="_bookmark1054">
        <w:r>
          <w:rPr>
            <w:color w:val="005DA1"/>
            <w:spacing w:val="-4"/>
            <w:position w:val="5"/>
            <w:sz w:val="14"/>
            <w:u w:val="single" w:color="005DA1"/>
          </w:rPr>
          <w:t>566</w:t>
        </w:r>
      </w:hyperlink>
      <w:r>
        <w:rPr>
          <w:spacing w:val="-4"/>
          <w:position w:val="5"/>
          <w:sz w:val="14"/>
        </w:rPr>
        <w:t>.</w:t>
      </w:r>
      <w:r>
        <w:rPr>
          <w:position w:val="5"/>
          <w:sz w:val="14"/>
        </w:rPr>
        <w:tab/>
      </w:r>
      <w:r>
        <w:rPr/>
        <w:t>See Limited Liability Partnerships Act 2000 ss.2 and </w:t>
      </w:r>
      <w:r>
        <w:rPr>
          <w:spacing w:val="-5"/>
        </w:rPr>
        <w:t>3.</w:t>
      </w:r>
    </w:p>
    <w:p>
      <w:pPr>
        <w:pStyle w:val="BodyText"/>
        <w:spacing w:before="5"/>
      </w:pPr>
    </w:p>
    <w:p>
      <w:pPr>
        <w:pStyle w:val="BodyText"/>
        <w:tabs>
          <w:tab w:pos="705" w:val="left" w:leader="none"/>
        </w:tabs>
        <w:ind w:left="165"/>
      </w:pPr>
      <w:bookmarkStart w:name="_bookmark1084" w:id="1086"/>
      <w:bookmarkEnd w:id="1086"/>
      <w:r>
        <w:rPr/>
      </w:r>
      <w:hyperlink w:history="true" w:anchor="_bookmark1055">
        <w:r>
          <w:rPr>
            <w:color w:val="005DA1"/>
            <w:spacing w:val="-4"/>
            <w:position w:val="5"/>
            <w:sz w:val="14"/>
            <w:u w:val="single" w:color="005DA1"/>
          </w:rPr>
          <w:t>567</w:t>
        </w:r>
      </w:hyperlink>
      <w:r>
        <w:rPr>
          <w:spacing w:val="-4"/>
          <w:position w:val="5"/>
          <w:sz w:val="14"/>
        </w:rPr>
        <w:t>.</w:t>
      </w:r>
      <w:r>
        <w:rPr>
          <w:position w:val="5"/>
          <w:sz w:val="14"/>
        </w:rPr>
        <w:tab/>
      </w:r>
      <w:r>
        <w:rPr/>
        <w:t>Limited Liability Partnerships Act 2000 </w:t>
      </w:r>
      <w:r>
        <w:rPr>
          <w:spacing w:val="-2"/>
        </w:rPr>
        <w:t>s.1(2).</w:t>
      </w:r>
    </w:p>
    <w:p>
      <w:pPr>
        <w:pStyle w:val="BodyText"/>
        <w:spacing w:before="5"/>
      </w:pPr>
    </w:p>
    <w:p>
      <w:pPr>
        <w:pStyle w:val="BodyText"/>
        <w:tabs>
          <w:tab w:pos="705" w:val="left" w:leader="none"/>
        </w:tabs>
        <w:ind w:left="165"/>
      </w:pPr>
      <w:bookmarkStart w:name="_bookmark1085" w:id="1087"/>
      <w:bookmarkEnd w:id="1087"/>
      <w:r>
        <w:rPr/>
      </w:r>
      <w:hyperlink w:history="true" w:anchor="_bookmark1056">
        <w:r>
          <w:rPr>
            <w:color w:val="005DA1"/>
            <w:spacing w:val="-4"/>
            <w:position w:val="5"/>
            <w:sz w:val="14"/>
            <w:u w:val="single" w:color="005DA1"/>
          </w:rPr>
          <w:t>568</w:t>
        </w:r>
      </w:hyperlink>
      <w:r>
        <w:rPr>
          <w:spacing w:val="-4"/>
          <w:position w:val="5"/>
          <w:sz w:val="14"/>
        </w:rPr>
        <w:t>.</w:t>
      </w:r>
      <w:r>
        <w:rPr>
          <w:position w:val="5"/>
          <w:sz w:val="14"/>
        </w:rPr>
        <w:tab/>
      </w:r>
      <w:r>
        <w:rPr/>
        <w:t>Limited Liability Partnerships Act 2000 </w:t>
      </w:r>
      <w:r>
        <w:rPr>
          <w:spacing w:val="-2"/>
        </w:rPr>
        <w:t>s.1(3).</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 Section 5. - Special Cases</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Difficulty of offer and acceptance analysis in certain </w:t>
      </w:r>
      <w:r>
        <w:rPr>
          <w:rFonts w:ascii="Arial"/>
          <w:b/>
          <w:spacing w:val="-2"/>
          <w:sz w:val="18"/>
        </w:rPr>
        <w:t>cases</w:t>
      </w:r>
    </w:p>
    <w:p>
      <w:pPr>
        <w:pStyle w:val="BodyText"/>
        <w:spacing w:before="41"/>
        <w:rPr>
          <w:rFonts w:ascii="Arial"/>
          <w:b/>
          <w:sz w:val="18"/>
        </w:rPr>
      </w:pPr>
    </w:p>
    <w:p>
      <w:pPr>
        <w:pStyle w:val="Heading2"/>
      </w:pPr>
      <w:r>
        <w:rPr/>
        <w:t>2-</w:t>
      </w:r>
      <w:r>
        <w:rPr>
          <w:spacing w:val="-5"/>
        </w:rPr>
        <w:t>117</w:t>
      </w:r>
    </w:p>
    <w:p>
      <w:pPr>
        <w:pStyle w:val="BodyText"/>
        <w:spacing w:line="235" w:lineRule="auto" w:before="203"/>
        <w:ind w:left="165" w:right="167"/>
        <w:jc w:val="both"/>
      </w:pPr>
      <w:bookmarkStart w:name="_bookmark1086" w:id="1088"/>
      <w:bookmarkEnd w:id="1088"/>
      <w:r>
        <w:rPr/>
      </w:r>
      <w:r>
        <w:rPr/>
        <w:t>The analysis of the process of reaching agreement into the elements of offer and acceptance </w:t>
      </w:r>
      <w:r>
        <w:rPr/>
        <w:t>gives rise, in a number of situations, </w:t>
      </w:r>
      <w:r>
        <w:rPr>
          <w:color w:val="005DA1"/>
          <w:u w:val="single" w:color="005DA1"/>
          <w:vertAlign w:val="superscript"/>
        </w:rPr>
        <w:t>569</w:t>
      </w:r>
      <w:r>
        <w:rPr>
          <w:color w:val="005DA1"/>
          <w:vertAlign w:val="baseline"/>
        </w:rPr>
        <w:t> </w:t>
      </w:r>
      <w:r>
        <w:rPr>
          <w:vertAlign w:val="baseline"/>
        </w:rPr>
        <w:t>to considerable difficulties.</w:t>
      </w:r>
    </w:p>
    <w:p>
      <w:pPr>
        <w:pStyle w:val="BodyText"/>
        <w:spacing w:before="208"/>
      </w:pPr>
    </w:p>
    <w:p>
      <w:pPr>
        <w:pStyle w:val="ListParagraph"/>
        <w:numPr>
          <w:ilvl w:val="0"/>
          <w:numId w:val="7"/>
        </w:numPr>
        <w:tabs>
          <w:tab w:pos="435" w:val="left" w:leader="none"/>
        </w:tabs>
        <w:spacing w:line="240" w:lineRule="auto" w:before="0" w:after="0"/>
        <w:ind w:left="435" w:right="0" w:hanging="270"/>
        <w:jc w:val="left"/>
        <w:rPr>
          <w:b/>
          <w:sz w:val="18"/>
        </w:rPr>
      </w:pPr>
      <w:r>
        <w:rPr>
          <w:b/>
          <w:sz w:val="18"/>
        </w:rPr>
        <w:t>Multilateral </w:t>
      </w:r>
      <w:r>
        <w:rPr>
          <w:b/>
          <w:spacing w:val="-2"/>
          <w:sz w:val="18"/>
        </w:rPr>
        <w:t>contracts</w:t>
      </w:r>
    </w:p>
    <w:p>
      <w:pPr>
        <w:pStyle w:val="BodyText"/>
        <w:spacing w:before="50"/>
        <w:rPr>
          <w:rFonts w:ascii="Arial"/>
          <w:b/>
          <w:sz w:val="18"/>
        </w:rPr>
      </w:pPr>
    </w:p>
    <w:p>
      <w:pPr>
        <w:pStyle w:val="BodyText"/>
        <w:spacing w:line="235" w:lineRule="auto"/>
        <w:ind w:left="165" w:right="167"/>
        <w:jc w:val="both"/>
      </w:pPr>
      <w:r>
        <w:rPr/>
        <w:t>One such situation arises where participants in a competition address their entries to the organiser. It is then hard to say whether a particular entry constitutes an offer or an acceptance (or both), or whether</w:t>
      </w:r>
      <w:r>
        <w:rPr>
          <w:spacing w:val="40"/>
        </w:rPr>
        <w:t> </w:t>
      </w:r>
      <w:r>
        <w:rPr/>
        <w:t>two</w:t>
      </w:r>
      <w:r>
        <w:rPr>
          <w:spacing w:val="40"/>
        </w:rPr>
        <w:t> </w:t>
      </w:r>
      <w:r>
        <w:rPr/>
        <w:t>entry</w:t>
      </w:r>
      <w:r>
        <w:rPr>
          <w:spacing w:val="40"/>
        </w:rPr>
        <w:t> </w:t>
      </w:r>
      <w:r>
        <w:rPr/>
        <w:t>forms</w:t>
      </w:r>
      <w:r>
        <w:rPr>
          <w:spacing w:val="40"/>
        </w:rPr>
        <w:t> </w:t>
      </w:r>
      <w:r>
        <w:rPr/>
        <w:t>put</w:t>
      </w:r>
      <w:r>
        <w:rPr>
          <w:spacing w:val="40"/>
        </w:rPr>
        <w:t> </w:t>
      </w:r>
      <w:r>
        <w:rPr/>
        <w:t>into</w:t>
      </w:r>
      <w:r>
        <w:rPr>
          <w:spacing w:val="40"/>
        </w:rPr>
        <w:t> </w:t>
      </w:r>
      <w:r>
        <w:rPr/>
        <w:t>the</w:t>
      </w:r>
      <w:r>
        <w:rPr>
          <w:spacing w:val="40"/>
        </w:rPr>
        <w:t> </w:t>
      </w:r>
      <w:r>
        <w:rPr/>
        <w:t>post</w:t>
      </w:r>
      <w:r>
        <w:rPr>
          <w:spacing w:val="40"/>
        </w:rPr>
        <w:t> </w:t>
      </w:r>
      <w:r>
        <w:rPr/>
        <w:t>by</w:t>
      </w:r>
      <w:r>
        <w:rPr>
          <w:spacing w:val="40"/>
        </w:rPr>
        <w:t> </w:t>
      </w:r>
      <w:r>
        <w:rPr/>
        <w:t>different</w:t>
      </w:r>
      <w:r>
        <w:rPr>
          <w:spacing w:val="40"/>
        </w:rPr>
        <w:t> </w:t>
      </w:r>
      <w:r>
        <w:rPr/>
        <w:t>competitors</w:t>
      </w:r>
      <w:r>
        <w:rPr>
          <w:spacing w:val="40"/>
        </w:rPr>
        <w:t> </w:t>
      </w:r>
      <w:r>
        <w:rPr/>
        <w:t>at</w:t>
      </w:r>
      <w:r>
        <w:rPr>
          <w:spacing w:val="40"/>
        </w:rPr>
        <w:t> </w:t>
      </w:r>
      <w:r>
        <w:rPr/>
        <w:t>the</w:t>
      </w:r>
      <w:r>
        <w:rPr>
          <w:spacing w:val="40"/>
        </w:rPr>
        <w:t> </w:t>
      </w:r>
      <w:r>
        <w:rPr/>
        <w:t>same</w:t>
      </w:r>
      <w:r>
        <w:rPr>
          <w:spacing w:val="40"/>
        </w:rPr>
        <w:t> </w:t>
      </w:r>
      <w:r>
        <w:rPr/>
        <w:t>time</w:t>
      </w:r>
      <w:r>
        <w:rPr>
          <w:spacing w:val="40"/>
        </w:rPr>
        <w:t> </w:t>
      </w:r>
      <w:r>
        <w:rPr/>
        <w:t>constituted </w:t>
      </w:r>
      <w:bookmarkStart w:name="_bookmark1087" w:id="1089"/>
      <w:bookmarkEnd w:id="1089"/>
      <w:r>
        <w:rPr/>
        <w:t>cross</w:t>
      </w:r>
      <w:r>
        <w:rPr/>
        <w:t>-offers. Yet in spite of such difficulties it has been held that the competitors enter into multilateral contracts binding each to the others to observe the rules of the competition. </w:t>
      </w:r>
      <w:r>
        <w:rPr>
          <w:color w:val="005DA1"/>
          <w:u w:val="single" w:color="005DA1"/>
          <w:vertAlign w:val="superscript"/>
        </w:rPr>
        <w:t>570</w:t>
      </w:r>
      <w:r>
        <w:rPr>
          <w:color w:val="005DA1"/>
          <w:vertAlign w:val="baseline"/>
        </w:rPr>
        <w:t> </w:t>
      </w:r>
      <w:r>
        <w:rPr>
          <w:vertAlign w:val="baseline"/>
        </w:rPr>
        <w:t>Similar reasoning </w:t>
      </w:r>
      <w:bookmarkStart w:name="_bookmark1088" w:id="1090"/>
      <w:bookmarkEnd w:id="1090"/>
      <w:r>
        <w:rPr>
          <w:vertAlign w:val="baseline"/>
        </w:rPr>
        <w:t>would</w:t>
      </w:r>
      <w:r>
        <w:rPr>
          <w:vertAlign w:val="baseline"/>
        </w:rPr>
        <w:t> seem to apply to the multilateral contract which governs the legal relations between </w:t>
      </w:r>
      <w:r>
        <w:rPr>
          <w:vertAlign w:val="baseline"/>
        </w:rPr>
        <w:t>members</w:t>
      </w:r>
      <w:r>
        <w:rPr>
          <w:spacing w:val="40"/>
          <w:vertAlign w:val="baseline"/>
        </w:rPr>
        <w:t> </w:t>
      </w:r>
      <w:r>
        <w:rPr>
          <w:vertAlign w:val="baseline"/>
        </w:rPr>
        <w:t>of an unincorporated association. </w:t>
      </w:r>
      <w:r>
        <w:rPr>
          <w:color w:val="005DA1"/>
          <w:u w:val="single" w:color="005DA1"/>
          <w:vertAlign w:val="superscript"/>
        </w:rPr>
        <w:t>571</w:t>
      </w:r>
      <w:r>
        <w:rPr>
          <w:color w:val="005DA1"/>
          <w:vertAlign w:val="baseline"/>
        </w:rPr>
        <w:t> </w:t>
      </w:r>
      <w:r>
        <w:rPr>
          <w:vertAlign w:val="baseline"/>
        </w:rPr>
        <w:t>Such decisions are based on the assumption that all the parties to the alleged multilateral contract were willing to agree to the same terms. Where one of the negotiating parties had refused to accept one of the terms of the proposed contract, no multilateral </w:t>
      </w:r>
      <w:bookmarkStart w:name="_bookmark1089" w:id="1091"/>
      <w:bookmarkEnd w:id="1091"/>
      <w:r>
        <w:rPr>
          <w:vertAlign w:val="baseline"/>
        </w:rPr>
        <w:t>contract</w:t>
      </w:r>
      <w:r>
        <w:rPr>
          <w:vertAlign w:val="baseline"/>
        </w:rPr>
        <w:t> would arise between that party and any of the others, unless the others agreed to be bound to that party on terms excluding the one rejected by him. </w:t>
      </w:r>
      <w:r>
        <w:rPr>
          <w:color w:val="005DA1"/>
          <w:u w:val="single" w:color="005DA1"/>
          <w:vertAlign w:val="superscript"/>
        </w:rPr>
        <w:t>572</w:t>
      </w:r>
    </w:p>
    <w:p>
      <w:pPr>
        <w:pStyle w:val="BodyText"/>
      </w:pPr>
    </w:p>
    <w:p>
      <w:pPr>
        <w:pStyle w:val="BodyText"/>
        <w:spacing w:before="34"/>
      </w:pPr>
    </w:p>
    <w:p>
      <w:pPr>
        <w:pStyle w:val="ListParagraph"/>
        <w:numPr>
          <w:ilvl w:val="0"/>
          <w:numId w:val="7"/>
        </w:numPr>
        <w:tabs>
          <w:tab w:pos="435" w:val="left" w:leader="none"/>
        </w:tabs>
        <w:spacing w:line="240" w:lineRule="auto" w:before="0" w:after="0"/>
        <w:ind w:left="435" w:right="0" w:hanging="270"/>
        <w:jc w:val="left"/>
        <w:rPr>
          <w:b/>
          <w:sz w:val="18"/>
        </w:rPr>
      </w:pPr>
      <w:r>
        <w:rPr>
          <w:b/>
          <w:sz w:val="18"/>
        </w:rPr>
        <w:t>Reference to third </w:t>
      </w:r>
      <w:r>
        <w:rPr>
          <w:b/>
          <w:spacing w:val="-2"/>
          <w:sz w:val="18"/>
        </w:rPr>
        <w:t>party</w:t>
      </w:r>
    </w:p>
    <w:p>
      <w:pPr>
        <w:pStyle w:val="BodyText"/>
        <w:spacing w:before="50"/>
        <w:rPr>
          <w:rFonts w:ascii="Arial"/>
          <w:b/>
          <w:sz w:val="18"/>
        </w:rPr>
      </w:pPr>
    </w:p>
    <w:p>
      <w:pPr>
        <w:pStyle w:val="BodyText"/>
        <w:spacing w:line="235" w:lineRule="auto"/>
        <w:ind w:left="165" w:right="167"/>
        <w:jc w:val="both"/>
      </w:pPr>
      <w:r>
        <w:rPr/>
        <w:t>It is, secondly, hard to apply the analysis of offer and acceptance where negotiations have </w:t>
      </w:r>
      <w:r>
        <w:rPr/>
        <w:t>reached </w:t>
      </w:r>
      <w:bookmarkStart w:name="_bookmark1090" w:id="1092"/>
      <w:bookmarkEnd w:id="1092"/>
      <w:r>
        <w:rPr/>
        <w:t>deadlock</w:t>
      </w:r>
      <w:r>
        <w:rPr/>
        <w:t> and the parties simultaneously agree to a solution proposed by a third party whom they</w:t>
      </w:r>
      <w:r>
        <w:rPr>
          <w:spacing w:val="40"/>
        </w:rPr>
        <w:t> </w:t>
      </w:r>
      <w:bookmarkStart w:name="_bookmark1091" w:id="1093"/>
      <w:bookmarkEnd w:id="1093"/>
      <w:r>
        <w:rPr/>
        <w:t>have</w:t>
      </w:r>
      <w:r>
        <w:rPr/>
        <w:t> asked to resolve their differences. </w:t>
      </w:r>
      <w:r>
        <w:rPr>
          <w:color w:val="005DA1"/>
          <w:u w:val="single" w:color="005DA1"/>
          <w:vertAlign w:val="superscript"/>
        </w:rPr>
        <w:t>573</w:t>
      </w:r>
      <w:r>
        <w:rPr>
          <w:color w:val="005DA1"/>
          <w:vertAlign w:val="baseline"/>
        </w:rPr>
        <w:t> </w:t>
      </w:r>
      <w:r>
        <w:rPr>
          <w:vertAlign w:val="baseline"/>
        </w:rPr>
        <w:t>The same is true where parties negotiate through a single broker acting for both parties who eventually obtains their consent to the same terms. </w:t>
      </w:r>
      <w:r>
        <w:rPr>
          <w:color w:val="005DA1"/>
          <w:u w:val="single" w:color="005DA1"/>
          <w:vertAlign w:val="superscript"/>
        </w:rPr>
        <w:t>574</w:t>
      </w:r>
    </w:p>
    <w:p>
      <w:pPr>
        <w:pStyle w:val="BodyText"/>
      </w:pPr>
    </w:p>
    <w:p>
      <w:pPr>
        <w:pStyle w:val="BodyText"/>
        <w:spacing w:before="37"/>
      </w:pPr>
    </w:p>
    <w:p>
      <w:pPr>
        <w:pStyle w:val="ListParagraph"/>
        <w:numPr>
          <w:ilvl w:val="0"/>
          <w:numId w:val="7"/>
        </w:numPr>
        <w:tabs>
          <w:tab w:pos="435" w:val="left" w:leader="none"/>
        </w:tabs>
        <w:spacing w:line="240" w:lineRule="auto" w:before="0" w:after="0"/>
        <w:ind w:left="435" w:right="0" w:hanging="270"/>
        <w:jc w:val="left"/>
        <w:rPr>
          <w:b/>
          <w:sz w:val="18"/>
        </w:rPr>
      </w:pPr>
      <w:r>
        <w:rPr>
          <w:b/>
          <w:sz w:val="18"/>
        </w:rPr>
        <w:t>Agreements subject to </w:t>
      </w:r>
      <w:r>
        <w:rPr>
          <w:b/>
          <w:spacing w:val="-2"/>
          <w:sz w:val="18"/>
        </w:rPr>
        <w:t>contract</w:t>
      </w:r>
    </w:p>
    <w:p>
      <w:pPr>
        <w:pStyle w:val="BodyText"/>
        <w:spacing w:before="50"/>
        <w:rPr>
          <w:rFonts w:ascii="Arial"/>
          <w:b/>
          <w:sz w:val="18"/>
        </w:rPr>
      </w:pPr>
    </w:p>
    <w:p>
      <w:pPr>
        <w:pStyle w:val="BodyText"/>
        <w:spacing w:line="235" w:lineRule="auto"/>
        <w:ind w:left="164" w:right="167"/>
        <w:jc w:val="both"/>
      </w:pPr>
      <w:r>
        <w:rPr/>
        <w:t>There is, thirdly, some difficulty, in applying the offer and acceptance analysis to transactions such </w:t>
      </w:r>
      <w:r>
        <w:rPr/>
        <w:t>as </w:t>
      </w:r>
      <w:bookmarkStart w:name="_bookmark1092" w:id="1094"/>
      <w:bookmarkEnd w:id="1094"/>
      <w:r>
        <w:rPr/>
        <w:t>sales</w:t>
      </w:r>
      <w:r>
        <w:rPr/>
        <w:t> of land where parties agree “subject to contract”, so that they are not bound until formal </w:t>
      </w:r>
      <w:bookmarkStart w:name="_bookmark1093" w:id="1095"/>
      <w:bookmarkEnd w:id="1095"/>
      <w:r>
        <w:rPr/>
        <w:t>contracts</w:t>
      </w:r>
      <w:r>
        <w:rPr/>
        <w:t> are exchanged. </w:t>
      </w:r>
      <w:r>
        <w:rPr>
          <w:color w:val="005DA1"/>
          <w:u w:val="single" w:color="005DA1"/>
          <w:vertAlign w:val="superscript"/>
        </w:rPr>
        <w:t>575</w:t>
      </w:r>
      <w:r>
        <w:rPr>
          <w:color w:val="005DA1"/>
          <w:vertAlign w:val="baseline"/>
        </w:rPr>
        <w:t> </w:t>
      </w:r>
      <w:r>
        <w:rPr>
          <w:vertAlign w:val="baseline"/>
        </w:rPr>
        <w:t>Strictly, an “offer” expressed to be “subject to contract” does not satisfy </w:t>
      </w:r>
      <w:bookmarkStart w:name="_bookmark1094" w:id="1096"/>
      <w:bookmarkEnd w:id="1096"/>
      <w:r>
        <w:rPr>
          <w:vertAlign w:val="baseline"/>
        </w:rPr>
        <w:t>the</w:t>
      </w:r>
      <w:r>
        <w:rPr>
          <w:vertAlign w:val="baseline"/>
        </w:rPr>
        <w:t> legal definition of an offer, </w:t>
      </w:r>
      <w:r>
        <w:rPr>
          <w:color w:val="005DA1"/>
          <w:u w:val="single" w:color="005DA1"/>
          <w:vertAlign w:val="superscript"/>
        </w:rPr>
        <w:t>576</w:t>
      </w:r>
      <w:r>
        <w:rPr>
          <w:color w:val="005DA1"/>
          <w:vertAlign w:val="baseline"/>
        </w:rPr>
        <w:t> </w:t>
      </w:r>
      <w:r>
        <w:rPr>
          <w:vertAlign w:val="baseline"/>
        </w:rPr>
        <w:t>since the person making such an “offer” has </w:t>
      </w:r>
      <w:r>
        <w:rPr>
          <w:rFonts w:ascii="Arial" w:hAnsi="Arial"/>
          <w:i/>
          <w:vertAlign w:val="baseline"/>
        </w:rPr>
        <w:t>no </w:t>
      </w:r>
      <w:r>
        <w:rPr>
          <w:vertAlign w:val="baseline"/>
        </w:rPr>
        <w:t>intention to be</w:t>
      </w:r>
      <w:r>
        <w:rPr>
          <w:spacing w:val="40"/>
          <w:vertAlign w:val="baseline"/>
        </w:rPr>
        <w:t> </w:t>
      </w:r>
      <w:r>
        <w:rPr>
          <w:vertAlign w:val="baseline"/>
        </w:rPr>
        <w:t>bound immediately on its acceptance. </w:t>
      </w:r>
      <w:r>
        <w:rPr>
          <w:color w:val="005DA1"/>
          <w:u w:val="single" w:color="005DA1"/>
          <w:vertAlign w:val="superscript"/>
        </w:rPr>
        <w:t>577</w:t>
      </w:r>
      <w:r>
        <w:rPr>
          <w:color w:val="005DA1"/>
          <w:vertAlign w:val="baseline"/>
        </w:rPr>
        <w:t> </w:t>
      </w:r>
      <w:r>
        <w:rPr>
          <w:vertAlign w:val="baseline"/>
        </w:rPr>
        <w:t>However, the </w:t>
      </w:r>
      <w:r>
        <w:rPr>
          <w:rFonts w:ascii="Arial" w:hAnsi="Arial"/>
          <w:i/>
          <w:vertAlign w:val="baseline"/>
        </w:rPr>
        <w:t>agreement </w:t>
      </w:r>
      <w:r>
        <w:rPr>
          <w:vertAlign w:val="baseline"/>
        </w:rPr>
        <w:t>is generally made by the usual, </w:t>
      </w:r>
      <w:bookmarkStart w:name="_bookmark1095" w:id="1097"/>
      <w:bookmarkEnd w:id="1097"/>
      <w:r>
        <w:rPr>
          <w:vertAlign w:val="baseline"/>
        </w:rPr>
        <w:t>process;</w:t>
      </w:r>
      <w:r>
        <w:rPr>
          <w:spacing w:val="-2"/>
          <w:vertAlign w:val="baseline"/>
        </w:rPr>
        <w:t> </w:t>
      </w:r>
      <w:r>
        <w:rPr>
          <w:vertAlign w:val="baseline"/>
        </w:rPr>
        <w:t>the</w:t>
      </w:r>
      <w:r>
        <w:rPr>
          <w:spacing w:val="-2"/>
          <w:vertAlign w:val="baseline"/>
        </w:rPr>
        <w:t> </w:t>
      </w:r>
      <w:r>
        <w:rPr>
          <w:vertAlign w:val="baseline"/>
        </w:rPr>
        <w:t>reason</w:t>
      </w:r>
      <w:r>
        <w:rPr>
          <w:spacing w:val="-2"/>
          <w:vertAlign w:val="baseline"/>
        </w:rPr>
        <w:t> </w:t>
      </w:r>
      <w:r>
        <w:rPr>
          <w:vertAlign w:val="baseline"/>
        </w:rPr>
        <w:t>why</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it</w:t>
      </w:r>
      <w:r>
        <w:rPr>
          <w:spacing w:val="-2"/>
          <w:vertAlign w:val="baseline"/>
        </w:rPr>
        <w:t> </w:t>
      </w:r>
      <w:r>
        <w:rPr>
          <w:vertAlign w:val="baseline"/>
        </w:rPr>
        <w:t>are</w:t>
      </w:r>
      <w:r>
        <w:rPr>
          <w:spacing w:val="-2"/>
          <w:vertAlign w:val="baseline"/>
        </w:rPr>
        <w:t> </w:t>
      </w:r>
      <w:r>
        <w:rPr>
          <w:vertAlign w:val="baseline"/>
        </w:rPr>
        <w:t>not</w:t>
      </w:r>
      <w:r>
        <w:rPr>
          <w:spacing w:val="-2"/>
          <w:vertAlign w:val="baseline"/>
        </w:rPr>
        <w:t> </w:t>
      </w:r>
      <w:r>
        <w:rPr>
          <w:vertAlign w:val="baseline"/>
        </w:rPr>
        <w:t>bound</w:t>
      </w:r>
      <w:r>
        <w:rPr>
          <w:spacing w:val="-2"/>
          <w:vertAlign w:val="baseline"/>
        </w:rPr>
        <w:t> </w:t>
      </w:r>
      <w:r>
        <w:rPr>
          <w:vertAlign w:val="baseline"/>
        </w:rPr>
        <w:t>until</w:t>
      </w:r>
      <w:r>
        <w:rPr>
          <w:spacing w:val="-2"/>
          <w:vertAlign w:val="baseline"/>
        </w:rPr>
        <w:t> </w:t>
      </w:r>
      <w:r>
        <w:rPr>
          <w:vertAlign w:val="baseline"/>
        </w:rPr>
        <w:t>they</w:t>
      </w:r>
      <w:r>
        <w:rPr>
          <w:spacing w:val="-2"/>
          <w:vertAlign w:val="baseline"/>
        </w:rPr>
        <w:t> </w:t>
      </w:r>
      <w:r>
        <w:rPr>
          <w:vertAlign w:val="baseline"/>
        </w:rPr>
        <w:t>exchange</w:t>
      </w:r>
      <w:r>
        <w:rPr>
          <w:spacing w:val="-2"/>
          <w:vertAlign w:val="baseline"/>
        </w:rPr>
        <w:t> </w:t>
      </w:r>
      <w:r>
        <w:rPr>
          <w:vertAlign w:val="baseline"/>
        </w:rPr>
        <w:t>formal</w:t>
      </w:r>
      <w:r>
        <w:rPr>
          <w:spacing w:val="-2"/>
          <w:vertAlign w:val="baseline"/>
        </w:rPr>
        <w:t> </w:t>
      </w:r>
      <w:r>
        <w:rPr>
          <w:vertAlign w:val="baseline"/>
        </w:rPr>
        <w:t>contracts</w:t>
      </w:r>
      <w:r>
        <w:rPr>
          <w:spacing w:val="-2"/>
          <w:vertAlign w:val="baseline"/>
        </w:rPr>
        <w:t> </w:t>
      </w:r>
      <w:r>
        <w:rPr>
          <w:vertAlign w:val="baseline"/>
        </w:rPr>
        <w:t>is</w:t>
      </w:r>
      <w:r>
        <w:rPr>
          <w:spacing w:val="-2"/>
          <w:vertAlign w:val="baseline"/>
        </w:rPr>
        <w:t> </w:t>
      </w:r>
      <w:r>
        <w:rPr>
          <w:vertAlign w:val="baseline"/>
        </w:rPr>
        <w:t>that</w:t>
      </w:r>
      <w:r>
        <w:rPr>
          <w:spacing w:val="-2"/>
          <w:vertAlign w:val="baseline"/>
        </w:rPr>
        <w:t> </w:t>
      </w:r>
      <w:r>
        <w:rPr>
          <w:vertAlign w:val="baseline"/>
        </w:rPr>
        <w:t>the </w:t>
      </w:r>
      <w:bookmarkStart w:name="_bookmark1096" w:id="1098"/>
      <w:bookmarkEnd w:id="1098"/>
      <w:r>
        <w:rPr>
          <w:vertAlign w:val="baseline"/>
        </w:rPr>
        <w:t>terms</w:t>
      </w:r>
      <w:r>
        <w:rPr>
          <w:vertAlign w:val="baseline"/>
        </w:rPr>
        <w:t> of the agreement negative, until then, the intention to enter into legal relations. </w:t>
      </w:r>
      <w:r>
        <w:rPr>
          <w:color w:val="005DA1"/>
          <w:u w:val="single" w:color="005DA1"/>
          <w:vertAlign w:val="superscript"/>
        </w:rPr>
        <w:t>578</w:t>
      </w:r>
      <w:r>
        <w:rPr>
          <w:color w:val="005DA1"/>
          <w:vertAlign w:val="baseline"/>
        </w:rPr>
        <w:t> </w:t>
      </w:r>
      <w:r>
        <w:rPr>
          <w:vertAlign w:val="baseline"/>
        </w:rPr>
        <w:t>Alternatively, a party could be regarded as making an offer when he submits a signed contract for exchange, </w:t>
      </w:r>
      <w:r>
        <w:rPr>
          <w:color w:val="005DA1"/>
          <w:u w:val="single" w:color="005DA1"/>
          <w:vertAlign w:val="superscript"/>
        </w:rPr>
        <w:t>579</w:t>
      </w:r>
      <w:r>
        <w:rPr>
          <w:color w:val="005DA1"/>
          <w:spacing w:val="40"/>
          <w:vertAlign w:val="baseline"/>
        </w:rPr>
        <w:t> </w:t>
      </w:r>
      <w:r>
        <w:rPr>
          <w:vertAlign w:val="baseline"/>
        </w:rPr>
        <w:t>and this would be accepted when the exchange took place.</w:t>
      </w:r>
    </w:p>
    <w:p>
      <w:pPr>
        <w:pStyle w:val="BodyText"/>
        <w:spacing w:before="78"/>
      </w:pPr>
    </w:p>
    <w:p>
      <w:pPr>
        <w:pStyle w:val="Heading2"/>
        <w:ind w:left="164"/>
      </w:pPr>
      <w:r>
        <w:rPr/>
        <w:t>2-</w:t>
      </w:r>
      <w:r>
        <w:rPr>
          <w:spacing w:val="-5"/>
        </w:rPr>
        <w:t>118</w:t>
      </w:r>
    </w:p>
    <w:p>
      <w:pPr>
        <w:pStyle w:val="Heading2"/>
        <w:spacing w:after="0"/>
        <w:sectPr>
          <w:headerReference w:type="default" r:id="rId24"/>
          <w:pgSz w:w="11900" w:h="16840"/>
          <w:pgMar w:header="971" w:footer="0" w:top="1300" w:bottom="280" w:left="1275" w:right="1275"/>
          <w:pgNumType w:start="1"/>
        </w:sectPr>
      </w:pPr>
    </w:p>
    <w:p>
      <w:pPr>
        <w:pStyle w:val="BodyText"/>
        <w:spacing w:before="100"/>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4" name="Image 84"/>
            <wp:cNvGraphicFramePr>
              <a:graphicFrameLocks/>
            </wp:cNvGraphicFramePr>
            <a:graphic>
              <a:graphicData uri="http://schemas.openxmlformats.org/drawingml/2006/picture">
                <pic:pic>
                  <pic:nvPicPr>
                    <pic:cNvPr id="84" name="Image 8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097" w:id="1099"/>
      <w:bookmarkEnd w:id="1099"/>
      <w:r>
        <w:rPr>
          <w:rFonts w:ascii="Times New Roman" w:hAnsi="Times New Roman"/>
          <w:spacing w:val="22"/>
        </w:rPr>
      </w:r>
      <w:r>
        <w:rPr/>
        <w:t>The difficulties described in para.2-117 above have given rise to the view that the analysis of the process of reaching agreement in terms of offer and acceptance is “out of date” </w:t>
      </w:r>
      <w:r>
        <w:rPr>
          <w:color w:val="005DA1"/>
          <w:u w:val="single" w:color="005DA1"/>
          <w:vertAlign w:val="superscript"/>
        </w:rPr>
        <w:t>580</w:t>
      </w:r>
      <w:r>
        <w:rPr>
          <w:color w:val="005DA1"/>
          <w:vertAlign w:val="baseline"/>
        </w:rPr>
        <w:t> </w:t>
      </w:r>
      <w:r>
        <w:rPr>
          <w:vertAlign w:val="baseline"/>
        </w:rPr>
        <w:t>and that “you </w:t>
      </w:r>
      <w:bookmarkStart w:name="_bookmark1098" w:id="1100"/>
      <w:bookmarkEnd w:id="1100"/>
      <w:r>
        <w:rPr>
          <w:vertAlign w:val="baseline"/>
        </w:rPr>
        <w:t>should</w:t>
      </w:r>
      <w:r>
        <w:rPr>
          <w:vertAlign w:val="baseline"/>
        </w:rPr>
        <w:t> look at the correspondence as a whole and at the conduct of the parties and see therefrom whether the parties have come to an agreement.” </w:t>
      </w:r>
      <w:r>
        <w:rPr>
          <w:color w:val="005DA1"/>
          <w:u w:val="single" w:color="005DA1"/>
          <w:vertAlign w:val="superscript"/>
        </w:rPr>
        <w:t>581</w:t>
      </w:r>
      <w:r>
        <w:rPr>
          <w:color w:val="005DA1"/>
          <w:vertAlign w:val="baseline"/>
        </w:rPr>
        <w:t> </w:t>
      </w:r>
      <w:r>
        <w:rPr>
          <w:vertAlign w:val="baseline"/>
        </w:rPr>
        <w:t>But such an outright rejection of the traditional </w:t>
      </w:r>
      <w:bookmarkStart w:name="_bookmark1099" w:id="1101"/>
      <w:bookmarkEnd w:id="1101"/>
      <w:r>
        <w:rPr>
          <w:vertAlign w:val="baseline"/>
        </w:rPr>
        <w:t>analysis</w:t>
      </w:r>
      <w:r>
        <w:rPr>
          <w:vertAlign w:val="baseline"/>
        </w:rPr>
        <w:t> is open to the objection that it provides too little guidance for the courts (or for the parties </w:t>
      </w:r>
      <w:r>
        <w:rPr>
          <w:vertAlign w:val="baseline"/>
        </w:rPr>
        <w:t>or </w:t>
      </w:r>
      <w:bookmarkStart w:name="_bookmark1100" w:id="1102"/>
      <w:bookmarkEnd w:id="1102"/>
      <w:r>
        <w:rPr>
          <w:vertAlign w:val="baseline"/>
        </w:rPr>
        <w:t>for</w:t>
      </w:r>
      <w:r>
        <w:rPr>
          <w:vertAlign w:val="baseline"/>
        </w:rPr>
        <w:t> their legal advisers) in determining whether an agreement has been reached. </w:t>
      </w:r>
      <w:r>
        <w:rPr>
          <w:color w:val="005DA1"/>
          <w:u w:val="single" w:color="005DA1"/>
          <w:vertAlign w:val="superscript"/>
        </w:rPr>
        <w:t>582</w:t>
      </w:r>
      <w:r>
        <w:rPr>
          <w:color w:val="005DA1"/>
          <w:vertAlign w:val="baseline"/>
        </w:rPr>
        <w:t> </w:t>
      </w:r>
      <w:r>
        <w:rPr>
          <w:vertAlign w:val="baseline"/>
        </w:rPr>
        <w:t>For this reason the cases described above are best regarded as exceptions </w:t>
      </w:r>
      <w:r>
        <w:rPr>
          <w:color w:val="005DA1"/>
          <w:u w:val="single" w:color="005DA1"/>
          <w:vertAlign w:val="superscript"/>
        </w:rPr>
        <w:t>583</w:t>
      </w:r>
      <w:r>
        <w:rPr>
          <w:color w:val="005DA1"/>
          <w:vertAlign w:val="baseline"/>
        </w:rPr>
        <w:t> </w:t>
      </w:r>
      <w:r>
        <w:rPr>
          <w:vertAlign w:val="baseline"/>
        </w:rPr>
        <w:t>to a general requirement of offer and </w:t>
      </w:r>
      <w:bookmarkStart w:name="_bookmark1101" w:id="1103"/>
      <w:bookmarkEnd w:id="1103"/>
      <w:r>
        <w:rPr>
          <w:vertAlign w:val="baseline"/>
        </w:rPr>
        <w:t>acceptance.</w:t>
      </w:r>
      <w:r>
        <w:rPr>
          <w:spacing w:val="1"/>
          <w:vertAlign w:val="baseline"/>
        </w:rPr>
        <w:t> </w:t>
      </w:r>
      <w:r>
        <w:rPr>
          <w:vertAlign w:val="baseline"/>
        </w:rPr>
        <w:t>This</w:t>
      </w:r>
      <w:r>
        <w:rPr>
          <w:spacing w:val="1"/>
          <w:vertAlign w:val="baseline"/>
        </w:rPr>
        <w:t> </w:t>
      </w:r>
      <w:r>
        <w:rPr>
          <w:vertAlign w:val="baseline"/>
        </w:rPr>
        <w:t>approach</w:t>
      </w:r>
      <w:r>
        <w:rPr>
          <w:spacing w:val="1"/>
          <w:vertAlign w:val="baseline"/>
        </w:rPr>
        <w:t> </w:t>
      </w:r>
      <w:r>
        <w:rPr>
          <w:vertAlign w:val="baseline"/>
        </w:rPr>
        <w:t>is</w:t>
      </w:r>
      <w:r>
        <w:rPr>
          <w:spacing w:val="1"/>
          <w:vertAlign w:val="baseline"/>
        </w:rPr>
        <w:t> </w:t>
      </w:r>
      <w:r>
        <w:rPr>
          <w:vertAlign w:val="baseline"/>
        </w:rPr>
        <w:t>supported</w:t>
      </w:r>
      <w:r>
        <w:rPr>
          <w:spacing w:val="1"/>
          <w:vertAlign w:val="baseline"/>
        </w:rPr>
        <w:t> </w:t>
      </w:r>
      <w:r>
        <w:rPr>
          <w:vertAlign w:val="baseline"/>
        </w:rPr>
        <w:t>by</w:t>
      </w:r>
      <w:r>
        <w:rPr>
          <w:spacing w:val="1"/>
          <w:vertAlign w:val="baseline"/>
        </w:rPr>
        <w:t> </w:t>
      </w:r>
      <w:r>
        <w:rPr>
          <w:vertAlign w:val="baseline"/>
        </w:rPr>
        <w:t>cases</w:t>
      </w:r>
      <w:r>
        <w:rPr>
          <w:spacing w:val="1"/>
          <w:vertAlign w:val="baseline"/>
        </w:rPr>
        <w:t> </w:t>
      </w:r>
      <w:r>
        <w:rPr>
          <w:vertAlign w:val="baseline"/>
        </w:rPr>
        <w:t>in</w:t>
      </w:r>
      <w:r>
        <w:rPr>
          <w:spacing w:val="1"/>
          <w:vertAlign w:val="baseline"/>
        </w:rPr>
        <w:t> </w:t>
      </w:r>
      <w:r>
        <w:rPr>
          <w:vertAlign w:val="baseline"/>
        </w:rPr>
        <w:t>which</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there</w:t>
      </w:r>
      <w:r>
        <w:rPr>
          <w:spacing w:val="1"/>
          <w:vertAlign w:val="baseline"/>
        </w:rPr>
        <w:t> </w:t>
      </w:r>
      <w:r>
        <w:rPr>
          <w:vertAlign w:val="baseline"/>
        </w:rPr>
        <w:t>was</w:t>
      </w:r>
      <w:r>
        <w:rPr>
          <w:spacing w:val="1"/>
          <w:vertAlign w:val="baseline"/>
        </w:rPr>
        <w:t> </w:t>
      </w:r>
      <w:r>
        <w:rPr>
          <w:vertAlign w:val="baseline"/>
        </w:rPr>
        <w:t>no</w:t>
      </w:r>
      <w:r>
        <w:rPr>
          <w:spacing w:val="1"/>
          <w:vertAlign w:val="baseline"/>
        </w:rPr>
        <w:t> </w:t>
      </w:r>
      <w:r>
        <w:rPr>
          <w:spacing w:val="-2"/>
          <w:vertAlign w:val="baseline"/>
        </w:rPr>
        <w:t>contract</w:t>
      </w:r>
    </w:p>
    <w:p>
      <w:pPr>
        <w:pStyle w:val="BodyText"/>
        <w:spacing w:line="235" w:lineRule="auto" w:before="117"/>
        <w:ind w:left="165" w:right="167"/>
        <w:jc w:val="both"/>
      </w:pPr>
      <w:r>
        <w:rPr/>
        <w:t>precisely because there was no offer and acceptance </w:t>
      </w:r>
      <w:r>
        <w:rPr>
          <w:color w:val="005DA1"/>
          <w:u w:val="single" w:color="005DA1"/>
          <w:vertAlign w:val="superscript"/>
        </w:rPr>
        <w:t>584</w:t>
      </w:r>
      <w:r>
        <w:rPr>
          <w:color w:val="005DA1"/>
          <w:spacing w:val="80"/>
          <w:vertAlign w:val="baseline"/>
        </w:rPr>
        <w:t> </w:t>
      </w:r>
      <w:r>
        <w:rPr>
          <w:color w:val="005DA1"/>
          <w:spacing w:val="-23"/>
          <w:position w:val="-2"/>
          <w:vertAlign w:val="baseline"/>
        </w:rPr>
        <w:drawing>
          <wp:inline distT="0" distB="0" distL="0" distR="0">
            <wp:extent cx="107988" cy="107988"/>
            <wp:effectExtent l="0" t="0" r="0" b="0"/>
            <wp:docPr id="85" name="Image 85"/>
            <wp:cNvGraphicFramePr>
              <a:graphicFrameLocks/>
            </wp:cNvGraphicFramePr>
            <a:graphic>
              <a:graphicData uri="http://schemas.openxmlformats.org/drawingml/2006/picture">
                <pic:pic>
                  <pic:nvPicPr>
                    <pic:cNvPr id="85" name="Image 8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3"/>
          <w:position w:val="-2"/>
          <w:vertAlign w:val="baseline"/>
        </w:rPr>
      </w:r>
      <w:r>
        <w:rPr>
          <w:vertAlign w:val="baseline"/>
        </w:rPr>
        <w:t>; and by those in which the terms of the </w:t>
      </w:r>
      <w:bookmarkStart w:name="_bookmark1102" w:id="1104"/>
      <w:bookmarkEnd w:id="1104"/>
      <w:r>
        <w:rPr>
          <w:vertAlign w:val="baseline"/>
        </w:rPr>
        <w:t>contact</w:t>
      </w:r>
      <w:r>
        <w:rPr>
          <w:vertAlign w:val="baseline"/>
        </w:rPr>
        <w:t> have been held to depend on the analysis of the negotiations into offer, counter-offer and </w:t>
      </w:r>
      <w:bookmarkStart w:name="_bookmark1103" w:id="1105"/>
      <w:bookmarkEnd w:id="1105"/>
      <w:r>
        <w:rPr>
          <w:vertAlign w:val="baseline"/>
        </w:rPr>
        <w:t>acceptance.</w:t>
      </w:r>
      <w:r>
        <w:rPr>
          <w:vertAlign w:val="baseline"/>
        </w:rPr>
        <w:t> </w:t>
      </w:r>
      <w:r>
        <w:rPr>
          <w:color w:val="005DA1"/>
          <w:u w:val="single" w:color="005DA1"/>
          <w:vertAlign w:val="superscript"/>
        </w:rPr>
        <w:t>585</w:t>
      </w:r>
      <w:r>
        <w:rPr>
          <w:color w:val="005DA1"/>
          <w:vertAlign w:val="baseline"/>
        </w:rPr>
        <w:t> </w:t>
      </w:r>
      <w:r>
        <w:rPr>
          <w:vertAlign w:val="baseline"/>
        </w:rPr>
        <w:t>In one case of the latter kind, </w:t>
      </w:r>
      <w:r>
        <w:rPr>
          <w:color w:val="005DA1"/>
          <w:u w:val="single" w:color="005DA1"/>
          <w:vertAlign w:val="superscript"/>
        </w:rPr>
        <w:t>586</w:t>
      </w:r>
      <w:r>
        <w:rPr>
          <w:color w:val="005DA1"/>
          <w:vertAlign w:val="baseline"/>
        </w:rPr>
        <w:t> </w:t>
      </w:r>
      <w:r>
        <w:rPr>
          <w:vertAlign w:val="baseline"/>
        </w:rPr>
        <w:t>the Court of Appeal applied “the traditional offer and acceptance analysis” </w:t>
      </w:r>
      <w:r>
        <w:rPr>
          <w:color w:val="005DA1"/>
          <w:u w:val="single" w:color="005DA1"/>
          <w:vertAlign w:val="superscript"/>
        </w:rPr>
        <w:t>587</w:t>
      </w:r>
      <w:r>
        <w:rPr>
          <w:color w:val="005DA1"/>
          <w:vertAlign w:val="baseline"/>
        </w:rPr>
        <w:t> </w:t>
      </w:r>
      <w:r>
        <w:rPr>
          <w:vertAlign w:val="baseline"/>
        </w:rPr>
        <w:t>and one reason given by Dyson L.J. was that this approach had “the </w:t>
      </w:r>
      <w:r>
        <w:rPr>
          <w:vertAlign w:val="baseline"/>
        </w:rPr>
        <w:t>great </w:t>
      </w:r>
      <w:bookmarkStart w:name="_bookmark1104" w:id="1106"/>
      <w:bookmarkEnd w:id="1106"/>
      <w:r>
        <w:rPr>
          <w:vertAlign w:val="baseline"/>
        </w:rPr>
        <w:t>merit</w:t>
      </w:r>
      <w:r>
        <w:rPr>
          <w:vertAlign w:val="baseline"/>
        </w:rPr>
        <w:t> of providing a degree of certainty which is both desirable and necessary in order to promote commercial relationships.” </w:t>
      </w:r>
      <w:r>
        <w:rPr>
          <w:color w:val="005DA1"/>
          <w:u w:val="single" w:color="005DA1"/>
          <w:vertAlign w:val="superscript"/>
        </w:rPr>
        <w:t>588</w:t>
      </w:r>
    </w:p>
    <w:p>
      <w:pPr>
        <w:pStyle w:val="BodyText"/>
      </w:pPr>
    </w:p>
    <w:p>
      <w:pPr>
        <w:pStyle w:val="BodyText"/>
        <w:spacing w:before="98"/>
      </w:pPr>
      <w:r>
        <w:rPr/>
        <mc:AlternateContent>
          <mc:Choice Requires="wps">
            <w:drawing>
              <wp:anchor distT="0" distB="0" distL="0" distR="0" allowOverlap="1" layoutInCell="1" locked="0" behindDoc="1" simplePos="0" relativeHeight="487611392">
                <wp:simplePos x="0" y="0"/>
                <wp:positionH relativeFrom="page">
                  <wp:posOffset>914400</wp:posOffset>
                </wp:positionH>
                <wp:positionV relativeFrom="paragraph">
                  <wp:posOffset>223570</wp:posOffset>
                </wp:positionV>
                <wp:extent cx="5724525" cy="1270"/>
                <wp:effectExtent l="0" t="0" r="0" b="0"/>
                <wp:wrapTopAndBottom/>
                <wp:docPr id="86" name="Graphic 86"/>
                <wp:cNvGraphicFramePr>
                  <a:graphicFrameLocks/>
                </wp:cNvGraphicFramePr>
                <a:graphic>
                  <a:graphicData uri="http://schemas.microsoft.com/office/word/2010/wordprocessingShape">
                    <wps:wsp>
                      <wps:cNvPr id="86" name="Graphic 8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7.603992pt;width:450.75pt;height:.1pt;mso-position-horizontal-relative:page;mso-position-vertical-relative:paragraph;z-index:-15705088;mso-wrap-distance-left:0;mso-wrap-distance-right:0" id="docshape37" coordorigin="1440,352" coordsize="9015,0" path="m1440,352l10454,352e" filled="false" stroked="true" strokeweight="1pt" strokecolor="#000000">
                <v:path arrowok="t"/>
                <v:stroke dashstyle="solid"/>
                <w10:wrap type="topAndBottom"/>
              </v:shape>
            </w:pict>
          </mc:Fallback>
        </mc:AlternateContent>
      </w:r>
    </w:p>
    <w:p>
      <w:pPr>
        <w:pStyle w:val="BodyText"/>
        <w:spacing w:before="101"/>
      </w:pPr>
    </w:p>
    <w:p>
      <w:pPr>
        <w:spacing w:line="235" w:lineRule="auto" w:before="0"/>
        <w:ind w:left="705" w:right="167" w:hanging="541"/>
        <w:jc w:val="both"/>
        <w:rPr>
          <w:sz w:val="20"/>
        </w:rPr>
      </w:pPr>
      <w:bookmarkStart w:name="_bookmark1105" w:id="1107"/>
      <w:bookmarkEnd w:id="1107"/>
      <w:r>
        <w:rPr/>
      </w:r>
      <w:hyperlink w:history="true" w:anchor="_bookmark1086">
        <w:r>
          <w:rPr>
            <w:color w:val="005DA1"/>
            <w:position w:val="5"/>
            <w:sz w:val="14"/>
            <w:u w:val="single" w:color="005DA1"/>
          </w:rPr>
          <w:t>569</w:t>
        </w:r>
      </w:hyperlink>
      <w:r>
        <w:rPr>
          <w:position w:val="5"/>
          <w:sz w:val="14"/>
        </w:rPr>
        <w:t>.</w:t>
      </w:r>
      <w:r>
        <w:rPr>
          <w:spacing w:val="80"/>
          <w:position w:val="5"/>
          <w:sz w:val="14"/>
        </w:rPr>
        <w:t>  </w:t>
      </w:r>
      <w:r>
        <w:rPr>
          <w:sz w:val="20"/>
        </w:rPr>
        <w:t>See, in addition to the situations discussed in para.2-117, e.g. </w:t>
      </w:r>
      <w:r>
        <w:rPr>
          <w:rFonts w:ascii="Arial"/>
          <w:i/>
          <w:sz w:val="20"/>
        </w:rPr>
        <w:t>A. N. Satterthwaite &amp; Co Ltd v New</w:t>
      </w:r>
      <w:r>
        <w:rPr>
          <w:rFonts w:ascii="Arial"/>
          <w:i/>
          <w:spacing w:val="-1"/>
          <w:sz w:val="20"/>
        </w:rPr>
        <w:t> </w:t>
      </w:r>
      <w:r>
        <w:rPr>
          <w:rFonts w:ascii="Arial"/>
          <w:i/>
          <w:sz w:val="20"/>
        </w:rPr>
        <w:t>Zealand</w:t>
      </w:r>
      <w:r>
        <w:rPr>
          <w:rFonts w:ascii="Arial"/>
          <w:i/>
          <w:spacing w:val="-1"/>
          <w:sz w:val="20"/>
        </w:rPr>
        <w:t> </w:t>
      </w:r>
      <w:r>
        <w:rPr>
          <w:rFonts w:ascii="Arial"/>
          <w:i/>
          <w:sz w:val="20"/>
        </w:rPr>
        <w:t>Shipping</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(The</w:t>
      </w:r>
      <w:r>
        <w:rPr>
          <w:rFonts w:ascii="Arial"/>
          <w:i/>
          <w:spacing w:val="-1"/>
          <w:sz w:val="20"/>
        </w:rPr>
        <w:t> </w:t>
      </w:r>
      <w:r>
        <w:rPr>
          <w:rFonts w:ascii="Arial"/>
          <w:i/>
          <w:sz w:val="20"/>
        </w:rPr>
        <w:t>Eurymedon)</w:t>
      </w:r>
      <w:r>
        <w:rPr>
          <w:rFonts w:ascii="Arial"/>
          <w:i/>
          <w:spacing w:val="-1"/>
          <w:sz w:val="20"/>
        </w:rPr>
        <w:t> </w:t>
      </w:r>
      <w:r>
        <w:rPr>
          <w:rFonts w:ascii="Arial"/>
          <w:i/>
          <w:sz w:val="20"/>
        </w:rPr>
        <w:t>[1975]</w:t>
      </w:r>
      <w:r>
        <w:rPr>
          <w:rFonts w:ascii="Arial"/>
          <w:i/>
          <w:spacing w:val="-1"/>
          <w:sz w:val="20"/>
        </w:rPr>
        <w:t> </w:t>
      </w:r>
      <w:r>
        <w:rPr>
          <w:rFonts w:ascii="Arial"/>
          <w:i/>
          <w:sz w:val="20"/>
        </w:rPr>
        <w:t>A.C.</w:t>
      </w:r>
      <w:r>
        <w:rPr>
          <w:rFonts w:ascii="Arial"/>
          <w:i/>
          <w:spacing w:val="-1"/>
          <w:sz w:val="20"/>
        </w:rPr>
        <w:t> </w:t>
      </w:r>
      <w:r>
        <w:rPr>
          <w:rFonts w:ascii="Arial"/>
          <w:i/>
          <w:sz w:val="20"/>
        </w:rPr>
        <w:t>154,</w:t>
      </w:r>
      <w:r>
        <w:rPr>
          <w:rFonts w:ascii="Arial"/>
          <w:i/>
          <w:spacing w:val="-1"/>
          <w:sz w:val="20"/>
        </w:rPr>
        <w:t> </w:t>
      </w:r>
      <w:r>
        <w:rPr>
          <w:rFonts w:ascii="Arial"/>
          <w:i/>
          <w:sz w:val="20"/>
        </w:rPr>
        <w:t>167</w:t>
      </w:r>
      <w:r>
        <w:rPr>
          <w:sz w:val="20"/>
        </w:rPr>
        <w:t>;</w:t>
      </w:r>
      <w:r>
        <w:rPr>
          <w:spacing w:val="-1"/>
          <w:sz w:val="20"/>
        </w:rPr>
        <w:t> </w:t>
      </w:r>
      <w:r>
        <w:rPr>
          <w:rFonts w:ascii="Arial"/>
          <w:i/>
          <w:sz w:val="20"/>
        </w:rPr>
        <w:t>Commission</w:t>
      </w:r>
      <w:r>
        <w:rPr>
          <w:rFonts w:ascii="Arial"/>
          <w:i/>
          <w:spacing w:val="-1"/>
          <w:sz w:val="20"/>
        </w:rPr>
        <w:t> </w:t>
      </w:r>
      <w:r>
        <w:rPr>
          <w:rFonts w:ascii="Arial"/>
          <w:i/>
          <w:sz w:val="20"/>
        </w:rPr>
        <w:t>for</w:t>
      </w:r>
      <w:r>
        <w:rPr>
          <w:rFonts w:ascii="Arial"/>
          <w:i/>
          <w:spacing w:val="-1"/>
          <w:sz w:val="20"/>
        </w:rPr>
        <w:t> </w:t>
      </w:r>
      <w:r>
        <w:rPr>
          <w:rFonts w:ascii="Arial"/>
          <w:i/>
          <w:sz w:val="20"/>
        </w:rPr>
        <w:t>the</w:t>
      </w:r>
      <w:r>
        <w:rPr>
          <w:rFonts w:ascii="Arial"/>
          <w:i/>
          <w:spacing w:val="-1"/>
          <w:sz w:val="20"/>
        </w:rPr>
        <w:t> </w:t>
      </w:r>
      <w:r>
        <w:rPr>
          <w:rFonts w:ascii="Arial"/>
          <w:i/>
          <w:sz w:val="20"/>
        </w:rPr>
        <w:t>New Towns v Cooper (GB) Ltd [1995] Ch. 259 </w:t>
      </w:r>
      <w:r>
        <w:rPr>
          <w:sz w:val="20"/>
        </w:rPr>
        <w:t>(below, para.2-126) and see below at nn.569 and</w:t>
      </w:r>
      <w:r>
        <w:rPr>
          <w:spacing w:val="80"/>
          <w:sz w:val="20"/>
        </w:rPr>
        <w:t> </w:t>
      </w:r>
      <w:r>
        <w:rPr>
          <w:spacing w:val="-4"/>
          <w:sz w:val="20"/>
        </w:rPr>
        <w:t>570.</w:t>
      </w:r>
    </w:p>
    <w:p>
      <w:pPr>
        <w:pStyle w:val="BodyText"/>
        <w:spacing w:before="4"/>
      </w:pPr>
    </w:p>
    <w:p>
      <w:pPr>
        <w:tabs>
          <w:tab w:pos="705" w:val="left" w:leader="none"/>
        </w:tabs>
        <w:spacing w:line="227" w:lineRule="exact" w:before="1"/>
        <w:ind w:left="165" w:right="0" w:firstLine="0"/>
        <w:jc w:val="left"/>
        <w:rPr>
          <w:sz w:val="20"/>
        </w:rPr>
      </w:pPr>
      <w:bookmarkStart w:name="_bookmark1106" w:id="1108"/>
      <w:bookmarkEnd w:id="1108"/>
      <w:r>
        <w:rPr/>
      </w:r>
      <w:hyperlink w:history="true" w:anchor="_bookmark1087">
        <w:r>
          <w:rPr>
            <w:color w:val="005DA1"/>
            <w:spacing w:val="-4"/>
            <w:position w:val="5"/>
            <w:sz w:val="14"/>
            <w:u w:val="single" w:color="005DA1"/>
          </w:rPr>
          <w:t>570</w:t>
        </w:r>
      </w:hyperlink>
      <w:r>
        <w:rPr>
          <w:spacing w:val="-4"/>
          <w:position w:val="5"/>
          <w:sz w:val="14"/>
        </w:rPr>
        <w:t>.</w:t>
      </w:r>
      <w:r>
        <w:rPr>
          <w:position w:val="5"/>
          <w:sz w:val="14"/>
        </w:rPr>
        <w:tab/>
      </w:r>
      <w:r>
        <w:rPr>
          <w:rFonts w:ascii="Arial"/>
          <w:i/>
          <w:sz w:val="20"/>
        </w:rPr>
        <w:t>The</w:t>
      </w:r>
      <w:r>
        <w:rPr>
          <w:rFonts w:ascii="Arial"/>
          <w:i/>
          <w:spacing w:val="16"/>
          <w:sz w:val="20"/>
        </w:rPr>
        <w:t> </w:t>
      </w:r>
      <w:r>
        <w:rPr>
          <w:rFonts w:ascii="Arial"/>
          <w:i/>
          <w:sz w:val="20"/>
        </w:rPr>
        <w:t>Satanita</w:t>
      </w:r>
      <w:r>
        <w:rPr>
          <w:rFonts w:ascii="Arial"/>
          <w:i/>
          <w:spacing w:val="17"/>
          <w:sz w:val="20"/>
        </w:rPr>
        <w:t> </w:t>
      </w:r>
      <w:r>
        <w:rPr>
          <w:rFonts w:ascii="Arial"/>
          <w:i/>
          <w:sz w:val="20"/>
        </w:rPr>
        <w:t>[1895]</w:t>
      </w:r>
      <w:r>
        <w:rPr>
          <w:rFonts w:ascii="Arial"/>
          <w:i/>
          <w:spacing w:val="17"/>
          <w:sz w:val="20"/>
        </w:rPr>
        <w:t> </w:t>
      </w:r>
      <w:r>
        <w:rPr>
          <w:rFonts w:ascii="Arial"/>
          <w:i/>
          <w:sz w:val="20"/>
        </w:rPr>
        <w:t>P.</w:t>
      </w:r>
      <w:r>
        <w:rPr>
          <w:rFonts w:ascii="Arial"/>
          <w:i/>
          <w:spacing w:val="17"/>
          <w:sz w:val="20"/>
        </w:rPr>
        <w:t> </w:t>
      </w:r>
      <w:r>
        <w:rPr>
          <w:rFonts w:ascii="Arial"/>
          <w:i/>
          <w:sz w:val="20"/>
        </w:rPr>
        <w:t>248</w:t>
      </w:r>
      <w:r>
        <w:rPr>
          <w:sz w:val="20"/>
        </w:rPr>
        <w:t>,</w:t>
      </w:r>
      <w:r>
        <w:rPr>
          <w:spacing w:val="17"/>
          <w:sz w:val="20"/>
        </w:rPr>
        <w:t> </w:t>
      </w:r>
      <w:r>
        <w:rPr>
          <w:sz w:val="20"/>
        </w:rPr>
        <w:t>affirmed</w:t>
      </w:r>
      <w:r>
        <w:rPr>
          <w:spacing w:val="17"/>
          <w:sz w:val="20"/>
        </w:rPr>
        <w:t> </w:t>
      </w:r>
      <w:r>
        <w:rPr>
          <w:sz w:val="20"/>
        </w:rPr>
        <w:t>sub</w:t>
      </w:r>
      <w:r>
        <w:rPr>
          <w:spacing w:val="17"/>
          <w:sz w:val="20"/>
        </w:rPr>
        <w:t> </w:t>
      </w:r>
      <w:r>
        <w:rPr>
          <w:sz w:val="20"/>
        </w:rPr>
        <w:t>nom.</w:t>
      </w:r>
      <w:r>
        <w:rPr>
          <w:spacing w:val="16"/>
          <w:sz w:val="20"/>
        </w:rPr>
        <w:t> </w:t>
      </w:r>
      <w:r>
        <w:rPr>
          <w:rFonts w:ascii="Arial"/>
          <w:i/>
          <w:sz w:val="20"/>
        </w:rPr>
        <w:t>Clarke</w:t>
      </w:r>
      <w:r>
        <w:rPr>
          <w:rFonts w:ascii="Arial"/>
          <w:i/>
          <w:spacing w:val="17"/>
          <w:sz w:val="20"/>
        </w:rPr>
        <w:t> </w:t>
      </w:r>
      <w:r>
        <w:rPr>
          <w:rFonts w:ascii="Arial"/>
          <w:i/>
          <w:sz w:val="20"/>
        </w:rPr>
        <w:t>v</w:t>
      </w:r>
      <w:r>
        <w:rPr>
          <w:rFonts w:ascii="Arial"/>
          <w:i/>
          <w:spacing w:val="17"/>
          <w:sz w:val="20"/>
        </w:rPr>
        <w:t> </w:t>
      </w:r>
      <w:r>
        <w:rPr>
          <w:rFonts w:ascii="Arial"/>
          <w:i/>
          <w:sz w:val="20"/>
        </w:rPr>
        <w:t>Dunraven</w:t>
      </w:r>
      <w:r>
        <w:rPr>
          <w:rFonts w:ascii="Arial"/>
          <w:i/>
          <w:spacing w:val="17"/>
          <w:sz w:val="20"/>
        </w:rPr>
        <w:t> </w:t>
      </w:r>
      <w:r>
        <w:rPr>
          <w:rFonts w:ascii="Arial"/>
          <w:i/>
          <w:sz w:val="20"/>
        </w:rPr>
        <w:t>[1897]</w:t>
      </w:r>
      <w:r>
        <w:rPr>
          <w:rFonts w:ascii="Arial"/>
          <w:i/>
          <w:spacing w:val="17"/>
          <w:sz w:val="20"/>
        </w:rPr>
        <w:t> </w:t>
      </w:r>
      <w:r>
        <w:rPr>
          <w:rFonts w:ascii="Arial"/>
          <w:i/>
          <w:sz w:val="20"/>
        </w:rPr>
        <w:t>A.C.</w:t>
      </w:r>
      <w:r>
        <w:rPr>
          <w:rFonts w:ascii="Arial"/>
          <w:i/>
          <w:spacing w:val="17"/>
          <w:sz w:val="20"/>
        </w:rPr>
        <w:t> </w:t>
      </w:r>
      <w:r>
        <w:rPr>
          <w:rFonts w:ascii="Arial"/>
          <w:i/>
          <w:sz w:val="20"/>
        </w:rPr>
        <w:t>59</w:t>
      </w:r>
      <w:r>
        <w:rPr>
          <w:sz w:val="20"/>
        </w:rPr>
        <w:t>;</w:t>
      </w:r>
      <w:r>
        <w:rPr>
          <w:spacing w:val="17"/>
          <w:sz w:val="20"/>
        </w:rPr>
        <w:t> </w:t>
      </w:r>
      <w:r>
        <w:rPr>
          <w:sz w:val="20"/>
        </w:rPr>
        <w:t>Phillips,</w:t>
      </w:r>
      <w:r>
        <w:rPr>
          <w:spacing w:val="17"/>
          <w:sz w:val="20"/>
        </w:rPr>
        <w:t> </w:t>
      </w:r>
      <w:r>
        <w:rPr>
          <w:spacing w:val="-5"/>
          <w:sz w:val="20"/>
        </w:rPr>
        <w:t>92</w:t>
      </w:r>
    </w:p>
    <w:p>
      <w:pPr>
        <w:spacing w:line="235" w:lineRule="auto" w:before="1"/>
        <w:ind w:left="705" w:right="167" w:firstLine="0"/>
        <w:jc w:val="both"/>
        <w:rPr>
          <w:sz w:val="20"/>
        </w:rPr>
      </w:pPr>
      <w:r>
        <w:rPr>
          <w:sz w:val="20"/>
        </w:rPr>
        <w:t>L.Q.R.</w:t>
      </w:r>
      <w:r>
        <w:rPr>
          <w:spacing w:val="-1"/>
          <w:sz w:val="20"/>
        </w:rPr>
        <w:t> </w:t>
      </w:r>
      <w:r>
        <w:rPr>
          <w:sz w:val="20"/>
        </w:rPr>
        <w:t>499.</w:t>
      </w:r>
      <w:r>
        <w:rPr>
          <w:spacing w:val="-1"/>
          <w:sz w:val="20"/>
        </w:rPr>
        <w:t> </w:t>
      </w:r>
      <w:r>
        <w:rPr>
          <w:sz w:val="20"/>
        </w:rPr>
        <w:t>cf.</w:t>
      </w:r>
      <w:r>
        <w:rPr>
          <w:spacing w:val="-1"/>
          <w:sz w:val="20"/>
        </w:rPr>
        <w:t> </w:t>
      </w:r>
      <w:r>
        <w:rPr>
          <w:rFonts w:ascii="Arial"/>
          <w:i/>
          <w:sz w:val="20"/>
        </w:rPr>
        <w:t>Kingscroft</w:t>
      </w:r>
      <w:r>
        <w:rPr>
          <w:rFonts w:ascii="Arial"/>
          <w:i/>
          <w:spacing w:val="-1"/>
          <w:sz w:val="20"/>
        </w:rPr>
        <w:t> </w:t>
      </w:r>
      <w:r>
        <w:rPr>
          <w:rFonts w:ascii="Arial"/>
          <w:i/>
          <w:sz w:val="20"/>
        </w:rPr>
        <w:t>Insurance</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Nissan</w:t>
      </w:r>
      <w:r>
        <w:rPr>
          <w:rFonts w:ascii="Arial"/>
          <w:i/>
          <w:spacing w:val="-1"/>
          <w:sz w:val="20"/>
        </w:rPr>
        <w:t> </w:t>
      </w:r>
      <w:r>
        <w:rPr>
          <w:rFonts w:ascii="Arial"/>
          <w:i/>
          <w:sz w:val="20"/>
        </w:rPr>
        <w:t>Fire</w:t>
      </w:r>
      <w:r>
        <w:rPr>
          <w:rFonts w:ascii="Arial"/>
          <w:i/>
          <w:spacing w:val="-1"/>
          <w:sz w:val="20"/>
        </w:rPr>
        <w:t> </w:t>
      </w:r>
      <w:r>
        <w:rPr>
          <w:rFonts w:ascii="Arial"/>
          <w:i/>
          <w:sz w:val="20"/>
        </w:rPr>
        <w:t>and</w:t>
      </w:r>
      <w:r>
        <w:rPr>
          <w:rFonts w:ascii="Arial"/>
          <w:i/>
          <w:spacing w:val="-1"/>
          <w:sz w:val="20"/>
        </w:rPr>
        <w:t> </w:t>
      </w:r>
      <w:r>
        <w:rPr>
          <w:rFonts w:ascii="Arial"/>
          <w:i/>
          <w:sz w:val="20"/>
        </w:rPr>
        <w:t>Marine</w:t>
      </w:r>
      <w:r>
        <w:rPr>
          <w:rFonts w:ascii="Arial"/>
          <w:i/>
          <w:spacing w:val="-1"/>
          <w:sz w:val="20"/>
        </w:rPr>
        <w:t> </w:t>
      </w:r>
      <w:r>
        <w:rPr>
          <w:rFonts w:ascii="Arial"/>
          <w:i/>
          <w:sz w:val="20"/>
        </w:rPr>
        <w:t>Insurance</w:t>
      </w:r>
      <w:r>
        <w:rPr>
          <w:rFonts w:ascii="Arial"/>
          <w:i/>
          <w:spacing w:val="-1"/>
          <w:sz w:val="20"/>
        </w:rPr>
        <w:t> </w:t>
      </w:r>
      <w:r>
        <w:rPr>
          <w:rFonts w:ascii="Arial"/>
          <w:i/>
          <w:sz w:val="20"/>
        </w:rPr>
        <w:t>Co</w:t>
      </w:r>
      <w:r>
        <w:rPr>
          <w:rFonts w:ascii="Arial"/>
          <w:i/>
          <w:spacing w:val="-1"/>
          <w:sz w:val="20"/>
        </w:rPr>
        <w:t> </w:t>
      </w:r>
      <w:r>
        <w:rPr>
          <w:rFonts w:ascii="Arial"/>
          <w:i/>
          <w:sz w:val="20"/>
        </w:rPr>
        <w:t>Ltd</w:t>
      </w:r>
      <w:r>
        <w:rPr>
          <w:rFonts w:ascii="Arial"/>
          <w:i/>
          <w:spacing w:val="-1"/>
          <w:sz w:val="20"/>
        </w:rPr>
        <w:t> </w:t>
      </w:r>
      <w:r>
        <w:rPr>
          <w:rFonts w:ascii="Arial"/>
          <w:i/>
          <w:sz w:val="20"/>
        </w:rPr>
        <w:t>[2000]</w:t>
      </w:r>
      <w:r>
        <w:rPr>
          <w:rFonts w:ascii="Arial"/>
          <w:i/>
          <w:spacing w:val="-1"/>
          <w:sz w:val="20"/>
        </w:rPr>
        <w:t> </w:t>
      </w:r>
      <w:r>
        <w:rPr>
          <w:rFonts w:ascii="Arial"/>
          <w:i/>
          <w:sz w:val="20"/>
        </w:rPr>
        <w:t>1 All</w:t>
      </w:r>
      <w:r>
        <w:rPr>
          <w:rFonts w:ascii="Arial"/>
          <w:i/>
          <w:spacing w:val="-1"/>
          <w:sz w:val="20"/>
        </w:rPr>
        <w:t> </w:t>
      </w:r>
      <w:r>
        <w:rPr>
          <w:rFonts w:ascii="Arial"/>
          <w:i/>
          <w:sz w:val="20"/>
        </w:rPr>
        <w:t>E.R.</w:t>
      </w:r>
      <w:r>
        <w:rPr>
          <w:rFonts w:ascii="Arial"/>
          <w:i/>
          <w:spacing w:val="-1"/>
          <w:sz w:val="20"/>
        </w:rPr>
        <w:t> </w:t>
      </w:r>
      <w:r>
        <w:rPr>
          <w:rFonts w:ascii="Arial"/>
          <w:i/>
          <w:sz w:val="20"/>
        </w:rPr>
        <w:t>(Comm)</w:t>
      </w:r>
      <w:r>
        <w:rPr>
          <w:rFonts w:ascii="Arial"/>
          <w:i/>
          <w:spacing w:val="-1"/>
          <w:sz w:val="20"/>
        </w:rPr>
        <w:t> </w:t>
      </w:r>
      <w:r>
        <w:rPr>
          <w:rFonts w:ascii="Arial"/>
          <w:i/>
          <w:sz w:val="20"/>
        </w:rPr>
        <w:t>272</w:t>
      </w:r>
      <w:r>
        <w:rPr>
          <w:rFonts w:ascii="Arial"/>
          <w:i/>
          <w:spacing w:val="-1"/>
          <w:sz w:val="20"/>
        </w:rPr>
        <w:t> </w:t>
      </w:r>
      <w:r>
        <w:rPr>
          <w:sz w:val="20"/>
        </w:rPr>
        <w:t>at</w:t>
      </w:r>
      <w:r>
        <w:rPr>
          <w:spacing w:val="-1"/>
          <w:sz w:val="20"/>
        </w:rPr>
        <w:t> </w:t>
      </w:r>
      <w:r>
        <w:rPr>
          <w:sz w:val="20"/>
        </w:rPr>
        <w:t>291</w:t>
      </w:r>
      <w:r>
        <w:rPr>
          <w:spacing w:val="-1"/>
          <w:sz w:val="20"/>
        </w:rPr>
        <w:t> </w:t>
      </w:r>
      <w:r>
        <w:rPr>
          <w:sz w:val="20"/>
        </w:rPr>
        <w:t>(admission</w:t>
      </w:r>
      <w:r>
        <w:rPr>
          <w:spacing w:val="-1"/>
          <w:sz w:val="20"/>
        </w:rPr>
        <w:t> </w:t>
      </w:r>
      <w:r>
        <w:rPr>
          <w:sz w:val="20"/>
        </w:rPr>
        <w:t>of</w:t>
      </w:r>
      <w:r>
        <w:rPr>
          <w:spacing w:val="-1"/>
          <w:sz w:val="20"/>
        </w:rPr>
        <w:t> </w:t>
      </w:r>
      <w:r>
        <w:rPr>
          <w:sz w:val="20"/>
        </w:rPr>
        <w:t>new</w:t>
      </w:r>
      <w:r>
        <w:rPr>
          <w:spacing w:val="-1"/>
          <w:sz w:val="20"/>
        </w:rPr>
        <w:t> </w:t>
      </w:r>
      <w:r>
        <w:rPr>
          <w:sz w:val="20"/>
        </w:rPr>
        <w:t>members</w:t>
      </w:r>
      <w:r>
        <w:rPr>
          <w:spacing w:val="-1"/>
          <w:sz w:val="20"/>
        </w:rPr>
        <w:t> </w:t>
      </w:r>
      <w:r>
        <w:rPr>
          <w:sz w:val="20"/>
        </w:rPr>
        <w:t>to</w:t>
      </w:r>
      <w:r>
        <w:rPr>
          <w:spacing w:val="-1"/>
          <w:sz w:val="20"/>
        </w:rPr>
        <w:t> </w:t>
      </w:r>
      <w:r>
        <w:rPr>
          <w:sz w:val="20"/>
        </w:rPr>
        <w:t>an</w:t>
      </w:r>
      <w:r>
        <w:rPr>
          <w:spacing w:val="-1"/>
          <w:sz w:val="20"/>
        </w:rPr>
        <w:t> </w:t>
      </w:r>
      <w:r>
        <w:rPr>
          <w:sz w:val="20"/>
        </w:rPr>
        <w:t>existing</w:t>
      </w:r>
      <w:r>
        <w:rPr>
          <w:spacing w:val="-1"/>
          <w:sz w:val="20"/>
        </w:rPr>
        <w:t> </w:t>
      </w:r>
      <w:r>
        <w:rPr>
          <w:sz w:val="20"/>
        </w:rPr>
        <w:t>insurance</w:t>
      </w:r>
      <w:r>
        <w:rPr>
          <w:spacing w:val="-1"/>
          <w:sz w:val="20"/>
        </w:rPr>
        <w:t> </w:t>
      </w:r>
      <w:r>
        <w:rPr>
          <w:sz w:val="20"/>
        </w:rPr>
        <w:t>pool</w:t>
      </w:r>
      <w:r>
        <w:rPr>
          <w:spacing w:val="-1"/>
          <w:sz w:val="20"/>
        </w:rPr>
        <w:t> </w:t>
      </w:r>
      <w:r>
        <w:rPr>
          <w:sz w:val="20"/>
        </w:rPr>
        <w:t>analysed in terms of offer and acceptance).</w:t>
      </w:r>
    </w:p>
    <w:p>
      <w:pPr>
        <w:pStyle w:val="BodyText"/>
        <w:spacing w:before="9"/>
      </w:pPr>
    </w:p>
    <w:p>
      <w:pPr>
        <w:spacing w:line="235" w:lineRule="auto" w:before="0"/>
        <w:ind w:left="705" w:right="167" w:hanging="541"/>
        <w:jc w:val="both"/>
        <w:rPr>
          <w:sz w:val="20"/>
        </w:rPr>
      </w:pPr>
      <w:bookmarkStart w:name="_bookmark1107" w:id="1109"/>
      <w:bookmarkEnd w:id="1109"/>
      <w:r>
        <w:rPr/>
      </w:r>
      <w:hyperlink w:history="true" w:anchor="_bookmark1088">
        <w:r>
          <w:rPr>
            <w:color w:val="005DA1"/>
            <w:position w:val="5"/>
            <w:sz w:val="14"/>
            <w:u w:val="single" w:color="005DA1"/>
          </w:rPr>
          <w:t>571</w:t>
        </w:r>
      </w:hyperlink>
      <w:r>
        <w:rPr>
          <w:position w:val="5"/>
          <w:sz w:val="14"/>
        </w:rPr>
        <w:t>.</w:t>
      </w:r>
      <w:r>
        <w:rPr>
          <w:spacing w:val="80"/>
          <w:position w:val="5"/>
          <w:sz w:val="14"/>
        </w:rPr>
        <w:t>  </w:t>
      </w:r>
      <w:r>
        <w:rPr>
          <w:sz w:val="20"/>
        </w:rPr>
        <w:t>See</w:t>
      </w:r>
      <w:r>
        <w:rPr>
          <w:spacing w:val="40"/>
          <w:sz w:val="20"/>
        </w:rPr>
        <w:t> </w:t>
      </w:r>
      <w:r>
        <w:rPr>
          <w:rFonts w:ascii="Arial"/>
          <w:i/>
          <w:sz w:val="20"/>
        </w:rPr>
        <w:t>Artistic</w:t>
      </w:r>
      <w:r>
        <w:rPr>
          <w:rFonts w:ascii="Arial"/>
          <w:i/>
          <w:spacing w:val="40"/>
          <w:sz w:val="20"/>
        </w:rPr>
        <w:t> </w:t>
      </w:r>
      <w:r>
        <w:rPr>
          <w:rFonts w:ascii="Arial"/>
          <w:i/>
          <w:sz w:val="20"/>
        </w:rPr>
        <w:t>Upholstery</w:t>
      </w:r>
      <w:r>
        <w:rPr>
          <w:rFonts w:ascii="Arial"/>
          <w:i/>
          <w:spacing w:val="40"/>
          <w:sz w:val="20"/>
        </w:rPr>
        <w:t> </w:t>
      </w:r>
      <w:r>
        <w:rPr>
          <w:rFonts w:ascii="Arial"/>
          <w:i/>
          <w:sz w:val="20"/>
        </w:rPr>
        <w:t>Ltd</w:t>
      </w:r>
      <w:r>
        <w:rPr>
          <w:rFonts w:ascii="Arial"/>
          <w:i/>
          <w:spacing w:val="40"/>
          <w:sz w:val="20"/>
        </w:rPr>
        <w:t> </w:t>
      </w:r>
      <w:r>
        <w:rPr>
          <w:rFonts w:ascii="Arial"/>
          <w:i/>
          <w:sz w:val="20"/>
        </w:rPr>
        <w:t>v</w:t>
      </w:r>
      <w:r>
        <w:rPr>
          <w:rFonts w:ascii="Arial"/>
          <w:i/>
          <w:spacing w:val="40"/>
          <w:sz w:val="20"/>
        </w:rPr>
        <w:t> </w:t>
      </w:r>
      <w:r>
        <w:rPr>
          <w:rFonts w:ascii="Arial"/>
          <w:i/>
          <w:sz w:val="20"/>
        </w:rPr>
        <w:t>Art</w:t>
      </w:r>
      <w:r>
        <w:rPr>
          <w:rFonts w:ascii="Arial"/>
          <w:i/>
          <w:spacing w:val="40"/>
          <w:sz w:val="20"/>
        </w:rPr>
        <w:t> </w:t>
      </w:r>
      <w:r>
        <w:rPr>
          <w:rFonts w:ascii="Arial"/>
          <w:i/>
          <w:sz w:val="20"/>
        </w:rPr>
        <w:t>Forma</w:t>
      </w:r>
      <w:r>
        <w:rPr>
          <w:rFonts w:ascii="Arial"/>
          <w:i/>
          <w:spacing w:val="40"/>
          <w:sz w:val="20"/>
        </w:rPr>
        <w:t> </w:t>
      </w:r>
      <w:r>
        <w:rPr>
          <w:rFonts w:ascii="Arial"/>
          <w:i/>
          <w:sz w:val="20"/>
        </w:rPr>
        <w:t>(Furniture)</w:t>
      </w:r>
      <w:r>
        <w:rPr>
          <w:rFonts w:ascii="Arial"/>
          <w:i/>
          <w:spacing w:val="40"/>
          <w:sz w:val="20"/>
        </w:rPr>
        <w:t> </w:t>
      </w:r>
      <w:r>
        <w:rPr>
          <w:rFonts w:ascii="Arial"/>
          <w:i/>
          <w:sz w:val="20"/>
        </w:rPr>
        <w:t>Ltd</w:t>
      </w:r>
      <w:r>
        <w:rPr>
          <w:rFonts w:ascii="Arial"/>
          <w:i/>
          <w:spacing w:val="40"/>
          <w:sz w:val="20"/>
        </w:rPr>
        <w:t> </w:t>
      </w:r>
      <w:r>
        <w:rPr>
          <w:rFonts w:ascii="Arial"/>
          <w:i/>
          <w:sz w:val="20"/>
        </w:rPr>
        <w:t>[1999]</w:t>
      </w:r>
      <w:r>
        <w:rPr>
          <w:rFonts w:ascii="Arial"/>
          <w:i/>
          <w:spacing w:val="40"/>
          <w:sz w:val="20"/>
        </w:rPr>
        <w:t> </w:t>
      </w:r>
      <w:r>
        <w:rPr>
          <w:rFonts w:ascii="Arial"/>
          <w:i/>
          <w:sz w:val="20"/>
        </w:rPr>
        <w:t>4</w:t>
      </w:r>
      <w:r>
        <w:rPr>
          <w:rFonts w:ascii="Arial"/>
          <w:i/>
          <w:spacing w:val="40"/>
          <w:sz w:val="20"/>
        </w:rPr>
        <w:t> </w:t>
      </w:r>
      <w:r>
        <w:rPr>
          <w:rFonts w:ascii="Arial"/>
          <w:i/>
          <w:sz w:val="20"/>
        </w:rPr>
        <w:t>All</w:t>
      </w:r>
      <w:r>
        <w:rPr>
          <w:rFonts w:ascii="Arial"/>
          <w:i/>
          <w:spacing w:val="40"/>
          <w:sz w:val="20"/>
        </w:rPr>
        <w:t> </w:t>
      </w:r>
      <w:r>
        <w:rPr>
          <w:rFonts w:ascii="Arial"/>
          <w:i/>
          <w:sz w:val="20"/>
        </w:rPr>
        <w:t>E.R.</w:t>
      </w:r>
      <w:r>
        <w:rPr>
          <w:rFonts w:ascii="Arial"/>
          <w:i/>
          <w:spacing w:val="40"/>
          <w:sz w:val="20"/>
        </w:rPr>
        <w:t> </w:t>
      </w:r>
      <w:r>
        <w:rPr>
          <w:rFonts w:ascii="Arial"/>
          <w:i/>
          <w:sz w:val="20"/>
        </w:rPr>
        <w:t>277,</w:t>
      </w:r>
      <w:r>
        <w:rPr>
          <w:rFonts w:ascii="Arial"/>
          <w:i/>
          <w:spacing w:val="40"/>
          <w:sz w:val="20"/>
        </w:rPr>
        <w:t> </w:t>
      </w:r>
      <w:r>
        <w:rPr>
          <w:rFonts w:ascii="Arial"/>
          <w:i/>
          <w:sz w:val="20"/>
        </w:rPr>
        <w:t>285</w:t>
      </w:r>
      <w:r>
        <w:rPr>
          <w:sz w:val="20"/>
        </w:rPr>
        <w:t>;</w:t>
      </w:r>
      <w:r>
        <w:rPr>
          <w:spacing w:val="40"/>
          <w:sz w:val="20"/>
        </w:rPr>
        <w:t> </w:t>
      </w:r>
      <w:r>
        <w:rPr>
          <w:sz w:val="20"/>
        </w:rPr>
        <w:t>though breach of the rules by one member may not, on their true construction, be actionable in damages at the suit of another: </w:t>
      </w:r>
      <w:r>
        <w:rPr>
          <w:rFonts w:ascii="Arial"/>
          <w:i/>
          <w:sz w:val="20"/>
        </w:rPr>
        <w:t>Anderton v Rowland, The Times, November 5, 1999</w:t>
      </w:r>
      <w:r>
        <w:rPr>
          <w:sz w:val="20"/>
        </w:rPr>
        <w:t>. For </w:t>
      </w:r>
      <w:r>
        <w:rPr>
          <w:sz w:val="20"/>
        </w:rPr>
        <w:t>the question whether a member of an unincorporated association is liable to a person outside the association on contracts made on behalf of the association, see below para.10-064 and (for example) </w:t>
      </w:r>
      <w:r>
        <w:rPr>
          <w:rFonts w:ascii="Arial"/>
          <w:i/>
          <w:sz w:val="20"/>
        </w:rPr>
        <w:t>Davies v Barnes Webster &amp; Sons Ltd [2011] EWHC 2560 (Ch)</w:t>
      </w:r>
      <w:r>
        <w:rPr>
          <w:sz w:val="20"/>
        </w:rPr>
        <w:t>.</w:t>
      </w:r>
    </w:p>
    <w:p>
      <w:pPr>
        <w:pStyle w:val="BodyText"/>
        <w:spacing w:before="4"/>
      </w:pPr>
    </w:p>
    <w:p>
      <w:pPr>
        <w:tabs>
          <w:tab w:pos="705" w:val="left" w:leader="none"/>
        </w:tabs>
        <w:spacing w:before="0"/>
        <w:ind w:left="165" w:right="0" w:firstLine="0"/>
        <w:jc w:val="left"/>
        <w:rPr>
          <w:sz w:val="20"/>
        </w:rPr>
      </w:pPr>
      <w:bookmarkStart w:name="_bookmark1108" w:id="1110"/>
      <w:bookmarkEnd w:id="1110"/>
      <w:r>
        <w:rPr/>
      </w:r>
      <w:hyperlink w:history="true" w:anchor="_bookmark1089">
        <w:r>
          <w:rPr>
            <w:color w:val="005DA1"/>
            <w:spacing w:val="-4"/>
            <w:position w:val="5"/>
            <w:sz w:val="14"/>
            <w:u w:val="single" w:color="005DA1"/>
          </w:rPr>
          <w:t>572</w:t>
        </w:r>
      </w:hyperlink>
      <w:r>
        <w:rPr>
          <w:spacing w:val="-4"/>
          <w:position w:val="5"/>
          <w:sz w:val="14"/>
        </w:rPr>
        <w:t>.</w:t>
      </w:r>
      <w:r>
        <w:rPr>
          <w:position w:val="5"/>
          <w:sz w:val="14"/>
        </w:rPr>
        <w:tab/>
      </w:r>
      <w:r>
        <w:rPr>
          <w:rFonts w:ascii="Arial" w:hAnsi="Arial"/>
          <w:i/>
          <w:sz w:val="20"/>
        </w:rPr>
        <w:t>Azov Shipping Co v Baltic Shipping Co [1999] 2 Lloyd’s Rep. 159</w:t>
      </w:r>
      <w:r>
        <w:rPr>
          <w:rFonts w:ascii="Arial" w:hAnsi="Arial"/>
          <w:i/>
          <w:spacing w:val="-2"/>
          <w:sz w:val="20"/>
        </w:rPr>
        <w:t> </w:t>
      </w:r>
      <w:r>
        <w:rPr>
          <w:sz w:val="20"/>
        </w:rPr>
        <w:t>at </w:t>
      </w:r>
      <w:r>
        <w:rPr>
          <w:spacing w:val="-4"/>
          <w:sz w:val="20"/>
        </w:rPr>
        <w:t>165.</w:t>
      </w:r>
    </w:p>
    <w:p>
      <w:pPr>
        <w:pStyle w:val="BodyText"/>
        <w:spacing w:before="5"/>
      </w:pPr>
    </w:p>
    <w:p>
      <w:pPr>
        <w:tabs>
          <w:tab w:pos="705" w:val="left" w:leader="none"/>
        </w:tabs>
        <w:spacing w:before="0"/>
        <w:ind w:left="165" w:right="0" w:firstLine="0"/>
        <w:jc w:val="left"/>
        <w:rPr>
          <w:sz w:val="20"/>
        </w:rPr>
      </w:pPr>
      <w:bookmarkStart w:name="_bookmark1109" w:id="1111"/>
      <w:bookmarkEnd w:id="1111"/>
      <w:r>
        <w:rPr/>
      </w:r>
      <w:hyperlink w:history="true" w:anchor="_bookmark1090">
        <w:r>
          <w:rPr>
            <w:color w:val="005DA1"/>
            <w:spacing w:val="-4"/>
            <w:position w:val="5"/>
            <w:sz w:val="14"/>
            <w:u w:val="single" w:color="005DA1"/>
          </w:rPr>
          <w:t>573</w:t>
        </w:r>
      </w:hyperlink>
      <w:r>
        <w:rPr>
          <w:spacing w:val="-4"/>
          <w:position w:val="5"/>
          <w:sz w:val="14"/>
        </w:rPr>
        <w:t>.</w:t>
      </w:r>
      <w:r>
        <w:rPr>
          <w:position w:val="5"/>
          <w:sz w:val="14"/>
        </w:rPr>
        <w:tab/>
      </w:r>
      <w:r>
        <w:rPr>
          <w:sz w:val="20"/>
        </w:rPr>
        <w:t>See Pollock,</w:t>
      </w:r>
      <w:r>
        <w:rPr>
          <w:spacing w:val="-1"/>
          <w:sz w:val="20"/>
        </w:rPr>
        <w:t> </w:t>
      </w:r>
      <w:r>
        <w:rPr>
          <w:rFonts w:ascii="Arial"/>
          <w:i/>
          <w:sz w:val="20"/>
        </w:rPr>
        <w:t>Principles of Contract</w:t>
      </w:r>
      <w:r>
        <w:rPr>
          <w:rFonts w:ascii="Arial"/>
          <w:i/>
          <w:spacing w:val="-1"/>
          <w:sz w:val="20"/>
        </w:rPr>
        <w:t> </w:t>
      </w:r>
      <w:r>
        <w:rPr>
          <w:sz w:val="20"/>
        </w:rPr>
        <w:t>13th edn (1950), </w:t>
      </w:r>
      <w:r>
        <w:rPr>
          <w:spacing w:val="-4"/>
          <w:sz w:val="20"/>
        </w:rPr>
        <w:t>p.5.</w:t>
      </w:r>
    </w:p>
    <w:p>
      <w:pPr>
        <w:pStyle w:val="BodyText"/>
        <w:spacing w:before="5"/>
      </w:pPr>
    </w:p>
    <w:p>
      <w:pPr>
        <w:tabs>
          <w:tab w:pos="705" w:val="left" w:leader="none"/>
        </w:tabs>
        <w:spacing w:before="0"/>
        <w:ind w:left="165" w:right="0" w:firstLine="0"/>
        <w:jc w:val="left"/>
        <w:rPr>
          <w:sz w:val="20"/>
        </w:rPr>
      </w:pPr>
      <w:bookmarkStart w:name="_bookmark1110" w:id="1112"/>
      <w:bookmarkEnd w:id="1112"/>
      <w:r>
        <w:rPr/>
      </w:r>
      <w:hyperlink w:history="true" w:anchor="_bookmark1091">
        <w:r>
          <w:rPr>
            <w:color w:val="005DA1"/>
            <w:spacing w:val="-4"/>
            <w:position w:val="5"/>
            <w:sz w:val="14"/>
            <w:u w:val="single" w:color="005DA1"/>
          </w:rPr>
          <w:t>574</w:t>
        </w:r>
      </w:hyperlink>
      <w:r>
        <w:rPr>
          <w:spacing w:val="-4"/>
          <w:position w:val="5"/>
          <w:sz w:val="14"/>
        </w:rPr>
        <w:t>.</w:t>
      </w:r>
      <w:r>
        <w:rPr>
          <w:position w:val="5"/>
          <w:sz w:val="14"/>
        </w:rPr>
        <w:tab/>
      </w:r>
      <w:r>
        <w:rPr>
          <w:rFonts w:ascii="Arial" w:hAnsi="Arial"/>
          <w:i/>
          <w:sz w:val="20"/>
        </w:rPr>
        <w:t>Pagnan SpA v Feed Products Ltd [1987] 2 Lloyd’s Rep. 601, </w:t>
      </w:r>
      <w:r>
        <w:rPr>
          <w:rFonts w:ascii="Arial" w:hAnsi="Arial"/>
          <w:i/>
          <w:spacing w:val="-4"/>
          <w:sz w:val="20"/>
        </w:rPr>
        <w:t>616</w:t>
      </w:r>
      <w:r>
        <w:rPr>
          <w:spacing w:val="-4"/>
          <w:sz w:val="20"/>
        </w:rPr>
        <w:t>.</w:t>
      </w:r>
    </w:p>
    <w:p>
      <w:pPr>
        <w:pStyle w:val="BodyText"/>
        <w:spacing w:before="8"/>
      </w:pPr>
    </w:p>
    <w:p>
      <w:pPr>
        <w:pStyle w:val="BodyText"/>
        <w:spacing w:line="235" w:lineRule="auto" w:before="1"/>
        <w:ind w:left="705" w:right="167" w:hanging="541"/>
        <w:jc w:val="both"/>
      </w:pPr>
      <w:bookmarkStart w:name="_bookmark1111" w:id="1113"/>
      <w:bookmarkEnd w:id="1113"/>
      <w:r>
        <w:rPr/>
      </w:r>
      <w:hyperlink w:history="true" w:anchor="_bookmark1092">
        <w:r>
          <w:rPr>
            <w:color w:val="005DA1"/>
            <w:position w:val="5"/>
            <w:sz w:val="14"/>
            <w:u w:val="single" w:color="005DA1"/>
          </w:rPr>
          <w:t>575</w:t>
        </w:r>
      </w:hyperlink>
      <w:r>
        <w:rPr>
          <w:position w:val="5"/>
          <w:sz w:val="14"/>
        </w:rPr>
        <w:t>.</w:t>
      </w:r>
      <w:r>
        <w:rPr>
          <w:spacing w:val="80"/>
          <w:position w:val="5"/>
          <w:sz w:val="14"/>
        </w:rPr>
        <w:t> </w:t>
      </w:r>
      <w:r>
        <w:rPr/>
        <w:t>Below, paras 2-125, 2-126. </w:t>
      </w:r>
      <w:r>
        <w:rPr>
          <w:rFonts w:ascii="Arial" w:hAnsi="Arial"/>
          <w:i/>
        </w:rPr>
        <w:t>Conductive Inkjet Technology Ltd v Uni-Pixel Displays Inc </w:t>
      </w:r>
      <w:r>
        <w:rPr>
          <w:rFonts w:ascii="Arial" w:hAnsi="Arial"/>
          <w:i/>
        </w:rPr>
        <w:t>[2013] EWHC 2968 (Ch), [2014] 1 All E.R. (Comm) 655</w:t>
      </w:r>
      <w:r>
        <w:rPr/>
        <w:t>, the facts of which (so far as they are here relevant) are summarised in para.2-047, bears some resemblance to the “subject to contract” cases discussed</w:t>
      </w:r>
      <w:r>
        <w:rPr>
          <w:spacing w:val="-1"/>
        </w:rPr>
        <w:t> </w:t>
      </w:r>
      <w:r>
        <w:rPr/>
        <w:t>here. Roth</w:t>
      </w:r>
      <w:r>
        <w:rPr>
          <w:spacing w:val="-1"/>
        </w:rPr>
        <w:t> </w:t>
      </w:r>
      <w:r>
        <w:rPr/>
        <w:t>J. regarded</w:t>
      </w:r>
      <w:r>
        <w:rPr>
          <w:spacing w:val="-1"/>
        </w:rPr>
        <w:t> </w:t>
      </w:r>
      <w:r>
        <w:rPr/>
        <w:t>the case</w:t>
      </w:r>
      <w:r>
        <w:rPr>
          <w:spacing w:val="-1"/>
        </w:rPr>
        <w:t> </w:t>
      </w:r>
      <w:r>
        <w:rPr/>
        <w:t>as one</w:t>
      </w:r>
      <w:r>
        <w:rPr>
          <w:spacing w:val="-1"/>
        </w:rPr>
        <w:t> </w:t>
      </w:r>
      <w:r>
        <w:rPr/>
        <w:t>which did</w:t>
      </w:r>
      <w:r>
        <w:rPr>
          <w:spacing w:val="-1"/>
        </w:rPr>
        <w:t> </w:t>
      </w:r>
      <w:r>
        <w:rPr/>
        <w:t>“not fit</w:t>
      </w:r>
      <w:r>
        <w:rPr>
          <w:spacing w:val="-1"/>
        </w:rPr>
        <w:t> </w:t>
      </w:r>
      <w:r>
        <w:rPr/>
        <w:t>easily into</w:t>
      </w:r>
      <w:r>
        <w:rPr>
          <w:spacing w:val="-1"/>
        </w:rPr>
        <w:t> </w:t>
      </w:r>
      <w:r>
        <w:rPr/>
        <w:t>the normal analysis of a contract being constituted by offer and acceptance” (at [72]). The contract seems to have been one which was not intended to be binding until formal documents incorporating</w:t>
      </w:r>
      <w:r>
        <w:rPr>
          <w:spacing w:val="40"/>
        </w:rPr>
        <w:t> </w:t>
      </w:r>
      <w:r>
        <w:rPr/>
        <w:t>the (previously agreed) terms were executed by both parties: see below para.2-123.</w:t>
      </w:r>
    </w:p>
    <w:p>
      <w:pPr>
        <w:pStyle w:val="BodyText"/>
        <w:spacing w:before="7"/>
      </w:pPr>
    </w:p>
    <w:p>
      <w:pPr>
        <w:spacing w:line="235" w:lineRule="auto" w:before="0"/>
        <w:ind w:left="705" w:right="168" w:hanging="541"/>
        <w:jc w:val="both"/>
        <w:rPr>
          <w:sz w:val="20"/>
        </w:rPr>
      </w:pPr>
      <w:bookmarkStart w:name="_bookmark1112" w:id="1114"/>
      <w:bookmarkEnd w:id="1114"/>
      <w:r>
        <w:rPr/>
      </w:r>
      <w:hyperlink w:history="true" w:anchor="_bookmark1093">
        <w:r>
          <w:rPr>
            <w:color w:val="005DA1"/>
            <w:position w:val="5"/>
            <w:sz w:val="14"/>
            <w:u w:val="single" w:color="005DA1"/>
          </w:rPr>
          <w:t>576</w:t>
        </w:r>
      </w:hyperlink>
      <w:r>
        <w:rPr>
          <w:position w:val="5"/>
          <w:sz w:val="14"/>
        </w:rPr>
        <w:t>.</w:t>
      </w:r>
      <w:r>
        <w:rPr>
          <w:spacing w:val="40"/>
          <w:position w:val="5"/>
          <w:sz w:val="14"/>
        </w:rPr>
        <w:t>  </w:t>
      </w:r>
      <w:r>
        <w:rPr>
          <w:sz w:val="20"/>
        </w:rPr>
        <w:t>Above,</w:t>
      </w:r>
      <w:r>
        <w:rPr>
          <w:spacing w:val="-1"/>
          <w:sz w:val="20"/>
        </w:rPr>
        <w:t> </w:t>
      </w:r>
      <w:r>
        <w:rPr>
          <w:sz w:val="20"/>
        </w:rPr>
        <w:t>para.2-003.</w:t>
      </w:r>
      <w:r>
        <w:rPr>
          <w:spacing w:val="-1"/>
          <w:sz w:val="20"/>
        </w:rPr>
        <w:t> </w:t>
      </w:r>
      <w:r>
        <w:rPr>
          <w:sz w:val="20"/>
        </w:rPr>
        <w:t>cf.</w:t>
      </w:r>
      <w:r>
        <w:rPr>
          <w:spacing w:val="-1"/>
          <w:sz w:val="20"/>
        </w:rPr>
        <w:t> </w:t>
      </w:r>
      <w:r>
        <w:rPr>
          <w:sz w:val="20"/>
        </w:rPr>
        <w:t>the</w:t>
      </w:r>
      <w:r>
        <w:rPr>
          <w:spacing w:val="-1"/>
          <w:sz w:val="20"/>
        </w:rPr>
        <w:t> </w:t>
      </w:r>
      <w:r>
        <w:rPr>
          <w:sz w:val="20"/>
        </w:rPr>
        <w:t>statement</w:t>
      </w:r>
      <w:r>
        <w:rPr>
          <w:spacing w:val="-1"/>
          <w:sz w:val="20"/>
        </w:rPr>
        <w:t> </w:t>
      </w:r>
      <w:r>
        <w:rPr>
          <w:sz w:val="20"/>
        </w:rPr>
        <w:t>in</w:t>
      </w:r>
      <w:r>
        <w:rPr>
          <w:spacing w:val="-1"/>
          <w:sz w:val="20"/>
        </w:rPr>
        <w:t> </w:t>
      </w:r>
      <w:r>
        <w:rPr>
          <w:rFonts w:ascii="Arial" w:hAnsi="Arial"/>
          <w:i/>
          <w:sz w:val="20"/>
        </w:rPr>
        <w:t>Air</w:t>
      </w:r>
      <w:r>
        <w:rPr>
          <w:rFonts w:ascii="Arial" w:hAnsi="Arial"/>
          <w:i/>
          <w:spacing w:val="-1"/>
          <w:sz w:val="20"/>
        </w:rPr>
        <w:t> </w:t>
      </w:r>
      <w:r>
        <w:rPr>
          <w:rFonts w:ascii="Arial" w:hAnsi="Arial"/>
          <w:i/>
          <w:sz w:val="20"/>
        </w:rPr>
        <w:t>Studios</w:t>
      </w:r>
      <w:r>
        <w:rPr>
          <w:rFonts w:ascii="Arial" w:hAnsi="Arial"/>
          <w:i/>
          <w:spacing w:val="-1"/>
          <w:sz w:val="20"/>
        </w:rPr>
        <w:t> </w:t>
      </w:r>
      <w:r>
        <w:rPr>
          <w:rFonts w:ascii="Arial" w:hAnsi="Arial"/>
          <w:i/>
          <w:sz w:val="20"/>
        </w:rPr>
        <w:t>(Lyndhurst)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Lombard</w:t>
      </w:r>
      <w:r>
        <w:rPr>
          <w:rFonts w:ascii="Arial" w:hAnsi="Arial"/>
          <w:i/>
          <w:spacing w:val="-1"/>
          <w:sz w:val="20"/>
        </w:rPr>
        <w:t> </w:t>
      </w:r>
      <w:r>
        <w:rPr>
          <w:rFonts w:ascii="Arial" w:hAnsi="Arial"/>
          <w:i/>
          <w:sz w:val="20"/>
        </w:rPr>
        <w:t>North</w:t>
      </w:r>
      <w:r>
        <w:rPr>
          <w:rFonts w:ascii="Arial" w:hAnsi="Arial"/>
          <w:i/>
          <w:spacing w:val="-1"/>
          <w:sz w:val="20"/>
        </w:rPr>
        <w:t> </w:t>
      </w:r>
      <w:r>
        <w:rPr>
          <w:rFonts w:ascii="Arial" w:hAnsi="Arial"/>
          <w:i/>
          <w:sz w:val="20"/>
        </w:rPr>
        <w:t>Central</w:t>
      </w:r>
      <w:r>
        <w:rPr>
          <w:rFonts w:ascii="Arial" w:hAnsi="Arial"/>
          <w:i/>
          <w:spacing w:val="-1"/>
          <w:sz w:val="20"/>
        </w:rPr>
        <w:t> </w:t>
      </w:r>
      <w:r>
        <w:rPr>
          <w:rFonts w:ascii="Arial" w:hAnsi="Arial"/>
          <w:i/>
          <w:sz w:val="20"/>
        </w:rPr>
        <w:t>Plc [2012] EWHC 3162 (QB), [2013] 1 Lloyd’s Rep. 63 </w:t>
      </w:r>
      <w:r>
        <w:rPr>
          <w:sz w:val="20"/>
        </w:rPr>
        <w:t>that a communication “was not an </w:t>
      </w:r>
      <w:r>
        <w:rPr>
          <w:sz w:val="20"/>
        </w:rPr>
        <w:t>offer capable of being accepted because it was expressed to be ‘subject to contract’ ”.</w:t>
      </w:r>
    </w:p>
    <w:p>
      <w:pPr>
        <w:pStyle w:val="BodyText"/>
        <w:spacing w:before="5"/>
      </w:pPr>
    </w:p>
    <w:p>
      <w:pPr>
        <w:tabs>
          <w:tab w:pos="705" w:val="left" w:leader="none"/>
        </w:tabs>
        <w:spacing w:before="0"/>
        <w:ind w:left="165" w:right="0" w:firstLine="0"/>
        <w:jc w:val="left"/>
        <w:rPr>
          <w:sz w:val="20"/>
        </w:rPr>
      </w:pPr>
      <w:bookmarkStart w:name="_bookmark1113" w:id="1115"/>
      <w:bookmarkEnd w:id="1115"/>
      <w:r>
        <w:rPr/>
      </w:r>
      <w:hyperlink w:history="true" w:anchor="_bookmark1094">
        <w:r>
          <w:rPr>
            <w:color w:val="005DA1"/>
            <w:spacing w:val="-4"/>
            <w:position w:val="5"/>
            <w:sz w:val="14"/>
            <w:u w:val="single" w:color="005DA1"/>
          </w:rPr>
          <w:t>577</w:t>
        </w:r>
      </w:hyperlink>
      <w:r>
        <w:rPr>
          <w:spacing w:val="-4"/>
          <w:position w:val="5"/>
          <w:sz w:val="14"/>
        </w:rPr>
        <w:t>.</w:t>
      </w:r>
      <w:r>
        <w:rPr>
          <w:position w:val="5"/>
          <w:sz w:val="14"/>
        </w:rPr>
        <w:tab/>
      </w:r>
      <w:r>
        <w:rPr>
          <w:sz w:val="20"/>
        </w:rPr>
        <w:t>Below, para.2-</w:t>
      </w:r>
      <w:r>
        <w:rPr>
          <w:spacing w:val="-4"/>
          <w:sz w:val="20"/>
        </w:rPr>
        <w:t>126.</w:t>
      </w:r>
    </w:p>
    <w:p>
      <w:pPr>
        <w:pStyle w:val="BodyText"/>
        <w:spacing w:before="5"/>
      </w:pPr>
    </w:p>
    <w:p>
      <w:pPr>
        <w:tabs>
          <w:tab w:pos="705" w:val="left" w:leader="none"/>
        </w:tabs>
        <w:spacing w:before="0"/>
        <w:ind w:left="165" w:right="0" w:firstLine="0"/>
        <w:jc w:val="left"/>
        <w:rPr>
          <w:sz w:val="20"/>
        </w:rPr>
      </w:pPr>
      <w:bookmarkStart w:name="_bookmark1114" w:id="1116"/>
      <w:bookmarkEnd w:id="1116"/>
      <w:r>
        <w:rPr/>
      </w:r>
      <w:hyperlink w:history="true" w:anchor="_bookmark1095">
        <w:r>
          <w:rPr>
            <w:color w:val="005DA1"/>
            <w:spacing w:val="-4"/>
            <w:position w:val="5"/>
            <w:sz w:val="14"/>
            <w:u w:val="single" w:color="005DA1"/>
          </w:rPr>
          <w:t>578</w:t>
        </w:r>
      </w:hyperlink>
      <w:r>
        <w:rPr>
          <w:spacing w:val="-4"/>
          <w:position w:val="5"/>
          <w:sz w:val="14"/>
        </w:rPr>
        <w:t>.</w:t>
      </w:r>
      <w:r>
        <w:rPr>
          <w:position w:val="5"/>
          <w:sz w:val="14"/>
        </w:rPr>
        <w:tab/>
      </w:r>
      <w:r>
        <w:rPr>
          <w:sz w:val="20"/>
        </w:rPr>
        <w:t>Below, para.2-</w:t>
      </w:r>
      <w:r>
        <w:rPr>
          <w:spacing w:val="-4"/>
          <w:sz w:val="20"/>
        </w:rPr>
        <w:t>171.</w:t>
      </w:r>
    </w:p>
    <w:p>
      <w:pPr>
        <w:pStyle w:val="BodyText"/>
        <w:spacing w:before="9"/>
      </w:pPr>
    </w:p>
    <w:p>
      <w:pPr>
        <w:tabs>
          <w:tab w:pos="705" w:val="left" w:leader="none"/>
        </w:tabs>
        <w:spacing w:line="235" w:lineRule="auto" w:before="0"/>
        <w:ind w:left="705" w:right="168" w:hanging="541"/>
        <w:jc w:val="left"/>
        <w:rPr>
          <w:sz w:val="20"/>
        </w:rPr>
      </w:pPr>
      <w:bookmarkStart w:name="_bookmark1115" w:id="1117"/>
      <w:bookmarkEnd w:id="1117"/>
      <w:r>
        <w:rPr/>
      </w:r>
      <w:hyperlink w:history="true" w:anchor="_bookmark1096">
        <w:r>
          <w:rPr>
            <w:color w:val="005DA1"/>
            <w:spacing w:val="-4"/>
            <w:position w:val="5"/>
            <w:sz w:val="14"/>
            <w:u w:val="single" w:color="005DA1"/>
          </w:rPr>
          <w:t>579</w:t>
        </w:r>
      </w:hyperlink>
      <w:r>
        <w:rPr>
          <w:spacing w:val="-4"/>
          <w:position w:val="5"/>
          <w:sz w:val="14"/>
        </w:rPr>
        <w:t>.</w:t>
      </w:r>
      <w:r>
        <w:rPr>
          <w:position w:val="5"/>
          <w:sz w:val="14"/>
        </w:rPr>
        <w:tab/>
      </w:r>
      <w:r>
        <w:rPr>
          <w:sz w:val="20"/>
        </w:rPr>
        <w:t>See </w:t>
      </w:r>
      <w:r>
        <w:rPr>
          <w:rFonts w:ascii="Arial"/>
          <w:i/>
          <w:sz w:val="20"/>
        </w:rPr>
        <w:t>Christie Owen &amp; Davies v Rapacioli [1974] Q.B. 781</w:t>
      </w:r>
      <w:r>
        <w:rPr>
          <w:sz w:val="20"/>
        </w:rPr>
        <w:t>; cf. </w:t>
      </w:r>
      <w:r>
        <w:rPr>
          <w:rFonts w:ascii="Arial"/>
          <w:i/>
          <w:sz w:val="20"/>
        </w:rPr>
        <w:t>Commission for the New </w:t>
      </w:r>
      <w:r>
        <w:rPr>
          <w:rFonts w:ascii="Arial"/>
          <w:i/>
          <w:sz w:val="20"/>
        </w:rPr>
        <w:t>Towns</w:t>
      </w:r>
      <w:r>
        <w:rPr>
          <w:rFonts w:ascii="Arial"/>
          <w:i/>
          <w:spacing w:val="40"/>
          <w:sz w:val="20"/>
        </w:rPr>
        <w:t> </w:t>
      </w:r>
      <w:r>
        <w:rPr>
          <w:rFonts w:ascii="Arial"/>
          <w:i/>
          <w:sz w:val="20"/>
        </w:rPr>
        <w:t>Ltd v Cooper (Great Britain) Ltd [1995] Ch. 259 </w:t>
      </w:r>
      <w:r>
        <w:rPr>
          <w:sz w:val="20"/>
        </w:rPr>
        <w:t>at 285.</w:t>
      </w:r>
    </w:p>
    <w:p>
      <w:pPr>
        <w:spacing w:after="0" w:line="235" w:lineRule="auto"/>
        <w:jc w:val="left"/>
        <w:rPr>
          <w:sz w:val="20"/>
        </w:rPr>
        <w:sectPr>
          <w:pgSz w:w="11900" w:h="16840"/>
          <w:pgMar w:header="971" w:footer="0" w:top="1300" w:bottom="280" w:left="1275" w:right="1275"/>
        </w:sectPr>
      </w:pPr>
    </w:p>
    <w:p>
      <w:pPr>
        <w:spacing w:line="235" w:lineRule="auto" w:before="170"/>
        <w:ind w:left="705" w:right="168" w:hanging="541"/>
        <w:jc w:val="both"/>
        <w:rPr>
          <w:sz w:val="20"/>
        </w:rPr>
      </w:pPr>
      <w:bookmarkStart w:name="_bookmark1116" w:id="1118"/>
      <w:bookmarkEnd w:id="1118"/>
      <w:r>
        <w:rPr/>
      </w:r>
      <w:hyperlink w:history="true" w:anchor="_bookmark1097">
        <w:r>
          <w:rPr>
            <w:color w:val="005DA1"/>
            <w:position w:val="5"/>
            <w:sz w:val="14"/>
            <w:u w:val="single" w:color="005DA1"/>
          </w:rPr>
          <w:t>580</w:t>
        </w:r>
      </w:hyperlink>
      <w:r>
        <w:rPr>
          <w:position w:val="5"/>
          <w:sz w:val="14"/>
        </w:rPr>
        <w:t>.</w:t>
      </w:r>
      <w:r>
        <w:rPr>
          <w:spacing w:val="80"/>
          <w:w w:val="150"/>
          <w:position w:val="5"/>
          <w:sz w:val="14"/>
        </w:rPr>
        <w:t> </w:t>
      </w:r>
      <w:r>
        <w:rPr>
          <w:rFonts w:ascii="Arial" w:hAnsi="Arial"/>
          <w:i/>
          <w:sz w:val="20"/>
        </w:rPr>
        <w:t>Butler Machine Tool Co Ltd v Ex-Cell-O Corp (England) Ltd [1979] 1 W.L.R. 401, 404</w:t>
      </w:r>
      <w:r>
        <w:rPr>
          <w:sz w:val="20"/>
        </w:rPr>
        <w:t>; cf. </w:t>
      </w:r>
      <w:r>
        <w:rPr>
          <w:rFonts w:ascii="Arial" w:hAnsi="Arial"/>
          <w:i/>
          <w:sz w:val="20"/>
        </w:rPr>
        <w:t>Port Sudan Cotton Co v Govindaswamy Chettiar &amp; Sons [1977] 2 Lloyd’s Rep. 5, 10</w:t>
      </w:r>
      <w:r>
        <w:rPr>
          <w:sz w:val="20"/>
        </w:rPr>
        <w:t>; </w:t>
      </w:r>
      <w:r>
        <w:rPr>
          <w:rFonts w:ascii="Arial" w:hAnsi="Arial"/>
          <w:i/>
          <w:sz w:val="20"/>
        </w:rPr>
        <w:t>Tankrederei Ahrenkeil GmbH v Frahuil SA (The Multibank Holsatia) [1988] 2 Lloyd’s Rep. 486, 491–492</w:t>
      </w:r>
      <w:r>
        <w:rPr>
          <w:sz w:val="20"/>
        </w:rPr>
        <w:t>; </w:t>
      </w:r>
      <w:r>
        <w:rPr>
          <w:rFonts w:ascii="Arial" w:hAnsi="Arial"/>
          <w:i/>
          <w:sz w:val="20"/>
        </w:rPr>
        <w:t>Interfoto Picture Library Ltd v Stiletto Visual Programmes Ltd [1989] Ch. 433, 443</w:t>
      </w:r>
      <w:r>
        <w:rPr>
          <w:sz w:val="20"/>
        </w:rPr>
        <w:t>.</w:t>
      </w:r>
    </w:p>
    <w:p>
      <w:pPr>
        <w:pStyle w:val="BodyText"/>
        <w:spacing w:before="9"/>
      </w:pPr>
    </w:p>
    <w:p>
      <w:pPr>
        <w:spacing w:line="235" w:lineRule="auto" w:before="0"/>
        <w:ind w:left="705" w:right="167" w:hanging="541"/>
        <w:jc w:val="both"/>
        <w:rPr>
          <w:sz w:val="20"/>
        </w:rPr>
      </w:pPr>
      <w:bookmarkStart w:name="_bookmark1117" w:id="1119"/>
      <w:bookmarkEnd w:id="1119"/>
      <w:r>
        <w:rPr/>
      </w:r>
      <w:hyperlink w:history="true" w:anchor="_bookmark1098">
        <w:r>
          <w:rPr>
            <w:color w:val="005DA1"/>
            <w:position w:val="5"/>
            <w:sz w:val="14"/>
            <w:u w:val="single" w:color="005DA1"/>
          </w:rPr>
          <w:t>581</w:t>
        </w:r>
      </w:hyperlink>
      <w:r>
        <w:rPr>
          <w:position w:val="5"/>
          <w:sz w:val="14"/>
        </w:rPr>
        <w:t>.</w:t>
      </w:r>
      <w:r>
        <w:rPr>
          <w:spacing w:val="40"/>
          <w:position w:val="5"/>
          <w:sz w:val="14"/>
        </w:rPr>
        <w:t>  </w:t>
      </w:r>
      <w:r>
        <w:rPr>
          <w:rFonts w:ascii="Arial" w:hAnsi="Arial"/>
          <w:i/>
          <w:sz w:val="20"/>
        </w:rPr>
        <w:t>Gibson v Manchester City Council [1978] 1 W.L.R. 520, 523; reversed [1979] 1 W.L.R. </w:t>
      </w:r>
      <w:r>
        <w:rPr>
          <w:rFonts w:ascii="Arial" w:hAnsi="Arial"/>
          <w:i/>
          <w:sz w:val="20"/>
        </w:rPr>
        <w:t>294</w:t>
      </w:r>
      <w:r>
        <w:rPr>
          <w:sz w:val="20"/>
        </w:rPr>
        <w:t>; </w:t>
      </w:r>
      <w:r>
        <w:rPr>
          <w:rFonts w:ascii="Arial" w:hAnsi="Arial"/>
          <w:i/>
          <w:sz w:val="20"/>
        </w:rPr>
        <w:t>Maple Leaf Macro Volatility Master Fund v Rouvroy [2009] EWHC 257 (Comm), [2009] 1</w:t>
      </w:r>
      <w:r>
        <w:rPr>
          <w:rFonts w:ascii="Arial" w:hAnsi="Arial"/>
          <w:i/>
          <w:spacing w:val="40"/>
          <w:sz w:val="20"/>
        </w:rPr>
        <w:t> </w:t>
      </w:r>
      <w:r>
        <w:rPr>
          <w:rFonts w:ascii="Arial" w:hAnsi="Arial"/>
          <w:i/>
          <w:sz w:val="20"/>
        </w:rPr>
        <w:t>Lloyd’s Rep. 475 at [247]; affirmed [2009] EWCA Civ 1334, [2010] 2 All E.R. (Comm) 788 </w:t>
      </w:r>
      <w:r>
        <w:rPr>
          <w:sz w:val="20"/>
        </w:rPr>
        <w:t>without further reference to the present point. The case fell within the category of continuing negotiations (above, paras 2-027 and 2-028) rather than within any of the special situations discussed in para.2-117 above. For the view that the law does not invariably require strict compliance with the “offer and acceptance” analysis of contract formation, see also </w:t>
      </w:r>
      <w:r>
        <w:rPr>
          <w:rFonts w:ascii="Arial" w:hAnsi="Arial"/>
          <w:i/>
          <w:sz w:val="20"/>
        </w:rPr>
        <w:t>Finmoon</w:t>
      </w:r>
      <w:r>
        <w:rPr>
          <w:rFonts w:ascii="Arial" w:hAnsi="Arial"/>
          <w:i/>
          <w:spacing w:val="40"/>
          <w:sz w:val="20"/>
        </w:rPr>
        <w:t> </w:t>
      </w:r>
      <w:r>
        <w:rPr>
          <w:rFonts w:ascii="Arial" w:hAnsi="Arial"/>
          <w:i/>
          <w:sz w:val="20"/>
        </w:rPr>
        <w:t>Ltd</w:t>
      </w:r>
      <w:r>
        <w:rPr>
          <w:rFonts w:ascii="Arial" w:hAnsi="Arial"/>
          <w:i/>
          <w:spacing w:val="15"/>
          <w:sz w:val="20"/>
        </w:rPr>
        <w:t> </w:t>
      </w:r>
      <w:r>
        <w:rPr>
          <w:rFonts w:ascii="Arial" w:hAnsi="Arial"/>
          <w:i/>
          <w:sz w:val="20"/>
        </w:rPr>
        <w:t>v</w:t>
      </w:r>
      <w:r>
        <w:rPr>
          <w:rFonts w:ascii="Arial" w:hAnsi="Arial"/>
          <w:i/>
          <w:spacing w:val="15"/>
          <w:sz w:val="20"/>
        </w:rPr>
        <w:t> </w:t>
      </w:r>
      <w:r>
        <w:rPr>
          <w:rFonts w:ascii="Arial" w:hAnsi="Arial"/>
          <w:i/>
          <w:sz w:val="20"/>
        </w:rPr>
        <w:t>Baltic</w:t>
      </w:r>
      <w:r>
        <w:rPr>
          <w:rFonts w:ascii="Arial" w:hAnsi="Arial"/>
          <w:i/>
          <w:spacing w:val="15"/>
          <w:sz w:val="20"/>
        </w:rPr>
        <w:t> </w:t>
      </w:r>
      <w:r>
        <w:rPr>
          <w:rFonts w:ascii="Arial" w:hAnsi="Arial"/>
          <w:i/>
          <w:sz w:val="20"/>
        </w:rPr>
        <w:t>Reefer</w:t>
      </w:r>
      <w:r>
        <w:rPr>
          <w:rFonts w:ascii="Arial" w:hAnsi="Arial"/>
          <w:i/>
          <w:spacing w:val="15"/>
          <w:sz w:val="20"/>
        </w:rPr>
        <w:t> </w:t>
      </w:r>
      <w:r>
        <w:rPr>
          <w:rFonts w:ascii="Arial" w:hAnsi="Arial"/>
          <w:i/>
          <w:sz w:val="20"/>
        </w:rPr>
        <w:t>Management</w:t>
      </w:r>
      <w:r>
        <w:rPr>
          <w:rFonts w:ascii="Arial" w:hAnsi="Arial"/>
          <w:i/>
          <w:spacing w:val="15"/>
          <w:sz w:val="20"/>
        </w:rPr>
        <w:t> </w:t>
      </w:r>
      <w:r>
        <w:rPr>
          <w:rFonts w:ascii="Arial" w:hAnsi="Arial"/>
          <w:i/>
          <w:sz w:val="20"/>
        </w:rPr>
        <w:t>Ltd</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EWHC</w:t>
      </w:r>
      <w:r>
        <w:rPr>
          <w:rFonts w:ascii="Arial" w:hAnsi="Arial"/>
          <w:i/>
          <w:spacing w:val="15"/>
          <w:sz w:val="20"/>
        </w:rPr>
        <w:t> </w:t>
      </w:r>
      <w:r>
        <w:rPr>
          <w:rFonts w:ascii="Arial" w:hAnsi="Arial"/>
          <w:i/>
          <w:sz w:val="20"/>
        </w:rPr>
        <w:t>920</w:t>
      </w:r>
      <w:r>
        <w:rPr>
          <w:rFonts w:ascii="Arial" w:hAnsi="Arial"/>
          <w:i/>
          <w:spacing w:val="15"/>
          <w:sz w:val="20"/>
        </w:rPr>
        <w:t> </w:t>
      </w:r>
      <w:r>
        <w:rPr>
          <w:rFonts w:ascii="Arial" w:hAnsi="Arial"/>
          <w:i/>
          <w:sz w:val="20"/>
        </w:rPr>
        <w:t>(Comm),</w:t>
      </w:r>
      <w:r>
        <w:rPr>
          <w:rFonts w:ascii="Arial" w:hAnsi="Arial"/>
          <w:i/>
          <w:spacing w:val="15"/>
          <w:sz w:val="20"/>
        </w:rPr>
        <w:t> </w:t>
      </w:r>
      <w:r>
        <w:rPr>
          <w:rFonts w:ascii="Arial" w:hAnsi="Arial"/>
          <w:i/>
          <w:sz w:val="20"/>
        </w:rPr>
        <w:t>[2012]</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388</w:t>
      </w:r>
      <w:r>
        <w:rPr>
          <w:rFonts w:ascii="Arial" w:hAnsi="Arial"/>
          <w:i/>
          <w:spacing w:val="14"/>
          <w:sz w:val="20"/>
        </w:rPr>
        <w:t> </w:t>
      </w:r>
      <w:r>
        <w:rPr>
          <w:spacing w:val="-5"/>
          <w:sz w:val="20"/>
        </w:rPr>
        <w:t>at</w:t>
      </w:r>
    </w:p>
    <w:p>
      <w:pPr>
        <w:pStyle w:val="BodyText"/>
        <w:spacing w:line="223" w:lineRule="exact"/>
        <w:ind w:left="705"/>
      </w:pPr>
      <w:r>
        <w:rPr>
          <w:spacing w:val="-2"/>
        </w:rPr>
        <w:t>[22].</w:t>
      </w:r>
    </w:p>
    <w:p>
      <w:pPr>
        <w:pStyle w:val="BodyText"/>
        <w:spacing w:before="8"/>
      </w:pPr>
    </w:p>
    <w:p>
      <w:pPr>
        <w:spacing w:line="235" w:lineRule="auto" w:before="1"/>
        <w:ind w:left="705" w:right="167" w:hanging="541"/>
        <w:jc w:val="both"/>
        <w:rPr>
          <w:sz w:val="20"/>
        </w:rPr>
      </w:pPr>
      <w:bookmarkStart w:name="_bookmark1118" w:id="1120"/>
      <w:bookmarkEnd w:id="1120"/>
      <w:r>
        <w:rPr/>
      </w:r>
      <w:hyperlink w:history="true" w:anchor="_bookmark1099">
        <w:r>
          <w:rPr>
            <w:color w:val="005DA1"/>
            <w:position w:val="5"/>
            <w:sz w:val="14"/>
            <w:u w:val="single" w:color="005DA1"/>
          </w:rPr>
          <w:t>582</w:t>
        </w:r>
      </w:hyperlink>
      <w:r>
        <w:rPr>
          <w:position w:val="5"/>
          <w:sz w:val="14"/>
        </w:rPr>
        <w:t>.</w:t>
      </w:r>
      <w:r>
        <w:rPr>
          <w:spacing w:val="80"/>
          <w:w w:val="150"/>
          <w:position w:val="5"/>
          <w:sz w:val="14"/>
        </w:rPr>
        <w:t> </w:t>
      </w:r>
      <w:r>
        <w:rPr>
          <w:sz w:val="20"/>
        </w:rPr>
        <w:t>See </w:t>
      </w:r>
      <w:r>
        <w:rPr>
          <w:rFonts w:ascii="Arial" w:hAnsi="Arial"/>
          <w:i/>
          <w:sz w:val="20"/>
        </w:rPr>
        <w:t>Gay Choon Ing v Loh Sze T: Terence Peter [2009] SGCA 3 </w:t>
      </w:r>
      <w:r>
        <w:rPr>
          <w:sz w:val="20"/>
        </w:rPr>
        <w:t>at [63] (Singapore Court of Appeal), adopting the “traditional approach” while favouring a “less mechanistic or </w:t>
      </w:r>
      <w:r>
        <w:rPr>
          <w:sz w:val="20"/>
        </w:rPr>
        <w:t>dogmatic application of” the concepts of offer and acceptance.</w:t>
      </w:r>
    </w:p>
    <w:p>
      <w:pPr>
        <w:pStyle w:val="BodyText"/>
        <w:spacing w:before="8"/>
      </w:pPr>
    </w:p>
    <w:p>
      <w:pPr>
        <w:spacing w:line="235" w:lineRule="auto" w:before="0"/>
        <w:ind w:left="705" w:right="168" w:hanging="541"/>
        <w:jc w:val="both"/>
        <w:rPr>
          <w:sz w:val="20"/>
        </w:rPr>
      </w:pPr>
      <w:bookmarkStart w:name="_bookmark1119" w:id="1121"/>
      <w:bookmarkEnd w:id="1121"/>
      <w:r>
        <w:rPr/>
      </w:r>
      <w:hyperlink w:history="true" w:anchor="_bookmark1100">
        <w:r>
          <w:rPr>
            <w:color w:val="005DA1"/>
            <w:position w:val="5"/>
            <w:sz w:val="14"/>
            <w:u w:val="single" w:color="005DA1"/>
          </w:rPr>
          <w:t>583</w:t>
        </w:r>
      </w:hyperlink>
      <w:r>
        <w:rPr>
          <w:position w:val="5"/>
          <w:sz w:val="14"/>
        </w:rPr>
        <w:t>.</w:t>
      </w:r>
      <w:r>
        <w:rPr>
          <w:spacing w:val="40"/>
          <w:position w:val="5"/>
          <w:sz w:val="14"/>
        </w:rPr>
        <w:t>  </w:t>
      </w:r>
      <w:r>
        <w:rPr>
          <w:rFonts w:ascii="Arial" w:hAnsi="Arial"/>
          <w:i/>
          <w:sz w:val="20"/>
        </w:rPr>
        <w:t>Gibson v Manchester City Council [1979] 1 W.L.R. 294, 297</w:t>
      </w:r>
      <w:r>
        <w:rPr>
          <w:sz w:val="20"/>
        </w:rPr>
        <w:t>; cf. </w:t>
      </w:r>
      <w:r>
        <w:rPr>
          <w:rFonts w:ascii="Arial" w:hAnsi="Arial"/>
          <w:i/>
          <w:sz w:val="20"/>
        </w:rPr>
        <w:t>Harmony Shipping Co SA v Saudi-Europe Line Ltd (The Good Helmsman) [1981] 1 Lloyd’s Rep. 377, 409</w:t>
      </w:r>
      <w:r>
        <w:rPr>
          <w:sz w:val="20"/>
        </w:rPr>
        <w:t>; </w:t>
      </w:r>
      <w:r>
        <w:rPr>
          <w:rFonts w:ascii="Arial" w:hAnsi="Arial"/>
          <w:i/>
          <w:sz w:val="20"/>
        </w:rPr>
        <w:t>G. </w:t>
      </w:r>
      <w:r>
        <w:rPr>
          <w:rFonts w:ascii="Arial" w:hAnsi="Arial"/>
          <w:i/>
          <w:sz w:val="20"/>
        </w:rPr>
        <w:t>Percy Trentham Ltd v Archital Luxfer Ltd [1993] 1 Lloyd’s Rep. 27, 29–30</w:t>
      </w:r>
      <w:r>
        <w:rPr>
          <w:sz w:val="20"/>
        </w:rPr>
        <w: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120" w:id="1122"/>
      <w:bookmarkEnd w:id="1122"/>
      <w:r>
        <w:rPr/>
      </w:r>
      <w:hyperlink w:history="true" w:anchor="_bookmark1101">
        <w:r>
          <w:rPr>
            <w:color w:val="005DA1"/>
            <w:spacing w:val="-4"/>
            <w:sz w:val="14"/>
            <w:u w:val="single" w:color="005DA1"/>
          </w:rPr>
          <w:t>584</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Hispanica de Petroleos SA v Vencedora Oceanica Navegacion SA (The Kapetan Markos N.L.) [1987] 2 Lloyd’s Rep. 323, 331 </w:t>
      </w:r>
      <w:r>
        <w:rPr>
          <w:sz w:val="20"/>
        </w:rPr>
        <w:t>(“What was the mechanism of offer and acceptance?”); </w:t>
      </w:r>
      <w:r>
        <w:rPr>
          <w:rFonts w:ascii="Arial" w:hAnsi="Arial"/>
          <w:i/>
          <w:sz w:val="20"/>
        </w:rPr>
        <w:t>The</w:t>
      </w:r>
      <w:r>
        <w:rPr>
          <w:rFonts w:ascii="Arial" w:hAnsi="Arial"/>
          <w:i/>
          <w:spacing w:val="15"/>
          <w:sz w:val="20"/>
        </w:rPr>
        <w:t> </w:t>
      </w:r>
      <w:r>
        <w:rPr>
          <w:rFonts w:ascii="Arial" w:hAnsi="Arial"/>
          <w:i/>
          <w:sz w:val="20"/>
        </w:rPr>
        <w:t>Aramis</w:t>
      </w:r>
      <w:r>
        <w:rPr>
          <w:rFonts w:ascii="Arial" w:hAnsi="Arial"/>
          <w:i/>
          <w:spacing w:val="16"/>
          <w:sz w:val="20"/>
        </w:rPr>
        <w:t> </w:t>
      </w:r>
      <w:r>
        <w:rPr>
          <w:rFonts w:ascii="Arial" w:hAnsi="Arial"/>
          <w:i/>
          <w:sz w:val="20"/>
        </w:rPr>
        <w:t>[1989]</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213</w:t>
      </w:r>
      <w:r>
        <w:rPr>
          <w:sz w:val="20"/>
        </w:rPr>
        <w:t>;</w:t>
      </w:r>
      <w:r>
        <w:rPr>
          <w:spacing w:val="16"/>
          <w:sz w:val="20"/>
        </w:rPr>
        <w:t> </w:t>
      </w:r>
      <w:r>
        <w:rPr>
          <w:sz w:val="20"/>
        </w:rPr>
        <w:t>Treitel</w:t>
      </w:r>
      <w:r>
        <w:rPr>
          <w:spacing w:val="16"/>
          <w:sz w:val="20"/>
        </w:rPr>
        <w:t> </w:t>
      </w:r>
      <w:r>
        <w:rPr>
          <w:sz w:val="20"/>
        </w:rPr>
        <w:t>[1989]</w:t>
      </w:r>
      <w:r>
        <w:rPr>
          <w:spacing w:val="16"/>
          <w:sz w:val="20"/>
        </w:rPr>
        <w:t> </w:t>
      </w:r>
      <w:r>
        <w:rPr>
          <w:sz w:val="20"/>
        </w:rPr>
        <w:t>L.M.C.L.Q.</w:t>
      </w:r>
      <w:r>
        <w:rPr>
          <w:spacing w:val="16"/>
          <w:sz w:val="20"/>
        </w:rPr>
        <w:t> </w:t>
      </w:r>
      <w:r>
        <w:rPr>
          <w:sz w:val="20"/>
        </w:rPr>
        <w:t>162;</w:t>
      </w:r>
      <w:r>
        <w:rPr>
          <w:spacing w:val="16"/>
          <w:sz w:val="20"/>
        </w:rPr>
        <w:t> </w:t>
      </w:r>
      <w:r>
        <w:rPr>
          <w:rFonts w:ascii="Arial" w:hAnsi="Arial"/>
          <w:i/>
          <w:sz w:val="20"/>
        </w:rPr>
        <w:t>Taylor</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Dickens</w:t>
      </w:r>
      <w:r>
        <w:rPr>
          <w:rFonts w:ascii="Arial" w:hAnsi="Arial"/>
          <w:i/>
          <w:spacing w:val="16"/>
          <w:sz w:val="20"/>
        </w:rPr>
        <w:t> </w:t>
      </w:r>
      <w:r>
        <w:rPr>
          <w:rFonts w:ascii="Arial" w:hAnsi="Arial"/>
          <w:i/>
          <w:spacing w:val="-2"/>
          <w:sz w:val="20"/>
        </w:rPr>
        <w:t>[1998]</w:t>
      </w:r>
    </w:p>
    <w:p>
      <w:pPr>
        <w:spacing w:line="235" w:lineRule="auto" w:before="0"/>
        <w:ind w:left="165" w:right="167" w:firstLine="0"/>
        <w:jc w:val="both"/>
        <w:rPr>
          <w:sz w:val="20"/>
        </w:rPr>
      </w:pPr>
      <w:r>
        <w:rPr>
          <w:sz w:val="20"/>
        </w:rPr>
        <w:drawing>
          <wp:anchor distT="0" distB="0" distL="0" distR="0" allowOverlap="1" layoutInCell="1" locked="0" behindDoc="0" simplePos="0" relativeHeight="15752704">
            <wp:simplePos x="0" y="0"/>
            <wp:positionH relativeFrom="page">
              <wp:posOffset>1257846</wp:posOffset>
            </wp:positionH>
            <wp:positionV relativeFrom="paragraph">
              <wp:posOffset>-403438</wp:posOffset>
            </wp:positionV>
            <wp:extent cx="107988" cy="107988"/>
            <wp:effectExtent l="0" t="0" r="0" b="0"/>
            <wp:wrapNone/>
            <wp:docPr id="87" name="Image 87"/>
            <wp:cNvGraphicFramePr>
              <a:graphicFrameLocks/>
            </wp:cNvGraphicFramePr>
            <a:graphic>
              <a:graphicData uri="http://schemas.openxmlformats.org/drawingml/2006/picture">
                <pic:pic>
                  <pic:nvPicPr>
                    <pic:cNvPr id="87" name="Image 8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F.L.R.</w:t>
      </w:r>
      <w:r>
        <w:rPr>
          <w:rFonts w:ascii="Arial" w:hAnsi="Arial"/>
          <w:i/>
          <w:spacing w:val="-1"/>
          <w:sz w:val="20"/>
        </w:rPr>
        <w:t> </w:t>
      </w:r>
      <w:r>
        <w:rPr>
          <w:rFonts w:ascii="Arial" w:hAnsi="Arial"/>
          <w:i/>
          <w:sz w:val="20"/>
        </w:rPr>
        <w:t>806,</w:t>
      </w:r>
      <w:r>
        <w:rPr>
          <w:rFonts w:ascii="Arial" w:hAnsi="Arial"/>
          <w:i/>
          <w:spacing w:val="-1"/>
          <w:sz w:val="20"/>
        </w:rPr>
        <w:t> </w:t>
      </w:r>
      <w:r>
        <w:rPr>
          <w:rFonts w:ascii="Arial" w:hAnsi="Arial"/>
          <w:i/>
          <w:sz w:val="20"/>
        </w:rPr>
        <w:t>818</w:t>
      </w:r>
      <w:r>
        <w:rPr>
          <w:rFonts w:ascii="Arial" w:hAnsi="Arial"/>
          <w:i/>
          <w:spacing w:val="-1"/>
          <w:sz w:val="20"/>
        </w:rPr>
        <w:t> </w:t>
      </w:r>
      <w:r>
        <w:rPr>
          <w:sz w:val="20"/>
        </w:rPr>
        <w:t>(doubted</w:t>
      </w:r>
      <w:r>
        <w:rPr>
          <w:spacing w:val="-1"/>
          <w:sz w:val="20"/>
        </w:rPr>
        <w:t> </w:t>
      </w:r>
      <w:r>
        <w:rPr>
          <w:sz w:val="20"/>
        </w:rPr>
        <w:t>on</w:t>
      </w:r>
      <w:r>
        <w:rPr>
          <w:spacing w:val="-1"/>
          <w:sz w:val="20"/>
        </w:rPr>
        <w:t> </w:t>
      </w:r>
      <w:r>
        <w:rPr>
          <w:sz w:val="20"/>
        </w:rPr>
        <w:t>another</w:t>
      </w:r>
      <w:r>
        <w:rPr>
          <w:spacing w:val="-1"/>
          <w:sz w:val="20"/>
        </w:rPr>
        <w:t> </w:t>
      </w:r>
      <w:r>
        <w:rPr>
          <w:sz w:val="20"/>
        </w:rPr>
        <w:t>point</w:t>
      </w:r>
      <w:r>
        <w:rPr>
          <w:spacing w:val="-1"/>
          <w:sz w:val="20"/>
        </w:rPr>
        <w:t> </w:t>
      </w:r>
      <w:r>
        <w:rPr>
          <w:sz w:val="20"/>
        </w:rPr>
        <w:t>in</w:t>
      </w:r>
      <w:r>
        <w:rPr>
          <w:spacing w:val="-1"/>
          <w:sz w:val="20"/>
        </w:rPr>
        <w:t> </w:t>
      </w:r>
      <w:r>
        <w:rPr>
          <w:rFonts w:ascii="Arial" w:hAnsi="Arial"/>
          <w:i/>
          <w:sz w:val="20"/>
        </w:rPr>
        <w:t>Gillett</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Holt</w:t>
      </w:r>
      <w:r>
        <w:rPr>
          <w:rFonts w:ascii="Arial" w:hAnsi="Arial"/>
          <w:i/>
          <w:spacing w:val="-1"/>
          <w:sz w:val="20"/>
        </w:rPr>
        <w:t> </w:t>
      </w:r>
      <w:r>
        <w:rPr>
          <w:rFonts w:ascii="Arial" w:hAnsi="Arial"/>
          <w:i/>
          <w:sz w:val="20"/>
        </w:rPr>
        <w:t>[2001]</w:t>
      </w:r>
      <w:r>
        <w:rPr>
          <w:rFonts w:ascii="Arial" w:hAnsi="Arial"/>
          <w:i/>
          <w:spacing w:val="-1"/>
          <w:sz w:val="20"/>
        </w:rPr>
        <w:t> </w:t>
      </w:r>
      <w:r>
        <w:rPr>
          <w:rFonts w:ascii="Arial" w:hAnsi="Arial"/>
          <w:i/>
          <w:sz w:val="20"/>
        </w:rPr>
        <w:t>Ch.</w:t>
      </w:r>
      <w:r>
        <w:rPr>
          <w:rFonts w:ascii="Arial" w:hAnsi="Arial"/>
          <w:i/>
          <w:spacing w:val="-1"/>
          <w:sz w:val="20"/>
        </w:rPr>
        <w:t> </w:t>
      </w:r>
      <w:r>
        <w:rPr>
          <w:rFonts w:ascii="Arial" w:hAnsi="Arial"/>
          <w:i/>
          <w:sz w:val="20"/>
        </w:rPr>
        <w:t>210</w:t>
      </w:r>
      <w:r>
        <w:rPr>
          <w:sz w:val="20"/>
        </w:rPr>
        <w:t>);</w:t>
      </w:r>
      <w:r>
        <w:rPr>
          <w:spacing w:val="-1"/>
          <w:sz w:val="20"/>
        </w:rPr>
        <w:t> </w:t>
      </w:r>
      <w:r>
        <w:rPr>
          <w:rFonts w:ascii="Arial" w:hAnsi="Arial"/>
          <w:i/>
          <w:sz w:val="20"/>
        </w:rPr>
        <w:t>Schuldenfrei</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Hilton [1999] S.T.C. 821</w:t>
      </w:r>
      <w:r>
        <w:rPr>
          <w:sz w:val="20"/>
        </w:rPr>
        <w:t>; </w:t>
      </w:r>
      <w:r>
        <w:rPr>
          <w:rFonts w:ascii="Arial" w:hAnsi="Arial"/>
          <w:i/>
          <w:sz w:val="20"/>
        </w:rPr>
        <w:t>Assuranceforeningen Gard Gjensidig v International Oil </w:t>
      </w:r>
      <w:r>
        <w:rPr>
          <w:rFonts w:ascii="Arial" w:hAnsi="Arial"/>
          <w:i/>
          <w:sz w:val="20"/>
        </w:rPr>
        <w:t>Pollution Compensation Fund [2014] EWHC 3369 (Comm)</w:t>
      </w:r>
      <w:r>
        <w:rPr>
          <w:sz w:val="20"/>
        </w:rPr>
        <w:t>; </w:t>
      </w:r>
      <w:r>
        <w:rPr>
          <w:rFonts w:ascii="Arial" w:hAnsi="Arial"/>
          <w:i/>
          <w:sz w:val="20"/>
        </w:rPr>
        <w:t>Price v Euro Car Parks Ltd [2015] EWHC 3253 (QB)</w:t>
      </w:r>
      <w:r>
        <w:rPr>
          <w:sz w:val="20"/>
        </w:rPr>
        <w:t>; and </w:t>
      </w:r>
      <w:r>
        <w:rPr>
          <w:rFonts w:ascii="Arial" w:hAnsi="Arial"/>
          <w:i/>
          <w:sz w:val="20"/>
        </w:rPr>
        <w:t>Burgess v Lejonvarn [2016] EWHC 40 (TCC); [2016] T.C.L.R. 3</w:t>
      </w:r>
      <w:r>
        <w:rPr>
          <w:sz w:val="20"/>
        </w:rPr>
        <w:t>. The “offer and acceptance”</w:t>
      </w:r>
      <w:r>
        <w:rPr>
          <w:spacing w:val="35"/>
          <w:sz w:val="20"/>
        </w:rPr>
        <w:t> </w:t>
      </w:r>
      <w:r>
        <w:rPr>
          <w:sz w:val="20"/>
        </w:rPr>
        <w:t>analysis</w:t>
      </w:r>
      <w:r>
        <w:rPr>
          <w:spacing w:val="35"/>
          <w:sz w:val="20"/>
        </w:rPr>
        <w:t> </w:t>
      </w:r>
      <w:r>
        <w:rPr>
          <w:sz w:val="20"/>
        </w:rPr>
        <w:t>is</w:t>
      </w:r>
      <w:r>
        <w:rPr>
          <w:spacing w:val="35"/>
          <w:sz w:val="20"/>
        </w:rPr>
        <w:t> </w:t>
      </w:r>
      <w:r>
        <w:rPr>
          <w:sz w:val="20"/>
        </w:rPr>
        <w:t>also</w:t>
      </w:r>
      <w:r>
        <w:rPr>
          <w:spacing w:val="35"/>
          <w:sz w:val="20"/>
        </w:rPr>
        <w:t> </w:t>
      </w:r>
      <w:r>
        <w:rPr>
          <w:sz w:val="20"/>
        </w:rPr>
        <w:t>used</w:t>
      </w:r>
      <w:r>
        <w:rPr>
          <w:spacing w:val="35"/>
          <w:sz w:val="20"/>
        </w:rPr>
        <w:t> </w:t>
      </w:r>
      <w:r>
        <w:rPr>
          <w:sz w:val="20"/>
        </w:rPr>
        <w:t>in</w:t>
      </w:r>
      <w:r>
        <w:rPr>
          <w:spacing w:val="35"/>
          <w:sz w:val="20"/>
        </w:rPr>
        <w:t> </w:t>
      </w:r>
      <w:r>
        <w:rPr>
          <w:sz w:val="20"/>
        </w:rPr>
        <w:t>many</w:t>
      </w:r>
      <w:r>
        <w:rPr>
          <w:spacing w:val="35"/>
          <w:sz w:val="20"/>
        </w:rPr>
        <w:t> </w:t>
      </w:r>
      <w:r>
        <w:rPr>
          <w:sz w:val="20"/>
        </w:rPr>
        <w:t>of</w:t>
      </w:r>
      <w:r>
        <w:rPr>
          <w:spacing w:val="35"/>
          <w:sz w:val="20"/>
        </w:rPr>
        <w:t> </w:t>
      </w:r>
      <w:r>
        <w:rPr>
          <w:sz w:val="20"/>
        </w:rPr>
        <w:t>the</w:t>
      </w:r>
      <w:r>
        <w:rPr>
          <w:spacing w:val="35"/>
          <w:sz w:val="20"/>
        </w:rPr>
        <w:t> </w:t>
      </w:r>
      <w:r>
        <w:rPr>
          <w:sz w:val="20"/>
        </w:rPr>
        <w:t>arbitration</w:t>
      </w:r>
      <w:r>
        <w:rPr>
          <w:spacing w:val="35"/>
          <w:sz w:val="20"/>
        </w:rPr>
        <w:t> </w:t>
      </w:r>
      <w:r>
        <w:rPr>
          <w:sz w:val="20"/>
        </w:rPr>
        <w:t>cases</w:t>
      </w:r>
      <w:r>
        <w:rPr>
          <w:spacing w:val="35"/>
          <w:sz w:val="20"/>
        </w:rPr>
        <w:t> </w:t>
      </w:r>
      <w:r>
        <w:rPr>
          <w:sz w:val="20"/>
        </w:rPr>
        <w:t>discussed</w:t>
      </w:r>
      <w:r>
        <w:rPr>
          <w:spacing w:val="35"/>
          <w:sz w:val="20"/>
        </w:rPr>
        <w:t> </w:t>
      </w:r>
      <w:r>
        <w:rPr>
          <w:sz w:val="20"/>
        </w:rPr>
        <w:t>above,</w:t>
      </w:r>
      <w:r>
        <w:rPr>
          <w:spacing w:val="35"/>
          <w:sz w:val="20"/>
        </w:rPr>
        <w:t> </w:t>
      </w:r>
      <w:r>
        <w:rPr>
          <w:sz w:val="20"/>
        </w:rPr>
        <w:t>paras 2-006, 2-074 though it is viewed with scepticism in </w:t>
      </w:r>
      <w:r>
        <w:rPr>
          <w:rFonts w:ascii="Arial" w:hAnsi="Arial"/>
          <w:i/>
          <w:sz w:val="20"/>
        </w:rPr>
        <w:t>The Multibank Holsatia</w:t>
      </w:r>
      <w:r>
        <w:rPr>
          <w:sz w:val="20"/>
        </w:rPr>
        <w:t>, above n.569, at 491 and in </w:t>
      </w:r>
      <w:r>
        <w:rPr>
          <w:rFonts w:ascii="Arial" w:hAnsi="Arial"/>
          <w:i/>
          <w:sz w:val="20"/>
        </w:rPr>
        <w:t>Thai-Europe Tapioca Service Ltd v Seine Navigation Inc (The Maritime Winner) [1989] 2 Lloyd’s Rep. 506, 515</w:t>
      </w:r>
      <w:r>
        <w:rPr>
          <w:sz w:val="20"/>
        </w:rPr>
        <w:t>.</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2"/>
      </w:pPr>
    </w:p>
    <w:p>
      <w:pPr>
        <w:pStyle w:val="BodyText"/>
        <w:tabs>
          <w:tab w:pos="705" w:val="left" w:leader="none"/>
        </w:tabs>
        <w:ind w:left="165"/>
      </w:pPr>
      <w:bookmarkStart w:name="_bookmark1121" w:id="1123"/>
      <w:bookmarkEnd w:id="1123"/>
      <w:r>
        <w:rPr/>
      </w:r>
      <w:hyperlink w:history="true" w:anchor="_bookmark1102">
        <w:r>
          <w:rPr>
            <w:color w:val="005DA1"/>
            <w:spacing w:val="-4"/>
            <w:position w:val="5"/>
            <w:sz w:val="14"/>
            <w:u w:val="single" w:color="005DA1"/>
          </w:rPr>
          <w:t>585</w:t>
        </w:r>
      </w:hyperlink>
      <w:r>
        <w:rPr>
          <w:spacing w:val="-4"/>
          <w:position w:val="5"/>
          <w:sz w:val="14"/>
        </w:rPr>
        <w:t>.</w:t>
      </w:r>
      <w:r>
        <w:rPr>
          <w:position w:val="5"/>
          <w:sz w:val="14"/>
        </w:rPr>
        <w:tab/>
      </w:r>
      <w:r>
        <w:rPr/>
        <w:t>e.g. the “battle of forms” cases discussed above, paras 2-033 et </w:t>
      </w:r>
      <w:r>
        <w:rPr>
          <w:spacing w:val="-4"/>
        </w:rPr>
        <w:t>seq.</w:t>
      </w:r>
    </w:p>
    <w:p>
      <w:pPr>
        <w:pStyle w:val="BodyText"/>
        <w:spacing w:before="9"/>
      </w:pPr>
    </w:p>
    <w:p>
      <w:pPr>
        <w:tabs>
          <w:tab w:pos="705" w:val="left" w:leader="none"/>
        </w:tabs>
        <w:spacing w:line="235" w:lineRule="auto" w:before="0"/>
        <w:ind w:left="705" w:right="168" w:hanging="541"/>
        <w:jc w:val="left"/>
        <w:rPr>
          <w:sz w:val="20"/>
        </w:rPr>
      </w:pPr>
      <w:bookmarkStart w:name="_bookmark1122" w:id="1124"/>
      <w:bookmarkEnd w:id="1124"/>
      <w:r>
        <w:rPr/>
      </w:r>
      <w:hyperlink w:history="true" w:anchor="_bookmark1102">
        <w:r>
          <w:rPr>
            <w:color w:val="005DA1"/>
            <w:spacing w:val="-4"/>
            <w:position w:val="5"/>
            <w:sz w:val="14"/>
            <w:u w:val="single" w:color="005DA1"/>
          </w:rPr>
          <w:t>586</w:t>
        </w:r>
      </w:hyperlink>
      <w:r>
        <w:rPr>
          <w:spacing w:val="-4"/>
          <w:position w:val="5"/>
          <w:sz w:val="14"/>
        </w:rPr>
        <w:t>.</w:t>
      </w:r>
      <w:r>
        <w:rPr>
          <w:position w:val="5"/>
          <w:sz w:val="14"/>
        </w:rPr>
        <w:tab/>
      </w:r>
      <w:r>
        <w:rPr>
          <w:rFonts w:ascii="Arial" w:hAnsi="Arial"/>
          <w:i/>
          <w:sz w:val="20"/>
        </w:rPr>
        <w:t>Tekdata</w:t>
      </w:r>
      <w:r>
        <w:rPr>
          <w:rFonts w:ascii="Arial" w:hAnsi="Arial"/>
          <w:i/>
          <w:spacing w:val="34"/>
          <w:sz w:val="20"/>
        </w:rPr>
        <w:t> </w:t>
      </w:r>
      <w:r>
        <w:rPr>
          <w:rFonts w:ascii="Arial" w:hAnsi="Arial"/>
          <w:i/>
          <w:sz w:val="20"/>
        </w:rPr>
        <w:t>Intercommunications</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v</w:t>
      </w:r>
      <w:r>
        <w:rPr>
          <w:rFonts w:ascii="Arial" w:hAnsi="Arial"/>
          <w:i/>
          <w:spacing w:val="34"/>
          <w:sz w:val="20"/>
        </w:rPr>
        <w:t> </w:t>
      </w:r>
      <w:r>
        <w:rPr>
          <w:rFonts w:ascii="Arial" w:hAnsi="Arial"/>
          <w:i/>
          <w:sz w:val="20"/>
        </w:rPr>
        <w:t>Amphenol</w:t>
      </w:r>
      <w:r>
        <w:rPr>
          <w:rFonts w:ascii="Arial" w:hAnsi="Arial"/>
          <w:i/>
          <w:spacing w:val="34"/>
          <w:sz w:val="20"/>
        </w:rPr>
        <w:t> </w:t>
      </w:r>
      <w:r>
        <w:rPr>
          <w:rFonts w:ascii="Arial" w:hAnsi="Arial"/>
          <w:i/>
          <w:sz w:val="20"/>
        </w:rPr>
        <w:t>Ltd</w:t>
      </w:r>
      <w:r>
        <w:rPr>
          <w:rFonts w:ascii="Arial" w:hAnsi="Arial"/>
          <w:i/>
          <w:spacing w:val="34"/>
          <w:sz w:val="20"/>
        </w:rPr>
        <w:t> </w:t>
      </w:r>
      <w:r>
        <w:rPr>
          <w:rFonts w:ascii="Arial" w:hAnsi="Arial"/>
          <w:i/>
          <w:sz w:val="20"/>
        </w:rPr>
        <w:t>[2009]</w:t>
      </w:r>
      <w:r>
        <w:rPr>
          <w:rFonts w:ascii="Arial" w:hAnsi="Arial"/>
          <w:i/>
          <w:spacing w:val="34"/>
          <w:sz w:val="20"/>
        </w:rPr>
        <w:t> </w:t>
      </w:r>
      <w:r>
        <w:rPr>
          <w:rFonts w:ascii="Arial" w:hAnsi="Arial"/>
          <w:i/>
          <w:sz w:val="20"/>
        </w:rPr>
        <w:t>EWCA</w:t>
      </w:r>
      <w:r>
        <w:rPr>
          <w:rFonts w:ascii="Arial" w:hAnsi="Arial"/>
          <w:i/>
          <w:spacing w:val="34"/>
          <w:sz w:val="20"/>
        </w:rPr>
        <w:t> </w:t>
      </w:r>
      <w:r>
        <w:rPr>
          <w:rFonts w:ascii="Arial" w:hAnsi="Arial"/>
          <w:i/>
          <w:sz w:val="20"/>
        </w:rPr>
        <w:t>Civ</w:t>
      </w:r>
      <w:r>
        <w:rPr>
          <w:rFonts w:ascii="Arial" w:hAnsi="Arial"/>
          <w:i/>
          <w:spacing w:val="34"/>
          <w:sz w:val="20"/>
        </w:rPr>
        <w:t> </w:t>
      </w:r>
      <w:r>
        <w:rPr>
          <w:rFonts w:ascii="Arial" w:hAnsi="Arial"/>
          <w:i/>
          <w:sz w:val="20"/>
        </w:rPr>
        <w:t>1209,</w:t>
      </w:r>
      <w:r>
        <w:rPr>
          <w:rFonts w:ascii="Arial" w:hAnsi="Arial"/>
          <w:i/>
          <w:spacing w:val="34"/>
          <w:sz w:val="20"/>
        </w:rPr>
        <w:t> </w:t>
      </w:r>
      <w:r>
        <w:rPr>
          <w:rFonts w:ascii="Arial" w:hAnsi="Arial"/>
          <w:i/>
          <w:sz w:val="20"/>
        </w:rPr>
        <w:t>[2010]</w:t>
      </w:r>
      <w:r>
        <w:rPr>
          <w:rFonts w:ascii="Arial" w:hAnsi="Arial"/>
          <w:i/>
          <w:spacing w:val="34"/>
          <w:sz w:val="20"/>
        </w:rPr>
        <w:t> </w:t>
      </w:r>
      <w:r>
        <w:rPr>
          <w:rFonts w:ascii="Arial" w:hAnsi="Arial"/>
          <w:i/>
          <w:sz w:val="20"/>
        </w:rPr>
        <w:t>1</w:t>
      </w:r>
      <w:r>
        <w:rPr>
          <w:rFonts w:ascii="Arial" w:hAnsi="Arial"/>
          <w:i/>
          <w:spacing w:val="34"/>
          <w:sz w:val="20"/>
        </w:rPr>
        <w:t> </w:t>
      </w:r>
      <w:r>
        <w:rPr>
          <w:rFonts w:ascii="Arial" w:hAnsi="Arial"/>
          <w:i/>
          <w:sz w:val="20"/>
        </w:rPr>
        <w:t>Lloyd’s Rep. 357 </w:t>
      </w:r>
      <w:r>
        <w:rPr>
          <w:sz w:val="20"/>
        </w:rPr>
        <w:t>(above, para.2-036).</w:t>
      </w:r>
    </w:p>
    <w:p>
      <w:pPr>
        <w:pStyle w:val="BodyText"/>
        <w:spacing w:before="9"/>
      </w:pPr>
    </w:p>
    <w:p>
      <w:pPr>
        <w:spacing w:line="235" w:lineRule="auto" w:before="0"/>
        <w:ind w:left="705" w:right="167" w:hanging="541"/>
        <w:jc w:val="both"/>
        <w:rPr>
          <w:sz w:val="20"/>
        </w:rPr>
      </w:pPr>
      <w:bookmarkStart w:name="_bookmark1123" w:id="1125"/>
      <w:bookmarkEnd w:id="1125"/>
      <w:r>
        <w:rPr/>
      </w:r>
      <w:hyperlink w:history="true" w:anchor="_bookmark1103">
        <w:r>
          <w:rPr>
            <w:color w:val="005DA1"/>
            <w:position w:val="5"/>
            <w:sz w:val="14"/>
            <w:u w:val="single" w:color="005DA1"/>
          </w:rPr>
          <w:t>587</w:t>
        </w:r>
      </w:hyperlink>
      <w:r>
        <w:rPr>
          <w:position w:val="5"/>
          <w:sz w:val="14"/>
        </w:rPr>
        <w:t>.</w:t>
      </w:r>
      <w:r>
        <w:rPr>
          <w:spacing w:val="80"/>
          <w:position w:val="5"/>
          <w:sz w:val="14"/>
        </w:rPr>
        <w:t>  </w:t>
      </w:r>
      <w:r>
        <w:rPr>
          <w:rFonts w:ascii="Arial" w:hAnsi="Arial"/>
          <w:i/>
          <w:sz w:val="20"/>
        </w:rPr>
        <w:t>[2009]</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1209</w:t>
      </w:r>
      <w:r>
        <w:rPr>
          <w:rFonts w:ascii="Arial" w:hAnsi="Arial"/>
          <w:i/>
          <w:spacing w:val="-2"/>
          <w:sz w:val="20"/>
        </w:rPr>
        <w:t> </w:t>
      </w:r>
      <w:r>
        <w:rPr>
          <w:sz w:val="20"/>
        </w:rPr>
        <w:t>at</w:t>
      </w:r>
      <w:r>
        <w:rPr>
          <w:spacing w:val="-2"/>
          <w:sz w:val="20"/>
        </w:rPr>
        <w:t> </w:t>
      </w:r>
      <w:r>
        <w:rPr>
          <w:sz w:val="20"/>
        </w:rPr>
        <w:t>[20],</w:t>
      </w:r>
      <w:r>
        <w:rPr>
          <w:spacing w:val="-2"/>
          <w:sz w:val="20"/>
        </w:rPr>
        <w:t> </w:t>
      </w:r>
      <w:r>
        <w:rPr>
          <w:sz w:val="20"/>
        </w:rPr>
        <w:t>[25];</w:t>
      </w:r>
      <w:r>
        <w:rPr>
          <w:spacing w:val="-2"/>
          <w:sz w:val="20"/>
        </w:rPr>
        <w:t> </w:t>
      </w:r>
      <w:r>
        <w:rPr>
          <w:sz w:val="20"/>
        </w:rPr>
        <w:t>it</w:t>
      </w:r>
      <w:r>
        <w:rPr>
          <w:spacing w:val="-2"/>
          <w:sz w:val="20"/>
        </w:rPr>
        <w:t> </w:t>
      </w:r>
      <w:r>
        <w:rPr>
          <w:sz w:val="20"/>
        </w:rPr>
        <w:t>was</w:t>
      </w:r>
      <w:r>
        <w:rPr>
          <w:spacing w:val="-2"/>
          <w:sz w:val="20"/>
        </w:rPr>
        <w:t> </w:t>
      </w:r>
      <w:r>
        <w:rPr>
          <w:sz w:val="20"/>
        </w:rPr>
        <w:t>recognised</w:t>
      </w:r>
      <w:r>
        <w:rPr>
          <w:spacing w:val="-2"/>
          <w:sz w:val="20"/>
        </w:rPr>
        <w:t> </w:t>
      </w:r>
      <w:r>
        <w:rPr>
          <w:sz w:val="20"/>
        </w:rPr>
        <w:t>that</w:t>
      </w:r>
      <w:r>
        <w:rPr>
          <w:spacing w:val="-2"/>
          <w:sz w:val="20"/>
        </w:rPr>
        <w:t> </w:t>
      </w:r>
      <w:r>
        <w:rPr>
          <w:sz w:val="20"/>
        </w:rPr>
        <w:t>this</w:t>
      </w:r>
      <w:r>
        <w:rPr>
          <w:spacing w:val="-2"/>
          <w:sz w:val="20"/>
        </w:rPr>
        <w:t> </w:t>
      </w:r>
      <w:r>
        <w:rPr>
          <w:sz w:val="20"/>
        </w:rPr>
        <w:t>approach</w:t>
      </w:r>
      <w:r>
        <w:rPr>
          <w:spacing w:val="-2"/>
          <w:sz w:val="20"/>
        </w:rPr>
        <w:t> </w:t>
      </w:r>
      <w:r>
        <w:rPr>
          <w:sz w:val="20"/>
        </w:rPr>
        <w:t>could</w:t>
      </w:r>
      <w:r>
        <w:rPr>
          <w:spacing w:val="-2"/>
          <w:sz w:val="20"/>
        </w:rPr>
        <w:t> </w:t>
      </w:r>
      <w:r>
        <w:rPr>
          <w:sz w:val="20"/>
        </w:rPr>
        <w:t>be</w:t>
      </w:r>
      <w:r>
        <w:rPr>
          <w:spacing w:val="-2"/>
          <w:sz w:val="20"/>
        </w:rPr>
        <w:t> </w:t>
      </w:r>
      <w:r>
        <w:rPr>
          <w:sz w:val="20"/>
        </w:rPr>
        <w:t>displaced</w:t>
      </w:r>
      <w:r>
        <w:rPr>
          <w:spacing w:val="-2"/>
          <w:sz w:val="20"/>
        </w:rPr>
        <w:t> </w:t>
      </w:r>
      <w:r>
        <w:rPr>
          <w:sz w:val="20"/>
        </w:rPr>
        <w:t>but held that it had not been displaced by the existence of “a long term relationship” (at [21]), not amounting to “a prior overarching contract” (at [6]). For other “battle of forms” cases, </w:t>
      </w:r>
      <w:r>
        <w:rPr>
          <w:sz w:val="20"/>
        </w:rPr>
        <w:t>also applying the “traditional offer and acceptance” analysis, see</w:t>
      </w:r>
      <w:r>
        <w:rPr>
          <w:spacing w:val="-1"/>
          <w:sz w:val="20"/>
        </w:rPr>
        <w:t> </w:t>
      </w:r>
      <w:r>
        <w:rPr>
          <w:rFonts w:ascii="Arial" w:hAnsi="Arial"/>
          <w:i/>
          <w:sz w:val="20"/>
        </w:rPr>
        <w:t>Claxton Engineering Services Ltd v TXM Olaj-és Gázkutató Kft [2010] EWHC 2567 (Comm), [2011] 2 All E.R. (Comm) 38 </w:t>
      </w:r>
      <w:r>
        <w:rPr>
          <w:sz w:val="20"/>
        </w:rPr>
        <w:t>(above, para.2-035 n.185) at [55] and </w:t>
      </w:r>
      <w:r>
        <w:rPr>
          <w:rFonts w:ascii="Arial" w:hAnsi="Arial"/>
          <w:i/>
          <w:sz w:val="20"/>
        </w:rPr>
        <w:t>Trebor Bassett Holdings Ltd v ADT Fire &amp; Security Plc [2011] EWHC 1936 (TCC), [2011] B.L.R. 661</w:t>
      </w:r>
      <w:r>
        <w:rPr>
          <w:sz w:val="20"/>
        </w:rPr>
        <w:t>, where Coulson J. said (at [155]) that, in such a case, it would be “difficult” to displace the traditional “offer and acceptance” analysis.</w:t>
      </w:r>
    </w:p>
    <w:p>
      <w:pPr>
        <w:pStyle w:val="BodyText"/>
        <w:spacing w:before="7"/>
      </w:pPr>
    </w:p>
    <w:p>
      <w:pPr>
        <w:pStyle w:val="BodyText"/>
        <w:spacing w:line="235" w:lineRule="auto"/>
        <w:ind w:left="705" w:right="167" w:hanging="541"/>
        <w:jc w:val="both"/>
      </w:pPr>
      <w:bookmarkStart w:name="_bookmark1124" w:id="1126"/>
      <w:bookmarkEnd w:id="1126"/>
      <w:r>
        <w:rPr/>
      </w:r>
      <w:hyperlink w:history="true" w:anchor="_bookmark1104">
        <w:r>
          <w:rPr>
            <w:color w:val="005DA1"/>
            <w:position w:val="5"/>
            <w:sz w:val="14"/>
            <w:u w:val="single" w:color="005DA1"/>
          </w:rPr>
          <w:t>588</w:t>
        </w:r>
      </w:hyperlink>
      <w:r>
        <w:rPr>
          <w:position w:val="5"/>
          <w:sz w:val="14"/>
        </w:rPr>
        <w:t>.</w:t>
      </w:r>
      <w:r>
        <w:rPr>
          <w:spacing w:val="80"/>
          <w:w w:val="150"/>
          <w:position w:val="5"/>
          <w:sz w:val="14"/>
        </w:rPr>
        <w:t> </w:t>
      </w:r>
      <w:r>
        <w:rPr>
          <w:rFonts w:ascii="Arial"/>
          <w:i/>
        </w:rPr>
        <w:t>[2009] EWCA Civ 1209 </w:t>
      </w:r>
      <w:r>
        <w:rPr/>
        <w:t>at [25]. The sentences between nn.570 and 571 above, as then</w:t>
      </w:r>
      <w:r>
        <w:rPr>
          <w:spacing w:val="40"/>
        </w:rPr>
        <w:t> </w:t>
      </w:r>
      <w:r>
        <w:rPr/>
        <w:t>contained in the 30th edition of this book, were cited with apparent approval by Longmore L.J. (at [20]) and Dyson L.J. at [25].</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type w:val="continuous"/>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705" w:right="2708" w:firstLine="0"/>
        <w:jc w:val="center"/>
        <w:rPr>
          <w:rFonts w:ascii="Arial"/>
          <w:b/>
          <w:sz w:val="24"/>
        </w:rPr>
      </w:pPr>
      <w:r>
        <w:rPr>
          <w:rFonts w:ascii="Arial"/>
          <w:b/>
          <w:sz w:val="24"/>
        </w:rPr>
        <w:t>Part 2 - Formation of Contract Chapter 2 - The Agreement Section</w:t>
      </w:r>
      <w:r>
        <w:rPr>
          <w:rFonts w:ascii="Arial"/>
          <w:b/>
          <w:spacing w:val="-10"/>
          <w:sz w:val="24"/>
        </w:rPr>
        <w:t> </w:t>
      </w:r>
      <w:r>
        <w:rPr>
          <w:rFonts w:ascii="Arial"/>
          <w:b/>
          <w:sz w:val="24"/>
        </w:rPr>
        <w:t>6.</w:t>
      </w:r>
      <w:r>
        <w:rPr>
          <w:rFonts w:ascii="Arial"/>
          <w:b/>
          <w:spacing w:val="-10"/>
          <w:sz w:val="24"/>
        </w:rPr>
        <w:t> </w:t>
      </w:r>
      <w:r>
        <w:rPr>
          <w:rFonts w:ascii="Arial"/>
          <w:b/>
          <w:sz w:val="24"/>
        </w:rPr>
        <w:t>-</w:t>
      </w:r>
      <w:r>
        <w:rPr>
          <w:rFonts w:ascii="Arial"/>
          <w:b/>
          <w:spacing w:val="-10"/>
          <w:sz w:val="24"/>
        </w:rPr>
        <w:t> </w:t>
      </w:r>
      <w:r>
        <w:rPr>
          <w:rFonts w:ascii="Arial"/>
          <w:b/>
          <w:sz w:val="24"/>
        </w:rPr>
        <w:t>Incomplete</w:t>
      </w:r>
      <w:r>
        <w:rPr>
          <w:rFonts w:ascii="Arial"/>
          <w:b/>
          <w:spacing w:val="-10"/>
          <w:sz w:val="24"/>
        </w:rPr>
        <w:t> </w:t>
      </w:r>
      <w:r>
        <w:rPr>
          <w:rFonts w:ascii="Arial"/>
          <w:b/>
          <w:sz w:val="24"/>
        </w:rPr>
        <w:t>Agreement</w:t>
      </w:r>
    </w:p>
    <w:p>
      <w:pPr>
        <w:pStyle w:val="BodyText"/>
        <w:spacing w:before="174"/>
        <w:rPr>
          <w:rFonts w:ascii="Arial"/>
          <w:b/>
          <w:sz w:val="24"/>
        </w:rPr>
      </w:pPr>
    </w:p>
    <w:p>
      <w:pPr>
        <w:spacing w:before="0"/>
        <w:ind w:left="165" w:right="0" w:firstLine="0"/>
        <w:jc w:val="left"/>
        <w:rPr>
          <w:rFonts w:ascii="Arial"/>
          <w:b/>
          <w:sz w:val="18"/>
        </w:rPr>
      </w:pPr>
      <w:bookmarkStart w:name="_bookmark1125" w:id="1127"/>
      <w:bookmarkEnd w:id="1127"/>
      <w:r>
        <w:rPr/>
      </w:r>
      <w:r>
        <w:rPr>
          <w:rFonts w:ascii="Arial"/>
          <w:b/>
          <w:sz w:val="18"/>
        </w:rPr>
        <w:t>Agreement in principle only. </w:t>
      </w:r>
      <w:r>
        <w:rPr>
          <w:rFonts w:ascii="Arial"/>
          <w:b/>
          <w:color w:val="005DA1"/>
          <w:spacing w:val="-5"/>
          <w:sz w:val="18"/>
          <w:u w:val="single" w:color="005DA1"/>
          <w:vertAlign w:val="superscript"/>
        </w:rPr>
        <w:t>589</w:t>
      </w:r>
    </w:p>
    <w:p>
      <w:pPr>
        <w:pStyle w:val="BodyText"/>
        <w:spacing w:before="41"/>
        <w:rPr>
          <w:rFonts w:ascii="Arial"/>
          <w:b/>
          <w:sz w:val="18"/>
        </w:rPr>
      </w:pPr>
    </w:p>
    <w:p>
      <w:pPr>
        <w:pStyle w:val="Heading2"/>
        <w:ind w:left="164"/>
      </w:pPr>
      <w:r>
        <w:rPr/>
        <w:t>2-</w:t>
      </w:r>
      <w:r>
        <w:rPr>
          <w:spacing w:val="-5"/>
        </w:rPr>
        <w:t>119</w:t>
      </w:r>
    </w:p>
    <w:p>
      <w:pPr>
        <w:pStyle w:val="BodyText"/>
        <w:spacing w:before="93"/>
        <w:rPr>
          <w:rFonts w:ascii="Arial"/>
          <w:b/>
        </w:rPr>
      </w:pPr>
    </w:p>
    <w:p>
      <w:pPr>
        <w:pStyle w:val="BodyText"/>
        <w:spacing w:line="235" w:lineRule="auto"/>
        <w:ind w:left="165" w:right="167"/>
        <w:jc w:val="both"/>
      </w:pPr>
      <w:r>
        <w:rPr>
          <w:position w:val="-2"/>
        </w:rPr>
        <w:drawing>
          <wp:inline distT="0" distB="0" distL="0" distR="0">
            <wp:extent cx="107988" cy="107988"/>
            <wp:effectExtent l="0" t="0" r="0" b="0"/>
            <wp:docPr id="89" name="Image 89"/>
            <wp:cNvGraphicFramePr>
              <a:graphicFrameLocks/>
            </wp:cNvGraphicFramePr>
            <a:graphic>
              <a:graphicData uri="http://schemas.openxmlformats.org/drawingml/2006/picture">
                <pic:pic>
                  <pic:nvPicPr>
                    <pic:cNvPr id="89" name="Image 89"/>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126" w:id="1128"/>
      <w:bookmarkEnd w:id="1128"/>
      <w:r>
        <w:rPr>
          <w:rFonts w:ascii="Times New Roman" w:hAnsi="Times New Roman"/>
          <w:spacing w:val="7"/>
        </w:rPr>
      </w:r>
      <w:r>
        <w:rPr/>
        <w:t>Parties</w:t>
      </w:r>
      <w:r>
        <w:rPr>
          <w:spacing w:val="-1"/>
        </w:rPr>
        <w:t> </w:t>
      </w:r>
      <w:r>
        <w:rPr/>
        <w:t>may</w:t>
      </w:r>
      <w:r>
        <w:rPr>
          <w:spacing w:val="-1"/>
        </w:rPr>
        <w:t> </w:t>
      </w:r>
      <w:r>
        <w:rPr/>
        <w:t>reach</w:t>
      </w:r>
      <w:r>
        <w:rPr>
          <w:spacing w:val="-1"/>
        </w:rPr>
        <w:t> </w:t>
      </w:r>
      <w:r>
        <w:rPr/>
        <w:t>agreement</w:t>
      </w:r>
      <w:r>
        <w:rPr>
          <w:spacing w:val="-1"/>
        </w:rPr>
        <w:t> </w:t>
      </w:r>
      <w:r>
        <w:rPr/>
        <w:t>on</w:t>
      </w:r>
      <w:r>
        <w:rPr>
          <w:spacing w:val="-1"/>
        </w:rPr>
        <w:t> </w:t>
      </w:r>
      <w:r>
        <w:rPr/>
        <w:t>essential</w:t>
      </w:r>
      <w:r>
        <w:rPr>
          <w:spacing w:val="-1"/>
        </w:rPr>
        <w:t> </w:t>
      </w:r>
      <w:r>
        <w:rPr/>
        <w:t>matters</w:t>
      </w:r>
      <w:r>
        <w:rPr>
          <w:spacing w:val="-1"/>
        </w:rPr>
        <w:t> </w:t>
      </w:r>
      <w:r>
        <w:rPr/>
        <w:t>of</w:t>
      </w:r>
      <w:r>
        <w:rPr>
          <w:spacing w:val="-1"/>
        </w:rPr>
        <w:t> </w:t>
      </w:r>
      <w:r>
        <w:rPr/>
        <w:t>principle,</w:t>
      </w:r>
      <w:r>
        <w:rPr>
          <w:spacing w:val="-1"/>
        </w:rPr>
        <w:t> </w:t>
      </w:r>
      <w:r>
        <w:rPr/>
        <w:t>but</w:t>
      </w:r>
      <w:r>
        <w:rPr>
          <w:spacing w:val="-1"/>
        </w:rPr>
        <w:t> </w:t>
      </w:r>
      <w:r>
        <w:rPr/>
        <w:t>leave</w:t>
      </w:r>
      <w:r>
        <w:rPr>
          <w:spacing w:val="-1"/>
        </w:rPr>
        <w:t> </w:t>
      </w:r>
      <w:r>
        <w:rPr/>
        <w:t>important</w:t>
      </w:r>
      <w:r>
        <w:rPr>
          <w:spacing w:val="-1"/>
        </w:rPr>
        <w:t> </w:t>
      </w:r>
      <w:r>
        <w:rPr/>
        <w:t>points</w:t>
      </w:r>
      <w:r>
        <w:rPr>
          <w:spacing w:val="-1"/>
        </w:rPr>
        <w:t> </w:t>
      </w:r>
      <w:r>
        <w:rPr/>
        <w:t>unsettled </w:t>
      </w:r>
      <w:bookmarkStart w:name="_bookmark1127" w:id="1129"/>
      <w:bookmarkEnd w:id="1129"/>
      <w:r>
        <w:rPr/>
        <w:t>so</w:t>
      </w:r>
      <w:r>
        <w:rPr/>
        <w:t> that their agreement is incomplete. </w:t>
      </w:r>
      <w:r>
        <w:rPr>
          <w:color w:val="005DA1"/>
          <w:u w:val="single" w:color="005DA1"/>
          <w:vertAlign w:val="superscript"/>
        </w:rPr>
        <w:t>590</w:t>
      </w:r>
      <w:r>
        <w:rPr>
          <w:color w:val="005DA1"/>
          <w:vertAlign w:val="baseline"/>
        </w:rPr>
        <w:t> </w:t>
      </w:r>
      <w:r>
        <w:rPr>
          <w:vertAlign w:val="baseline"/>
        </w:rPr>
        <w:t>It has, for example, been held that there was no contract where an agreement for a lease failed to specify the date on which the term was to commence </w:t>
      </w:r>
      <w:r>
        <w:rPr>
          <w:color w:val="005DA1"/>
          <w:u w:val="single" w:color="005DA1"/>
          <w:vertAlign w:val="superscript"/>
        </w:rPr>
        <w:t>591</w:t>
      </w:r>
      <w:r>
        <w:rPr>
          <w:vertAlign w:val="baseline"/>
        </w:rPr>
        <w:t>;</w:t>
      </w:r>
      <w:r>
        <w:rPr>
          <w:spacing w:val="40"/>
          <w:vertAlign w:val="baseline"/>
        </w:rPr>
        <w:t> </w:t>
      </w:r>
      <w:r>
        <w:rPr>
          <w:vertAlign w:val="baseline"/>
        </w:rPr>
        <w:t>that an agreement “in principle” for the redevelopment and disposal of residential property, which </w:t>
      </w:r>
      <w:bookmarkStart w:name="_bookmark1128" w:id="1130"/>
      <w:bookmarkEnd w:id="1130"/>
      <w:r>
        <w:rPr>
          <w:vertAlign w:val="baseline"/>
        </w:rPr>
        <w:t>specified</w:t>
      </w:r>
      <w:r>
        <w:rPr>
          <w:vertAlign w:val="baseline"/>
        </w:rPr>
        <w:t> core terms but left important matters, such as the timing of the project, for future discussion was</w:t>
      </w:r>
      <w:r>
        <w:rPr>
          <w:spacing w:val="-1"/>
          <w:vertAlign w:val="baseline"/>
        </w:rPr>
        <w:t> </w:t>
      </w:r>
      <w:r>
        <w:rPr>
          <w:vertAlign w:val="baseline"/>
        </w:rPr>
        <w:t>an</w:t>
      </w:r>
      <w:r>
        <w:rPr>
          <w:spacing w:val="-1"/>
          <w:vertAlign w:val="baseline"/>
        </w:rPr>
        <w:t> </w:t>
      </w:r>
      <w:r>
        <w:rPr>
          <w:vertAlign w:val="baseline"/>
        </w:rPr>
        <w:t>“incomplete</w:t>
      </w:r>
      <w:r>
        <w:rPr>
          <w:spacing w:val="-1"/>
          <w:vertAlign w:val="baseline"/>
        </w:rPr>
        <w:t> </w:t>
      </w:r>
      <w:r>
        <w:rPr>
          <w:vertAlign w:val="baseline"/>
        </w:rPr>
        <w:t>agreement”</w:t>
      </w:r>
      <w:r>
        <w:rPr>
          <w:spacing w:val="-1"/>
          <w:vertAlign w:val="baseline"/>
        </w:rPr>
        <w:t> </w:t>
      </w:r>
      <w:r>
        <w:rPr>
          <w:vertAlign w:val="baseline"/>
        </w:rPr>
        <w:t>and</w:t>
      </w:r>
      <w:r>
        <w:rPr>
          <w:spacing w:val="-1"/>
          <w:vertAlign w:val="baseline"/>
        </w:rPr>
        <w:t> </w:t>
      </w:r>
      <w:r>
        <w:rPr>
          <w:vertAlign w:val="baseline"/>
        </w:rPr>
        <w:t>so</w:t>
      </w:r>
      <w:r>
        <w:rPr>
          <w:spacing w:val="-1"/>
          <w:vertAlign w:val="baseline"/>
        </w:rPr>
        <w:t> </w:t>
      </w:r>
      <w:r>
        <w:rPr>
          <w:vertAlign w:val="baseline"/>
        </w:rPr>
        <w:t>did</w:t>
      </w:r>
      <w:r>
        <w:rPr>
          <w:spacing w:val="-1"/>
          <w:vertAlign w:val="baseline"/>
        </w:rPr>
        <w:t> </w:t>
      </w:r>
      <w:r>
        <w:rPr>
          <w:vertAlign w:val="baseline"/>
        </w:rPr>
        <w:t>not</w:t>
      </w:r>
      <w:r>
        <w:rPr>
          <w:spacing w:val="-1"/>
          <w:vertAlign w:val="baseline"/>
        </w:rPr>
        <w:t> </w:t>
      </w:r>
      <w:r>
        <w:rPr>
          <w:vertAlign w:val="baseline"/>
        </w:rPr>
        <w:t>amount</w:t>
      </w:r>
      <w:r>
        <w:rPr>
          <w:spacing w:val="-1"/>
          <w:vertAlign w:val="baseline"/>
        </w:rPr>
        <w:t> </w:t>
      </w:r>
      <w:r>
        <w:rPr>
          <w:vertAlign w:val="baseline"/>
        </w:rPr>
        <w:t>to</w:t>
      </w:r>
      <w:r>
        <w:rPr>
          <w:spacing w:val="-1"/>
          <w:vertAlign w:val="baseline"/>
        </w:rPr>
        <w:t> </w:t>
      </w:r>
      <w:r>
        <w:rPr>
          <w:vertAlign w:val="baseline"/>
        </w:rPr>
        <w:t>a</w:t>
      </w:r>
      <w:r>
        <w:rPr>
          <w:spacing w:val="-1"/>
          <w:vertAlign w:val="baseline"/>
        </w:rPr>
        <w:t> </w:t>
      </w:r>
      <w:r>
        <w:rPr>
          <w:vertAlign w:val="baseline"/>
        </w:rPr>
        <w:t>binding</w:t>
      </w:r>
      <w:r>
        <w:rPr>
          <w:spacing w:val="-1"/>
          <w:vertAlign w:val="baseline"/>
        </w:rPr>
        <w:t> </w:t>
      </w:r>
      <w:r>
        <w:rPr>
          <w:vertAlign w:val="baseline"/>
        </w:rPr>
        <w:t>contract</w:t>
      </w:r>
      <w:r>
        <w:rPr>
          <w:spacing w:val="-2"/>
          <w:vertAlign w:val="baseline"/>
        </w:rPr>
        <w:t> </w:t>
      </w:r>
      <w:r>
        <w:rPr>
          <w:color w:val="005DA1"/>
          <w:u w:val="single" w:color="005DA1"/>
          <w:vertAlign w:val="superscript"/>
        </w:rPr>
        <w:t>592</w:t>
      </w:r>
      <w:r>
        <w:rPr>
          <w:vertAlign w:val="baseline"/>
        </w:rPr>
        <w:t>;</w:t>
      </w:r>
      <w:r>
        <w:rPr>
          <w:spacing w:val="-1"/>
          <w:vertAlign w:val="baseline"/>
        </w:rPr>
        <w:t> </w:t>
      </w:r>
      <w:r>
        <w:rPr>
          <w:vertAlign w:val="baseline"/>
        </w:rPr>
        <w:t>that</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for sale of land by instalments was not a binding contract where it provided for conveyance of “a </w:t>
      </w:r>
      <w:bookmarkStart w:name="_bookmark1129" w:id="1131"/>
      <w:bookmarkEnd w:id="1131"/>
      <w:r>
        <w:rPr>
          <w:vertAlign w:val="baseline"/>
        </w:rPr>
        <w:t>proportionate</w:t>
      </w:r>
      <w:r>
        <w:rPr>
          <w:vertAlign w:val="baseline"/>
        </w:rPr>
        <w:t> part” as each instalment of the price was paid, but failed to specify which part is to be </w:t>
      </w:r>
      <w:bookmarkStart w:name="_bookmark1130" w:id="1132"/>
      <w:bookmarkEnd w:id="1132"/>
      <w:r>
        <w:rPr>
          <w:vertAlign w:val="baseline"/>
        </w:rPr>
        <w:t>conveyed</w:t>
      </w:r>
      <w:r>
        <w:rPr>
          <w:vertAlign w:val="baseline"/>
        </w:rPr>
        <w:t> on each payment </w:t>
      </w:r>
      <w:r>
        <w:rPr>
          <w:color w:val="005DA1"/>
          <w:u w:val="single" w:color="005DA1"/>
          <w:vertAlign w:val="superscript"/>
        </w:rPr>
        <w:t>593</w:t>
      </w:r>
      <w:r>
        <w:rPr>
          <w:vertAlign w:val="baseline"/>
        </w:rPr>
        <w:t>; that a covenant in a contract of employment restricting competition in </w:t>
      </w:r>
      <w:bookmarkStart w:name="_bookmark1131" w:id="1133"/>
      <w:bookmarkEnd w:id="1133"/>
      <w:r>
        <w:rPr>
          <w:vertAlign w:val="baseline"/>
        </w:rPr>
        <w:t>two</w:t>
      </w:r>
      <w:r>
        <w:rPr>
          <w:spacing w:val="-2"/>
          <w:vertAlign w:val="baseline"/>
        </w:rPr>
        <w:t> </w:t>
      </w:r>
      <w:r>
        <w:rPr>
          <w:vertAlign w:val="baseline"/>
        </w:rPr>
        <w:t>named</w:t>
      </w:r>
      <w:r>
        <w:rPr>
          <w:spacing w:val="-2"/>
          <w:vertAlign w:val="baseline"/>
        </w:rPr>
        <w:t> </w:t>
      </w:r>
      <w:r>
        <w:rPr>
          <w:vertAlign w:val="baseline"/>
        </w:rPr>
        <w:t>counties</w:t>
      </w:r>
      <w:r>
        <w:rPr>
          <w:spacing w:val="-2"/>
          <w:vertAlign w:val="baseline"/>
        </w:rPr>
        <w:t> </w:t>
      </w:r>
      <w:r>
        <w:rPr>
          <w:vertAlign w:val="baseline"/>
        </w:rPr>
        <w:t>and</w:t>
      </w:r>
      <w:r>
        <w:rPr>
          <w:spacing w:val="-2"/>
          <w:vertAlign w:val="baseline"/>
        </w:rPr>
        <w:t> </w:t>
      </w:r>
      <w:r>
        <w:rPr>
          <w:vertAlign w:val="baseline"/>
        </w:rPr>
        <w:t>in</w:t>
      </w:r>
      <w:r>
        <w:rPr>
          <w:spacing w:val="-2"/>
          <w:vertAlign w:val="baseline"/>
        </w:rPr>
        <w:t> </w:t>
      </w:r>
      <w:r>
        <w:rPr>
          <w:vertAlign w:val="baseline"/>
        </w:rPr>
        <w:t>others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south”</w:t>
      </w:r>
      <w:r>
        <w:rPr>
          <w:spacing w:val="-2"/>
          <w:vertAlign w:val="baseline"/>
        </w:rPr>
        <w:t> </w:t>
      </w:r>
      <w:r>
        <w:rPr>
          <w:vertAlign w:val="baseline"/>
        </w:rPr>
        <w:t>of</w:t>
      </w:r>
      <w:r>
        <w:rPr>
          <w:spacing w:val="-2"/>
          <w:vertAlign w:val="baseline"/>
        </w:rPr>
        <w:t> </w:t>
      </w:r>
      <w:r>
        <w:rPr>
          <w:vertAlign w:val="baseline"/>
        </w:rPr>
        <w:t>them</w:t>
      </w:r>
      <w:r>
        <w:rPr>
          <w:spacing w:val="-2"/>
          <w:vertAlign w:val="baseline"/>
        </w:rPr>
        <w:t> </w:t>
      </w:r>
      <w:r>
        <w:rPr>
          <w:vertAlign w:val="baseline"/>
        </w:rPr>
        <w:t>was</w:t>
      </w:r>
      <w:r>
        <w:rPr>
          <w:spacing w:val="-2"/>
          <w:vertAlign w:val="baseline"/>
        </w:rPr>
        <w:t> </w:t>
      </w:r>
      <w:r>
        <w:rPr>
          <w:vertAlign w:val="baseline"/>
        </w:rPr>
        <w:t>too</w:t>
      </w:r>
      <w:r>
        <w:rPr>
          <w:spacing w:val="-2"/>
          <w:vertAlign w:val="baseline"/>
        </w:rPr>
        <w:t> </w:t>
      </w:r>
      <w:r>
        <w:rPr>
          <w:vertAlign w:val="baseline"/>
        </w:rPr>
        <w:t>uncertain</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enforced</w:t>
      </w:r>
      <w:r>
        <w:rPr>
          <w:spacing w:val="-3"/>
          <w:vertAlign w:val="baseline"/>
        </w:rPr>
        <w:t> </w:t>
      </w:r>
      <w:r>
        <w:rPr>
          <w:color w:val="005DA1"/>
          <w:u w:val="single" w:color="005DA1"/>
          <w:vertAlign w:val="superscript"/>
        </w:rPr>
        <w:t>594</w:t>
      </w:r>
      <w:r>
        <w:rPr>
          <w:vertAlign w:val="baseline"/>
        </w:rPr>
        <w:t>;</w:t>
      </w:r>
      <w:r>
        <w:rPr>
          <w:spacing w:val="-2"/>
          <w:vertAlign w:val="baseline"/>
        </w:rPr>
        <w:t> </w:t>
      </w:r>
      <w:r>
        <w:rPr>
          <w:vertAlign w:val="baseline"/>
        </w:rPr>
        <w:t>and</w:t>
      </w:r>
      <w:r>
        <w:rPr>
          <w:spacing w:val="-2"/>
          <w:vertAlign w:val="baseline"/>
        </w:rPr>
        <w:t> </w:t>
      </w:r>
      <w:r>
        <w:rPr>
          <w:vertAlign w:val="baseline"/>
        </w:rPr>
        <w:t>that </w:t>
      </w:r>
      <w:bookmarkStart w:name="_bookmark1132" w:id="1134"/>
      <w:bookmarkEnd w:id="1134"/>
      <w:r>
        <w:rPr>
          <w:vertAlign w:val="baseline"/>
        </w:rPr>
        <w:t>where,</w:t>
      </w:r>
      <w:r>
        <w:rPr>
          <w:spacing w:val="28"/>
          <w:vertAlign w:val="baseline"/>
        </w:rPr>
        <w:t> </w:t>
      </w:r>
      <w:r>
        <w:rPr>
          <w:vertAlign w:val="baseline"/>
        </w:rPr>
        <w:t>though</w:t>
      </w:r>
      <w:r>
        <w:rPr>
          <w:spacing w:val="29"/>
          <w:vertAlign w:val="baseline"/>
        </w:rPr>
        <w:t> </w:t>
      </w:r>
      <w:r>
        <w:rPr>
          <w:vertAlign w:val="baseline"/>
        </w:rPr>
        <w:t>agreement</w:t>
      </w:r>
      <w:r>
        <w:rPr>
          <w:spacing w:val="29"/>
          <w:vertAlign w:val="baseline"/>
        </w:rPr>
        <w:t> </w:t>
      </w:r>
      <w:r>
        <w:rPr>
          <w:vertAlign w:val="baseline"/>
        </w:rPr>
        <w:t>had</w:t>
      </w:r>
      <w:r>
        <w:rPr>
          <w:spacing w:val="28"/>
          <w:vertAlign w:val="baseline"/>
        </w:rPr>
        <w:t> </w:t>
      </w:r>
      <w:r>
        <w:rPr>
          <w:vertAlign w:val="baseline"/>
        </w:rPr>
        <w:t>been</w:t>
      </w:r>
      <w:r>
        <w:rPr>
          <w:spacing w:val="29"/>
          <w:vertAlign w:val="baseline"/>
        </w:rPr>
        <w:t> </w:t>
      </w:r>
      <w:r>
        <w:rPr>
          <w:vertAlign w:val="baseline"/>
        </w:rPr>
        <w:t>reached</w:t>
      </w:r>
      <w:r>
        <w:rPr>
          <w:spacing w:val="28"/>
          <w:vertAlign w:val="baseline"/>
        </w:rPr>
        <w:t> </w:t>
      </w:r>
      <w:r>
        <w:rPr>
          <w:vertAlign w:val="baseline"/>
        </w:rPr>
        <w:t>“covering</w:t>
      </w:r>
      <w:r>
        <w:rPr>
          <w:spacing w:val="29"/>
          <w:vertAlign w:val="baseline"/>
        </w:rPr>
        <w:t> </w:t>
      </w:r>
      <w:r>
        <w:rPr>
          <w:vertAlign w:val="baseline"/>
        </w:rPr>
        <w:t>some</w:t>
      </w:r>
      <w:r>
        <w:rPr>
          <w:spacing w:val="29"/>
          <w:vertAlign w:val="baseline"/>
        </w:rPr>
        <w:t> </w:t>
      </w:r>
      <w:r>
        <w:rPr>
          <w:vertAlign w:val="baseline"/>
        </w:rPr>
        <w:t>significant</w:t>
      </w:r>
      <w:r>
        <w:rPr>
          <w:spacing w:val="28"/>
          <w:vertAlign w:val="baseline"/>
        </w:rPr>
        <w:t> </w:t>
      </w:r>
      <w:r>
        <w:rPr>
          <w:vertAlign w:val="baseline"/>
        </w:rPr>
        <w:t>matters”,</w:t>
      </w:r>
      <w:r>
        <w:rPr>
          <w:spacing w:val="28"/>
          <w:vertAlign w:val="baseline"/>
        </w:rPr>
        <w:t> </w:t>
      </w:r>
      <w:r>
        <w:rPr>
          <w:color w:val="005DA1"/>
          <w:u w:val="single" w:color="005DA1"/>
          <w:vertAlign w:val="superscript"/>
        </w:rPr>
        <w:t>595</w:t>
      </w:r>
      <w:r>
        <w:rPr>
          <w:color w:val="005DA1"/>
          <w:spacing w:val="29"/>
          <w:vertAlign w:val="baseline"/>
        </w:rPr>
        <w:t> </w:t>
      </w:r>
      <w:r>
        <w:rPr>
          <w:vertAlign w:val="baseline"/>
        </w:rPr>
        <w:t>there</w:t>
      </w:r>
      <w:r>
        <w:rPr>
          <w:spacing w:val="28"/>
          <w:vertAlign w:val="baseline"/>
        </w:rPr>
        <w:t> </w:t>
      </w:r>
      <w:r>
        <w:rPr>
          <w:vertAlign w:val="baseline"/>
        </w:rPr>
        <w:t>was</w:t>
      </w:r>
      <w:r>
        <w:rPr>
          <w:spacing w:val="29"/>
          <w:vertAlign w:val="baseline"/>
        </w:rPr>
        <w:t> </w:t>
      </w:r>
      <w:r>
        <w:rPr>
          <w:spacing w:val="-5"/>
          <w:vertAlign w:val="baseline"/>
        </w:rPr>
        <w:t>no</w:t>
      </w:r>
    </w:p>
    <w:p>
      <w:pPr>
        <w:pStyle w:val="BodyText"/>
        <w:spacing w:line="235" w:lineRule="auto" w:before="116"/>
        <w:ind w:left="165" w:right="167"/>
        <w:jc w:val="both"/>
      </w:pPr>
      <w:r>
        <w:rPr/>
        <w:t>contract because “many fundamental matters remained to be resolved”. </w:t>
      </w:r>
      <w:r>
        <w:rPr>
          <w:color w:val="005DA1"/>
          <w:u w:val="single" w:color="005DA1"/>
          <w:vertAlign w:val="superscript"/>
        </w:rPr>
        <w:t>596</w:t>
      </w:r>
      <w:r>
        <w:rPr>
          <w:color w:val="005DA1"/>
          <w:vertAlign w:val="baseline"/>
        </w:rPr>
        <w:t> </w:t>
      </w:r>
      <w:r>
        <w:rPr>
          <w:vertAlign w:val="baseline"/>
        </w:rPr>
        <w:t>In </w:t>
      </w:r>
      <w:r>
        <w:rPr>
          <w:rFonts w:ascii="Arial" w:hAnsi="Arial"/>
          <w:i/>
          <w:vertAlign w:val="baseline"/>
        </w:rPr>
        <w:t>Wells v Devani </w:t>
      </w:r>
      <w:r>
        <w:rPr>
          <w:color w:val="005DA1"/>
          <w:u w:val="single" w:color="005DA1"/>
          <w:vertAlign w:val="superscript"/>
        </w:rPr>
        <w:t>597</w:t>
      </w:r>
      <w:r>
        <w:rPr>
          <w:color w:val="005DA1"/>
          <w:spacing w:val="80"/>
          <w:w w:val="150"/>
          <w:vertAlign w:val="baseline"/>
        </w:rPr>
        <w:t> </w:t>
      </w:r>
      <w:r>
        <w:rPr>
          <w:color w:val="005DA1"/>
          <w:spacing w:val="-16"/>
          <w:position w:val="-2"/>
          <w:vertAlign w:val="baseline"/>
        </w:rPr>
        <w:drawing>
          <wp:inline distT="0" distB="0" distL="0" distR="0">
            <wp:extent cx="107988" cy="107988"/>
            <wp:effectExtent l="0" t="0" r="0" b="0"/>
            <wp:docPr id="90" name="Image 90"/>
            <wp:cNvGraphicFramePr>
              <a:graphicFrameLocks/>
            </wp:cNvGraphicFramePr>
            <a:graphic>
              <a:graphicData uri="http://schemas.openxmlformats.org/drawingml/2006/picture">
                <pic:pic>
                  <pic:nvPicPr>
                    <pic:cNvPr id="90" name="Image 9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position w:val="-2"/>
          <w:vertAlign w:val="baseline"/>
        </w:rPr>
        <w:t> </w:t>
      </w:r>
      <w:r>
        <w:rPr>
          <w:vertAlign w:val="baseline"/>
        </w:rPr>
        <w:t>an oral contract for an estate agent to find a buyer for a property was incomplete where the parties </w:t>
      </w:r>
      <w:bookmarkStart w:name="_bookmark1133" w:id="1135"/>
      <w:bookmarkEnd w:id="1135"/>
      <w:r>
        <w:rPr>
          <w:vertAlign w:val="baseline"/>
        </w:rPr>
        <w:t>had</w:t>
      </w:r>
      <w:r>
        <w:rPr>
          <w:spacing w:val="13"/>
          <w:vertAlign w:val="baseline"/>
        </w:rPr>
        <w:t> </w:t>
      </w:r>
      <w:r>
        <w:rPr>
          <w:vertAlign w:val="baseline"/>
        </w:rPr>
        <w:t>failed</w:t>
      </w:r>
      <w:r>
        <w:rPr>
          <w:spacing w:val="13"/>
          <w:vertAlign w:val="baseline"/>
        </w:rPr>
        <w:t> </w:t>
      </w:r>
      <w:r>
        <w:rPr>
          <w:vertAlign w:val="baseline"/>
        </w:rPr>
        <w:t>to</w:t>
      </w:r>
      <w:r>
        <w:rPr>
          <w:spacing w:val="13"/>
          <w:vertAlign w:val="baseline"/>
        </w:rPr>
        <w:t> </w:t>
      </w:r>
      <w:r>
        <w:rPr>
          <w:vertAlign w:val="baseline"/>
        </w:rPr>
        <w:t>specify</w:t>
      </w:r>
      <w:r>
        <w:rPr>
          <w:spacing w:val="13"/>
          <w:vertAlign w:val="baseline"/>
        </w:rPr>
        <w:t> </w:t>
      </w:r>
      <w:r>
        <w:rPr>
          <w:vertAlign w:val="baseline"/>
        </w:rPr>
        <w:t>the</w:t>
      </w:r>
      <w:r>
        <w:rPr>
          <w:spacing w:val="13"/>
          <w:vertAlign w:val="baseline"/>
        </w:rPr>
        <w:t> </w:t>
      </w:r>
      <w:r>
        <w:rPr>
          <w:vertAlign w:val="baseline"/>
        </w:rPr>
        <w:t>event</w:t>
      </w:r>
      <w:r>
        <w:rPr>
          <w:spacing w:val="13"/>
          <w:vertAlign w:val="baseline"/>
        </w:rPr>
        <w:t> </w:t>
      </w:r>
      <w:r>
        <w:rPr>
          <w:vertAlign w:val="baseline"/>
        </w:rPr>
        <w:t>which</w:t>
      </w:r>
      <w:r>
        <w:rPr>
          <w:spacing w:val="13"/>
          <w:vertAlign w:val="baseline"/>
        </w:rPr>
        <w:t> </w:t>
      </w:r>
      <w:r>
        <w:rPr>
          <w:vertAlign w:val="baseline"/>
        </w:rPr>
        <w:t>would</w:t>
      </w:r>
      <w:r>
        <w:rPr>
          <w:spacing w:val="13"/>
          <w:vertAlign w:val="baseline"/>
        </w:rPr>
        <w:t> </w:t>
      </w:r>
      <w:r>
        <w:rPr>
          <w:vertAlign w:val="baseline"/>
        </w:rPr>
        <w:t>trigger</w:t>
      </w:r>
      <w:r>
        <w:rPr>
          <w:spacing w:val="13"/>
          <w:vertAlign w:val="baseline"/>
        </w:rPr>
        <w:t> </w:t>
      </w:r>
      <w:r>
        <w:rPr>
          <w:vertAlign w:val="baseline"/>
        </w:rPr>
        <w:t>the</w:t>
      </w:r>
      <w:r>
        <w:rPr>
          <w:spacing w:val="13"/>
          <w:vertAlign w:val="baseline"/>
        </w:rPr>
        <w:t> </w:t>
      </w:r>
      <w:r>
        <w:rPr>
          <w:vertAlign w:val="baseline"/>
        </w:rPr>
        <w:t>agent’s</w:t>
      </w:r>
      <w:r>
        <w:rPr>
          <w:spacing w:val="13"/>
          <w:vertAlign w:val="baseline"/>
        </w:rPr>
        <w:t> </w:t>
      </w:r>
      <w:r>
        <w:rPr>
          <w:vertAlign w:val="baseline"/>
        </w:rPr>
        <w:t>entitlement</w:t>
      </w:r>
      <w:r>
        <w:rPr>
          <w:spacing w:val="13"/>
          <w:vertAlign w:val="baseline"/>
        </w:rPr>
        <w:t> </w:t>
      </w:r>
      <w:r>
        <w:rPr>
          <w:vertAlign w:val="baseline"/>
        </w:rPr>
        <w:t>to</w:t>
      </w:r>
      <w:r>
        <w:rPr>
          <w:spacing w:val="13"/>
          <w:vertAlign w:val="baseline"/>
        </w:rPr>
        <w:t> </w:t>
      </w:r>
      <w:r>
        <w:rPr>
          <w:vertAlign w:val="baseline"/>
        </w:rPr>
        <w:t>commission</w:t>
      </w:r>
      <w:r>
        <w:rPr>
          <w:spacing w:val="13"/>
          <w:vertAlign w:val="baseline"/>
        </w:rPr>
        <w:t> </w:t>
      </w:r>
      <w:r>
        <w:rPr>
          <w:vertAlign w:val="baseline"/>
        </w:rPr>
        <w:t>since</w:t>
      </w:r>
      <w:r>
        <w:rPr>
          <w:spacing w:val="13"/>
          <w:vertAlign w:val="baseline"/>
        </w:rPr>
        <w:t> </w:t>
      </w:r>
      <w:r>
        <w:rPr>
          <w:spacing w:val="-4"/>
          <w:vertAlign w:val="baseline"/>
        </w:rPr>
        <w:t>such</w:t>
      </w:r>
    </w:p>
    <w:p>
      <w:pPr>
        <w:pStyle w:val="BodyText"/>
        <w:spacing w:line="360" w:lineRule="auto" w:before="115"/>
        <w:ind w:left="164" w:right="168"/>
        <w:jc w:val="both"/>
      </w:pPr>
      <w:bookmarkStart w:name="_bookmark1134" w:id="1136"/>
      <w:bookmarkEnd w:id="1136"/>
      <w:r>
        <w:rPr/>
      </w:r>
      <w:r>
        <w:rPr/>
        <w:t>contracts do not follow a single pattern. </w:t>
      </w:r>
      <w:r>
        <w:rPr>
          <w:color w:val="005DA1"/>
          <w:u w:val="single" w:color="005DA1"/>
          <w:vertAlign w:val="superscript"/>
        </w:rPr>
        <w:t>598</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91" name="Image 91"/>
            <wp:cNvGraphicFramePr>
              <a:graphicFrameLocks/>
            </wp:cNvGraphicFramePr>
            <a:graphic>
              <a:graphicData uri="http://schemas.openxmlformats.org/drawingml/2006/picture">
                <pic:pic>
                  <pic:nvPicPr>
                    <pic:cNvPr id="91" name="Image 9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color w:val="005DA1"/>
          <w:spacing w:val="34"/>
          <w:vertAlign w:val="baseline"/>
        </w:rPr>
        <w:t> </w:t>
      </w:r>
      <w:r>
        <w:rPr>
          <w:vertAlign w:val="baseline"/>
        </w:rPr>
        <w:t>Moreover, a court cannot turn an incomplete </w:t>
      </w:r>
      <w:r>
        <w:rPr>
          <w:vertAlign w:val="baseline"/>
        </w:rPr>
        <w:t>contract </w:t>
      </w:r>
      <w:bookmarkStart w:name="_bookmark1135" w:id="1137"/>
      <w:bookmarkEnd w:id="1137"/>
      <w:r>
        <w:rPr>
          <w:vertAlign w:val="baseline"/>
        </w:rPr>
        <w:t>into</w:t>
      </w:r>
      <w:r>
        <w:rPr>
          <w:spacing w:val="3"/>
          <w:vertAlign w:val="baseline"/>
        </w:rPr>
        <w:t> </w:t>
      </w:r>
      <w:r>
        <w:rPr>
          <w:vertAlign w:val="baseline"/>
        </w:rPr>
        <w:t>a</w:t>
      </w:r>
      <w:r>
        <w:rPr>
          <w:spacing w:val="3"/>
          <w:vertAlign w:val="baseline"/>
        </w:rPr>
        <w:t> </w:t>
      </w:r>
      <w:r>
        <w:rPr>
          <w:vertAlign w:val="baseline"/>
        </w:rPr>
        <w:t>legally</w:t>
      </w:r>
      <w:r>
        <w:rPr>
          <w:spacing w:val="3"/>
          <w:vertAlign w:val="baseline"/>
        </w:rPr>
        <w:t> </w:t>
      </w:r>
      <w:r>
        <w:rPr>
          <w:vertAlign w:val="baseline"/>
        </w:rPr>
        <w:t>binding</w:t>
      </w:r>
      <w:r>
        <w:rPr>
          <w:spacing w:val="3"/>
          <w:vertAlign w:val="baseline"/>
        </w:rPr>
        <w:t> </w:t>
      </w:r>
      <w:r>
        <w:rPr>
          <w:vertAlign w:val="baseline"/>
        </w:rPr>
        <w:t>contract</w:t>
      </w:r>
      <w:r>
        <w:rPr>
          <w:spacing w:val="3"/>
          <w:vertAlign w:val="baseline"/>
        </w:rPr>
        <w:t> </w:t>
      </w:r>
      <w:r>
        <w:rPr>
          <w:vertAlign w:val="baseline"/>
        </w:rPr>
        <w:t>by</w:t>
      </w:r>
      <w:r>
        <w:rPr>
          <w:spacing w:val="3"/>
          <w:vertAlign w:val="baseline"/>
        </w:rPr>
        <w:t> </w:t>
      </w:r>
      <w:r>
        <w:rPr>
          <w:vertAlign w:val="baseline"/>
        </w:rPr>
        <w:t>adding</w:t>
      </w:r>
      <w:r>
        <w:rPr>
          <w:spacing w:val="3"/>
          <w:vertAlign w:val="baseline"/>
        </w:rPr>
        <w:t> </w:t>
      </w:r>
      <w:r>
        <w:rPr>
          <w:vertAlign w:val="baseline"/>
        </w:rPr>
        <w:t>expressly</w:t>
      </w:r>
      <w:r>
        <w:rPr>
          <w:spacing w:val="3"/>
          <w:vertAlign w:val="baseline"/>
        </w:rPr>
        <w:t> </w:t>
      </w:r>
      <w:r>
        <w:rPr>
          <w:vertAlign w:val="baseline"/>
        </w:rPr>
        <w:t>agreed</w:t>
      </w:r>
      <w:r>
        <w:rPr>
          <w:spacing w:val="3"/>
          <w:vertAlign w:val="baseline"/>
        </w:rPr>
        <w:t> </w:t>
      </w:r>
      <w:r>
        <w:rPr>
          <w:vertAlign w:val="baseline"/>
        </w:rPr>
        <w:t>terms</w:t>
      </w:r>
      <w:r>
        <w:rPr>
          <w:spacing w:val="3"/>
          <w:vertAlign w:val="baseline"/>
        </w:rPr>
        <w:t> </w:t>
      </w:r>
      <w:r>
        <w:rPr>
          <w:vertAlign w:val="baseline"/>
        </w:rPr>
        <w:t>and</w:t>
      </w:r>
      <w:r>
        <w:rPr>
          <w:spacing w:val="3"/>
          <w:vertAlign w:val="baseline"/>
        </w:rPr>
        <w:t> </w:t>
      </w:r>
      <w:r>
        <w:rPr>
          <w:vertAlign w:val="baseline"/>
        </w:rPr>
        <w:t>implied</w:t>
      </w:r>
      <w:r>
        <w:rPr>
          <w:spacing w:val="3"/>
          <w:vertAlign w:val="baseline"/>
        </w:rPr>
        <w:t> </w:t>
      </w:r>
      <w:r>
        <w:rPr>
          <w:vertAlign w:val="baseline"/>
        </w:rPr>
        <w:t>terms</w:t>
      </w:r>
      <w:r>
        <w:rPr>
          <w:spacing w:val="3"/>
          <w:vertAlign w:val="baseline"/>
        </w:rPr>
        <w:t> </w:t>
      </w:r>
      <w:r>
        <w:rPr>
          <w:vertAlign w:val="baseline"/>
        </w:rPr>
        <w:t>together.</w:t>
      </w:r>
      <w:r>
        <w:rPr>
          <w:spacing w:val="2"/>
          <w:vertAlign w:val="baseline"/>
        </w:rPr>
        <w:t> </w:t>
      </w:r>
      <w:r>
        <w:rPr>
          <w:color w:val="005DA1"/>
          <w:u w:val="single" w:color="005DA1"/>
          <w:vertAlign w:val="superscript"/>
        </w:rPr>
        <w:t>599</w:t>
      </w:r>
      <w:r>
        <w:rPr>
          <w:color w:val="005DA1"/>
          <w:spacing w:val="33"/>
          <w:vertAlign w:val="baseline"/>
        </w:rPr>
        <w:t>  </w:t>
      </w:r>
      <w:r>
        <w:rPr>
          <w:color w:val="005DA1"/>
          <w:spacing w:val="14"/>
          <w:position w:val="-2"/>
          <w:vertAlign w:val="baseline"/>
        </w:rPr>
        <w:drawing>
          <wp:inline distT="0" distB="0" distL="0" distR="0">
            <wp:extent cx="107988" cy="107988"/>
            <wp:effectExtent l="0" t="0" r="0" b="0"/>
            <wp:docPr id="92" name="Image 92"/>
            <wp:cNvGraphicFramePr>
              <a:graphicFrameLocks/>
            </wp:cNvGraphicFramePr>
            <a:graphic>
              <a:graphicData uri="http://schemas.openxmlformats.org/drawingml/2006/picture">
                <pic:pic>
                  <pic:nvPicPr>
                    <pic:cNvPr id="92" name="Image 9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color w:val="005DA1"/>
          <w:spacing w:val="-4"/>
          <w:vertAlign w:val="baseline"/>
        </w:rPr>
        <w:t> </w:t>
      </w:r>
      <w:r>
        <w:rPr>
          <w:spacing w:val="-5"/>
          <w:vertAlign w:val="baseline"/>
        </w:rPr>
        <w:t>In</w:t>
      </w:r>
    </w:p>
    <w:p>
      <w:pPr>
        <w:pStyle w:val="BodyText"/>
        <w:spacing w:line="235" w:lineRule="auto" w:before="4"/>
        <w:ind w:left="165" w:right="167"/>
        <w:jc w:val="both"/>
      </w:pPr>
      <w:r>
        <w:rPr>
          <w:rFonts w:ascii="Arial" w:hAnsi="Arial"/>
          <w:i/>
        </w:rPr>
        <w:t>Teekay Tankers Ltd v STX Offshore and Shipbuilding Co Ltd </w:t>
      </w:r>
      <w:r>
        <w:rPr>
          <w:color w:val="005DA1"/>
          <w:u w:val="single" w:color="005DA1"/>
          <w:vertAlign w:val="superscript"/>
        </w:rPr>
        <w:t>600</w:t>
      </w:r>
      <w:r>
        <w:rPr>
          <w:color w:val="005DA1"/>
          <w:spacing w:val="80"/>
          <w:vertAlign w:val="baseline"/>
        </w:rPr>
        <w:t> </w:t>
      </w:r>
      <w:r>
        <w:rPr>
          <w:color w:val="005DA1"/>
          <w:spacing w:val="-22"/>
          <w:position w:val="-2"/>
          <w:vertAlign w:val="baseline"/>
        </w:rPr>
        <w:drawing>
          <wp:inline distT="0" distB="0" distL="0" distR="0">
            <wp:extent cx="107988" cy="107988"/>
            <wp:effectExtent l="0" t="0" r="0" b="0"/>
            <wp:docPr id="93" name="Image 93"/>
            <wp:cNvGraphicFramePr>
              <a:graphicFrameLocks/>
            </wp:cNvGraphicFramePr>
            <a:graphic>
              <a:graphicData uri="http://schemas.openxmlformats.org/drawingml/2006/picture">
                <pic:pic>
                  <pic:nvPicPr>
                    <pic:cNvPr id="93" name="Image 9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2"/>
          <w:position w:val="-2"/>
          <w:vertAlign w:val="baseline"/>
        </w:rPr>
      </w:r>
      <w:r>
        <w:rPr>
          <w:rFonts w:ascii="Times New Roman" w:hAnsi="Times New Roman"/>
          <w:color w:val="005DA1"/>
          <w:spacing w:val="40"/>
          <w:vertAlign w:val="baseline"/>
        </w:rPr>
        <w:t> </w:t>
      </w:r>
      <w:r>
        <w:rPr>
          <w:vertAlign w:val="baseline"/>
        </w:rPr>
        <w:t>an option agreement for </w:t>
      </w:r>
      <w:r>
        <w:rPr>
          <w:vertAlign w:val="baseline"/>
        </w:rPr>
        <w:t>the building of oil tankers was unenforceable because the delivery dates were left to be mutually agreed. The inclusion of a “best efforts” clause in respect of delivery date implicitly recognised that both sides </w:t>
      </w:r>
      <w:bookmarkStart w:name="_bookmark1136" w:id="1138"/>
      <w:bookmarkEnd w:id="1138"/>
      <w:r>
        <w:rPr>
          <w:vertAlign w:val="baseline"/>
        </w:rPr>
        <w:t>could</w:t>
      </w:r>
      <w:r>
        <w:rPr>
          <w:spacing w:val="11"/>
          <w:vertAlign w:val="baseline"/>
        </w:rPr>
        <w:t> </w:t>
      </w:r>
      <w:r>
        <w:rPr>
          <w:vertAlign w:val="baseline"/>
        </w:rPr>
        <w:t>have</w:t>
      </w:r>
      <w:r>
        <w:rPr>
          <w:spacing w:val="11"/>
          <w:vertAlign w:val="baseline"/>
        </w:rPr>
        <w:t> </w:t>
      </w:r>
      <w:r>
        <w:rPr>
          <w:vertAlign w:val="baseline"/>
        </w:rPr>
        <w:t>regard</w:t>
      </w:r>
      <w:r>
        <w:rPr>
          <w:spacing w:val="11"/>
          <w:vertAlign w:val="baseline"/>
        </w:rPr>
        <w:t> </w:t>
      </w:r>
      <w:r>
        <w:rPr>
          <w:vertAlign w:val="baseline"/>
        </w:rPr>
        <w:t>to</w:t>
      </w:r>
      <w:r>
        <w:rPr>
          <w:spacing w:val="11"/>
          <w:vertAlign w:val="baseline"/>
        </w:rPr>
        <w:t> </w:t>
      </w:r>
      <w:r>
        <w:rPr>
          <w:vertAlign w:val="baseline"/>
        </w:rPr>
        <w:t>their</w:t>
      </w:r>
      <w:r>
        <w:rPr>
          <w:spacing w:val="11"/>
          <w:vertAlign w:val="baseline"/>
        </w:rPr>
        <w:t> </w:t>
      </w:r>
      <w:r>
        <w:rPr>
          <w:vertAlign w:val="baseline"/>
        </w:rPr>
        <w:t>own</w:t>
      </w:r>
      <w:r>
        <w:rPr>
          <w:spacing w:val="11"/>
          <w:vertAlign w:val="baseline"/>
        </w:rPr>
        <w:t> </w:t>
      </w:r>
      <w:r>
        <w:rPr>
          <w:vertAlign w:val="baseline"/>
        </w:rPr>
        <w:t>interests</w:t>
      </w:r>
      <w:r>
        <w:rPr>
          <w:spacing w:val="11"/>
          <w:vertAlign w:val="baseline"/>
        </w:rPr>
        <w:t> </w:t>
      </w:r>
      <w:r>
        <w:rPr>
          <w:vertAlign w:val="baseline"/>
        </w:rPr>
        <w:t>and</w:t>
      </w:r>
      <w:r>
        <w:rPr>
          <w:spacing w:val="11"/>
          <w:vertAlign w:val="baseline"/>
        </w:rPr>
        <w:t> </w:t>
      </w:r>
      <w:r>
        <w:rPr>
          <w:vertAlign w:val="baseline"/>
        </w:rPr>
        <w:t>so</w:t>
      </w:r>
      <w:r>
        <w:rPr>
          <w:spacing w:val="11"/>
          <w:vertAlign w:val="baseline"/>
        </w:rPr>
        <w:t> </w:t>
      </w:r>
      <w:r>
        <w:rPr>
          <w:vertAlign w:val="baseline"/>
        </w:rPr>
        <w:t>precludes</w:t>
      </w:r>
      <w:r>
        <w:rPr>
          <w:spacing w:val="11"/>
          <w:vertAlign w:val="baseline"/>
        </w:rPr>
        <w:t> </w:t>
      </w:r>
      <w:r>
        <w:rPr>
          <w:vertAlign w:val="baseline"/>
        </w:rPr>
        <w:t>fixing</w:t>
      </w:r>
      <w:r>
        <w:rPr>
          <w:spacing w:val="11"/>
          <w:vertAlign w:val="baseline"/>
        </w:rPr>
        <w:t> </w:t>
      </w:r>
      <w:r>
        <w:rPr>
          <w:vertAlign w:val="baseline"/>
        </w:rPr>
        <w:t>a</w:t>
      </w:r>
      <w:r>
        <w:rPr>
          <w:spacing w:val="11"/>
          <w:vertAlign w:val="baseline"/>
        </w:rPr>
        <w:t> </w:t>
      </w:r>
      <w:r>
        <w:rPr>
          <w:vertAlign w:val="baseline"/>
        </w:rPr>
        <w:t>delivery</w:t>
      </w:r>
      <w:r>
        <w:rPr>
          <w:spacing w:val="11"/>
          <w:vertAlign w:val="baseline"/>
        </w:rPr>
        <w:t> </w:t>
      </w:r>
      <w:r>
        <w:rPr>
          <w:vertAlign w:val="baseline"/>
        </w:rPr>
        <w:t>date</w:t>
      </w:r>
      <w:r>
        <w:rPr>
          <w:spacing w:val="11"/>
          <w:vertAlign w:val="baseline"/>
        </w:rPr>
        <w:t> </w:t>
      </w:r>
      <w:r>
        <w:rPr>
          <w:vertAlign w:val="baseline"/>
        </w:rPr>
        <w:t>by</w:t>
      </w:r>
      <w:r>
        <w:rPr>
          <w:spacing w:val="11"/>
          <w:vertAlign w:val="baseline"/>
        </w:rPr>
        <w:t> </w:t>
      </w:r>
      <w:r>
        <w:rPr>
          <w:vertAlign w:val="baseline"/>
        </w:rPr>
        <w:t>reference</w:t>
      </w:r>
      <w:r>
        <w:rPr>
          <w:spacing w:val="11"/>
          <w:vertAlign w:val="baseline"/>
        </w:rPr>
        <w:t> </w:t>
      </w:r>
      <w:r>
        <w:rPr>
          <w:vertAlign w:val="baseline"/>
        </w:rPr>
        <w:t>to</w:t>
      </w:r>
      <w:r>
        <w:rPr>
          <w:spacing w:val="11"/>
          <w:vertAlign w:val="baseline"/>
        </w:rPr>
        <w:t> </w:t>
      </w:r>
      <w:r>
        <w:rPr>
          <w:spacing w:val="-4"/>
          <w:vertAlign w:val="baseline"/>
        </w:rPr>
        <w:t>what</w:t>
      </w:r>
    </w:p>
    <w:p>
      <w:pPr>
        <w:pStyle w:val="BodyText"/>
        <w:spacing w:line="235" w:lineRule="auto" w:before="118"/>
        <w:ind w:left="165" w:right="167"/>
        <w:jc w:val="both"/>
      </w:pPr>
      <w:r>
        <w:rPr/>
        <w:t>would be “reasonable ”. </w:t>
      </w:r>
      <w:r>
        <w:rPr>
          <w:color w:val="005DA1"/>
          <w:u w:val="single" w:color="005DA1"/>
          <w:vertAlign w:val="superscript"/>
        </w:rPr>
        <w:t>601</w:t>
      </w:r>
      <w:r>
        <w:rPr>
          <w:color w:val="005DA1"/>
          <w:spacing w:val="80"/>
          <w:vertAlign w:val="baseline"/>
        </w:rPr>
        <w:t> </w:t>
      </w:r>
      <w:r>
        <w:rPr>
          <w:color w:val="005DA1"/>
          <w:spacing w:val="-16"/>
          <w:position w:val="-2"/>
          <w:vertAlign w:val="baseline"/>
        </w:rPr>
        <w:drawing>
          <wp:inline distT="0" distB="0" distL="0" distR="0">
            <wp:extent cx="107988" cy="107988"/>
            <wp:effectExtent l="0" t="0" r="0" b="0"/>
            <wp:docPr id="94" name="Image 94"/>
            <wp:cNvGraphicFramePr>
              <a:graphicFrameLocks/>
            </wp:cNvGraphicFramePr>
            <a:graphic>
              <a:graphicData uri="http://schemas.openxmlformats.org/drawingml/2006/picture">
                <pic:pic>
                  <pic:nvPicPr>
                    <pic:cNvPr id="94" name="Image 9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6"/>
          <w:position w:val="-2"/>
          <w:vertAlign w:val="baseline"/>
        </w:rPr>
      </w:r>
      <w:r>
        <w:rPr>
          <w:rFonts w:ascii="Times New Roman" w:hAnsi="Times New Roman"/>
          <w:color w:val="005DA1"/>
          <w:spacing w:val="40"/>
          <w:vertAlign w:val="baseline"/>
        </w:rPr>
        <w:t> </w:t>
      </w:r>
      <w:r>
        <w:rPr>
          <w:vertAlign w:val="baseline"/>
        </w:rPr>
        <w:t>An agreement is also incomplete if it expressly provides that it </w:t>
      </w:r>
      <w:r>
        <w:rPr>
          <w:vertAlign w:val="baseline"/>
        </w:rPr>
        <w:t>is “subject to” specified points; there is no contract in such a case until either those points are resolved </w:t>
      </w:r>
      <w:bookmarkStart w:name="_bookmark1137" w:id="1139"/>
      <w:bookmarkEnd w:id="1139"/>
      <w:r>
        <w:rPr>
          <w:vertAlign w:val="baseline"/>
        </w:rPr>
        <w:t>or</w:t>
      </w:r>
      <w:r>
        <w:rPr>
          <w:vertAlign w:val="baseline"/>
        </w:rPr>
        <w:t> the parties agree that their resolution is no longer necessary for the agreement to enter into contractual force. </w:t>
      </w:r>
      <w:r>
        <w:rPr>
          <w:color w:val="005DA1"/>
          <w:u w:val="single" w:color="005DA1"/>
          <w:vertAlign w:val="superscript"/>
        </w:rPr>
        <w:t>602</w:t>
      </w:r>
    </w:p>
    <w:p>
      <w:pPr>
        <w:pStyle w:val="BodyText"/>
      </w:pPr>
    </w:p>
    <w:p>
      <w:pPr>
        <w:pStyle w:val="BodyText"/>
        <w:spacing w:before="37"/>
      </w:pPr>
    </w:p>
    <w:p>
      <w:pPr>
        <w:spacing w:before="0"/>
        <w:ind w:left="164" w:right="0" w:firstLine="0"/>
        <w:jc w:val="both"/>
        <w:rPr>
          <w:rFonts w:ascii="Arial"/>
          <w:b/>
          <w:sz w:val="18"/>
        </w:rPr>
      </w:pPr>
      <w:r>
        <w:rPr>
          <w:rFonts w:ascii="Arial"/>
          <w:b/>
          <w:sz w:val="18"/>
        </w:rPr>
        <w:t>Agreement complete despite lack of </w:t>
      </w:r>
      <w:r>
        <w:rPr>
          <w:rFonts w:ascii="Arial"/>
          <w:b/>
          <w:spacing w:val="-2"/>
          <w:sz w:val="18"/>
        </w:rPr>
        <w:t>detail</w:t>
      </w:r>
    </w:p>
    <w:p>
      <w:pPr>
        <w:pStyle w:val="BodyText"/>
        <w:spacing w:before="42"/>
        <w:rPr>
          <w:rFonts w:ascii="Arial"/>
          <w:b/>
          <w:sz w:val="18"/>
        </w:rPr>
      </w:pPr>
    </w:p>
    <w:p>
      <w:pPr>
        <w:pStyle w:val="Heading2"/>
        <w:ind w:left="164"/>
      </w:pPr>
      <w:r>
        <w:rPr/>
        <w:t>2-</w:t>
      </w:r>
      <w:r>
        <w:rPr>
          <w:spacing w:val="-5"/>
        </w:rPr>
        <w:t>120</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95" name="Image 95"/>
            <wp:cNvGraphicFramePr>
              <a:graphicFrameLocks/>
            </wp:cNvGraphicFramePr>
            <a:graphic>
              <a:graphicData uri="http://schemas.openxmlformats.org/drawingml/2006/picture">
                <pic:pic>
                  <pic:nvPicPr>
                    <pic:cNvPr id="95" name="Image 9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138" w:id="1140"/>
      <w:bookmarkEnd w:id="1140"/>
      <w:r>
        <w:rPr>
          <w:rFonts w:ascii="Times New Roman"/>
          <w:spacing w:val="-16"/>
        </w:rPr>
      </w:r>
      <w:r>
        <w:rPr/>
        <w:t>On the other hand, an agreement may be complete although it is not worked out in meticulous detail. </w:t>
      </w:r>
      <w:r>
        <w:rPr>
          <w:color w:val="005DA1"/>
          <w:u w:val="single" w:color="005DA1"/>
          <w:vertAlign w:val="superscript"/>
        </w:rPr>
        <w:t>603</w:t>
      </w:r>
      <w:r>
        <w:rPr>
          <w:color w:val="005DA1"/>
          <w:vertAlign w:val="baseline"/>
        </w:rPr>
        <w:t> </w:t>
      </w:r>
      <w:r>
        <w:rPr>
          <w:vertAlign w:val="baseline"/>
        </w:rPr>
        <w:t>Thus an agreement for the sale of goods may be complete as soon as the parties </w:t>
      </w:r>
      <w:r>
        <w:rPr>
          <w:vertAlign w:val="baseline"/>
        </w:rPr>
        <w:t>have </w:t>
      </w:r>
      <w:bookmarkStart w:name="_bookmark1139" w:id="1141"/>
      <w:bookmarkEnd w:id="1141"/>
      <w:r>
        <w:rPr>
          <w:vertAlign w:val="baseline"/>
        </w:rPr>
        <w:t>agreed</w:t>
      </w:r>
      <w:r>
        <w:rPr>
          <w:vertAlign w:val="baseline"/>
        </w:rPr>
        <w:t> to buy and sell, where the remaining details can be determined by the standard of reasonableness or by law. </w:t>
      </w:r>
      <w:r>
        <w:rPr>
          <w:color w:val="005DA1"/>
          <w:u w:val="single" w:color="005DA1"/>
          <w:vertAlign w:val="superscript"/>
        </w:rPr>
        <w:t>604</w:t>
      </w:r>
      <w:r>
        <w:rPr>
          <w:color w:val="005DA1"/>
          <w:vertAlign w:val="baseline"/>
        </w:rPr>
        <w:t> </w:t>
      </w:r>
      <w:r>
        <w:rPr>
          <w:vertAlign w:val="baseline"/>
        </w:rPr>
        <w:t>Even failure to agree the price is not necessarily fatal in such a case. Section 8(2) of the Sale of Goods Act 1979 provides that, if no price is determined by the contract, a reasonable price must be paid. Under s.15(1) of the Supply of Goods and Services Act 1982, a </w:t>
      </w:r>
      <w:bookmarkStart w:name="_bookmark1140" w:id="1142"/>
      <w:bookmarkEnd w:id="1142"/>
      <w:r>
        <w:rPr>
          <w:vertAlign w:val="baseline"/>
        </w:rPr>
        <w:t>reasonable</w:t>
      </w:r>
      <w:r>
        <w:rPr>
          <w:vertAlign w:val="baseline"/>
        </w:rPr>
        <w:t> sum must similarly be paid where a contract for the supply of services fails to fix the remuneration</w:t>
      </w:r>
      <w:r>
        <w:rPr>
          <w:spacing w:val="5"/>
          <w:vertAlign w:val="baseline"/>
        </w:rPr>
        <w:t> </w:t>
      </w:r>
      <w:r>
        <w:rPr>
          <w:vertAlign w:val="baseline"/>
        </w:rPr>
        <w:t>to</w:t>
      </w:r>
      <w:r>
        <w:rPr>
          <w:spacing w:val="6"/>
          <w:vertAlign w:val="baseline"/>
        </w:rPr>
        <w:t> </w:t>
      </w:r>
      <w:r>
        <w:rPr>
          <w:vertAlign w:val="baseline"/>
        </w:rPr>
        <w:t>be</w:t>
      </w:r>
      <w:r>
        <w:rPr>
          <w:spacing w:val="6"/>
          <w:vertAlign w:val="baseline"/>
        </w:rPr>
        <w:t> </w:t>
      </w:r>
      <w:r>
        <w:rPr>
          <w:vertAlign w:val="baseline"/>
        </w:rPr>
        <w:t>paid</w:t>
      </w:r>
      <w:r>
        <w:rPr>
          <w:spacing w:val="6"/>
          <w:vertAlign w:val="baseline"/>
        </w:rPr>
        <w:t> </w:t>
      </w:r>
      <w:r>
        <w:rPr>
          <w:vertAlign w:val="baseline"/>
        </w:rPr>
        <w:t>for</w:t>
      </w:r>
      <w:r>
        <w:rPr>
          <w:spacing w:val="5"/>
          <w:vertAlign w:val="baseline"/>
        </w:rPr>
        <w:t> </w:t>
      </w:r>
      <w:r>
        <w:rPr>
          <w:vertAlign w:val="baseline"/>
        </w:rPr>
        <w:t>them.</w:t>
      </w:r>
      <w:r>
        <w:rPr>
          <w:spacing w:val="5"/>
          <w:vertAlign w:val="baseline"/>
        </w:rPr>
        <w:t> </w:t>
      </w:r>
      <w:r>
        <w:rPr>
          <w:color w:val="005DA1"/>
          <w:u w:val="single" w:color="005DA1"/>
          <w:vertAlign w:val="superscript"/>
        </w:rPr>
        <w:t>605</w:t>
      </w:r>
      <w:r>
        <w:rPr>
          <w:color w:val="005DA1"/>
          <w:spacing w:val="6"/>
          <w:vertAlign w:val="baseline"/>
        </w:rPr>
        <w:t> </w:t>
      </w:r>
      <w:r>
        <w:rPr>
          <w:vertAlign w:val="baseline"/>
        </w:rPr>
        <w:t>These</w:t>
      </w:r>
      <w:r>
        <w:rPr>
          <w:spacing w:val="6"/>
          <w:vertAlign w:val="baseline"/>
        </w:rPr>
        <w:t> </w:t>
      </w:r>
      <w:r>
        <w:rPr>
          <w:vertAlign w:val="baseline"/>
        </w:rPr>
        <w:t>statutory</w:t>
      </w:r>
      <w:r>
        <w:rPr>
          <w:spacing w:val="5"/>
          <w:vertAlign w:val="baseline"/>
        </w:rPr>
        <w:t> </w:t>
      </w:r>
      <w:r>
        <w:rPr>
          <w:vertAlign w:val="baseline"/>
        </w:rPr>
        <w:t>provisions</w:t>
      </w:r>
      <w:r>
        <w:rPr>
          <w:spacing w:val="6"/>
          <w:vertAlign w:val="baseline"/>
        </w:rPr>
        <w:t> </w:t>
      </w:r>
      <w:r>
        <w:rPr>
          <w:vertAlign w:val="baseline"/>
        </w:rPr>
        <w:t>assume</w:t>
      </w:r>
      <w:r>
        <w:rPr>
          <w:spacing w:val="6"/>
          <w:vertAlign w:val="baseline"/>
        </w:rPr>
        <w:t> </w:t>
      </w:r>
      <w:r>
        <w:rPr>
          <w:vertAlign w:val="baseline"/>
        </w:rPr>
        <w:t>that</w:t>
      </w:r>
      <w:r>
        <w:rPr>
          <w:spacing w:val="6"/>
          <w:vertAlign w:val="baseline"/>
        </w:rPr>
        <w:t> </w:t>
      </w:r>
      <w:r>
        <w:rPr>
          <w:vertAlign w:val="baseline"/>
        </w:rPr>
        <w:t>the</w:t>
      </w:r>
      <w:r>
        <w:rPr>
          <w:spacing w:val="5"/>
          <w:vertAlign w:val="baseline"/>
        </w:rPr>
        <w:t> </w:t>
      </w:r>
      <w:r>
        <w:rPr>
          <w:vertAlign w:val="baseline"/>
        </w:rPr>
        <w:t>agreement</w:t>
      </w:r>
      <w:r>
        <w:rPr>
          <w:spacing w:val="6"/>
          <w:vertAlign w:val="baseline"/>
        </w:rPr>
        <w:t> </w:t>
      </w:r>
      <w:r>
        <w:rPr>
          <w:spacing w:val="-2"/>
          <w:vertAlign w:val="baseline"/>
        </w:rPr>
        <w:t>amounts</w:t>
      </w:r>
    </w:p>
    <w:p>
      <w:pPr>
        <w:pStyle w:val="BodyText"/>
        <w:spacing w:after="0" w:line="235" w:lineRule="auto"/>
        <w:jc w:val="both"/>
        <w:sectPr>
          <w:headerReference w:type="default" r:id="rId25"/>
          <w:pgSz w:w="11900" w:h="16840"/>
          <w:pgMar w:header="971" w:footer="0" w:top="1300" w:bottom="280" w:left="1275" w:right="1275"/>
          <w:pgNumType w:start="1"/>
        </w:sectPr>
      </w:pPr>
    </w:p>
    <w:p>
      <w:pPr>
        <w:pStyle w:val="BodyText"/>
        <w:spacing w:line="235" w:lineRule="auto" w:before="110"/>
        <w:ind w:left="165" w:right="167"/>
        <w:jc w:val="both"/>
      </w:pPr>
      <w:r>
        <w:rPr/>
        <w:t>to a contract in spite of its failure to fix the price or remuneration. The very fact that the parties </w:t>
      </w:r>
      <w:r>
        <w:rPr/>
        <w:t>have </w:t>
      </w:r>
      <w:bookmarkStart w:name="_bookmark1141" w:id="1143"/>
      <w:bookmarkEnd w:id="1143"/>
      <w:r>
        <w:rPr/>
        <w:t>not</w:t>
      </w:r>
      <w:r>
        <w:rPr/>
        <w:t> reached agreement on this vital point may indicate that there is </w:t>
      </w:r>
      <w:r>
        <w:rPr>
          <w:rFonts w:ascii="Arial"/>
          <w:i/>
        </w:rPr>
        <w:t>no </w:t>
      </w:r>
      <w:r>
        <w:rPr/>
        <w:t>contract, e.g. because the</w:t>
      </w:r>
      <w:r>
        <w:rPr>
          <w:spacing w:val="80"/>
        </w:rPr>
        <w:t> </w:t>
      </w:r>
      <w:r>
        <w:rPr/>
        <w:t>price or remuneration is to be fixed by further agreement. </w:t>
      </w:r>
      <w:r>
        <w:rPr>
          <w:color w:val="005DA1"/>
          <w:u w:val="single" w:color="005DA1"/>
          <w:vertAlign w:val="superscript"/>
        </w:rPr>
        <w:t>606</w:t>
      </w:r>
      <w:r>
        <w:rPr>
          <w:color w:val="005DA1"/>
          <w:vertAlign w:val="baseline"/>
        </w:rPr>
        <w:t> </w:t>
      </w:r>
      <w:r>
        <w:rPr>
          <w:vertAlign w:val="baseline"/>
        </w:rPr>
        <w:t>In such a case, the statutory provisions for</w:t>
      </w:r>
      <w:r>
        <w:rPr>
          <w:spacing w:val="-2"/>
          <w:vertAlign w:val="baseline"/>
        </w:rPr>
        <w:t> </w:t>
      </w:r>
      <w:r>
        <w:rPr>
          <w:vertAlign w:val="baseline"/>
        </w:rPr>
        <w:t>payment</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reasonable</w:t>
      </w:r>
      <w:r>
        <w:rPr>
          <w:spacing w:val="-2"/>
          <w:vertAlign w:val="baseline"/>
        </w:rPr>
        <w:t> </w:t>
      </w:r>
      <w:r>
        <w:rPr>
          <w:vertAlign w:val="baseline"/>
        </w:rPr>
        <w:t>sum</w:t>
      </w:r>
      <w:r>
        <w:rPr>
          <w:spacing w:val="-2"/>
          <w:vertAlign w:val="baseline"/>
        </w:rPr>
        <w:t> </w:t>
      </w:r>
      <w:r>
        <w:rPr>
          <w:vertAlign w:val="baseline"/>
        </w:rPr>
        <w:t>do</w:t>
      </w:r>
      <w:r>
        <w:rPr>
          <w:spacing w:val="-2"/>
          <w:vertAlign w:val="baseline"/>
        </w:rPr>
        <w:t> </w:t>
      </w:r>
      <w:r>
        <w:rPr>
          <w:vertAlign w:val="baseline"/>
        </w:rPr>
        <w:t>not</w:t>
      </w:r>
      <w:r>
        <w:rPr>
          <w:spacing w:val="-2"/>
          <w:vertAlign w:val="baseline"/>
        </w:rPr>
        <w:t> </w:t>
      </w:r>
      <w:r>
        <w:rPr>
          <w:vertAlign w:val="baseline"/>
        </w:rPr>
        <w:t>apply.</w:t>
      </w:r>
      <w:r>
        <w:rPr>
          <w:spacing w:val="-2"/>
          <w:vertAlign w:val="baseline"/>
        </w:rPr>
        <w:t> </w:t>
      </w:r>
      <w:r>
        <w:rPr>
          <w:vertAlign w:val="baseline"/>
        </w:rPr>
        <w:t>There</w:t>
      </w:r>
      <w:r>
        <w:rPr>
          <w:spacing w:val="-2"/>
          <w:vertAlign w:val="baseline"/>
        </w:rPr>
        <w:t> </w:t>
      </w:r>
      <w:r>
        <w:rPr>
          <w:vertAlign w:val="baseline"/>
        </w:rPr>
        <w:t>may,</w:t>
      </w:r>
      <w:r>
        <w:rPr>
          <w:spacing w:val="-2"/>
          <w:vertAlign w:val="baseline"/>
        </w:rPr>
        <w:t> </w:t>
      </w:r>
      <w:r>
        <w:rPr>
          <w:vertAlign w:val="baseline"/>
        </w:rPr>
        <w:t>however,</w:t>
      </w:r>
      <w:r>
        <w:rPr>
          <w:spacing w:val="-2"/>
          <w:vertAlign w:val="baseline"/>
        </w:rPr>
        <w:t> </w:t>
      </w:r>
      <w:r>
        <w:rPr>
          <w:vertAlign w:val="baseline"/>
        </w:rPr>
        <w:t>be</w:t>
      </w:r>
      <w:r>
        <w:rPr>
          <w:spacing w:val="-2"/>
          <w:vertAlign w:val="baseline"/>
        </w:rPr>
        <w:t> </w:t>
      </w:r>
      <w:r>
        <w:rPr>
          <w:vertAlign w:val="baseline"/>
        </w:rPr>
        <w:t>a</w:t>
      </w:r>
      <w:r>
        <w:rPr>
          <w:spacing w:val="-2"/>
          <w:vertAlign w:val="baseline"/>
        </w:rPr>
        <w:t> </w:t>
      </w:r>
      <w:r>
        <w:rPr>
          <w:vertAlign w:val="baseline"/>
        </w:rPr>
        <w:t>claim</w:t>
      </w:r>
      <w:r>
        <w:rPr>
          <w:spacing w:val="-2"/>
          <w:vertAlign w:val="baseline"/>
        </w:rPr>
        <w:t> </w:t>
      </w:r>
      <w:r>
        <w:rPr>
          <w:vertAlign w:val="baseline"/>
        </w:rPr>
        <w:t>for</w:t>
      </w:r>
      <w:r>
        <w:rPr>
          <w:spacing w:val="-2"/>
          <w:vertAlign w:val="baseline"/>
        </w:rPr>
        <w:t> </w:t>
      </w:r>
      <w:r>
        <w:rPr>
          <w:vertAlign w:val="baseline"/>
        </w:rPr>
        <w:t>payment</w:t>
      </w:r>
      <w:r>
        <w:rPr>
          <w:spacing w:val="-2"/>
          <w:vertAlign w:val="baseline"/>
        </w:rPr>
        <w:t> </w:t>
      </w:r>
      <w:r>
        <w:rPr>
          <w:vertAlign w:val="baseline"/>
        </w:rPr>
        <w:t>of</w:t>
      </w:r>
      <w:r>
        <w:rPr>
          <w:spacing w:val="-2"/>
          <w:vertAlign w:val="baseline"/>
        </w:rPr>
        <w:t> </w:t>
      </w:r>
      <w:r>
        <w:rPr>
          <w:vertAlign w:val="baseline"/>
        </w:rPr>
        <w:t>such</w:t>
      </w:r>
      <w:r>
        <w:rPr>
          <w:spacing w:val="-2"/>
          <w:vertAlign w:val="baseline"/>
        </w:rPr>
        <w:t> </w:t>
      </w:r>
      <w:r>
        <w:rPr>
          <w:vertAlign w:val="baseline"/>
        </w:rPr>
        <w:t>a </w:t>
      </w:r>
      <w:bookmarkStart w:name="_bookmark1142" w:id="1144"/>
      <w:bookmarkEnd w:id="1144"/>
      <w:r>
        <w:rPr>
          <w:vertAlign w:val="baseline"/>
        </w:rPr>
        <w:t>sum</w:t>
      </w:r>
      <w:r>
        <w:rPr>
          <w:vertAlign w:val="baseline"/>
        </w:rPr>
        <w:t> at common law: for example, where work is done in the belief that there was a contract or in the expectation that the negotiations between the parties would result in the conclusion of a contract. </w:t>
      </w:r>
      <w:r>
        <w:rPr>
          <w:color w:val="005DA1"/>
          <w:u w:val="single" w:color="005DA1"/>
          <w:vertAlign w:val="superscript"/>
        </w:rPr>
        <w:t>607</w:t>
      </w:r>
      <w:r>
        <w:rPr>
          <w:color w:val="005DA1"/>
          <w:vertAlign w:val="baseline"/>
        </w:rPr>
        <w:t> </w:t>
      </w:r>
      <w:bookmarkStart w:name="_bookmark1143" w:id="1145"/>
      <w:bookmarkEnd w:id="1145"/>
      <w:r>
        <w:rPr>
          <w:color w:val="005DA1"/>
          <w:w w:val="92"/>
          <w:vertAlign w:val="baseline"/>
        </w:rPr>
      </w:r>
      <w:r>
        <w:rPr>
          <w:vertAlign w:val="baseline"/>
        </w:rPr>
        <w:t>Such</w:t>
      </w:r>
      <w:r>
        <w:rPr>
          <w:spacing w:val="18"/>
          <w:vertAlign w:val="baseline"/>
        </w:rPr>
        <w:t> </w:t>
      </w:r>
      <w:r>
        <w:rPr>
          <w:vertAlign w:val="baseline"/>
        </w:rPr>
        <w:t>liability</w:t>
      </w:r>
      <w:r>
        <w:rPr>
          <w:spacing w:val="18"/>
          <w:vertAlign w:val="baseline"/>
        </w:rPr>
        <w:t> </w:t>
      </w:r>
      <w:r>
        <w:rPr>
          <w:vertAlign w:val="baseline"/>
        </w:rPr>
        <w:t>is</w:t>
      </w:r>
      <w:r>
        <w:rPr>
          <w:spacing w:val="18"/>
          <w:vertAlign w:val="baseline"/>
        </w:rPr>
        <w:t> </w:t>
      </w:r>
      <w:r>
        <w:rPr>
          <w:vertAlign w:val="baseline"/>
        </w:rPr>
        <w:t>based</w:t>
      </w:r>
      <w:r>
        <w:rPr>
          <w:spacing w:val="18"/>
          <w:vertAlign w:val="baseline"/>
        </w:rPr>
        <w:t> </w:t>
      </w:r>
      <w:r>
        <w:rPr>
          <w:vertAlign w:val="baseline"/>
        </w:rPr>
        <w:t>on</w:t>
      </w:r>
      <w:r>
        <w:rPr>
          <w:spacing w:val="18"/>
          <w:vertAlign w:val="baseline"/>
        </w:rPr>
        <w:t> </w:t>
      </w:r>
      <w:r>
        <w:rPr>
          <w:vertAlign w:val="baseline"/>
        </w:rPr>
        <w:t>the</w:t>
      </w:r>
      <w:r>
        <w:rPr>
          <w:spacing w:val="18"/>
          <w:vertAlign w:val="baseline"/>
        </w:rPr>
        <w:t> </w:t>
      </w:r>
      <w:r>
        <w:rPr>
          <w:vertAlign w:val="baseline"/>
        </w:rPr>
        <w:t>need</w:t>
      </w:r>
      <w:r>
        <w:rPr>
          <w:spacing w:val="18"/>
          <w:vertAlign w:val="baseline"/>
        </w:rPr>
        <w:t> </w:t>
      </w:r>
      <w:r>
        <w:rPr>
          <w:vertAlign w:val="baseline"/>
        </w:rPr>
        <w:t>to</w:t>
      </w:r>
      <w:r>
        <w:rPr>
          <w:spacing w:val="18"/>
          <w:vertAlign w:val="baseline"/>
        </w:rPr>
        <w:t> </w:t>
      </w:r>
      <w:r>
        <w:rPr>
          <w:vertAlign w:val="baseline"/>
        </w:rPr>
        <w:t>deprive</w:t>
      </w:r>
      <w:r>
        <w:rPr>
          <w:spacing w:val="18"/>
          <w:vertAlign w:val="baseline"/>
        </w:rPr>
        <w:t> </w:t>
      </w:r>
      <w:r>
        <w:rPr>
          <w:vertAlign w:val="baseline"/>
        </w:rPr>
        <w:t>the</w:t>
      </w:r>
      <w:r>
        <w:rPr>
          <w:spacing w:val="18"/>
          <w:vertAlign w:val="baseline"/>
        </w:rPr>
        <w:t> </w:t>
      </w:r>
      <w:r>
        <w:rPr>
          <w:vertAlign w:val="baseline"/>
        </w:rPr>
        <w:t>recipient</w:t>
      </w:r>
      <w:r>
        <w:rPr>
          <w:spacing w:val="18"/>
          <w:vertAlign w:val="baseline"/>
        </w:rPr>
        <w:t> </w:t>
      </w:r>
      <w:r>
        <w:rPr>
          <w:vertAlign w:val="baseline"/>
        </w:rPr>
        <w:t>of</w:t>
      </w:r>
      <w:r>
        <w:rPr>
          <w:spacing w:val="18"/>
          <w:vertAlign w:val="baseline"/>
        </w:rPr>
        <w:t> </w:t>
      </w:r>
      <w:r>
        <w:rPr>
          <w:vertAlign w:val="baseline"/>
        </w:rPr>
        <w:t>the</w:t>
      </w:r>
      <w:r>
        <w:rPr>
          <w:spacing w:val="18"/>
          <w:vertAlign w:val="baseline"/>
        </w:rPr>
        <w:t> </w:t>
      </w:r>
      <w:r>
        <w:rPr>
          <w:vertAlign w:val="baseline"/>
        </w:rPr>
        <w:t>services</w:t>
      </w:r>
      <w:r>
        <w:rPr>
          <w:spacing w:val="18"/>
          <w:vertAlign w:val="baseline"/>
        </w:rPr>
        <w:t> </w:t>
      </w:r>
      <w:r>
        <w:rPr>
          <w:vertAlign w:val="baseline"/>
        </w:rPr>
        <w:t>of</w:t>
      </w:r>
      <w:r>
        <w:rPr>
          <w:spacing w:val="18"/>
          <w:vertAlign w:val="baseline"/>
        </w:rPr>
        <w:t> </w:t>
      </w:r>
      <w:r>
        <w:rPr>
          <w:vertAlign w:val="baseline"/>
        </w:rPr>
        <w:t>unjust</w:t>
      </w:r>
      <w:r>
        <w:rPr>
          <w:spacing w:val="18"/>
          <w:vertAlign w:val="baseline"/>
        </w:rPr>
        <w:t> </w:t>
      </w:r>
      <w:r>
        <w:rPr>
          <w:vertAlign w:val="baseline"/>
        </w:rPr>
        <w:t>enrichment</w:t>
      </w:r>
      <w:r>
        <w:rPr>
          <w:spacing w:val="18"/>
          <w:vertAlign w:val="baseline"/>
        </w:rPr>
        <w:t> </w:t>
      </w:r>
      <w:r>
        <w:rPr>
          <w:spacing w:val="-4"/>
          <w:vertAlign w:val="baseline"/>
        </w:rPr>
        <w:t>that</w:t>
      </w:r>
    </w:p>
    <w:p>
      <w:pPr>
        <w:pStyle w:val="BodyText"/>
        <w:spacing w:line="235" w:lineRule="auto" w:before="118"/>
        <w:ind w:left="165" w:right="167"/>
        <w:jc w:val="both"/>
      </w:pPr>
      <w:bookmarkStart w:name="_bookmark1144" w:id="1146"/>
      <w:bookmarkEnd w:id="1146"/>
      <w:r>
        <w:rPr/>
      </w:r>
      <w:r>
        <w:rPr/>
        <w:t>may result from his having benefited from the services without being required to pay for them </w:t>
      </w:r>
      <w:r>
        <w:rPr>
          <w:color w:val="005DA1"/>
          <w:u w:val="single" w:color="005DA1"/>
          <w:vertAlign w:val="superscript"/>
        </w:rPr>
        <w:t>608</w:t>
      </w:r>
      <w:r>
        <w:rPr>
          <w:color w:val="005DA1"/>
          <w:spacing w:val="80"/>
          <w:vertAlign w:val="baseline"/>
        </w:rPr>
        <w:t> </w:t>
      </w:r>
      <w:r>
        <w:rPr>
          <w:color w:val="005DA1"/>
          <w:spacing w:val="25"/>
          <w:position w:val="-2"/>
          <w:vertAlign w:val="baseline"/>
        </w:rPr>
        <w:drawing>
          <wp:inline distT="0" distB="0" distL="0" distR="0">
            <wp:extent cx="107988" cy="107988"/>
            <wp:effectExtent l="0" t="0" r="0" b="0"/>
            <wp:docPr id="96" name="Image 96"/>
            <wp:cNvGraphicFramePr>
              <a:graphicFrameLocks/>
            </wp:cNvGraphicFramePr>
            <a:graphic>
              <a:graphicData uri="http://schemas.openxmlformats.org/drawingml/2006/picture">
                <pic:pic>
                  <pic:nvPicPr>
                    <pic:cNvPr id="96" name="Image 9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25"/>
          <w:position w:val="-2"/>
          <w:vertAlign w:val="baseline"/>
        </w:rPr>
      </w:r>
      <w:r>
        <w:rPr>
          <w:vertAlign w:val="baseline"/>
        </w:rPr>
        <w:t>; and it arises in spite of the fact that there was </w:t>
      </w:r>
      <w:r>
        <w:rPr>
          <w:rFonts w:ascii="Arial"/>
          <w:i/>
          <w:vertAlign w:val="baseline"/>
        </w:rPr>
        <w:t>no </w:t>
      </w:r>
      <w:r>
        <w:rPr>
          <w:vertAlign w:val="baseline"/>
        </w:rPr>
        <w:t>contract. </w:t>
      </w:r>
      <w:r>
        <w:rPr>
          <w:color w:val="005DA1"/>
          <w:u w:val="single" w:color="005DA1"/>
          <w:vertAlign w:val="superscript"/>
        </w:rPr>
        <w:t>609</w:t>
      </w:r>
      <w:r>
        <w:rPr>
          <w:color w:val="005DA1"/>
          <w:vertAlign w:val="baseline"/>
        </w:rPr>
        <w:t> </w:t>
      </w:r>
      <w:r>
        <w:rPr>
          <w:vertAlign w:val="baseline"/>
        </w:rPr>
        <w:t>It follows that the party doing the work, </w:t>
      </w:r>
      <w:bookmarkStart w:name="_bookmark1145" w:id="1147"/>
      <w:bookmarkEnd w:id="1147"/>
      <w:r>
        <w:rPr>
          <w:vertAlign w:val="baseline"/>
        </w:rPr>
        <w:t>though</w:t>
      </w:r>
      <w:r>
        <w:rPr>
          <w:vertAlign w:val="baseline"/>
        </w:rPr>
        <w:t> he is entitled to a reasonable sum, is not liable in damages, e.g. for failing to do the work</w:t>
      </w:r>
      <w:r>
        <w:rPr>
          <w:spacing w:val="40"/>
          <w:vertAlign w:val="baseline"/>
        </w:rPr>
        <w:t> </w:t>
      </w:r>
      <w:r>
        <w:rPr>
          <w:vertAlign w:val="baseline"/>
        </w:rPr>
        <w:t>within a reasonable time. </w:t>
      </w:r>
      <w:r>
        <w:rPr>
          <w:color w:val="005DA1"/>
          <w:u w:val="single" w:color="005DA1"/>
          <w:vertAlign w:val="superscript"/>
        </w:rPr>
        <w:t>610</w:t>
      </w:r>
      <w:r>
        <w:rPr>
          <w:color w:val="005DA1"/>
          <w:vertAlign w:val="baseline"/>
        </w:rPr>
        <w:t> </w:t>
      </w:r>
      <w:r>
        <w:rPr>
          <w:vertAlign w:val="baseline"/>
        </w:rPr>
        <w:t>If the claim arose under a contract by virtue of s.15(1) of the 1982 Act, the party doing the work would be both entitled and liable.</w:t>
      </w:r>
    </w:p>
    <w:p>
      <w:pPr>
        <w:pStyle w:val="BodyText"/>
        <w:spacing w:before="79"/>
      </w:pPr>
    </w:p>
    <w:p>
      <w:pPr>
        <w:pStyle w:val="Heading2"/>
      </w:pPr>
      <w:r>
        <w:rPr/>
        <w:t>2-</w:t>
      </w:r>
      <w:r>
        <w:rPr>
          <w:spacing w:val="-5"/>
        </w:rPr>
        <w:t>121</w:t>
      </w:r>
    </w:p>
    <w:p>
      <w:pPr>
        <w:pStyle w:val="BodyText"/>
        <w:spacing w:line="235" w:lineRule="auto" w:before="203"/>
        <w:ind w:left="164" w:right="167"/>
        <w:jc w:val="both"/>
      </w:pPr>
      <w:bookmarkStart w:name="_bookmark1146" w:id="1148"/>
      <w:bookmarkEnd w:id="1148"/>
      <w:r>
        <w:rPr/>
      </w:r>
      <w:r>
        <w:rPr/>
        <w:t>Even an agreement for sale of land dealing only with the barest essentials may be regarded as complete if that was the clear intention of the parties. Thus in</w:t>
      </w:r>
      <w:r>
        <w:rPr>
          <w:spacing w:val="-1"/>
        </w:rPr>
        <w:t> </w:t>
      </w:r>
      <w:r>
        <w:rPr>
          <w:rFonts w:ascii="Arial" w:hAnsi="Arial"/>
          <w:i/>
        </w:rPr>
        <w:t>Perry v Suffields Ltd </w:t>
      </w:r>
      <w:r>
        <w:rPr>
          <w:color w:val="005DA1"/>
          <w:u w:val="single" w:color="005DA1"/>
          <w:vertAlign w:val="superscript"/>
        </w:rPr>
        <w:t>611</w:t>
      </w:r>
      <w:r>
        <w:rPr>
          <w:color w:val="005DA1"/>
          <w:vertAlign w:val="baseline"/>
        </w:rPr>
        <w:t> </w:t>
      </w:r>
      <w:r>
        <w:rPr>
          <w:vertAlign w:val="baseline"/>
        </w:rPr>
        <w:t>an offer to sell a </w:t>
      </w:r>
      <w:bookmarkStart w:name="_bookmark1147" w:id="1149"/>
      <w:bookmarkEnd w:id="1149"/>
      <w:r>
        <w:rPr>
          <w:vertAlign w:val="baseline"/>
        </w:rPr>
        <w:t>public</w:t>
      </w:r>
      <w:r>
        <w:rPr>
          <w:vertAlign w:val="baseline"/>
        </w:rPr>
        <w:t> house with vacant possession for £7,000 was accepted without qualification. It was held that </w:t>
      </w:r>
      <w:bookmarkStart w:name="_bookmark1148" w:id="1150"/>
      <w:bookmarkEnd w:id="1150"/>
      <w:r>
        <w:rPr>
          <w:vertAlign w:val="baseline"/>
        </w:rPr>
        <w:t>there</w:t>
      </w:r>
      <w:r>
        <w:rPr>
          <w:vertAlign w:val="baseline"/>
        </w:rPr>
        <w:t> was a binding contract even though many important points, e.g. the date for completion </w:t>
      </w:r>
      <w:r>
        <w:rPr>
          <w:color w:val="005DA1"/>
          <w:u w:val="single" w:color="005DA1"/>
          <w:vertAlign w:val="superscript"/>
        </w:rPr>
        <w:t>612</w:t>
      </w:r>
      <w:r>
        <w:rPr>
          <w:color w:val="005DA1"/>
          <w:vertAlign w:val="baseline"/>
        </w:rPr>
        <w:t> </w:t>
      </w:r>
      <w:r>
        <w:rPr>
          <w:vertAlign w:val="baseline"/>
        </w:rPr>
        <w:t>and the question of paying a deposit, were left open. In another case </w:t>
      </w:r>
      <w:r>
        <w:rPr>
          <w:color w:val="005DA1"/>
          <w:u w:val="single" w:color="005DA1"/>
          <w:vertAlign w:val="superscript"/>
        </w:rPr>
        <w:t>613</w:t>
      </w:r>
      <w:r>
        <w:rPr>
          <w:color w:val="005DA1"/>
          <w:vertAlign w:val="baseline"/>
        </w:rPr>
        <w:t> </w:t>
      </w:r>
      <w:r>
        <w:rPr>
          <w:vertAlign w:val="baseline"/>
        </w:rPr>
        <w:t>a buyer and seller of corn feed </w:t>
      </w:r>
      <w:bookmarkStart w:name="_bookmark1149" w:id="1151"/>
      <w:bookmarkEnd w:id="1151"/>
      <w:r>
        <w:rPr>
          <w:vertAlign w:val="baseline"/>
        </w:rPr>
        <w:t>pellets</w:t>
      </w:r>
      <w:r>
        <w:rPr>
          <w:vertAlign w:val="baseline"/>
        </w:rPr>
        <w:t> had reached agreement on the “cardinal terms of the deal: product, price, quantity, period </w:t>
      </w:r>
      <w:r>
        <w:rPr>
          <w:vertAlign w:val="baseline"/>
        </w:rPr>
        <w:t>of shipment, range of loading ports and governing contract terms”. </w:t>
      </w:r>
      <w:r>
        <w:rPr>
          <w:color w:val="005DA1"/>
          <w:u w:val="single" w:color="005DA1"/>
          <w:vertAlign w:val="superscript"/>
        </w:rPr>
        <w:t>614</w:t>
      </w:r>
      <w:r>
        <w:rPr>
          <w:color w:val="005DA1"/>
          <w:vertAlign w:val="baseline"/>
        </w:rPr>
        <w:t> </w:t>
      </w:r>
      <w:r>
        <w:rPr>
          <w:vertAlign w:val="baseline"/>
        </w:rPr>
        <w:t>The agreement was held to have </w:t>
      </w:r>
      <w:bookmarkStart w:name="_bookmark1150" w:id="1152"/>
      <w:bookmarkEnd w:id="1152"/>
      <w:r>
        <w:rPr>
          <w:vertAlign w:val="baseline"/>
        </w:rPr>
        <w:t>contractual</w:t>
      </w:r>
      <w:r>
        <w:rPr>
          <w:vertAlign w:val="baseline"/>
        </w:rPr>
        <w:t> force even though the parties had not yet reached agreement on a number of other important points, such as the loading port, </w:t>
      </w:r>
      <w:r>
        <w:rPr>
          <w:color w:val="005DA1"/>
          <w:u w:val="single" w:color="005DA1"/>
          <w:vertAlign w:val="superscript"/>
        </w:rPr>
        <w:t>615</w:t>
      </w:r>
      <w:r>
        <w:rPr>
          <w:color w:val="005DA1"/>
          <w:vertAlign w:val="baseline"/>
        </w:rPr>
        <w:t> </w:t>
      </w:r>
      <w:r>
        <w:rPr>
          <w:vertAlign w:val="baseline"/>
        </w:rPr>
        <w:t>the rate of loading and certain payments (other than the price) which might in certain events become payable under the contract. Similarly, where parties had, </w:t>
      </w:r>
      <w:bookmarkStart w:name="_bookmark1151" w:id="1153"/>
      <w:bookmarkEnd w:id="1153"/>
      <w:r>
        <w:rPr>
          <w:vertAlign w:val="baseline"/>
        </w:rPr>
        <w:t>in</w:t>
      </w:r>
      <w:r>
        <w:rPr>
          <w:vertAlign w:val="baseline"/>
        </w:rPr>
        <w:t> negotiations for the manufacture by the claimants of machinery to be delivered to the defendants, reached agreement on “all essential terms” </w:t>
      </w:r>
      <w:r>
        <w:rPr>
          <w:color w:val="005DA1"/>
          <w:u w:val="single" w:color="005DA1"/>
          <w:vertAlign w:val="superscript"/>
        </w:rPr>
        <w:t>616</w:t>
      </w:r>
      <w:r>
        <w:rPr>
          <w:color w:val="005DA1"/>
          <w:vertAlign w:val="baseline"/>
        </w:rPr>
        <w:t> </w:t>
      </w:r>
      <w:r>
        <w:rPr>
          <w:vertAlign w:val="baseline"/>
        </w:rPr>
        <w:t>and “substantial works were then carried out”, </w:t>
      </w:r>
      <w:r>
        <w:rPr>
          <w:color w:val="005DA1"/>
          <w:u w:val="single" w:color="005DA1"/>
          <w:vertAlign w:val="superscript"/>
        </w:rPr>
        <w:t>617</w:t>
      </w:r>
      <w:r>
        <w:rPr>
          <w:color w:val="005DA1"/>
          <w:vertAlign w:val="baseline"/>
        </w:rPr>
        <w:t> </w:t>
      </w:r>
      <w:r>
        <w:rPr>
          <w:vertAlign w:val="baseline"/>
        </w:rPr>
        <w:t>a </w:t>
      </w:r>
      <w:bookmarkStart w:name="_bookmark1152" w:id="1154"/>
      <w:bookmarkEnd w:id="1154"/>
      <w:r>
        <w:rPr>
          <w:vertAlign w:val="baseline"/>
        </w:rPr>
        <w:t>contract</w:t>
      </w:r>
      <w:r>
        <w:rPr>
          <w:vertAlign w:val="baseline"/>
        </w:rPr>
        <w:t> between them was held to have been concluded even though some points had been left </w:t>
      </w:r>
      <w:bookmarkStart w:name="_bookmark1153" w:id="1155"/>
      <w:bookmarkEnd w:id="1155"/>
      <w:r>
        <w:rPr>
          <w:vertAlign w:val="baseline"/>
        </w:rPr>
        <w:t>unresolved</w:t>
      </w:r>
      <w:r>
        <w:rPr>
          <w:vertAlign w:val="baseline"/>
        </w:rPr>
        <w:t> </w:t>
      </w:r>
      <w:r>
        <w:rPr>
          <w:color w:val="005DA1"/>
          <w:u w:val="single" w:color="005DA1"/>
          <w:vertAlign w:val="superscript"/>
        </w:rPr>
        <w:t>618</w:t>
      </w:r>
      <w:r>
        <w:rPr>
          <w:vertAlign w:val="baseline"/>
        </w:rPr>
        <w:t>; and even though those points were of “economic or other significance”. </w:t>
      </w:r>
      <w:r>
        <w:rPr>
          <w:color w:val="005DA1"/>
          <w:u w:val="single" w:color="005DA1"/>
          <w:vertAlign w:val="superscript"/>
        </w:rPr>
        <w:t>619</w:t>
      </w:r>
      <w:r>
        <w:rPr>
          <w:color w:val="005DA1"/>
          <w:vertAlign w:val="baseline"/>
        </w:rPr>
        <w:t> </w:t>
      </w:r>
      <w:r>
        <w:rPr>
          <w:vertAlign w:val="baseline"/>
        </w:rPr>
        <w:t>An even more striking illustration of this approach is provided by a case </w:t>
      </w:r>
      <w:r>
        <w:rPr>
          <w:color w:val="005DA1"/>
          <w:u w:val="single" w:color="005DA1"/>
          <w:vertAlign w:val="superscript"/>
        </w:rPr>
        <w:t>620</w:t>
      </w:r>
      <w:r>
        <w:rPr>
          <w:color w:val="005DA1"/>
          <w:vertAlign w:val="baseline"/>
        </w:rPr>
        <w:t> </w:t>
      </w:r>
      <w:r>
        <w:rPr>
          <w:vertAlign w:val="baseline"/>
        </w:rPr>
        <w:t>in which parties had reached an</w:t>
      </w:r>
      <w:r>
        <w:rPr>
          <w:spacing w:val="40"/>
          <w:vertAlign w:val="baseline"/>
        </w:rPr>
        <w:t> </w:t>
      </w:r>
      <w:r>
        <w:rPr>
          <w:vertAlign w:val="baseline"/>
        </w:rPr>
        <w:t>oral agreement by telephone for the sale of notes evidencing “distressed debt” of a company which was</w:t>
      </w:r>
      <w:r>
        <w:rPr>
          <w:spacing w:val="-2"/>
          <w:vertAlign w:val="baseline"/>
        </w:rPr>
        <w:t> </w:t>
      </w:r>
      <w:r>
        <w:rPr>
          <w:vertAlign w:val="baseline"/>
        </w:rPr>
        <w:t>in</w:t>
      </w:r>
      <w:r>
        <w:rPr>
          <w:spacing w:val="-2"/>
          <w:vertAlign w:val="baseline"/>
        </w:rPr>
        <w:t> </w:t>
      </w:r>
      <w:r>
        <w:rPr>
          <w:vertAlign w:val="baseline"/>
        </w:rPr>
        <w:t>liquidation.</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identified</w:t>
      </w:r>
      <w:r>
        <w:rPr>
          <w:spacing w:val="-2"/>
          <w:vertAlign w:val="baseline"/>
        </w:rPr>
        <w:t> </w:t>
      </w:r>
      <w:r>
        <w:rPr>
          <w:vertAlign w:val="baseline"/>
        </w:rPr>
        <w:t>the</w:t>
      </w:r>
      <w:r>
        <w:rPr>
          <w:spacing w:val="-2"/>
          <w:vertAlign w:val="baseline"/>
        </w:rPr>
        <w:t> </w:t>
      </w:r>
      <w:r>
        <w:rPr>
          <w:vertAlign w:val="baseline"/>
        </w:rPr>
        <w:t>subject-matter</w:t>
      </w:r>
      <w:r>
        <w:rPr>
          <w:spacing w:val="-2"/>
          <w:vertAlign w:val="baseline"/>
        </w:rPr>
        <w:t> </w:t>
      </w:r>
      <w:r>
        <w:rPr>
          <w:vertAlign w:val="baseline"/>
        </w:rPr>
        <w:t>and</w:t>
      </w:r>
      <w:r>
        <w:rPr>
          <w:spacing w:val="-2"/>
          <w:vertAlign w:val="baseline"/>
        </w:rPr>
        <w:t> </w:t>
      </w:r>
      <w:r>
        <w:rPr>
          <w:vertAlign w:val="baseline"/>
        </w:rPr>
        <w:t>specified</w:t>
      </w:r>
      <w:r>
        <w:rPr>
          <w:spacing w:val="-2"/>
          <w:vertAlign w:val="baseline"/>
        </w:rPr>
        <w:t> </w:t>
      </w:r>
      <w:r>
        <w:rPr>
          <w:vertAlign w:val="baseline"/>
        </w:rPr>
        <w:t>the</w:t>
      </w:r>
      <w:r>
        <w:rPr>
          <w:spacing w:val="-2"/>
          <w:vertAlign w:val="baseline"/>
        </w:rPr>
        <w:t> </w:t>
      </w:r>
      <w:r>
        <w:rPr>
          <w:vertAlign w:val="baseline"/>
        </w:rPr>
        <w:t>price;</w:t>
      </w:r>
      <w:r>
        <w:rPr>
          <w:spacing w:val="-2"/>
          <w:vertAlign w:val="baseline"/>
        </w:rPr>
        <w:t> </w:t>
      </w:r>
      <w:r>
        <w:rPr>
          <w:vertAlign w:val="baseline"/>
        </w:rPr>
        <w:t>and</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 to be contractually binding even though it did not specify the settlement date and left many other important points to be resolved by further agreement. In all these cases, the courts took the view that the parties intended to be bound at once in spite of the fact that further significant terms were to be </w:t>
      </w:r>
      <w:bookmarkStart w:name="_bookmark1154" w:id="1156"/>
      <w:bookmarkEnd w:id="1156"/>
      <w:r>
        <w:rPr>
          <w:vertAlign w:val="baseline"/>
        </w:rPr>
        <w:t>agreed</w:t>
      </w:r>
      <w:r>
        <w:rPr>
          <w:vertAlign w:val="baseline"/>
        </w:rPr>
        <w:t> later and that even their failure to reach such agreement would not invalidate the contract unless without such agreement it was unworkable or too uncertain </w:t>
      </w:r>
      <w:r>
        <w:rPr>
          <w:color w:val="005DA1"/>
          <w:u w:val="single" w:color="005DA1"/>
          <w:vertAlign w:val="superscript"/>
        </w:rPr>
        <w:t>621</w:t>
      </w:r>
      <w:r>
        <w:rPr>
          <w:color w:val="005DA1"/>
          <w:vertAlign w:val="baseline"/>
        </w:rPr>
        <w:t> </w:t>
      </w:r>
      <w:r>
        <w:rPr>
          <w:vertAlign w:val="baseline"/>
        </w:rPr>
        <w:t>to be enforced.</w:t>
      </w:r>
    </w:p>
    <w:p>
      <w:pPr>
        <w:pStyle w:val="BodyText"/>
      </w:pPr>
    </w:p>
    <w:p>
      <w:pPr>
        <w:pStyle w:val="BodyText"/>
        <w:spacing w:before="30"/>
      </w:pPr>
    </w:p>
    <w:p>
      <w:pPr>
        <w:spacing w:before="0"/>
        <w:ind w:left="165" w:right="0" w:firstLine="0"/>
        <w:jc w:val="left"/>
        <w:rPr>
          <w:rFonts w:ascii="Arial"/>
          <w:b/>
          <w:sz w:val="18"/>
        </w:rPr>
      </w:pPr>
      <w:r>
        <w:rPr>
          <w:rFonts w:ascii="Arial"/>
          <w:b/>
          <w:sz w:val="18"/>
        </w:rPr>
        <w:t>Agreement required for continued operation of </w:t>
      </w:r>
      <w:r>
        <w:rPr>
          <w:rFonts w:ascii="Arial"/>
          <w:b/>
          <w:spacing w:val="-2"/>
          <w:sz w:val="18"/>
        </w:rPr>
        <w:t>contract</w:t>
      </w:r>
    </w:p>
    <w:p>
      <w:pPr>
        <w:pStyle w:val="BodyText"/>
        <w:spacing w:before="41"/>
        <w:rPr>
          <w:rFonts w:ascii="Arial"/>
          <w:b/>
          <w:sz w:val="18"/>
        </w:rPr>
      </w:pPr>
    </w:p>
    <w:p>
      <w:pPr>
        <w:pStyle w:val="Heading2"/>
      </w:pPr>
      <w:r>
        <w:rPr/>
        <w:t>2-</w:t>
      </w:r>
      <w:r>
        <w:rPr>
          <w:spacing w:val="-5"/>
        </w:rPr>
        <w:t>122</w:t>
      </w:r>
    </w:p>
    <w:p>
      <w:pPr>
        <w:pStyle w:val="BodyText"/>
        <w:spacing w:line="235" w:lineRule="auto" w:before="203"/>
        <w:ind w:left="165" w:right="167"/>
        <w:jc w:val="both"/>
      </w:pPr>
      <w:r>
        <w:rPr/>
        <w:t>A distinction must finally be drawn between cases in which agreement on such matters as the price </w:t>
      </w:r>
      <w:r>
        <w:rPr/>
        <w:t>is </w:t>
      </w:r>
      <w:bookmarkStart w:name="_bookmark1155" w:id="1157"/>
      <w:bookmarkEnd w:id="1157"/>
      <w:r>
        <w:rPr/>
        <w:t>required</w:t>
      </w:r>
      <w:r>
        <w:rPr/>
        <w:t> for the </w:t>
      </w:r>
      <w:r>
        <w:rPr>
          <w:rFonts w:ascii="Arial" w:hAnsi="Arial"/>
          <w:i/>
        </w:rPr>
        <w:t>making</w:t>
      </w:r>
      <w:r>
        <w:rPr/>
        <w:t>, and those in which it is required for the </w:t>
      </w:r>
      <w:r>
        <w:rPr>
          <w:rFonts w:ascii="Arial" w:hAnsi="Arial"/>
          <w:i/>
        </w:rPr>
        <w:t>continued operation</w:t>
      </w:r>
      <w:r>
        <w:rPr/>
        <w:t>, of a contract. The latter possibility is illustrated by a case</w:t>
      </w:r>
      <w:r>
        <w:rPr>
          <w:spacing w:val="-1"/>
        </w:rPr>
        <w:t> </w:t>
      </w:r>
      <w:r>
        <w:rPr>
          <w:color w:val="005DA1"/>
          <w:u w:val="single" w:color="005DA1"/>
          <w:vertAlign w:val="superscript"/>
        </w:rPr>
        <w:t>622</w:t>
      </w:r>
      <w:r>
        <w:rPr>
          <w:color w:val="005DA1"/>
          <w:vertAlign w:val="baseline"/>
        </w:rPr>
        <w:t> </w:t>
      </w:r>
      <w:r>
        <w:rPr>
          <w:vertAlign w:val="baseline"/>
        </w:rPr>
        <w:t>in which an agreement for the supply of services for 10 years fixed the fee to be paid only for the first two of those years. On the parties’ failure to fix the fee</w:t>
      </w:r>
      <w:r>
        <w:rPr>
          <w:spacing w:val="40"/>
          <w:vertAlign w:val="baseline"/>
        </w:rPr>
        <w:t> </w:t>
      </w:r>
      <w:r>
        <w:rPr>
          <w:vertAlign w:val="baseline"/>
        </w:rPr>
        <w:t>in later years, it was held that they had intended to enter into a 10-year contract and that a term was</w:t>
      </w:r>
      <w:r>
        <w:rPr>
          <w:spacing w:val="40"/>
          <w:vertAlign w:val="baseline"/>
        </w:rPr>
        <w:t> </w:t>
      </w:r>
      <w:bookmarkStart w:name="_bookmark1156" w:id="1158"/>
      <w:bookmarkEnd w:id="1158"/>
      <w:r>
        <w:rPr>
          <w:vertAlign w:val="baseline"/>
        </w:rPr>
        <w:t>to</w:t>
      </w:r>
      <w:r>
        <w:rPr>
          <w:vertAlign w:val="baseline"/>
        </w:rPr>
        <w:t> be implied into that contract for payment of a reasonable fee in those later years. Likewise, in another case </w:t>
      </w:r>
      <w:r>
        <w:rPr>
          <w:color w:val="005DA1"/>
          <w:u w:val="single" w:color="005DA1"/>
          <w:vertAlign w:val="superscript"/>
        </w:rPr>
        <w:t>623</w:t>
      </w:r>
      <w:r>
        <w:rPr>
          <w:color w:val="005DA1"/>
          <w:vertAlign w:val="baseline"/>
        </w:rPr>
        <w:t> </w:t>
      </w:r>
      <w:r>
        <w:rPr>
          <w:vertAlign w:val="baseline"/>
        </w:rPr>
        <w:t>an agreement for the use of the claimant’s airport by the defendant airline for a</w:t>
      </w:r>
      <w:r>
        <w:rPr>
          <w:spacing w:val="40"/>
          <w:vertAlign w:val="baseline"/>
        </w:rPr>
        <w:t> </w:t>
      </w:r>
      <w:r>
        <w:rPr>
          <w:vertAlign w:val="baseline"/>
        </w:rPr>
        <w:t>period of ten years provided for the parties to “liaise and consult” about specified matters relating to the defendant’s use of the airport. It was held that this provision did not deprive the agreement of its contractual force.</w:t>
      </w:r>
    </w:p>
    <w:p>
      <w:pPr>
        <w:pStyle w:val="BodyText"/>
      </w:pPr>
    </w:p>
    <w:p>
      <w:pPr>
        <w:pStyle w:val="BodyText"/>
        <w:spacing w:before="35"/>
      </w:pPr>
    </w:p>
    <w:p>
      <w:pPr>
        <w:spacing w:before="0"/>
        <w:ind w:left="165" w:right="0" w:firstLine="0"/>
        <w:jc w:val="left"/>
        <w:rPr>
          <w:rFonts w:ascii="Arial"/>
          <w:b/>
          <w:sz w:val="18"/>
        </w:rPr>
      </w:pPr>
      <w:r>
        <w:rPr>
          <w:rFonts w:ascii="Arial"/>
          <w:b/>
          <w:sz w:val="18"/>
        </w:rPr>
        <w:t>Stipulation for the execution of a formal </w:t>
      </w:r>
      <w:r>
        <w:rPr>
          <w:rFonts w:ascii="Arial"/>
          <w:b/>
          <w:spacing w:val="-2"/>
          <w:sz w:val="18"/>
        </w:rPr>
        <w:t>document</w:t>
      </w:r>
    </w:p>
    <w:p>
      <w:pPr>
        <w:pStyle w:val="BodyText"/>
        <w:spacing w:before="41"/>
        <w:rPr>
          <w:rFonts w:ascii="Arial"/>
          <w:b/>
          <w:sz w:val="18"/>
        </w:rPr>
      </w:pPr>
    </w:p>
    <w:p>
      <w:pPr>
        <w:pStyle w:val="Heading2"/>
      </w:pPr>
      <w:r>
        <w:rPr/>
        <w:t>2-</w:t>
      </w:r>
      <w:r>
        <w:rPr>
          <w:spacing w:val="-5"/>
        </w:rPr>
        <w:t>123</w:t>
      </w:r>
    </w:p>
    <w:p>
      <w:pPr>
        <w:pStyle w:val="Heading2"/>
        <w:spacing w:after="0"/>
        <w:sectPr>
          <w:pgSz w:w="11900" w:h="16840"/>
          <w:pgMar w:header="971" w:footer="0" w:top="1300" w:bottom="280" w:left="1275" w:right="1275"/>
        </w:sectPr>
      </w:pPr>
    </w:p>
    <w:p>
      <w:pPr>
        <w:pStyle w:val="BodyText"/>
        <w:spacing w:before="100"/>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97" name="Image 97"/>
            <wp:cNvGraphicFramePr>
              <a:graphicFrameLocks/>
            </wp:cNvGraphicFramePr>
            <a:graphic>
              <a:graphicData uri="http://schemas.openxmlformats.org/drawingml/2006/picture">
                <pic:pic>
                  <pic:nvPicPr>
                    <pic:cNvPr id="97" name="Image 97"/>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157" w:id="1159"/>
      <w:bookmarkEnd w:id="1159"/>
      <w:r>
        <w:rPr>
          <w:rFonts w:ascii="Times New Roman" w:hAnsi="Times New Roman"/>
          <w:spacing w:val="-22"/>
        </w:rPr>
      </w:r>
      <w:bookmarkStart w:name="_bookmark1158" w:id="1160"/>
      <w:bookmarkEnd w:id="1160"/>
      <w:r>
        <w:rPr>
          <w:rFonts w:ascii="Times New Roman" w:hAnsi="Times New Roman"/>
          <w:spacing w:val="-22"/>
        </w:rPr>
      </w:r>
      <w:r>
        <w:rPr/>
        <w:t>The effect of a stipulation that an agreement is to be embodied in a formal written document </w:t>
      </w:r>
      <w:r>
        <w:rPr>
          <w:color w:val="005DA1"/>
          <w:u w:val="single" w:color="005DA1"/>
          <w:vertAlign w:val="superscript"/>
        </w:rPr>
        <w:t>624</w:t>
      </w:r>
      <w:r>
        <w:rPr>
          <w:color w:val="005DA1"/>
          <w:vertAlign w:val="baseline"/>
        </w:rPr>
        <w:t> </w:t>
      </w:r>
      <w:bookmarkStart w:name="_bookmark1159" w:id="1161"/>
      <w:bookmarkEnd w:id="1161"/>
      <w:r>
        <w:rPr>
          <w:color w:val="005DA1"/>
          <w:w w:val="92"/>
          <w:vertAlign w:val="baseline"/>
        </w:rPr>
      </w:r>
      <w:r>
        <w:rPr>
          <w:vertAlign w:val="baseline"/>
        </w:rPr>
        <w:t>depends on its purpose. </w:t>
      </w:r>
      <w:r>
        <w:rPr>
          <w:color w:val="005DA1"/>
          <w:u w:val="single" w:color="005DA1"/>
          <w:vertAlign w:val="superscript"/>
        </w:rPr>
        <w:t>625</w:t>
      </w:r>
      <w:r>
        <w:rPr>
          <w:color w:val="005DA1"/>
          <w:vertAlign w:val="baseline"/>
        </w:rPr>
        <w:t> </w:t>
      </w:r>
      <w:r>
        <w:rPr>
          <w:vertAlign w:val="baseline"/>
        </w:rPr>
        <w:t>One possibility is that the agreement is regarded by the parties as incomplete, or as not intended to be legally binding, </w:t>
      </w:r>
      <w:r>
        <w:rPr>
          <w:color w:val="005DA1"/>
          <w:u w:val="single" w:color="005DA1"/>
          <w:vertAlign w:val="superscript"/>
        </w:rPr>
        <w:t>626</w:t>
      </w:r>
      <w:r>
        <w:rPr>
          <w:color w:val="005DA1"/>
          <w:vertAlign w:val="baseline"/>
        </w:rPr>
        <w:t> </w:t>
      </w:r>
      <w:r>
        <w:rPr>
          <w:vertAlign w:val="baseline"/>
        </w:rPr>
        <w:t>until the terms of the formal document are </w:t>
      </w:r>
      <w:bookmarkStart w:name="_bookmark1160" w:id="1162"/>
      <w:bookmarkEnd w:id="1162"/>
      <w:r>
        <w:rPr>
          <w:vertAlign w:val="baseline"/>
        </w:rPr>
        <w:t>agreed</w:t>
      </w:r>
      <w:r>
        <w:rPr>
          <w:vertAlign w:val="baseline"/>
        </w:rPr>
        <w:t> and the document is duly executed in accordance with the terms of the preliminary agreement </w:t>
      </w:r>
      <w:bookmarkStart w:name="_bookmark1161" w:id="1163"/>
      <w:bookmarkEnd w:id="1163"/>
      <w:r>
        <w:rPr>
          <w:vertAlign w:val="baseline"/>
        </w:rPr>
        <w:t>(e.g.</w:t>
      </w:r>
      <w:r>
        <w:rPr>
          <w:vertAlign w:val="baseline"/>
        </w:rPr>
        <w:t> by signature). </w:t>
      </w:r>
      <w:r>
        <w:rPr>
          <w:color w:val="005DA1"/>
          <w:u w:val="single" w:color="005DA1"/>
          <w:vertAlign w:val="superscript"/>
        </w:rPr>
        <w:t>627</w:t>
      </w:r>
      <w:r>
        <w:rPr>
          <w:color w:val="005DA1"/>
          <w:vertAlign w:val="baseline"/>
        </w:rPr>
        <w:t> </w:t>
      </w:r>
      <w:r>
        <w:rPr>
          <w:vertAlign w:val="baseline"/>
        </w:rPr>
        <w:t>This is generally the position where “solicitors are involved on both sides, formal written agreements are to be produced and arrangements are made for their execution”. </w:t>
      </w:r>
      <w:r>
        <w:rPr>
          <w:color w:val="005DA1"/>
          <w:u w:val="single" w:color="005DA1"/>
          <w:vertAlign w:val="superscript"/>
        </w:rPr>
        <w:t>628</w:t>
      </w:r>
      <w:r>
        <w:rPr>
          <w:color w:val="005DA1"/>
          <w:vertAlign w:val="baseline"/>
        </w:rPr>
        <w:t> </w:t>
      </w:r>
      <w:bookmarkStart w:name="_bookmark1162" w:id="1164"/>
      <w:bookmarkEnd w:id="1164"/>
      <w:r>
        <w:rPr>
          <w:color w:val="005DA1"/>
          <w:w w:val="92"/>
          <w:vertAlign w:val="baseline"/>
        </w:rPr>
      </w:r>
      <w:r>
        <w:rPr>
          <w:vertAlign w:val="baseline"/>
        </w:rPr>
        <w:t>The normal inference will then be that “the parties are not bound unless and until both of them sign</w:t>
      </w:r>
      <w:r>
        <w:rPr>
          <w:spacing w:val="40"/>
          <w:vertAlign w:val="baseline"/>
        </w:rPr>
        <w:t> </w:t>
      </w:r>
      <w:bookmarkStart w:name="_bookmark1163" w:id="1165"/>
      <w:bookmarkEnd w:id="1165"/>
      <w:r>
        <w:rPr>
          <w:vertAlign w:val="baseline"/>
        </w:rPr>
        <w:t>the</w:t>
      </w:r>
      <w:r>
        <w:rPr>
          <w:spacing w:val="7"/>
          <w:vertAlign w:val="baseline"/>
        </w:rPr>
        <w:t> </w:t>
      </w:r>
      <w:r>
        <w:rPr>
          <w:vertAlign w:val="baseline"/>
        </w:rPr>
        <w:t>agreement”.</w:t>
      </w:r>
      <w:r>
        <w:rPr>
          <w:spacing w:val="8"/>
          <w:vertAlign w:val="baseline"/>
        </w:rPr>
        <w:t> </w:t>
      </w:r>
      <w:r>
        <w:rPr>
          <w:color w:val="005DA1"/>
          <w:u w:val="single" w:color="005DA1"/>
          <w:vertAlign w:val="superscript"/>
        </w:rPr>
        <w:t>629</w:t>
      </w:r>
      <w:r>
        <w:rPr>
          <w:color w:val="005DA1"/>
          <w:spacing w:val="8"/>
          <w:vertAlign w:val="baseline"/>
        </w:rPr>
        <w:t> </w:t>
      </w:r>
      <w:r>
        <w:rPr>
          <w:vertAlign w:val="baseline"/>
        </w:rPr>
        <w:t>A</w:t>
      </w:r>
      <w:r>
        <w:rPr>
          <w:spacing w:val="8"/>
          <w:vertAlign w:val="baseline"/>
        </w:rPr>
        <w:t> </w:t>
      </w:r>
      <w:r>
        <w:rPr>
          <w:vertAlign w:val="baseline"/>
        </w:rPr>
        <w:t>second</w:t>
      </w:r>
      <w:r>
        <w:rPr>
          <w:spacing w:val="8"/>
          <w:vertAlign w:val="baseline"/>
        </w:rPr>
        <w:t> </w:t>
      </w:r>
      <w:r>
        <w:rPr>
          <w:vertAlign w:val="baseline"/>
        </w:rPr>
        <w:t>possibility</w:t>
      </w:r>
      <w:r>
        <w:rPr>
          <w:spacing w:val="8"/>
          <w:vertAlign w:val="baseline"/>
        </w:rPr>
        <w:t> </w:t>
      </w:r>
      <w:r>
        <w:rPr>
          <w:vertAlign w:val="baseline"/>
        </w:rPr>
        <w:t>is</w:t>
      </w:r>
      <w:r>
        <w:rPr>
          <w:spacing w:val="8"/>
          <w:vertAlign w:val="baseline"/>
        </w:rPr>
        <w:t> </w:t>
      </w:r>
      <w:r>
        <w:rPr>
          <w:vertAlign w:val="baseline"/>
        </w:rPr>
        <w:t>that</w:t>
      </w:r>
      <w:r>
        <w:rPr>
          <w:spacing w:val="8"/>
          <w:vertAlign w:val="baseline"/>
        </w:rPr>
        <w:t> </w:t>
      </w:r>
      <w:r>
        <w:rPr>
          <w:vertAlign w:val="baseline"/>
        </w:rPr>
        <w:t>such</w:t>
      </w:r>
      <w:r>
        <w:rPr>
          <w:spacing w:val="8"/>
          <w:vertAlign w:val="baseline"/>
        </w:rPr>
        <w:t> </w:t>
      </w:r>
      <w:r>
        <w:rPr>
          <w:vertAlign w:val="baseline"/>
        </w:rPr>
        <w:t>a</w:t>
      </w:r>
      <w:r>
        <w:rPr>
          <w:spacing w:val="8"/>
          <w:vertAlign w:val="baseline"/>
        </w:rPr>
        <w:t> </w:t>
      </w:r>
      <w:r>
        <w:rPr>
          <w:vertAlign w:val="baseline"/>
        </w:rPr>
        <w:t>document</w:t>
      </w:r>
      <w:r>
        <w:rPr>
          <w:spacing w:val="8"/>
          <w:vertAlign w:val="baseline"/>
        </w:rPr>
        <w:t> </w:t>
      </w:r>
      <w:r>
        <w:rPr>
          <w:vertAlign w:val="baseline"/>
        </w:rPr>
        <w:t>is</w:t>
      </w:r>
      <w:r>
        <w:rPr>
          <w:spacing w:val="8"/>
          <w:vertAlign w:val="baseline"/>
        </w:rPr>
        <w:t> </w:t>
      </w:r>
      <w:r>
        <w:rPr>
          <w:vertAlign w:val="baseline"/>
        </w:rPr>
        <w:t>intended</w:t>
      </w:r>
      <w:r>
        <w:rPr>
          <w:spacing w:val="8"/>
          <w:vertAlign w:val="baseline"/>
        </w:rPr>
        <w:t> </w:t>
      </w:r>
      <w:r>
        <w:rPr>
          <w:vertAlign w:val="baseline"/>
        </w:rPr>
        <w:t>only</w:t>
      </w:r>
      <w:r>
        <w:rPr>
          <w:spacing w:val="8"/>
          <w:vertAlign w:val="baseline"/>
        </w:rPr>
        <w:t> </w:t>
      </w:r>
      <w:r>
        <w:rPr>
          <w:vertAlign w:val="baseline"/>
        </w:rPr>
        <w:t>as</w:t>
      </w:r>
      <w:r>
        <w:rPr>
          <w:spacing w:val="8"/>
          <w:vertAlign w:val="baseline"/>
        </w:rPr>
        <w:t> </w:t>
      </w:r>
      <w:r>
        <w:rPr>
          <w:vertAlign w:val="baseline"/>
        </w:rPr>
        <w:t>a</w:t>
      </w:r>
      <w:r>
        <w:rPr>
          <w:spacing w:val="8"/>
          <w:vertAlign w:val="baseline"/>
        </w:rPr>
        <w:t> </w:t>
      </w:r>
      <w:r>
        <w:rPr>
          <w:vertAlign w:val="baseline"/>
        </w:rPr>
        <w:t>solemn</w:t>
      </w:r>
      <w:r>
        <w:rPr>
          <w:spacing w:val="8"/>
          <w:vertAlign w:val="baseline"/>
        </w:rPr>
        <w:t> </w:t>
      </w:r>
      <w:r>
        <w:rPr>
          <w:spacing w:val="-2"/>
          <w:vertAlign w:val="baseline"/>
        </w:rPr>
        <w:t>record</w:t>
      </w:r>
    </w:p>
    <w:p>
      <w:pPr>
        <w:pStyle w:val="BodyText"/>
        <w:spacing w:line="235" w:lineRule="auto" w:before="117"/>
        <w:ind w:left="164" w:right="167"/>
        <w:jc w:val="both"/>
      </w:pPr>
      <w:r>
        <w:rPr/>
        <w:t>of an already complete and binding agreement. </w:t>
      </w:r>
      <w:r>
        <w:rPr>
          <w:color w:val="005DA1"/>
          <w:u w:val="single" w:color="005DA1"/>
          <w:vertAlign w:val="superscript"/>
        </w:rPr>
        <w:t>630</w:t>
      </w:r>
      <w:r>
        <w:rPr>
          <w:color w:val="005DA1"/>
          <w:spacing w:val="80"/>
          <w:w w:val="150"/>
          <w:vertAlign w:val="baseline"/>
        </w:rPr>
        <w:t> </w:t>
      </w:r>
      <w:r>
        <w:rPr>
          <w:color w:val="005DA1"/>
          <w:spacing w:val="-10"/>
          <w:position w:val="-2"/>
          <w:vertAlign w:val="baseline"/>
        </w:rPr>
        <w:drawing>
          <wp:inline distT="0" distB="0" distL="0" distR="0">
            <wp:extent cx="107988" cy="107988"/>
            <wp:effectExtent l="0" t="0" r="0" b="0"/>
            <wp:docPr id="98" name="Image 98"/>
            <wp:cNvGraphicFramePr>
              <a:graphicFrameLocks/>
            </wp:cNvGraphicFramePr>
            <a:graphic>
              <a:graphicData uri="http://schemas.openxmlformats.org/drawingml/2006/picture">
                <pic:pic>
                  <pic:nvPicPr>
                    <pic:cNvPr id="98" name="Image 98"/>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0"/>
          <w:position w:val="-2"/>
          <w:vertAlign w:val="baseline"/>
        </w:rPr>
      </w:r>
      <w:r>
        <w:rPr>
          <w:rFonts w:ascii="Times New Roman" w:hAnsi="Times New Roman"/>
          <w:color w:val="005DA1"/>
          <w:spacing w:val="40"/>
          <w:vertAlign w:val="baseline"/>
        </w:rPr>
        <w:t> </w:t>
      </w:r>
      <w:r>
        <w:rPr>
          <w:vertAlign w:val="baseline"/>
        </w:rPr>
        <w:t>Yet a third possibility is that the </w:t>
      </w:r>
      <w:r>
        <w:rPr>
          <w:vertAlign w:val="baseline"/>
        </w:rPr>
        <w:t>main agreement lacks contractual force for want of execution of the formal document but that,</w:t>
      </w:r>
      <w:r>
        <w:rPr>
          <w:spacing w:val="40"/>
          <w:vertAlign w:val="baseline"/>
        </w:rPr>
        <w:t> </w:t>
      </w:r>
      <w:r>
        <w:rPr>
          <w:vertAlign w:val="baseline"/>
        </w:rPr>
        <w:t>nevertheless, a separate preliminary contract comes into existence at an earlier stage, e.g. when one </w:t>
      </w:r>
      <w:bookmarkStart w:name="_bookmark1164" w:id="1166"/>
      <w:bookmarkEnd w:id="1166"/>
      <w:r>
        <w:rPr>
          <w:vertAlign w:val="baseline"/>
        </w:rPr>
        <w:t>party</w:t>
      </w:r>
      <w:r>
        <w:rPr>
          <w:spacing w:val="-2"/>
          <w:vertAlign w:val="baseline"/>
        </w:rPr>
        <w:t> </w:t>
      </w:r>
      <w:r>
        <w:rPr>
          <w:vertAlign w:val="baseline"/>
        </w:rPr>
        <w:t>begins</w:t>
      </w:r>
      <w:r>
        <w:rPr>
          <w:spacing w:val="-2"/>
          <w:vertAlign w:val="baseline"/>
        </w:rPr>
        <w:t> </w:t>
      </w:r>
      <w:r>
        <w:rPr>
          <w:vertAlign w:val="baseline"/>
        </w:rPr>
        <w:t>to</w:t>
      </w:r>
      <w:r>
        <w:rPr>
          <w:spacing w:val="-2"/>
          <w:vertAlign w:val="baseline"/>
        </w:rPr>
        <w:t> </w:t>
      </w:r>
      <w:r>
        <w:rPr>
          <w:vertAlign w:val="baseline"/>
        </w:rPr>
        <w:t>render</w:t>
      </w:r>
      <w:r>
        <w:rPr>
          <w:spacing w:val="-2"/>
          <w:vertAlign w:val="baseline"/>
        </w:rPr>
        <w:t> </w:t>
      </w:r>
      <w:r>
        <w:rPr>
          <w:vertAlign w:val="baseline"/>
        </w:rPr>
        <w:t>services</w:t>
      </w:r>
      <w:r>
        <w:rPr>
          <w:spacing w:val="-2"/>
          <w:vertAlign w:val="baseline"/>
        </w:rPr>
        <w:t> </w:t>
      </w:r>
      <w:r>
        <w:rPr>
          <w:vertAlign w:val="baseline"/>
        </w:rPr>
        <w:t>requested</w:t>
      </w:r>
      <w:r>
        <w:rPr>
          <w:spacing w:val="-2"/>
          <w:vertAlign w:val="baseline"/>
        </w:rPr>
        <w:t> </w:t>
      </w:r>
      <w:r>
        <w:rPr>
          <w:vertAlign w:val="baseline"/>
        </w:rPr>
        <w:t>by</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so</w:t>
      </w:r>
      <w:r>
        <w:rPr>
          <w:spacing w:val="-2"/>
          <w:vertAlign w:val="baseline"/>
        </w:rPr>
        <w:t> </w:t>
      </w:r>
      <w:r>
        <w:rPr>
          <w:vertAlign w:val="baseline"/>
        </w:rPr>
        <w:t>that</w:t>
      </w:r>
      <w:r>
        <w:rPr>
          <w:spacing w:val="-2"/>
          <w:vertAlign w:val="baseline"/>
        </w:rPr>
        <w:t> </w:t>
      </w:r>
      <w:r>
        <w:rPr>
          <w:vertAlign w:val="baseline"/>
        </w:rPr>
        <w:t>under</w:t>
      </w:r>
      <w:r>
        <w:rPr>
          <w:spacing w:val="-2"/>
          <w:vertAlign w:val="baseline"/>
        </w:rPr>
        <w:t> </w:t>
      </w:r>
      <w:r>
        <w:rPr>
          <w:vertAlign w:val="baseline"/>
        </w:rPr>
        <w:t>this</w:t>
      </w:r>
      <w:r>
        <w:rPr>
          <w:spacing w:val="-2"/>
          <w:vertAlign w:val="baseline"/>
        </w:rPr>
        <w:t> </w:t>
      </w:r>
      <w:r>
        <w:rPr>
          <w:vertAlign w:val="baseline"/>
        </w:rPr>
        <w:t>contract</w:t>
      </w:r>
      <w:r>
        <w:rPr>
          <w:spacing w:val="-2"/>
          <w:vertAlign w:val="baseline"/>
        </w:rPr>
        <w:t> </w:t>
      </w:r>
      <w:r>
        <w:rPr>
          <w:vertAlign w:val="baseline"/>
        </w:rPr>
        <w:t>the</w:t>
      </w:r>
      <w:r>
        <w:rPr>
          <w:spacing w:val="-2"/>
          <w:vertAlign w:val="baseline"/>
        </w:rPr>
        <w:t> </w:t>
      </w:r>
      <w:r>
        <w:rPr>
          <w:vertAlign w:val="baseline"/>
        </w:rPr>
        <w:t>former</w:t>
      </w:r>
      <w:r>
        <w:rPr>
          <w:spacing w:val="-2"/>
          <w:vertAlign w:val="baseline"/>
        </w:rPr>
        <w:t> </w:t>
      </w:r>
      <w:r>
        <w:rPr>
          <w:vertAlign w:val="baseline"/>
        </w:rPr>
        <w:t>party</w:t>
      </w:r>
      <w:r>
        <w:rPr>
          <w:spacing w:val="-2"/>
          <w:vertAlign w:val="baseline"/>
        </w:rPr>
        <w:t> </w:t>
      </w:r>
      <w:r>
        <w:rPr>
          <w:vertAlign w:val="baseline"/>
        </w:rPr>
        <w:t>will be entitled to a reasonable remuneration for those services. </w:t>
      </w:r>
      <w:r>
        <w:rPr>
          <w:color w:val="005DA1"/>
          <w:u w:val="single" w:color="005DA1"/>
          <w:vertAlign w:val="superscript"/>
        </w:rPr>
        <w:t>631</w:t>
      </w:r>
      <w:r>
        <w:rPr>
          <w:color w:val="005DA1"/>
          <w:vertAlign w:val="baseline"/>
        </w:rPr>
        <w:t> </w:t>
      </w:r>
      <w:r>
        <w:rPr>
          <w:vertAlign w:val="baseline"/>
        </w:rPr>
        <w:t>Conversely, an agreement that originally lacked contractual force for want of execution of the formal document may acquire such force by reason of supervening events. This could, for example, be the position where “it can be objectively ascertained that the continuing intention [sc. not to be bound until execution of the </w:t>
      </w:r>
      <w:bookmarkStart w:name="_bookmark1165" w:id="1167"/>
      <w:bookmarkEnd w:id="1167"/>
      <w:r>
        <w:rPr>
          <w:vertAlign w:val="baseline"/>
        </w:rPr>
        <w:t>document]</w:t>
      </w:r>
      <w:r>
        <w:rPr>
          <w:vertAlign w:val="baseline"/>
        </w:rPr>
        <w:t> has changed or … subsequent events have occurred whereby the non-executing party is </w:t>
      </w:r>
      <w:bookmarkStart w:name="_bookmark1166" w:id="1168"/>
      <w:bookmarkEnd w:id="1168"/>
      <w:r>
        <w:rPr>
          <w:vertAlign w:val="baseline"/>
        </w:rPr>
        <w:t>estopped</w:t>
      </w:r>
      <w:r>
        <w:rPr>
          <w:spacing w:val="33"/>
          <w:vertAlign w:val="baseline"/>
        </w:rPr>
        <w:t> </w:t>
      </w:r>
      <w:r>
        <w:rPr>
          <w:vertAlign w:val="baseline"/>
        </w:rPr>
        <w:t>by</w:t>
      </w:r>
      <w:r>
        <w:rPr>
          <w:spacing w:val="34"/>
          <w:vertAlign w:val="baseline"/>
        </w:rPr>
        <w:t> </w:t>
      </w:r>
      <w:r>
        <w:rPr>
          <w:vertAlign w:val="baseline"/>
        </w:rPr>
        <w:t>relying</w:t>
      </w:r>
      <w:r>
        <w:rPr>
          <w:spacing w:val="34"/>
          <w:vertAlign w:val="baseline"/>
        </w:rPr>
        <w:t> </w:t>
      </w:r>
      <w:r>
        <w:rPr>
          <w:vertAlign w:val="baseline"/>
        </w:rPr>
        <w:t>on</w:t>
      </w:r>
      <w:r>
        <w:rPr>
          <w:spacing w:val="34"/>
          <w:vertAlign w:val="baseline"/>
        </w:rPr>
        <w:t> </w:t>
      </w:r>
      <w:r>
        <w:rPr>
          <w:vertAlign w:val="baseline"/>
        </w:rPr>
        <w:t>his</w:t>
      </w:r>
      <w:r>
        <w:rPr>
          <w:spacing w:val="33"/>
          <w:vertAlign w:val="baseline"/>
        </w:rPr>
        <w:t> </w:t>
      </w:r>
      <w:r>
        <w:rPr>
          <w:vertAlign w:val="baseline"/>
        </w:rPr>
        <w:t>nonexecution”</w:t>
      </w:r>
      <w:r>
        <w:rPr>
          <w:spacing w:val="33"/>
          <w:vertAlign w:val="baseline"/>
        </w:rPr>
        <w:t> </w:t>
      </w:r>
      <w:r>
        <w:rPr>
          <w:color w:val="005DA1"/>
          <w:u w:val="single" w:color="005DA1"/>
          <w:vertAlign w:val="superscript"/>
        </w:rPr>
        <w:t>632</w:t>
      </w:r>
      <w:r>
        <w:rPr>
          <w:vertAlign w:val="baseline"/>
        </w:rPr>
        <w:t>;</w:t>
      </w:r>
      <w:r>
        <w:rPr>
          <w:spacing w:val="34"/>
          <w:vertAlign w:val="baseline"/>
        </w:rPr>
        <w:t> </w:t>
      </w:r>
      <w:r>
        <w:rPr>
          <w:vertAlign w:val="baseline"/>
        </w:rPr>
        <w:t>or</w:t>
      </w:r>
      <w:r>
        <w:rPr>
          <w:spacing w:val="34"/>
          <w:vertAlign w:val="baseline"/>
        </w:rPr>
        <w:t> </w:t>
      </w:r>
      <w:r>
        <w:rPr>
          <w:vertAlign w:val="baseline"/>
        </w:rPr>
        <w:t>where</w:t>
      </w:r>
      <w:r>
        <w:rPr>
          <w:spacing w:val="34"/>
          <w:vertAlign w:val="baseline"/>
        </w:rPr>
        <w:t> </w:t>
      </w:r>
      <w:r>
        <w:rPr>
          <w:vertAlign w:val="baseline"/>
        </w:rPr>
        <w:t>the</w:t>
      </w:r>
      <w:r>
        <w:rPr>
          <w:spacing w:val="33"/>
          <w:vertAlign w:val="baseline"/>
        </w:rPr>
        <w:t> </w:t>
      </w:r>
      <w:r>
        <w:rPr>
          <w:vertAlign w:val="baseline"/>
        </w:rPr>
        <w:t>party</w:t>
      </w:r>
      <w:r>
        <w:rPr>
          <w:spacing w:val="34"/>
          <w:vertAlign w:val="baseline"/>
        </w:rPr>
        <w:t> </w:t>
      </w:r>
      <w:r>
        <w:rPr>
          <w:vertAlign w:val="baseline"/>
        </w:rPr>
        <w:t>resisting</w:t>
      </w:r>
      <w:r>
        <w:rPr>
          <w:spacing w:val="34"/>
          <w:vertAlign w:val="baseline"/>
        </w:rPr>
        <w:t> </w:t>
      </w:r>
      <w:r>
        <w:rPr>
          <w:vertAlign w:val="baseline"/>
        </w:rPr>
        <w:t>the</w:t>
      </w:r>
      <w:r>
        <w:rPr>
          <w:spacing w:val="34"/>
          <w:vertAlign w:val="baseline"/>
        </w:rPr>
        <w:t> </w:t>
      </w:r>
      <w:r>
        <w:rPr>
          <w:vertAlign w:val="baseline"/>
        </w:rPr>
        <w:t>enforcement</w:t>
      </w:r>
      <w:r>
        <w:rPr>
          <w:spacing w:val="33"/>
          <w:vertAlign w:val="baseline"/>
        </w:rPr>
        <w:t> </w:t>
      </w:r>
      <w:r>
        <w:rPr>
          <w:vertAlign w:val="baseline"/>
        </w:rPr>
        <w:t>of</w:t>
      </w:r>
      <w:r>
        <w:rPr>
          <w:spacing w:val="34"/>
          <w:vertAlign w:val="baseline"/>
        </w:rPr>
        <w:t> </w:t>
      </w:r>
      <w:r>
        <w:rPr>
          <w:spacing w:val="-5"/>
          <w:vertAlign w:val="baseline"/>
        </w:rPr>
        <w:t>the</w:t>
      </w:r>
    </w:p>
    <w:p>
      <w:pPr>
        <w:pStyle w:val="BodyText"/>
        <w:spacing w:line="235" w:lineRule="auto" w:before="116"/>
        <w:ind w:left="165" w:right="167"/>
        <w:jc w:val="both"/>
      </w:pPr>
      <w:r>
        <w:rPr/>
        <w:t>contract had “waive[d] … [the] requirement” of “a formal written contract.” </w:t>
      </w:r>
      <w:r>
        <w:rPr>
          <w:color w:val="005DA1"/>
          <w:u w:val="single" w:color="005DA1"/>
          <w:vertAlign w:val="superscript"/>
        </w:rPr>
        <w:t>633</w:t>
      </w:r>
      <w:r>
        <w:rPr>
          <w:color w:val="005DA1"/>
          <w:spacing w:val="80"/>
          <w:w w:val="150"/>
          <w:vertAlign w:val="baseline"/>
        </w:rPr>
        <w:t> </w:t>
      </w:r>
      <w:r>
        <w:rPr>
          <w:color w:val="005DA1"/>
          <w:spacing w:val="-8"/>
          <w:position w:val="-2"/>
          <w:vertAlign w:val="baseline"/>
        </w:rPr>
        <w:drawing>
          <wp:inline distT="0" distB="0" distL="0" distR="0">
            <wp:extent cx="107988" cy="107988"/>
            <wp:effectExtent l="0" t="0" r="0" b="0"/>
            <wp:docPr id="99" name="Image 99"/>
            <wp:cNvGraphicFramePr>
              <a:graphicFrameLocks/>
            </wp:cNvGraphicFramePr>
            <a:graphic>
              <a:graphicData uri="http://schemas.openxmlformats.org/drawingml/2006/picture">
                <pic:pic>
                  <pic:nvPicPr>
                    <pic:cNvPr id="99" name="Image 99"/>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8"/>
          <w:position w:val="-2"/>
          <w:vertAlign w:val="baseline"/>
        </w:rPr>
      </w:r>
      <w:r>
        <w:rPr>
          <w:rFonts w:ascii="Times New Roman" w:hAnsi="Times New Roman"/>
          <w:color w:val="005DA1"/>
          <w:spacing w:val="25"/>
          <w:vertAlign w:val="baseline"/>
        </w:rPr>
        <w:t> </w:t>
      </w:r>
      <w:r>
        <w:rPr>
          <w:vertAlign w:val="baseline"/>
        </w:rPr>
        <w:t>An oral </w:t>
      </w:r>
      <w:r>
        <w:rPr>
          <w:vertAlign w:val="baseline"/>
        </w:rPr>
        <w:t>agreement for the sale of land is enforceable in equity under a constructive trust despite not being in writing </w:t>
      </w:r>
      <w:bookmarkStart w:name="_bookmark1167" w:id="1169"/>
      <w:bookmarkEnd w:id="1169"/>
      <w:r>
        <w:rPr>
          <w:vertAlign w:val="baseline"/>
        </w:rPr>
        <w:t>where</w:t>
      </w:r>
      <w:r>
        <w:rPr>
          <w:vertAlign w:val="baseline"/>
        </w:rPr>
        <w:t> both parties had considered it to be immediately binding upon them, and where the </w:t>
      </w:r>
      <w:r>
        <w:rPr>
          <w:spacing w:val="-2"/>
          <w:vertAlign w:val="baseline"/>
        </w:rPr>
        <w:t>prospective</w:t>
      </w:r>
    </w:p>
    <w:p>
      <w:pPr>
        <w:pStyle w:val="BodyText"/>
        <w:spacing w:line="235" w:lineRule="auto" w:before="119"/>
        <w:ind w:left="165" w:right="167"/>
        <w:jc w:val="both"/>
      </w:pPr>
      <w:r>
        <w:rPr/>
        <w:t>buyer had then acted to his detriment in reliance upon it. </w:t>
      </w:r>
      <w:r>
        <w:rPr>
          <w:color w:val="005DA1"/>
          <w:u w:val="single" w:color="005DA1"/>
          <w:vertAlign w:val="superscript"/>
        </w:rPr>
        <w:t>634</w:t>
      </w:r>
      <w:r>
        <w:rPr>
          <w:color w:val="005DA1"/>
          <w:spacing w:val="80"/>
          <w:vertAlign w:val="baseline"/>
        </w:rPr>
        <w:t> </w:t>
      </w:r>
      <w:r>
        <w:rPr>
          <w:color w:val="005DA1"/>
          <w:spacing w:val="13"/>
          <w:position w:val="-2"/>
          <w:vertAlign w:val="baseline"/>
        </w:rPr>
        <w:drawing>
          <wp:inline distT="0" distB="0" distL="0" distR="0">
            <wp:extent cx="107988" cy="107988"/>
            <wp:effectExtent l="0" t="0" r="0" b="0"/>
            <wp:docPr id="100" name="Image 100"/>
            <wp:cNvGraphicFramePr>
              <a:graphicFrameLocks/>
            </wp:cNvGraphicFramePr>
            <a:graphic>
              <a:graphicData uri="http://schemas.openxmlformats.org/drawingml/2006/picture">
                <pic:pic>
                  <pic:nvPicPr>
                    <pic:cNvPr id="100" name="Image 100"/>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3"/>
          <w:position w:val="-2"/>
          <w:vertAlign w:val="baseline"/>
        </w:rPr>
      </w:r>
      <w:r>
        <w:rPr>
          <w:rFonts w:ascii="Times New Roman"/>
          <w:color w:val="005DA1"/>
          <w:spacing w:val="13"/>
          <w:vertAlign w:val="baseline"/>
        </w:rPr>
        <w:t> </w:t>
      </w:r>
      <w:r>
        <w:rPr>
          <w:vertAlign w:val="baseline"/>
        </w:rPr>
        <w:t>Where an agreement for the joint acquisition of property lacks contractual force for want of execution of a formal document and one </w:t>
      </w:r>
      <w:r>
        <w:rPr>
          <w:vertAlign w:val="baseline"/>
        </w:rPr>
        <w:t>of </w:t>
      </w:r>
      <w:bookmarkStart w:name="_bookmark1168" w:id="1170"/>
      <w:bookmarkEnd w:id="1170"/>
      <w:r>
        <w:rPr>
          <w:vertAlign w:val="baseline"/>
        </w:rPr>
        <w:t>the</w:t>
      </w:r>
      <w:r>
        <w:rPr>
          <w:vertAlign w:val="baseline"/>
        </w:rPr>
        <w:t> parties then acquires the property for himself, he may also be liable to hold a share of that property for the other party by virtue of a constructive trust. </w:t>
      </w:r>
      <w:r>
        <w:rPr>
          <w:color w:val="005DA1"/>
          <w:u w:val="single" w:color="005DA1"/>
          <w:vertAlign w:val="superscript"/>
        </w:rPr>
        <w:t>635</w:t>
      </w:r>
      <w:r>
        <w:rPr>
          <w:color w:val="005DA1"/>
          <w:vertAlign w:val="baseline"/>
        </w:rPr>
        <w:t> </w:t>
      </w:r>
      <w:r>
        <w:rPr>
          <w:vertAlign w:val="baseline"/>
        </w:rPr>
        <w:t>The first two of the above possibilities are further illustrated in the following paragraphs.</w:t>
      </w:r>
    </w:p>
    <w:p>
      <w:pPr>
        <w:pStyle w:val="BodyText"/>
      </w:pPr>
    </w:p>
    <w:p>
      <w:pPr>
        <w:pStyle w:val="BodyText"/>
        <w:spacing w:before="37"/>
      </w:pPr>
    </w:p>
    <w:p>
      <w:pPr>
        <w:spacing w:before="0"/>
        <w:ind w:left="165" w:right="0" w:firstLine="0"/>
        <w:jc w:val="left"/>
        <w:rPr>
          <w:rFonts w:ascii="Arial"/>
          <w:b/>
          <w:sz w:val="18"/>
        </w:rPr>
      </w:pPr>
      <w:r>
        <w:rPr>
          <w:rFonts w:ascii="Arial"/>
          <w:b/>
          <w:spacing w:val="-2"/>
          <w:sz w:val="18"/>
        </w:rPr>
        <w:t>Insurance</w:t>
      </w:r>
    </w:p>
    <w:p>
      <w:pPr>
        <w:pStyle w:val="BodyText"/>
        <w:spacing w:before="41"/>
        <w:rPr>
          <w:rFonts w:ascii="Arial"/>
          <w:b/>
          <w:sz w:val="18"/>
        </w:rPr>
      </w:pPr>
    </w:p>
    <w:p>
      <w:pPr>
        <w:pStyle w:val="Heading2"/>
      </w:pPr>
      <w:r>
        <w:rPr/>
        <w:t>2-</w:t>
      </w:r>
      <w:r>
        <w:rPr>
          <w:spacing w:val="-5"/>
        </w:rPr>
        <w:t>124</w:t>
      </w:r>
    </w:p>
    <w:p>
      <w:pPr>
        <w:pStyle w:val="BodyText"/>
        <w:spacing w:line="235" w:lineRule="auto" w:before="203"/>
        <w:ind w:left="165" w:right="166"/>
        <w:jc w:val="both"/>
      </w:pPr>
      <w:r>
        <w:rPr/>
        <w:t>A contract of insurance is generally regarded as complete as soon as the insurer initials a slip setting </w:t>
      </w:r>
      <w:bookmarkStart w:name="_bookmark1169" w:id="1171"/>
      <w:bookmarkEnd w:id="1171"/>
      <w:r>
        <w:rPr/>
        <w:t>out</w:t>
      </w:r>
      <w:r>
        <w:rPr/>
        <w:t> the main terms of the contract. This is so even though the execution of a formal policy </w:t>
      </w:r>
      <w:r>
        <w:rPr/>
        <w:t>is contemplated </w:t>
      </w:r>
      <w:r>
        <w:rPr>
          <w:color w:val="005DA1"/>
          <w:u w:val="single" w:color="005DA1"/>
          <w:vertAlign w:val="superscript"/>
        </w:rPr>
        <w:t>636</w:t>
      </w:r>
      <w:r>
        <w:rPr>
          <w:color w:val="005DA1"/>
          <w:vertAlign w:val="baseline"/>
        </w:rPr>
        <w:t> </w:t>
      </w:r>
      <w:r>
        <w:rPr>
          <w:vertAlign w:val="baseline"/>
        </w:rPr>
        <w:t>and even though the contract, if it is one of marine insurance, is “inadmissible in </w:t>
      </w:r>
      <w:bookmarkStart w:name="_bookmark1170" w:id="1172"/>
      <w:bookmarkEnd w:id="1172"/>
      <w:r>
        <w:rPr>
          <w:vertAlign w:val="baseline"/>
        </w:rPr>
        <w:t>evidence”</w:t>
      </w:r>
      <w:r>
        <w:rPr>
          <w:vertAlign w:val="baseline"/>
        </w:rPr>
        <w:t> unless it is embodied in a policy signed by the insurer and containing particulars specified by statute. </w:t>
      </w:r>
      <w:r>
        <w:rPr>
          <w:color w:val="005DA1"/>
          <w:u w:val="single" w:color="005DA1"/>
          <w:vertAlign w:val="superscript"/>
        </w:rPr>
        <w:t>637</w:t>
      </w:r>
    </w:p>
    <w:p>
      <w:pPr>
        <w:pStyle w:val="BodyText"/>
      </w:pPr>
    </w:p>
    <w:p>
      <w:pPr>
        <w:pStyle w:val="BodyText"/>
        <w:spacing w:before="37"/>
      </w:pPr>
    </w:p>
    <w:p>
      <w:pPr>
        <w:spacing w:before="0"/>
        <w:ind w:left="165" w:right="0" w:firstLine="0"/>
        <w:jc w:val="left"/>
        <w:rPr>
          <w:rFonts w:ascii="Arial" w:hAnsi="Arial"/>
          <w:b/>
          <w:sz w:val="18"/>
        </w:rPr>
      </w:pPr>
      <w:r>
        <w:rPr>
          <w:rFonts w:ascii="Arial" w:hAnsi="Arial"/>
          <w:b/>
          <w:sz w:val="18"/>
        </w:rPr>
        <w:t>Agreement “subject to </w:t>
      </w:r>
      <w:r>
        <w:rPr>
          <w:rFonts w:ascii="Arial" w:hAnsi="Arial"/>
          <w:b/>
          <w:spacing w:val="-2"/>
          <w:sz w:val="18"/>
        </w:rPr>
        <w:t>contract”</w:t>
      </w:r>
    </w:p>
    <w:p>
      <w:pPr>
        <w:pStyle w:val="BodyText"/>
        <w:spacing w:before="41"/>
        <w:rPr>
          <w:rFonts w:ascii="Arial"/>
          <w:b/>
          <w:sz w:val="18"/>
        </w:rPr>
      </w:pPr>
    </w:p>
    <w:p>
      <w:pPr>
        <w:pStyle w:val="Heading2"/>
      </w:pPr>
      <w:r>
        <w:rPr/>
        <w:t>2-</w:t>
      </w:r>
      <w:r>
        <w:rPr>
          <w:spacing w:val="-5"/>
        </w:rPr>
        <w:t>125</w:t>
      </w:r>
    </w:p>
    <w:p>
      <w:pPr>
        <w:pStyle w:val="BodyText"/>
        <w:spacing w:line="235" w:lineRule="auto" w:before="203"/>
        <w:ind w:left="164" w:right="167"/>
        <w:jc w:val="both"/>
      </w:pPr>
      <w:bookmarkStart w:name="_bookmark1171" w:id="1173"/>
      <w:bookmarkEnd w:id="1173"/>
      <w:r>
        <w:rPr/>
      </w:r>
      <w:bookmarkStart w:name="_bookmark1172" w:id="1174"/>
      <w:bookmarkEnd w:id="1174"/>
      <w:r>
        <w:rPr/>
      </w:r>
      <w:r>
        <w:rPr/>
        <w:t>Agreements for the sale of land by private treaty are usually </w:t>
      </w:r>
      <w:r>
        <w:rPr>
          <w:color w:val="005DA1"/>
          <w:u w:val="single" w:color="005DA1"/>
          <w:vertAlign w:val="superscript"/>
        </w:rPr>
        <w:t>638</w:t>
      </w:r>
      <w:r>
        <w:rPr>
          <w:color w:val="005DA1"/>
          <w:vertAlign w:val="baseline"/>
        </w:rPr>
        <w:t> </w:t>
      </w:r>
      <w:r>
        <w:rPr>
          <w:vertAlign w:val="baseline"/>
        </w:rPr>
        <w:t>made “subject to contract”. Such </w:t>
      </w:r>
      <w:bookmarkStart w:name="_bookmark1173" w:id="1175"/>
      <w:bookmarkEnd w:id="1175"/>
      <w:r>
        <w:rPr>
          <w:vertAlign w:val="baseline"/>
        </w:rPr>
        <w:t>agreements</w:t>
      </w:r>
      <w:r>
        <w:rPr>
          <w:vertAlign w:val="baseline"/>
        </w:rPr>
        <w:t> are normally </w:t>
      </w:r>
      <w:r>
        <w:rPr>
          <w:color w:val="005DA1"/>
          <w:u w:val="single" w:color="005DA1"/>
          <w:vertAlign w:val="superscript"/>
        </w:rPr>
        <w:t>639</w:t>
      </w:r>
      <w:r>
        <w:rPr>
          <w:color w:val="005DA1"/>
          <w:vertAlign w:val="baseline"/>
        </w:rPr>
        <w:t> </w:t>
      </w:r>
      <w:r>
        <w:rPr>
          <w:vertAlign w:val="baseline"/>
        </w:rPr>
        <w:t>regarded as incomplete until the terms of a formal contract have </w:t>
      </w:r>
      <w:r>
        <w:rPr>
          <w:vertAlign w:val="baseline"/>
        </w:rPr>
        <w:t>been settled and approved by the parties. Thus, in </w:t>
      </w:r>
      <w:r>
        <w:rPr>
          <w:rFonts w:ascii="Arial" w:hAnsi="Arial"/>
          <w:i/>
          <w:vertAlign w:val="baseline"/>
        </w:rPr>
        <w:t>Winn v Bull </w:t>
      </w:r>
      <w:r>
        <w:rPr>
          <w:color w:val="005DA1"/>
          <w:u w:val="single" w:color="005DA1"/>
          <w:vertAlign w:val="superscript"/>
        </w:rPr>
        <w:t>640</w:t>
      </w:r>
      <w:r>
        <w:rPr>
          <w:color w:val="005DA1"/>
          <w:vertAlign w:val="baseline"/>
        </w:rPr>
        <w:t> </w:t>
      </w:r>
      <w:r>
        <w:rPr>
          <w:vertAlign w:val="baseline"/>
        </w:rPr>
        <w:t>an agreement to take a lease of a house for a specified time at a stated rent, “subject to the preparation and approval of a formal contract” was held not to have given rise to an enforceable contract. Jessell M.R. said that, “where you have a </w:t>
      </w:r>
      <w:bookmarkStart w:name="_bookmark1174" w:id="1176"/>
      <w:bookmarkEnd w:id="1176"/>
      <w:r>
        <w:rPr>
          <w:vertAlign w:val="baseline"/>
        </w:rPr>
        <w:t>proposal</w:t>
      </w:r>
      <w:r>
        <w:rPr>
          <w:vertAlign w:val="baseline"/>
        </w:rPr>
        <w:t> or agreement made in writing expressed to be subject to a formal contract being prepared, it means what it says; it is subject to and is dependent upon a formal contract being prepared.” </w:t>
      </w:r>
      <w:r>
        <w:rPr>
          <w:color w:val="005DA1"/>
          <w:u w:val="single" w:color="005DA1"/>
          <w:vertAlign w:val="superscript"/>
        </w:rPr>
        <w:t>641</w:t>
      </w:r>
      <w:r>
        <w:rPr>
          <w:color w:val="005DA1"/>
          <w:vertAlign w:val="baseline"/>
        </w:rPr>
        <w:t> </w:t>
      </w:r>
      <w:r>
        <w:rPr>
          <w:vertAlign w:val="baseline"/>
        </w:rPr>
        <w:t>The </w:t>
      </w:r>
      <w:bookmarkStart w:name="_bookmark1175" w:id="1177"/>
      <w:bookmarkEnd w:id="1177"/>
      <w:r>
        <w:rPr>
          <w:vertAlign w:val="baseline"/>
        </w:rPr>
        <w:t>same</w:t>
      </w:r>
      <w:r>
        <w:rPr>
          <w:vertAlign w:val="baseline"/>
        </w:rPr>
        <w:t> principle has been applied to an agreement to purchase freehold land “subject to a proper </w:t>
      </w:r>
      <w:bookmarkStart w:name="_bookmark1176" w:id="1178"/>
      <w:bookmarkEnd w:id="1178"/>
      <w:r>
        <w:rPr>
          <w:vertAlign w:val="baseline"/>
        </w:rPr>
        <w:t>contract</w:t>
      </w:r>
      <w:r>
        <w:rPr>
          <w:vertAlign w:val="baseline"/>
        </w:rPr>
        <w:t> to be prepared by the vendor’s solicitors” </w:t>
      </w:r>
      <w:r>
        <w:rPr>
          <w:color w:val="005DA1"/>
          <w:u w:val="single" w:color="005DA1"/>
          <w:vertAlign w:val="superscript"/>
        </w:rPr>
        <w:t>642</w:t>
      </w:r>
      <w:r>
        <w:rPr>
          <w:vertAlign w:val="baseline"/>
        </w:rPr>
        <w:t>; to an agreement to take a flat “subject to suitable agreements being arranged between your solicitors and mine”</w:t>
      </w:r>
      <w:r>
        <w:rPr>
          <w:spacing w:val="-1"/>
          <w:vertAlign w:val="baseline"/>
        </w:rPr>
        <w:t> </w:t>
      </w:r>
      <w:r>
        <w:rPr>
          <w:color w:val="005DA1"/>
          <w:u w:val="single" w:color="005DA1"/>
          <w:vertAlign w:val="superscript"/>
        </w:rPr>
        <w:t>643</w:t>
      </w:r>
      <w:r>
        <w:rPr>
          <w:vertAlign w:val="baseline"/>
        </w:rPr>
        <w:t>; to an agreement to grant a </w:t>
      </w:r>
      <w:bookmarkStart w:name="_bookmark1177" w:id="1179"/>
      <w:bookmarkEnd w:id="1179"/>
      <w:r>
        <w:rPr>
          <w:vertAlign w:val="baseline"/>
        </w:rPr>
        <w:t>lease</w:t>
      </w:r>
      <w:r>
        <w:rPr>
          <w:vertAlign w:val="baseline"/>
        </w:rPr>
        <w:t> “subject to the terms of a lease” (because this meant “subject to the terms to be contained in a </w:t>
      </w:r>
      <w:bookmarkStart w:name="_bookmark1178" w:id="1180"/>
      <w:bookmarkEnd w:id="1180"/>
      <w:r>
        <w:rPr>
          <w:vertAlign w:val="baseline"/>
        </w:rPr>
        <w:t>lease</w:t>
      </w:r>
      <w:r>
        <w:rPr>
          <w:vertAlign w:val="baseline"/>
        </w:rPr>
        <w:t> executed by the lessor” </w:t>
      </w:r>
      <w:r>
        <w:rPr>
          <w:color w:val="005DA1"/>
          <w:u w:val="single" w:color="005DA1"/>
          <w:vertAlign w:val="superscript"/>
        </w:rPr>
        <w:t>644</w:t>
      </w:r>
      <w:r>
        <w:rPr>
          <w:vertAlign w:val="baseline"/>
        </w:rPr>
        <w:t>); and to an agreement to purchase a house “subject to formal </w:t>
      </w:r>
      <w:bookmarkStart w:name="_bookmark1179" w:id="1181"/>
      <w:bookmarkEnd w:id="1181"/>
      <w:r>
        <w:rPr>
          <w:vertAlign w:val="baseline"/>
        </w:rPr>
        <w:t>contract</w:t>
      </w:r>
      <w:r>
        <w:rPr>
          <w:vertAlign w:val="baseline"/>
        </w:rPr>
        <w:t> to be prepared by the vendors’ solicitors if the vendors shall so require.” </w:t>
      </w:r>
      <w:r>
        <w:rPr>
          <w:color w:val="005DA1"/>
          <w:u w:val="single" w:color="005DA1"/>
          <w:vertAlign w:val="superscript"/>
        </w:rPr>
        <w:t>645</w:t>
      </w:r>
      <w:r>
        <w:rPr>
          <w:color w:val="005DA1"/>
          <w:vertAlign w:val="baseline"/>
        </w:rPr>
        <w:t> </w:t>
      </w:r>
      <w:r>
        <w:rPr>
          <w:vertAlign w:val="baseline"/>
        </w:rPr>
        <w:t>In each of these cases the court held that the agreement gave rise to no legal liability. </w:t>
      </w:r>
      <w:r>
        <w:rPr>
          <w:color w:val="005DA1"/>
          <w:u w:val="single" w:color="005DA1"/>
          <w:vertAlign w:val="superscript"/>
        </w:rPr>
        <w:t>646</w:t>
      </w:r>
      <w:r>
        <w:rPr>
          <w:color w:val="005DA1"/>
          <w:vertAlign w:val="baseline"/>
        </w:rPr>
        <w:t> </w:t>
      </w:r>
      <w:r>
        <w:rPr>
          <w:vertAlign w:val="baseline"/>
        </w:rPr>
        <w:t>The principle that</w:t>
      </w:r>
      <w:r>
        <w:rPr>
          <w:spacing w:val="40"/>
          <w:vertAlign w:val="baseline"/>
        </w:rPr>
        <w:t> </w:t>
      </w:r>
      <w:r>
        <w:rPr>
          <w:vertAlign w:val="baseline"/>
        </w:rPr>
        <w:t>agreements</w:t>
      </w:r>
      <w:r>
        <w:rPr>
          <w:spacing w:val="14"/>
          <w:vertAlign w:val="baseline"/>
        </w:rPr>
        <w:t> </w:t>
      </w:r>
      <w:r>
        <w:rPr>
          <w:vertAlign w:val="baseline"/>
        </w:rPr>
        <w:t>“subject</w:t>
      </w:r>
      <w:r>
        <w:rPr>
          <w:spacing w:val="16"/>
          <w:vertAlign w:val="baseline"/>
        </w:rPr>
        <w:t> </w:t>
      </w:r>
      <w:r>
        <w:rPr>
          <w:vertAlign w:val="baseline"/>
        </w:rPr>
        <w:t>to</w:t>
      </w:r>
      <w:r>
        <w:rPr>
          <w:spacing w:val="16"/>
          <w:vertAlign w:val="baseline"/>
        </w:rPr>
        <w:t> </w:t>
      </w:r>
      <w:r>
        <w:rPr>
          <w:vertAlign w:val="baseline"/>
        </w:rPr>
        <w:t>contract”</w:t>
      </w:r>
      <w:r>
        <w:rPr>
          <w:spacing w:val="16"/>
          <w:vertAlign w:val="baseline"/>
        </w:rPr>
        <w:t> </w:t>
      </w:r>
      <w:r>
        <w:rPr>
          <w:vertAlign w:val="baseline"/>
        </w:rPr>
        <w:t>are</w:t>
      </w:r>
      <w:r>
        <w:rPr>
          <w:spacing w:val="16"/>
          <w:vertAlign w:val="baseline"/>
        </w:rPr>
        <w:t> </w:t>
      </w:r>
      <w:r>
        <w:rPr>
          <w:vertAlign w:val="baseline"/>
        </w:rPr>
        <w:t>not</w:t>
      </w:r>
      <w:r>
        <w:rPr>
          <w:spacing w:val="16"/>
          <w:vertAlign w:val="baseline"/>
        </w:rPr>
        <w:t> </w:t>
      </w:r>
      <w:r>
        <w:rPr>
          <w:vertAlign w:val="baseline"/>
        </w:rPr>
        <w:t>legally</w:t>
      </w:r>
      <w:r>
        <w:rPr>
          <w:spacing w:val="16"/>
          <w:vertAlign w:val="baseline"/>
        </w:rPr>
        <w:t> </w:t>
      </w:r>
      <w:r>
        <w:rPr>
          <w:vertAlign w:val="baseline"/>
        </w:rPr>
        <w:t>binding,</w:t>
      </w:r>
      <w:r>
        <w:rPr>
          <w:spacing w:val="16"/>
          <w:vertAlign w:val="baseline"/>
        </w:rPr>
        <w:t> </w:t>
      </w:r>
      <w:r>
        <w:rPr>
          <w:vertAlign w:val="baseline"/>
        </w:rPr>
        <w:t>though</w:t>
      </w:r>
      <w:r>
        <w:rPr>
          <w:spacing w:val="16"/>
          <w:vertAlign w:val="baseline"/>
        </w:rPr>
        <w:t> </w:t>
      </w:r>
      <w:r>
        <w:rPr>
          <w:vertAlign w:val="baseline"/>
        </w:rPr>
        <w:t>most</w:t>
      </w:r>
      <w:r>
        <w:rPr>
          <w:spacing w:val="16"/>
          <w:vertAlign w:val="baseline"/>
        </w:rPr>
        <w:t> </w:t>
      </w:r>
      <w:r>
        <w:rPr>
          <w:vertAlign w:val="baseline"/>
        </w:rPr>
        <w:t>frequently</w:t>
      </w:r>
      <w:r>
        <w:rPr>
          <w:spacing w:val="16"/>
          <w:vertAlign w:val="baseline"/>
        </w:rPr>
        <w:t> </w:t>
      </w:r>
      <w:r>
        <w:rPr>
          <w:vertAlign w:val="baseline"/>
        </w:rPr>
        <w:t>applied</w:t>
      </w:r>
      <w:r>
        <w:rPr>
          <w:spacing w:val="16"/>
          <w:vertAlign w:val="baseline"/>
        </w:rPr>
        <w:t> </w:t>
      </w:r>
      <w:r>
        <w:rPr>
          <w:vertAlign w:val="baseline"/>
        </w:rPr>
        <w:t>to</w:t>
      </w:r>
      <w:r>
        <w:rPr>
          <w:spacing w:val="16"/>
          <w:vertAlign w:val="baseline"/>
        </w:rPr>
        <w:t> </w:t>
      </w:r>
      <w:r>
        <w:rPr>
          <w:spacing w:val="-2"/>
          <w:vertAlign w:val="baseline"/>
        </w:rPr>
        <w:t>contracts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for the sale of land, is not restricted to such contracts. It has, for example, been held that an </w:t>
      </w:r>
      <w:bookmarkStart w:name="_bookmark1180" w:id="1182"/>
      <w:bookmarkEnd w:id="1182"/>
      <w:r>
        <w:rPr/>
        <w:t>agreement</w:t>
      </w:r>
      <w:r>
        <w:rPr/>
        <w:t> to pay a fee to an estate agent was not legally binding where it was expressed to </w:t>
      </w:r>
      <w:r>
        <w:rPr/>
        <w:t>be “subject to contract”. </w:t>
      </w:r>
      <w:r>
        <w:rPr>
          <w:color w:val="005DA1"/>
          <w:u w:val="single" w:color="005DA1"/>
          <w:vertAlign w:val="superscript"/>
        </w:rPr>
        <w:t>647</w:t>
      </w:r>
      <w:r>
        <w:rPr>
          <w:color w:val="005DA1"/>
          <w:vertAlign w:val="baseline"/>
        </w:rPr>
        <w:t> </w:t>
      </w:r>
      <w:r>
        <w:rPr>
          <w:vertAlign w:val="baseline"/>
        </w:rPr>
        <w:t>By a process of further analogous extension, the same reasoning has been applied to an agreement which was neither one for the sale of land nor one which was expressly </w:t>
      </w:r>
      <w:bookmarkStart w:name="_bookmark1181" w:id="1183"/>
      <w:bookmarkEnd w:id="1183"/>
      <w:r>
        <w:rPr>
          <w:vertAlign w:val="baseline"/>
        </w:rPr>
        <w:t>“subject</w:t>
      </w:r>
      <w:r>
        <w:rPr>
          <w:vertAlign w:val="baseline"/>
        </w:rPr>
        <w:t> to contract”. In </w:t>
      </w:r>
      <w:r>
        <w:rPr>
          <w:rFonts w:ascii="Arial" w:hAnsi="Arial"/>
          <w:i/>
          <w:vertAlign w:val="baseline"/>
        </w:rPr>
        <w:t>RTS Flexible Systems Ltd v Molkerei Alois Müller GmbH &amp; Co KG (UK Production) </w:t>
      </w:r>
      <w:r>
        <w:rPr>
          <w:color w:val="005DA1"/>
          <w:u w:val="single" w:color="005DA1"/>
          <w:vertAlign w:val="superscript"/>
        </w:rPr>
        <w:t>648</w:t>
      </w:r>
      <w:r>
        <w:rPr>
          <w:color w:val="005DA1"/>
          <w:vertAlign w:val="baseline"/>
        </w:rPr>
        <w:t> </w:t>
      </w:r>
      <w:r>
        <w:rPr>
          <w:vertAlign w:val="baseline"/>
        </w:rPr>
        <w:t>the principle was discussed in connection with a draft contract for the supply of goods, </w:t>
      </w:r>
      <w:bookmarkStart w:name="_bookmark1182" w:id="1184"/>
      <w:bookmarkEnd w:id="1184"/>
      <w:r>
        <w:rPr>
          <w:vertAlign w:val="baseline"/>
        </w:rPr>
        <w:t>clause</w:t>
      </w:r>
      <w:r>
        <w:rPr>
          <w:vertAlign w:val="baseline"/>
        </w:rPr>
        <w:t> 48 of which provided that the proposed contract “shall not become effective until each party has</w:t>
      </w:r>
      <w:r>
        <w:rPr>
          <w:spacing w:val="-2"/>
          <w:vertAlign w:val="baseline"/>
        </w:rPr>
        <w:t> </w:t>
      </w:r>
      <w:r>
        <w:rPr>
          <w:vertAlign w:val="baseline"/>
        </w:rPr>
        <w:t>executed</w:t>
      </w:r>
      <w:r>
        <w:rPr>
          <w:spacing w:val="-2"/>
          <w:vertAlign w:val="baseline"/>
        </w:rPr>
        <w:t> </w:t>
      </w:r>
      <w:r>
        <w:rPr>
          <w:vertAlign w:val="baseline"/>
        </w:rPr>
        <w:t>a</w:t>
      </w:r>
      <w:r>
        <w:rPr>
          <w:spacing w:val="-2"/>
          <w:vertAlign w:val="baseline"/>
        </w:rPr>
        <w:t> </w:t>
      </w:r>
      <w:r>
        <w:rPr>
          <w:vertAlign w:val="baseline"/>
        </w:rPr>
        <w:t>counterpart</w:t>
      </w:r>
      <w:r>
        <w:rPr>
          <w:spacing w:val="-2"/>
          <w:vertAlign w:val="baseline"/>
        </w:rPr>
        <w:t> </w:t>
      </w:r>
      <w:r>
        <w:rPr>
          <w:vertAlign w:val="baseline"/>
        </w:rPr>
        <w:t>and</w:t>
      </w:r>
      <w:r>
        <w:rPr>
          <w:spacing w:val="-2"/>
          <w:vertAlign w:val="baseline"/>
        </w:rPr>
        <w:t> </w:t>
      </w:r>
      <w:r>
        <w:rPr>
          <w:vertAlign w:val="baseline"/>
        </w:rPr>
        <w:t>exchanged</w:t>
      </w:r>
      <w:r>
        <w:rPr>
          <w:spacing w:val="-2"/>
          <w:vertAlign w:val="baseline"/>
        </w:rPr>
        <w:t> </w:t>
      </w:r>
      <w:r>
        <w:rPr>
          <w:vertAlign w:val="baseline"/>
        </w:rPr>
        <w:t>it</w:t>
      </w:r>
      <w:r>
        <w:rPr>
          <w:spacing w:val="-2"/>
          <w:vertAlign w:val="baseline"/>
        </w:rPr>
        <w:t> </w:t>
      </w:r>
      <w:r>
        <w:rPr>
          <w:vertAlign w:val="baseline"/>
        </w:rPr>
        <w:t>with</w:t>
      </w:r>
      <w:r>
        <w:rPr>
          <w:spacing w:val="-2"/>
          <w:vertAlign w:val="baseline"/>
        </w:rPr>
        <w:t> </w:t>
      </w:r>
      <w:r>
        <w:rPr>
          <w:vertAlign w:val="baseline"/>
        </w:rPr>
        <w:t>the</w:t>
      </w:r>
      <w:r>
        <w:rPr>
          <w:spacing w:val="-2"/>
          <w:vertAlign w:val="baseline"/>
        </w:rPr>
        <w:t> </w:t>
      </w:r>
      <w:r>
        <w:rPr>
          <w:vertAlign w:val="baseline"/>
        </w:rPr>
        <w:t>other”.</w:t>
      </w:r>
      <w:r>
        <w:rPr>
          <w:spacing w:val="-2"/>
          <w:vertAlign w:val="baseline"/>
        </w:rPr>
        <w:t> </w:t>
      </w:r>
      <w:r>
        <w:rPr>
          <w:vertAlign w:val="baseline"/>
        </w:rPr>
        <w:t>This</w:t>
      </w:r>
      <w:r>
        <w:rPr>
          <w:spacing w:val="-2"/>
          <w:vertAlign w:val="baseline"/>
        </w:rPr>
        <w:t> </w:t>
      </w:r>
      <w:r>
        <w:rPr>
          <w:vertAlign w:val="baseline"/>
        </w:rPr>
        <w:t>was</w:t>
      </w:r>
      <w:r>
        <w:rPr>
          <w:spacing w:val="-2"/>
          <w:vertAlign w:val="baseline"/>
        </w:rPr>
        <w:t> </w:t>
      </w:r>
      <w:r>
        <w:rPr>
          <w:vertAlign w:val="baseline"/>
        </w:rPr>
        <w:t>described</w:t>
      </w:r>
      <w:r>
        <w:rPr>
          <w:spacing w:val="-3"/>
          <w:vertAlign w:val="baseline"/>
        </w:rPr>
        <w:t> </w:t>
      </w:r>
      <w:r>
        <w:rPr>
          <w:color w:val="005DA1"/>
          <w:u w:val="single" w:color="005DA1"/>
          <w:vertAlign w:val="superscript"/>
        </w:rPr>
        <w:t>649</w:t>
      </w:r>
      <w:r>
        <w:rPr>
          <w:color w:val="005DA1"/>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subject</w:t>
      </w:r>
      <w:r>
        <w:rPr>
          <w:spacing w:val="-2"/>
          <w:vertAlign w:val="baseline"/>
        </w:rPr>
        <w:t> </w:t>
      </w:r>
      <w:r>
        <w:rPr>
          <w:vertAlign w:val="baseline"/>
        </w:rPr>
        <w:t>to contract clause;” and, if matters had rested there, the draft would not have had any contractual force. </w:t>
      </w:r>
      <w:bookmarkStart w:name="_bookmark1183" w:id="1185"/>
      <w:bookmarkEnd w:id="1185"/>
      <w:r>
        <w:rPr>
          <w:vertAlign w:val="baseline"/>
        </w:rPr>
        <w:t>But</w:t>
      </w:r>
      <w:r>
        <w:rPr>
          <w:vertAlign w:val="baseline"/>
        </w:rPr>
        <w:t> the actual decision was that, in view of the parties’ subsequent conduct, the objective </w:t>
      </w:r>
      <w:bookmarkStart w:name="_bookmark1184" w:id="1186"/>
      <w:bookmarkEnd w:id="1186"/>
      <w:r>
        <w:rPr>
          <w:vertAlign w:val="baseline"/>
        </w:rPr>
        <w:t>interpretation</w:t>
      </w:r>
      <w:r>
        <w:rPr>
          <w:vertAlign w:val="baseline"/>
        </w:rPr>
        <w:t> of the parties’ words and conduct at formation, </w:t>
      </w:r>
      <w:r>
        <w:rPr>
          <w:color w:val="005DA1"/>
          <w:u w:val="single" w:color="005DA1"/>
          <w:vertAlign w:val="superscript"/>
        </w:rPr>
        <w:t>650</w:t>
      </w:r>
      <w:r>
        <w:rPr>
          <w:color w:val="005DA1"/>
          <w:vertAlign w:val="baseline"/>
        </w:rPr>
        <w:t> </w:t>
      </w:r>
      <w:r>
        <w:rPr>
          <w:vertAlign w:val="baseline"/>
        </w:rPr>
        <w:t>the fact that substantial works were then carried out and thereafter, the basis for the work done varied, </w:t>
      </w:r>
      <w:r>
        <w:rPr>
          <w:color w:val="005DA1"/>
          <w:u w:val="single" w:color="005DA1"/>
          <w:vertAlign w:val="superscript"/>
        </w:rPr>
        <w:t>651</w:t>
      </w:r>
      <w:r>
        <w:rPr>
          <w:color w:val="005DA1"/>
          <w:vertAlign w:val="baseline"/>
        </w:rPr>
        <w:t> </w:t>
      </w:r>
      <w:r>
        <w:rPr>
          <w:vertAlign w:val="baseline"/>
        </w:rPr>
        <w:t>failure to comply with the requirements of clause 48 did not prevent the formation of a binding contract.</w:t>
      </w:r>
    </w:p>
    <w:p>
      <w:pPr>
        <w:pStyle w:val="BodyText"/>
      </w:pPr>
    </w:p>
    <w:p>
      <w:pPr>
        <w:pStyle w:val="BodyText"/>
        <w:spacing w:before="34"/>
      </w:pPr>
    </w:p>
    <w:p>
      <w:pPr>
        <w:spacing w:before="0"/>
        <w:ind w:left="164" w:right="0" w:firstLine="0"/>
        <w:jc w:val="both"/>
        <w:rPr>
          <w:rFonts w:ascii="Arial" w:hAnsi="Arial"/>
          <w:b/>
          <w:sz w:val="18"/>
        </w:rPr>
      </w:pPr>
      <w:r>
        <w:rPr>
          <w:rFonts w:ascii="Arial" w:hAnsi="Arial"/>
          <w:b/>
          <w:sz w:val="18"/>
        </w:rPr>
        <w:t>General requirement of “exchange of </w:t>
      </w:r>
      <w:r>
        <w:rPr>
          <w:rFonts w:ascii="Arial" w:hAnsi="Arial"/>
          <w:b/>
          <w:spacing w:val="-2"/>
          <w:sz w:val="18"/>
        </w:rPr>
        <w:t>contracts”</w:t>
      </w:r>
    </w:p>
    <w:p>
      <w:pPr>
        <w:pStyle w:val="BodyText"/>
        <w:spacing w:before="41"/>
        <w:rPr>
          <w:rFonts w:ascii="Arial"/>
          <w:b/>
          <w:sz w:val="18"/>
        </w:rPr>
      </w:pPr>
    </w:p>
    <w:p>
      <w:pPr>
        <w:pStyle w:val="Heading2"/>
        <w:ind w:left="164"/>
      </w:pPr>
      <w:r>
        <w:rPr/>
        <w:t>2-</w:t>
      </w:r>
      <w:r>
        <w:rPr>
          <w:spacing w:val="-5"/>
        </w:rPr>
        <w:t>126</w:t>
      </w:r>
    </w:p>
    <w:p>
      <w:pPr>
        <w:pStyle w:val="BodyText"/>
        <w:spacing w:line="235" w:lineRule="auto" w:before="203"/>
        <w:ind w:left="164" w:right="167"/>
        <w:jc w:val="both"/>
      </w:pPr>
      <w:bookmarkStart w:name="_bookmark1185" w:id="1187"/>
      <w:bookmarkEnd w:id="1187"/>
      <w:r>
        <w:rPr/>
      </w:r>
      <w:r>
        <w:rPr/>
        <w:t>Even after the terms of the formal contract for the sale of land have been agreed, there is, where </w:t>
      </w:r>
      <w:r>
        <w:rPr/>
        <w:t>the </w:t>
      </w:r>
      <w:bookmarkStart w:name="_bookmark1186" w:id="1188"/>
      <w:bookmarkEnd w:id="1188"/>
      <w:r>
        <w:rPr/>
        <w:t>agreement</w:t>
      </w:r>
      <w:r>
        <w:rPr>
          <w:spacing w:val="-1"/>
        </w:rPr>
        <w:t> </w:t>
      </w:r>
      <w:r>
        <w:rPr/>
        <w:t>is</w:t>
      </w:r>
      <w:r>
        <w:rPr>
          <w:spacing w:val="-1"/>
        </w:rPr>
        <w:t> </w:t>
      </w:r>
      <w:r>
        <w:rPr/>
        <w:t>“subject</w:t>
      </w:r>
      <w:r>
        <w:rPr>
          <w:spacing w:val="-1"/>
        </w:rPr>
        <w:t> </w:t>
      </w:r>
      <w:r>
        <w:rPr/>
        <w:t>to</w:t>
      </w:r>
      <w:r>
        <w:rPr>
          <w:spacing w:val="-1"/>
        </w:rPr>
        <w:t> </w:t>
      </w:r>
      <w:r>
        <w:rPr/>
        <w:t>contract”,</w:t>
      </w:r>
      <w:r>
        <w:rPr>
          <w:spacing w:val="-1"/>
        </w:rPr>
        <w:t> </w:t>
      </w:r>
      <w:r>
        <w:rPr/>
        <w:t>generally</w:t>
      </w:r>
      <w:r>
        <w:rPr>
          <w:spacing w:val="-1"/>
        </w:rPr>
        <w:t> </w:t>
      </w:r>
      <w:r>
        <w:rPr>
          <w:color w:val="005DA1"/>
          <w:u w:val="single" w:color="005DA1"/>
          <w:vertAlign w:val="superscript"/>
        </w:rPr>
        <w:t>652</w:t>
      </w:r>
      <w:r>
        <w:rPr>
          <w:color w:val="005DA1"/>
          <w:spacing w:val="-1"/>
          <w:vertAlign w:val="baseline"/>
        </w:rPr>
        <w:t> </w:t>
      </w:r>
      <w:r>
        <w:rPr>
          <w:vertAlign w:val="baseline"/>
        </w:rPr>
        <w:t>no</w:t>
      </w:r>
      <w:r>
        <w:rPr>
          <w:spacing w:val="-1"/>
          <w:vertAlign w:val="baseline"/>
        </w:rPr>
        <w:t> </w:t>
      </w:r>
      <w:r>
        <w:rPr>
          <w:vertAlign w:val="baseline"/>
        </w:rPr>
        <w:t>binding</w:t>
      </w:r>
      <w:r>
        <w:rPr>
          <w:spacing w:val="-1"/>
          <w:vertAlign w:val="baseline"/>
        </w:rPr>
        <w:t> </w:t>
      </w:r>
      <w:r>
        <w:rPr>
          <w:vertAlign w:val="baseline"/>
        </w:rPr>
        <w:t>contract</w:t>
      </w:r>
      <w:r>
        <w:rPr>
          <w:spacing w:val="-1"/>
          <w:vertAlign w:val="baseline"/>
        </w:rPr>
        <w:t> </w:t>
      </w:r>
      <w:r>
        <w:rPr>
          <w:vertAlign w:val="baseline"/>
        </w:rPr>
        <w:t>until</w:t>
      </w:r>
      <w:r>
        <w:rPr>
          <w:spacing w:val="-1"/>
          <w:vertAlign w:val="baseline"/>
        </w:rPr>
        <w:t> </w:t>
      </w:r>
      <w:r>
        <w:rPr>
          <w:vertAlign w:val="baseline"/>
        </w:rPr>
        <w:t>there</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an</w:t>
      </w:r>
      <w:r>
        <w:rPr>
          <w:spacing w:val="-1"/>
          <w:vertAlign w:val="baseline"/>
        </w:rPr>
        <w:t> </w:t>
      </w:r>
      <w:r>
        <w:rPr>
          <w:vertAlign w:val="baseline"/>
        </w:rPr>
        <w:t>“exchange </w:t>
      </w:r>
      <w:bookmarkStart w:name="_bookmark1187" w:id="1189"/>
      <w:bookmarkEnd w:id="1189"/>
      <w:r>
        <w:rPr>
          <w:vertAlign w:val="baseline"/>
        </w:rPr>
        <w:t>of</w:t>
      </w:r>
      <w:r>
        <w:rPr>
          <w:vertAlign w:val="baseline"/>
        </w:rPr>
        <w:t> contracts”. </w:t>
      </w:r>
      <w:r>
        <w:rPr>
          <w:color w:val="005DA1"/>
          <w:u w:val="single" w:color="005DA1"/>
          <w:vertAlign w:val="superscript"/>
        </w:rPr>
        <w:t>653</w:t>
      </w:r>
      <w:r>
        <w:rPr>
          <w:color w:val="005DA1"/>
          <w:vertAlign w:val="baseline"/>
        </w:rPr>
        <w:t> </w:t>
      </w:r>
      <w:r>
        <w:rPr>
          <w:vertAlign w:val="baseline"/>
        </w:rPr>
        <w:t>It is also necessary (though not sufficient) for the formal requirements for contracts for the sale of land (which are described in Ch.4) to be satisfied. </w:t>
      </w:r>
      <w:r>
        <w:rPr>
          <w:color w:val="005DA1"/>
          <w:u w:val="single" w:color="005DA1"/>
          <w:vertAlign w:val="superscript"/>
        </w:rPr>
        <w:t>654</w:t>
      </w:r>
      <w:r>
        <w:rPr>
          <w:color w:val="005DA1"/>
          <w:vertAlign w:val="baseline"/>
        </w:rPr>
        <w:t> </w:t>
      </w:r>
      <w:r>
        <w:rPr>
          <w:vertAlign w:val="baseline"/>
        </w:rPr>
        <w:t>The formal requirement in cases </w:t>
      </w:r>
      <w:bookmarkStart w:name="_bookmark1188" w:id="1190"/>
      <w:bookmarkEnd w:id="1190"/>
      <w:r>
        <w:rPr>
          <w:vertAlign w:val="baseline"/>
        </w:rPr>
        <w:t>of</w:t>
      </w:r>
      <w:r>
        <w:rPr>
          <w:vertAlign w:val="baseline"/>
        </w:rPr>
        <w:t> the present kind is that each party must sign a document containing all the terms which have been expressly</w:t>
      </w:r>
      <w:r>
        <w:rPr>
          <w:spacing w:val="-2"/>
          <w:vertAlign w:val="baseline"/>
        </w:rPr>
        <w:t> </w:t>
      </w:r>
      <w:r>
        <w:rPr>
          <w:vertAlign w:val="baseline"/>
        </w:rPr>
        <w:t>agreed</w:t>
      </w:r>
      <w:r>
        <w:rPr>
          <w:spacing w:val="-3"/>
          <w:vertAlign w:val="baseline"/>
        </w:rPr>
        <w:t> </w:t>
      </w:r>
      <w:r>
        <w:rPr>
          <w:color w:val="005DA1"/>
          <w:u w:val="single" w:color="005DA1"/>
          <w:vertAlign w:val="superscript"/>
        </w:rPr>
        <w:t>655</w:t>
      </w:r>
      <w:r>
        <w:rPr>
          <w:vertAlign w:val="baseline"/>
        </w:rPr>
        <w:t>;</w:t>
      </w:r>
      <w:r>
        <w:rPr>
          <w:spacing w:val="-2"/>
          <w:vertAlign w:val="baseline"/>
        </w:rPr>
        <w:t> </w:t>
      </w:r>
      <w:r>
        <w:rPr>
          <w:vertAlign w:val="baseline"/>
        </w:rPr>
        <w:t>and</w:t>
      </w:r>
      <w:r>
        <w:rPr>
          <w:spacing w:val="-2"/>
          <w:vertAlign w:val="baseline"/>
        </w:rPr>
        <w:t> </w:t>
      </w:r>
      <w:r>
        <w:rPr>
          <w:vertAlign w:val="baseline"/>
        </w:rPr>
        <w:t>the</w:t>
      </w:r>
      <w:r>
        <w:rPr>
          <w:spacing w:val="-2"/>
          <w:vertAlign w:val="baseline"/>
        </w:rPr>
        <w:t> </w:t>
      </w:r>
      <w:r>
        <w:rPr>
          <w:vertAlign w:val="baseline"/>
        </w:rPr>
        <w:t>requirement</w:t>
      </w:r>
      <w:r>
        <w:rPr>
          <w:spacing w:val="-2"/>
          <w:vertAlign w:val="baseline"/>
        </w:rPr>
        <w:t> </w:t>
      </w:r>
      <w:r>
        <w:rPr>
          <w:vertAlign w:val="baseline"/>
        </w:rPr>
        <w:t>of</w:t>
      </w:r>
      <w:r>
        <w:rPr>
          <w:spacing w:val="-2"/>
          <w:vertAlign w:val="baseline"/>
        </w:rPr>
        <w:t> </w:t>
      </w:r>
      <w:r>
        <w:rPr>
          <w:vertAlign w:val="baseline"/>
        </w:rPr>
        <w:t>exchange</w:t>
      </w:r>
      <w:r>
        <w:rPr>
          <w:spacing w:val="-2"/>
          <w:vertAlign w:val="baseline"/>
        </w:rPr>
        <w:t> </w:t>
      </w:r>
      <w:r>
        <w:rPr>
          <w:vertAlign w:val="baseline"/>
        </w:rPr>
        <w:t>traditionally</w:t>
      </w:r>
      <w:r>
        <w:rPr>
          <w:spacing w:val="-2"/>
          <w:vertAlign w:val="baseline"/>
        </w:rPr>
        <w:t> </w:t>
      </w:r>
      <w:r>
        <w:rPr>
          <w:vertAlign w:val="baseline"/>
        </w:rPr>
        <w:t>refers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handing</w:t>
      </w:r>
      <w:r>
        <w:rPr>
          <w:spacing w:val="-2"/>
          <w:vertAlign w:val="baseline"/>
        </w:rPr>
        <w:t> </w:t>
      </w:r>
      <w:r>
        <w:rPr>
          <w:vertAlign w:val="baseline"/>
        </w:rPr>
        <w:t>over</w:t>
      </w:r>
      <w:r>
        <w:rPr>
          <w:spacing w:val="-2"/>
          <w:vertAlign w:val="baseline"/>
        </w:rPr>
        <w:t> </w:t>
      </w:r>
      <w:r>
        <w:rPr>
          <w:vertAlign w:val="baseline"/>
        </w:rPr>
        <w:t>by</w:t>
      </w:r>
      <w:r>
        <w:rPr>
          <w:spacing w:val="-2"/>
          <w:vertAlign w:val="baseline"/>
        </w:rPr>
        <w:t> </w:t>
      </w:r>
      <w:r>
        <w:rPr>
          <w:vertAlign w:val="baseline"/>
        </w:rPr>
        <w:t>each </w:t>
      </w:r>
      <w:bookmarkStart w:name="_bookmark1189" w:id="1191"/>
      <w:bookmarkEnd w:id="1191"/>
      <w:r>
        <w:rPr>
          <w:vertAlign w:val="baseline"/>
        </w:rPr>
        <w:t>party</w:t>
      </w:r>
      <w:r>
        <w:rPr>
          <w:vertAlign w:val="baseline"/>
        </w:rPr>
        <w:t> to the other of one of these documents, or to their despatch by post; if the latter method is </w:t>
      </w:r>
      <w:bookmarkStart w:name="_bookmark1190" w:id="1192"/>
      <w:bookmarkEnd w:id="1192"/>
      <w:r>
        <w:rPr>
          <w:vertAlign w:val="baseline"/>
        </w:rPr>
        <w:t>adopted,</w:t>
      </w:r>
      <w:r>
        <w:rPr>
          <w:vertAlign w:val="baseline"/>
        </w:rPr>
        <w:t> the process is completed on the receipt of the second of the posted documents. </w:t>
      </w:r>
      <w:r>
        <w:rPr>
          <w:color w:val="005DA1"/>
          <w:u w:val="single" w:color="005DA1"/>
          <w:vertAlign w:val="superscript"/>
        </w:rPr>
        <w:t>656</w:t>
      </w:r>
      <w:r>
        <w:rPr>
          <w:color w:val="005DA1"/>
          <w:vertAlign w:val="baseline"/>
        </w:rPr>
        <w:t> </w:t>
      </w:r>
      <w:r>
        <w:rPr>
          <w:vertAlign w:val="baseline"/>
        </w:rPr>
        <w:t>Such an exchange may be effected by telephone or by telex. </w:t>
      </w:r>
      <w:r>
        <w:rPr>
          <w:color w:val="005DA1"/>
          <w:u w:val="single" w:color="005DA1"/>
          <w:vertAlign w:val="superscript"/>
        </w:rPr>
        <w:t>657</w:t>
      </w:r>
      <w:r>
        <w:rPr>
          <w:color w:val="005DA1"/>
          <w:vertAlign w:val="baseline"/>
        </w:rPr>
        <w:t> </w:t>
      </w:r>
      <w:r>
        <w:rPr>
          <w:vertAlign w:val="baseline"/>
        </w:rPr>
        <w:t>It has been held in Australia that, once an exchange has taken place, there can be a binding contract even though the two parts do not match </w:t>
      </w:r>
      <w:bookmarkStart w:name="_bookmark1191" w:id="1193"/>
      <w:bookmarkEnd w:id="1193"/>
      <w:r>
        <w:rPr>
          <w:vertAlign w:val="baseline"/>
        </w:rPr>
        <w:t>precisely</w:t>
      </w:r>
      <w:r>
        <w:rPr>
          <w:vertAlign w:val="baseline"/>
        </w:rPr>
        <w:t> (unless it is clear that the parties only intended to be bound by an exchange of precisely corresponding parts). </w:t>
      </w:r>
      <w:r>
        <w:rPr>
          <w:color w:val="005DA1"/>
          <w:u w:val="single" w:color="005DA1"/>
          <w:vertAlign w:val="superscript"/>
        </w:rPr>
        <w:t>658</w:t>
      </w:r>
      <w:r>
        <w:rPr>
          <w:color w:val="005DA1"/>
          <w:vertAlign w:val="baseline"/>
        </w:rPr>
        <w:t> </w:t>
      </w:r>
      <w:r>
        <w:rPr>
          <w:vertAlign w:val="baseline"/>
        </w:rPr>
        <w:t>The discrepancy can then be remedied by rectification. No doubt the </w:t>
      </w:r>
      <w:bookmarkStart w:name="_bookmark1192" w:id="1194"/>
      <w:bookmarkEnd w:id="1194"/>
      <w:r>
        <w:rPr>
          <w:vertAlign w:val="baseline"/>
        </w:rPr>
        <w:t>mechanics</w:t>
      </w:r>
      <w:r>
        <w:rPr>
          <w:vertAlign w:val="baseline"/>
        </w:rPr>
        <w:t> of “exchange” will be suitably modified when the proposed system of electronic conveyancing is brought into operation. </w:t>
      </w:r>
      <w:r>
        <w:rPr>
          <w:color w:val="005DA1"/>
          <w:u w:val="single" w:color="005DA1"/>
          <w:vertAlign w:val="superscript"/>
        </w:rPr>
        <w:t>659</w:t>
      </w:r>
      <w:r>
        <w:rPr>
          <w:color w:val="005DA1"/>
          <w:vertAlign w:val="baseline"/>
        </w:rPr>
        <w:t> </w:t>
      </w:r>
      <w:r>
        <w:rPr>
          <w:vertAlign w:val="baseline"/>
        </w:rPr>
        <w:t>Before “exchange” (or whatever requirement may be </w:t>
      </w:r>
      <w:bookmarkStart w:name="_bookmark1193" w:id="1195"/>
      <w:bookmarkEnd w:id="1195"/>
      <w:r>
        <w:rPr>
          <w:vertAlign w:val="baseline"/>
        </w:rPr>
        <w:t>substituted</w:t>
      </w:r>
      <w:r>
        <w:rPr>
          <w:vertAlign w:val="baseline"/>
        </w:rPr>
        <w:t> for it under that system), there is no uncertainty as to the terms of the agreement, but the agreement</w:t>
      </w:r>
      <w:r>
        <w:rPr>
          <w:spacing w:val="10"/>
          <w:vertAlign w:val="baseline"/>
        </w:rPr>
        <w:t> </w:t>
      </w:r>
      <w:r>
        <w:rPr>
          <w:vertAlign w:val="baseline"/>
        </w:rPr>
        <w:t>has</w:t>
      </w:r>
      <w:r>
        <w:rPr>
          <w:spacing w:val="10"/>
          <w:vertAlign w:val="baseline"/>
        </w:rPr>
        <w:t> </w:t>
      </w:r>
      <w:r>
        <w:rPr>
          <w:vertAlign w:val="baseline"/>
        </w:rPr>
        <w:t>no</w:t>
      </w:r>
      <w:r>
        <w:rPr>
          <w:spacing w:val="10"/>
          <w:vertAlign w:val="baseline"/>
        </w:rPr>
        <w:t> </w:t>
      </w:r>
      <w:r>
        <w:rPr>
          <w:vertAlign w:val="baseline"/>
        </w:rPr>
        <w:t>contractual</w:t>
      </w:r>
      <w:r>
        <w:rPr>
          <w:spacing w:val="10"/>
          <w:vertAlign w:val="baseline"/>
        </w:rPr>
        <w:t> </w:t>
      </w:r>
      <w:r>
        <w:rPr>
          <w:vertAlign w:val="baseline"/>
        </w:rPr>
        <w:t>force</w:t>
      </w:r>
      <w:r>
        <w:rPr>
          <w:spacing w:val="10"/>
          <w:vertAlign w:val="baseline"/>
        </w:rPr>
        <w:t> </w:t>
      </w:r>
      <w:r>
        <w:rPr>
          <w:vertAlign w:val="baseline"/>
        </w:rPr>
        <w:t>because,</w:t>
      </w:r>
      <w:r>
        <w:rPr>
          <w:spacing w:val="10"/>
          <w:vertAlign w:val="baseline"/>
        </w:rPr>
        <w:t> </w:t>
      </w:r>
      <w:r>
        <w:rPr>
          <w:vertAlign w:val="baseline"/>
        </w:rPr>
        <w:t>at</w:t>
      </w:r>
      <w:r>
        <w:rPr>
          <w:spacing w:val="10"/>
          <w:vertAlign w:val="baseline"/>
        </w:rPr>
        <w:t> </w:t>
      </w:r>
      <w:r>
        <w:rPr>
          <w:vertAlign w:val="baseline"/>
        </w:rPr>
        <w:t>this</w:t>
      </w:r>
      <w:r>
        <w:rPr>
          <w:spacing w:val="10"/>
          <w:vertAlign w:val="baseline"/>
        </w:rPr>
        <w:t> </w:t>
      </w:r>
      <w:r>
        <w:rPr>
          <w:vertAlign w:val="baseline"/>
        </w:rPr>
        <w:t>stage,</w:t>
      </w:r>
      <w:r>
        <w:rPr>
          <w:spacing w:val="10"/>
          <w:vertAlign w:val="baseline"/>
        </w:rPr>
        <w:t> </w:t>
      </w:r>
      <w:r>
        <w:rPr>
          <w:vertAlign w:val="baseline"/>
        </w:rPr>
        <w:t>neither</w:t>
      </w:r>
      <w:r>
        <w:rPr>
          <w:spacing w:val="10"/>
          <w:vertAlign w:val="baseline"/>
        </w:rPr>
        <w:t> </w:t>
      </w:r>
      <w:r>
        <w:rPr>
          <w:vertAlign w:val="baseline"/>
        </w:rPr>
        <w:t>party</w:t>
      </w:r>
      <w:r>
        <w:rPr>
          <w:spacing w:val="10"/>
          <w:vertAlign w:val="baseline"/>
        </w:rPr>
        <w:t> </w:t>
      </w:r>
      <w:r>
        <w:rPr>
          <w:vertAlign w:val="baseline"/>
        </w:rPr>
        <w:t>intends</w:t>
      </w:r>
      <w:r>
        <w:rPr>
          <w:spacing w:val="10"/>
          <w:vertAlign w:val="baseline"/>
        </w:rPr>
        <w:t> </w:t>
      </w:r>
      <w:r>
        <w:rPr>
          <w:vertAlign w:val="baseline"/>
        </w:rPr>
        <w:t>to</w:t>
      </w:r>
      <w:r>
        <w:rPr>
          <w:spacing w:val="10"/>
          <w:vertAlign w:val="baseline"/>
        </w:rPr>
        <w:t> </w:t>
      </w:r>
      <w:r>
        <w:rPr>
          <w:vertAlign w:val="baseline"/>
        </w:rPr>
        <w:t>be</w:t>
      </w:r>
      <w:r>
        <w:rPr>
          <w:spacing w:val="10"/>
          <w:vertAlign w:val="baseline"/>
        </w:rPr>
        <w:t> </w:t>
      </w:r>
      <w:r>
        <w:rPr>
          <w:vertAlign w:val="baseline"/>
        </w:rPr>
        <w:t>legally</w:t>
      </w:r>
      <w:r>
        <w:rPr>
          <w:spacing w:val="10"/>
          <w:vertAlign w:val="baseline"/>
        </w:rPr>
        <w:t> </w:t>
      </w:r>
      <w:r>
        <w:rPr>
          <w:spacing w:val="-2"/>
          <w:vertAlign w:val="baseline"/>
        </w:rPr>
        <w:t>bound.</w:t>
      </w:r>
    </w:p>
    <w:p>
      <w:pPr>
        <w:spacing w:line="107" w:lineRule="exact" w:before="0"/>
        <w:ind w:left="165" w:right="0" w:firstLine="0"/>
        <w:jc w:val="left"/>
        <w:rPr>
          <w:sz w:val="12"/>
        </w:rPr>
      </w:pPr>
      <w:r>
        <w:rPr>
          <w:color w:val="005DA1"/>
          <w:spacing w:val="-5"/>
          <w:sz w:val="12"/>
          <w:u w:val="single" w:color="005DA1"/>
        </w:rPr>
        <w:t>660</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hAnsi="Arial"/>
          <w:b/>
          <w:sz w:val="18"/>
        </w:rPr>
      </w:pPr>
      <w:r>
        <w:rPr>
          <w:rFonts w:ascii="Arial" w:hAnsi="Arial"/>
          <w:b/>
          <w:sz w:val="18"/>
        </w:rPr>
        <w:t>Mitigations of the requirement of “exchange of </w:t>
      </w:r>
      <w:r>
        <w:rPr>
          <w:rFonts w:ascii="Arial" w:hAnsi="Arial"/>
          <w:b/>
          <w:spacing w:val="-2"/>
          <w:sz w:val="18"/>
        </w:rPr>
        <w:t>contracts”</w:t>
      </w:r>
    </w:p>
    <w:p>
      <w:pPr>
        <w:pStyle w:val="BodyText"/>
        <w:spacing w:before="41"/>
        <w:rPr>
          <w:rFonts w:ascii="Arial"/>
          <w:b/>
          <w:sz w:val="18"/>
        </w:rPr>
      </w:pPr>
    </w:p>
    <w:p>
      <w:pPr>
        <w:pStyle w:val="Heading2"/>
      </w:pPr>
      <w:r>
        <w:rPr/>
        <w:t>2-</w:t>
      </w:r>
      <w:r>
        <w:rPr>
          <w:spacing w:val="-5"/>
        </w:rPr>
        <w:t>127</w:t>
      </w:r>
    </w:p>
    <w:p>
      <w:pPr>
        <w:pStyle w:val="BodyText"/>
        <w:spacing w:line="235" w:lineRule="auto" w:before="203"/>
        <w:ind w:left="164" w:right="167"/>
        <w:jc w:val="both"/>
      </w:pPr>
      <w:bookmarkStart w:name="_bookmark1194" w:id="1196"/>
      <w:bookmarkEnd w:id="1196"/>
      <w:r>
        <w:rPr/>
      </w:r>
      <w:r>
        <w:rPr/>
        <w:t>The rules stated in paras 2-125—2-126 above enable either party to a concluded agreement to go back on it with impunity. This position has been described as “a social and moral blot on our law” </w:t>
      </w:r>
      <w:r>
        <w:rPr>
          <w:color w:val="005DA1"/>
          <w:u w:val="single" w:color="005DA1"/>
          <w:vertAlign w:val="superscript"/>
        </w:rPr>
        <w:t>661</w:t>
      </w:r>
      <w:r>
        <w:rPr>
          <w:color w:val="005DA1"/>
          <w:vertAlign w:val="baseline"/>
        </w:rPr>
        <w:t> </w:t>
      </w:r>
      <w:r>
        <w:rPr>
          <w:vertAlign w:val="baseline"/>
        </w:rPr>
        <w:t>and there are indications that the courts are prepared to mitigate the former strictness of the </w:t>
      </w:r>
      <w:bookmarkStart w:name="_bookmark1195" w:id="1197"/>
      <w:bookmarkEnd w:id="1197"/>
      <w:r>
        <w:rPr>
          <w:vertAlign w:val="baseline"/>
        </w:rPr>
        <w:t>requirement</w:t>
      </w:r>
      <w:r>
        <w:rPr>
          <w:vertAlign w:val="baseline"/>
        </w:rPr>
        <w:t> of “exchange of contracts”. Thus it has been held that certain technical slips in the </w:t>
      </w:r>
      <w:bookmarkStart w:name="_bookmark1196" w:id="1198"/>
      <w:bookmarkEnd w:id="1198"/>
      <w:r>
        <w:rPr>
          <w:vertAlign w:val="baseline"/>
        </w:rPr>
        <w:t>process</w:t>
      </w:r>
      <w:r>
        <w:rPr>
          <w:vertAlign w:val="baseline"/>
        </w:rPr>
        <w:t> of exchange may be disregarded </w:t>
      </w:r>
      <w:r>
        <w:rPr>
          <w:color w:val="005DA1"/>
          <w:u w:val="single" w:color="005DA1"/>
          <w:vertAlign w:val="superscript"/>
        </w:rPr>
        <w:t>662</w:t>
      </w:r>
      <w:r>
        <w:rPr>
          <w:vertAlign w:val="baseline"/>
        </w:rPr>
        <w:t>; and that exchange is not necessary where both parties use the same solicitor. </w:t>
      </w:r>
      <w:r>
        <w:rPr>
          <w:color w:val="005DA1"/>
          <w:u w:val="single" w:color="005DA1"/>
          <w:vertAlign w:val="superscript"/>
        </w:rPr>
        <w:t>663</w:t>
      </w:r>
      <w:r>
        <w:rPr>
          <w:color w:val="005DA1"/>
          <w:vertAlign w:val="baseline"/>
        </w:rPr>
        <w:t> </w:t>
      </w:r>
      <w:r>
        <w:rPr>
          <w:vertAlign w:val="baseline"/>
        </w:rPr>
        <w:t>The parties may also create a binding contract by a subsequent agreement </w:t>
      </w:r>
      <w:bookmarkStart w:name="_bookmark1197" w:id="1199"/>
      <w:bookmarkEnd w:id="1199"/>
      <w:r>
        <w:rPr>
          <w:vertAlign w:val="baseline"/>
        </w:rPr>
        <w:t>to</w:t>
      </w:r>
      <w:r>
        <w:rPr>
          <w:vertAlign w:val="baseline"/>
        </w:rPr>
        <w:t> remove the effect of the words “subject to contract,” thus indicating their intention henceforth to be legally bound. </w:t>
      </w:r>
      <w:r>
        <w:rPr>
          <w:color w:val="005DA1"/>
          <w:u w:val="single" w:color="005DA1"/>
          <w:vertAlign w:val="superscript"/>
        </w:rPr>
        <w:t>664</w:t>
      </w:r>
      <w:r>
        <w:rPr>
          <w:color w:val="005DA1"/>
          <w:vertAlign w:val="baseline"/>
        </w:rPr>
        <w:t> </w:t>
      </w:r>
      <w:r>
        <w:rPr>
          <w:vertAlign w:val="baseline"/>
        </w:rPr>
        <w:t>Subsequent conduct may also give rise to liability on other grounds: where one</w:t>
      </w:r>
      <w:r>
        <w:rPr>
          <w:spacing w:val="40"/>
          <w:vertAlign w:val="baseline"/>
        </w:rPr>
        <w:t> </w:t>
      </w:r>
      <w:bookmarkStart w:name="_bookmark1198" w:id="1200"/>
      <w:bookmarkEnd w:id="1200"/>
      <w:r>
        <w:rPr>
          <w:vertAlign w:val="baseline"/>
        </w:rPr>
        <w:t>party</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agreement</w:t>
      </w:r>
      <w:r>
        <w:rPr>
          <w:spacing w:val="-1"/>
          <w:vertAlign w:val="baseline"/>
        </w:rPr>
        <w:t> </w:t>
      </w:r>
      <w:r>
        <w:rPr>
          <w:vertAlign w:val="baseline"/>
        </w:rPr>
        <w:t>encourages</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to</w:t>
      </w:r>
      <w:r>
        <w:rPr>
          <w:spacing w:val="-1"/>
          <w:vertAlign w:val="baseline"/>
        </w:rPr>
        <w:t> </w:t>
      </w:r>
      <w:r>
        <w:rPr>
          <w:vertAlign w:val="baseline"/>
        </w:rPr>
        <w:t>believe</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will</w:t>
      </w:r>
      <w:r>
        <w:rPr>
          <w:spacing w:val="-1"/>
          <w:vertAlign w:val="baseline"/>
        </w:rPr>
        <w:t> </w:t>
      </w:r>
      <w:r>
        <w:rPr>
          <w:vertAlign w:val="baseline"/>
        </w:rPr>
        <w:t>not</w:t>
      </w:r>
      <w:r>
        <w:rPr>
          <w:spacing w:val="-1"/>
          <w:vertAlign w:val="baseline"/>
        </w:rPr>
        <w:t> </w:t>
      </w:r>
      <w:r>
        <w:rPr>
          <w:vertAlign w:val="baseline"/>
        </w:rPr>
        <w:t>withdraw,</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acts</w:t>
      </w:r>
      <w:r>
        <w:rPr>
          <w:spacing w:val="-1"/>
          <w:vertAlign w:val="baseline"/>
        </w:rPr>
        <w:t> </w:t>
      </w:r>
      <w:r>
        <w:rPr>
          <w:vertAlign w:val="baseline"/>
        </w:rPr>
        <w:t>to </w:t>
      </w:r>
      <w:bookmarkStart w:name="_bookmark1199" w:id="1201"/>
      <w:bookmarkEnd w:id="1201"/>
      <w:r>
        <w:rPr>
          <w:vertAlign w:val="baseline"/>
        </w:rPr>
        <w:t>his</w:t>
      </w:r>
      <w:r>
        <w:rPr>
          <w:vertAlign w:val="baseline"/>
        </w:rPr>
        <w:t> detriment in reliance on that belief, the former may be liable on the basis of “proprietary estoppel”. </w:t>
      </w:r>
      <w:r>
        <w:rPr>
          <w:color w:val="005DA1"/>
          <w:u w:val="single" w:color="005DA1"/>
          <w:vertAlign w:val="superscript"/>
        </w:rPr>
        <w:t>665</w:t>
      </w:r>
      <w:r>
        <w:rPr>
          <w:color w:val="005DA1"/>
          <w:spacing w:val="-2"/>
          <w:vertAlign w:val="baseline"/>
        </w:rPr>
        <w:t> </w:t>
      </w:r>
      <w:r>
        <w:rPr>
          <w:vertAlign w:val="baseline"/>
        </w:rPr>
        <w:t>In</w:t>
      </w:r>
      <w:r>
        <w:rPr>
          <w:spacing w:val="-2"/>
          <w:vertAlign w:val="baseline"/>
        </w:rPr>
        <w:t> </w:t>
      </w:r>
      <w:r>
        <w:rPr>
          <w:vertAlign w:val="baseline"/>
        </w:rPr>
        <w:t>“a</w:t>
      </w:r>
      <w:r>
        <w:rPr>
          <w:spacing w:val="-2"/>
          <w:vertAlign w:val="baseline"/>
        </w:rPr>
        <w:t> </w:t>
      </w:r>
      <w:r>
        <w:rPr>
          <w:vertAlign w:val="baseline"/>
        </w:rPr>
        <w:t>very</w:t>
      </w:r>
      <w:r>
        <w:rPr>
          <w:spacing w:val="-2"/>
          <w:vertAlign w:val="baseline"/>
        </w:rPr>
        <w:t> </w:t>
      </w:r>
      <w:r>
        <w:rPr>
          <w:vertAlign w:val="baseline"/>
        </w:rPr>
        <w:t>strong</w:t>
      </w:r>
      <w:r>
        <w:rPr>
          <w:spacing w:val="-2"/>
          <w:vertAlign w:val="baseline"/>
        </w:rPr>
        <w:t> </w:t>
      </w:r>
      <w:r>
        <w:rPr>
          <w:vertAlign w:val="baseline"/>
        </w:rPr>
        <w:t>and</w:t>
      </w:r>
      <w:r>
        <w:rPr>
          <w:spacing w:val="-2"/>
          <w:vertAlign w:val="baseline"/>
        </w:rPr>
        <w:t> </w:t>
      </w:r>
      <w:r>
        <w:rPr>
          <w:vertAlign w:val="baseline"/>
        </w:rPr>
        <w:t>exceptional</w:t>
      </w:r>
      <w:r>
        <w:rPr>
          <w:spacing w:val="-2"/>
          <w:vertAlign w:val="baseline"/>
        </w:rPr>
        <w:t> </w:t>
      </w:r>
      <w:r>
        <w:rPr>
          <w:vertAlign w:val="baseline"/>
        </w:rPr>
        <w:t>context”</w:t>
      </w:r>
      <w:r>
        <w:rPr>
          <w:spacing w:val="-3"/>
          <w:vertAlign w:val="baseline"/>
        </w:rPr>
        <w:t> </w:t>
      </w:r>
      <w:r>
        <w:rPr>
          <w:color w:val="005DA1"/>
          <w:u w:val="single" w:color="005DA1"/>
          <w:vertAlign w:val="superscript"/>
        </w:rPr>
        <w:t>666</w:t>
      </w:r>
      <w:r>
        <w:rPr>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may</w:t>
      </w:r>
      <w:r>
        <w:rPr>
          <w:spacing w:val="-2"/>
          <w:vertAlign w:val="baseline"/>
        </w:rPr>
        <w:t> </w:t>
      </w:r>
      <w:r>
        <w:rPr>
          <w:vertAlign w:val="baseline"/>
        </w:rPr>
        <w:t>infer</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had</w:t>
      </w:r>
      <w:r>
        <w:rPr>
          <w:spacing w:val="-2"/>
          <w:vertAlign w:val="baseline"/>
        </w:rPr>
        <w:t> </w:t>
      </w:r>
      <w:r>
        <w:rPr>
          <w:vertAlign w:val="baseline"/>
        </w:rPr>
        <w:t>an</w:t>
      </w:r>
      <w:r>
        <w:rPr>
          <w:spacing w:val="-2"/>
          <w:vertAlign w:val="baseline"/>
        </w:rPr>
        <w:t> </w:t>
      </w:r>
      <w:r>
        <w:rPr>
          <w:vertAlign w:val="baseline"/>
        </w:rPr>
        <w:t>intention</w:t>
      </w:r>
      <w:r>
        <w:rPr>
          <w:spacing w:val="-2"/>
          <w:vertAlign w:val="baseline"/>
        </w:rPr>
        <w:t> </w:t>
      </w:r>
      <w:r>
        <w:rPr>
          <w:vertAlign w:val="baseline"/>
        </w:rPr>
        <w:t>to be legally bound by the original document, even though it is expressed to be “subject to contract”.</w:t>
      </w:r>
      <w:r>
        <w:rPr>
          <w:spacing w:val="40"/>
          <w:vertAlign w:val="baseline"/>
        </w:rPr>
        <w:t> </w:t>
      </w:r>
      <w:r>
        <w:rPr>
          <w:vertAlign w:val="baseline"/>
        </w:rPr>
        <w:t>This was held to be the position where a document containing these words laid down an elaborate </w:t>
      </w:r>
      <w:bookmarkStart w:name="_bookmark1200" w:id="1202"/>
      <w:bookmarkEnd w:id="1202"/>
      <w:r>
        <w:rPr>
          <w:vertAlign w:val="baseline"/>
        </w:rPr>
        <w:t>timetable,</w:t>
      </w:r>
      <w:r>
        <w:rPr>
          <w:vertAlign w:val="baseline"/>
        </w:rPr>
        <w:t> imposed a duty on the purchaser to approve the draft contract (subject only to reasonable amendments) and required him then to exchange contracts. </w:t>
      </w:r>
      <w:r>
        <w:rPr>
          <w:color w:val="005DA1"/>
          <w:u w:val="single" w:color="005DA1"/>
          <w:vertAlign w:val="superscript"/>
        </w:rPr>
        <w:t>667</w:t>
      </w:r>
      <w:r>
        <w:rPr>
          <w:color w:val="005DA1"/>
          <w:vertAlign w:val="baseline"/>
        </w:rPr>
        <w:t> </w:t>
      </w:r>
      <w:r>
        <w:rPr>
          <w:vertAlign w:val="baseline"/>
        </w:rPr>
        <w:t>In these exceptional circumstances, the words “subject to contract” were taken merely to mean that the parties had not yet settled all the details of the transaction and therefore not to negative the intention to be bound.</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hAnsi="Arial"/>
          <w:b/>
          <w:sz w:val="18"/>
        </w:rPr>
      </w:pPr>
      <w:r>
        <w:rPr>
          <w:rFonts w:ascii="Arial" w:hAnsi="Arial"/>
          <w:b/>
          <w:sz w:val="18"/>
        </w:rPr>
        <w:t>Collateral contracts; “lock out” </w:t>
      </w:r>
      <w:r>
        <w:rPr>
          <w:rFonts w:ascii="Arial" w:hAnsi="Arial"/>
          <w:b/>
          <w:spacing w:val="-2"/>
          <w:sz w:val="18"/>
        </w:rPr>
        <w:t>agreements</w:t>
      </w:r>
    </w:p>
    <w:p>
      <w:pPr>
        <w:pStyle w:val="BodyText"/>
        <w:spacing w:before="41"/>
        <w:rPr>
          <w:rFonts w:ascii="Arial"/>
          <w:b/>
          <w:sz w:val="18"/>
        </w:rPr>
      </w:pPr>
    </w:p>
    <w:p>
      <w:pPr>
        <w:pStyle w:val="Heading2"/>
      </w:pPr>
      <w:r>
        <w:rPr/>
        <w:t>2-</w:t>
      </w:r>
      <w:r>
        <w:rPr>
          <w:spacing w:val="-5"/>
        </w:rPr>
        <w:t>128</w:t>
      </w:r>
    </w:p>
    <w:p>
      <w:pPr>
        <w:pStyle w:val="BodyText"/>
        <w:spacing w:line="235" w:lineRule="auto" w:before="203"/>
        <w:ind w:left="164" w:right="167"/>
        <w:jc w:val="both"/>
      </w:pPr>
      <w:r>
        <w:rPr/>
        <w:t>There is also the possibility that the freedom of action of the parties may be restricted by a </w:t>
      </w:r>
      <w:r>
        <w:rPr/>
        <w:t>collateral contract. For example a vendor who has agreed to sell land “subject to contract” may, either at the same time or subsequently, undertake not to negotiate for the sale of the land with a third party. Such </w:t>
      </w:r>
      <w:bookmarkStart w:name="_bookmark1201" w:id="1203"/>
      <w:bookmarkEnd w:id="1203"/>
      <w:r>
        <w:rPr/>
        <w:t>a</w:t>
      </w:r>
      <w:r>
        <w:rPr/>
        <w:t> collateral agreement (sometimes called a “lock-out” agreement) must itself satisfy the requirement</w:t>
      </w:r>
      <w:r>
        <w:rPr>
          <w:spacing w:val="40"/>
        </w:rPr>
        <w:t> </w:t>
      </w:r>
      <w:r>
        <w:rPr/>
        <w:t>of</w:t>
      </w:r>
      <w:r>
        <w:rPr>
          <w:spacing w:val="-4"/>
        </w:rPr>
        <w:t> </w:t>
      </w:r>
      <w:r>
        <w:rPr/>
        <w:t>certainty</w:t>
      </w:r>
      <w:r>
        <w:rPr>
          <w:spacing w:val="-4"/>
        </w:rPr>
        <w:t> </w:t>
      </w:r>
      <w:r>
        <w:rPr>
          <w:color w:val="005DA1"/>
          <w:u w:val="single" w:color="005DA1"/>
          <w:vertAlign w:val="superscript"/>
        </w:rPr>
        <w:t>668</w:t>
      </w:r>
      <w:r>
        <w:rPr>
          <w:color w:val="005DA1"/>
          <w:spacing w:val="-4"/>
          <w:vertAlign w:val="baseline"/>
        </w:rPr>
        <w:t> </w:t>
      </w:r>
      <w:r>
        <w:rPr>
          <w:vertAlign w:val="baseline"/>
        </w:rPr>
        <w:t>and</w:t>
      </w:r>
      <w:r>
        <w:rPr>
          <w:spacing w:val="-4"/>
          <w:vertAlign w:val="baseline"/>
        </w:rPr>
        <w:t> </w:t>
      </w:r>
      <w:r>
        <w:rPr>
          <w:vertAlign w:val="baseline"/>
        </w:rPr>
        <w:t>in</w:t>
      </w:r>
      <w:r>
        <w:rPr>
          <w:spacing w:val="-4"/>
          <w:vertAlign w:val="baseline"/>
        </w:rPr>
        <w:t> </w:t>
      </w:r>
      <w:r>
        <w:rPr>
          <w:rFonts w:ascii="Arial" w:hAnsi="Arial"/>
          <w:i/>
          <w:vertAlign w:val="baseline"/>
        </w:rPr>
        <w:t>Walford</w:t>
      </w:r>
      <w:r>
        <w:rPr>
          <w:rFonts w:ascii="Arial" w:hAnsi="Arial"/>
          <w:i/>
          <w:spacing w:val="-4"/>
          <w:vertAlign w:val="baseline"/>
        </w:rPr>
        <w:t> </w:t>
      </w:r>
      <w:r>
        <w:rPr>
          <w:rFonts w:ascii="Arial" w:hAnsi="Arial"/>
          <w:i/>
          <w:vertAlign w:val="baseline"/>
        </w:rPr>
        <w:t>v</w:t>
      </w:r>
      <w:r>
        <w:rPr>
          <w:rFonts w:ascii="Arial" w:hAnsi="Arial"/>
          <w:i/>
          <w:spacing w:val="-4"/>
          <w:vertAlign w:val="baseline"/>
        </w:rPr>
        <w:t> </w:t>
      </w:r>
      <w:r>
        <w:rPr>
          <w:rFonts w:ascii="Arial" w:hAnsi="Arial"/>
          <w:i/>
          <w:vertAlign w:val="baseline"/>
        </w:rPr>
        <w:t>Miles</w:t>
      </w:r>
      <w:r>
        <w:rPr>
          <w:rFonts w:ascii="Arial" w:hAnsi="Arial"/>
          <w:i/>
          <w:spacing w:val="-4"/>
          <w:vertAlign w:val="baseline"/>
        </w:rPr>
        <w:t> </w:t>
      </w:r>
      <w:r>
        <w:rPr>
          <w:color w:val="005DA1"/>
          <w:u w:val="single" w:color="005DA1"/>
          <w:vertAlign w:val="superscript"/>
        </w:rPr>
        <w:t>669</w:t>
      </w:r>
      <w:r>
        <w:rPr>
          <w:color w:val="005DA1"/>
          <w:spacing w:val="-4"/>
          <w:vertAlign w:val="baseline"/>
        </w:rPr>
        <w:t> </w:t>
      </w:r>
      <w:r>
        <w:rPr>
          <w:vertAlign w:val="baseline"/>
        </w:rPr>
        <w:t>it</w:t>
      </w:r>
      <w:r>
        <w:rPr>
          <w:spacing w:val="-4"/>
          <w:vertAlign w:val="baseline"/>
        </w:rPr>
        <w:t> </w:t>
      </w:r>
      <w:r>
        <w:rPr>
          <w:vertAlign w:val="baseline"/>
        </w:rPr>
        <w:t>was</w:t>
      </w:r>
      <w:r>
        <w:rPr>
          <w:spacing w:val="-4"/>
          <w:vertAlign w:val="baseline"/>
        </w:rPr>
        <w:t> </w:t>
      </w:r>
      <w:r>
        <w:rPr>
          <w:vertAlign w:val="baseline"/>
        </w:rPr>
        <w:t>held</w:t>
      </w:r>
      <w:r>
        <w:rPr>
          <w:spacing w:val="-4"/>
          <w:vertAlign w:val="baseline"/>
        </w:rPr>
        <w:t> </w:t>
      </w:r>
      <w:r>
        <w:rPr>
          <w:vertAlign w:val="baseline"/>
        </w:rPr>
        <w:t>that</w:t>
      </w:r>
      <w:r>
        <w:rPr>
          <w:spacing w:val="-4"/>
          <w:vertAlign w:val="baseline"/>
        </w:rPr>
        <w:t> </w:t>
      </w:r>
      <w:r>
        <w:rPr>
          <w:vertAlign w:val="baseline"/>
        </w:rPr>
        <w:t>this</w:t>
      </w:r>
      <w:r>
        <w:rPr>
          <w:spacing w:val="-4"/>
          <w:vertAlign w:val="baseline"/>
        </w:rPr>
        <w:t> </w:t>
      </w:r>
      <w:r>
        <w:rPr>
          <w:vertAlign w:val="baseline"/>
        </w:rPr>
        <w:t>requirement</w:t>
      </w:r>
      <w:r>
        <w:rPr>
          <w:spacing w:val="-4"/>
          <w:vertAlign w:val="baseline"/>
        </w:rPr>
        <w:t> </w:t>
      </w:r>
      <w:r>
        <w:rPr>
          <w:vertAlign w:val="baseline"/>
        </w:rPr>
        <w:t>had</w:t>
      </w:r>
      <w:r>
        <w:rPr>
          <w:spacing w:val="-4"/>
          <w:vertAlign w:val="baseline"/>
        </w:rPr>
        <w:t> </w:t>
      </w:r>
      <w:r>
        <w:rPr>
          <w:vertAlign w:val="baseline"/>
        </w:rPr>
        <w:t>not</w:t>
      </w:r>
      <w:r>
        <w:rPr>
          <w:spacing w:val="-4"/>
          <w:vertAlign w:val="baseline"/>
        </w:rPr>
        <w:t> </w:t>
      </w:r>
      <w:r>
        <w:rPr>
          <w:vertAlign w:val="baseline"/>
        </w:rPr>
        <w:t>been</w:t>
      </w:r>
      <w:r>
        <w:rPr>
          <w:spacing w:val="-4"/>
          <w:vertAlign w:val="baseline"/>
        </w:rPr>
        <w:t> </w:t>
      </w:r>
      <w:r>
        <w:rPr>
          <w:vertAlign w:val="baseline"/>
        </w:rPr>
        <w:t>satisfied</w:t>
      </w:r>
      <w:r>
        <w:rPr>
          <w:spacing w:val="-4"/>
          <w:vertAlign w:val="baseline"/>
        </w:rPr>
        <w:t> </w:t>
      </w:r>
      <w:r>
        <w:rPr>
          <w:vertAlign w:val="baseline"/>
        </w:rPr>
        <w:t>where </w:t>
      </w:r>
      <w:bookmarkStart w:name="_bookmark1202" w:id="1204"/>
      <w:bookmarkEnd w:id="1204"/>
      <w:r>
        <w:rPr>
          <w:vertAlign w:val="baseline"/>
        </w:rPr>
        <w:t>the</w:t>
      </w:r>
      <w:r>
        <w:rPr>
          <w:vertAlign w:val="baseline"/>
        </w:rPr>
        <w:t> agreement failed to specify the time for which the vendor’s freedom to negotiate with third parties was to be restricted. But in a later case </w:t>
      </w:r>
      <w:r>
        <w:rPr>
          <w:color w:val="005DA1"/>
          <w:u w:val="single" w:color="005DA1"/>
          <w:vertAlign w:val="superscript"/>
        </w:rPr>
        <w:t>670</w:t>
      </w:r>
      <w:r>
        <w:rPr>
          <w:color w:val="005DA1"/>
          <w:vertAlign w:val="baseline"/>
        </w:rPr>
        <w:t> </w:t>
      </w:r>
      <w:r>
        <w:rPr>
          <w:vertAlign w:val="baseline"/>
        </w:rPr>
        <w:t>it was held that a vendor’s promise not to negotiate with third parties </w:t>
      </w:r>
      <w:r>
        <w:rPr>
          <w:rFonts w:ascii="Arial" w:hAnsi="Arial"/>
          <w:i/>
          <w:vertAlign w:val="baseline"/>
        </w:rPr>
        <w:t>for two weeks </w:t>
      </w:r>
      <w:r>
        <w:rPr>
          <w:vertAlign w:val="baseline"/>
        </w:rPr>
        <w:t>was sufficiently certain, and that the purchaser had provided consideration </w:t>
      </w:r>
      <w:bookmarkStart w:name="_bookmark1203" w:id="1205"/>
      <w:bookmarkEnd w:id="1205"/>
      <w:r>
        <w:rPr>
          <w:vertAlign w:val="baseline"/>
        </w:rPr>
        <w:t>for</w:t>
      </w:r>
      <w:r>
        <w:rPr>
          <w:vertAlign w:val="baseline"/>
        </w:rPr>
        <w:t> it by in turn promising to complete within that time. The uncertainty may also be resolved in other </w:t>
      </w:r>
      <w:bookmarkStart w:name="_bookmark1204" w:id="1206"/>
      <w:bookmarkEnd w:id="1206"/>
      <w:r>
        <w:rPr>
          <w:vertAlign w:val="baseline"/>
        </w:rPr>
        <w:t>ways.</w:t>
      </w:r>
      <w:r>
        <w:rPr>
          <w:vertAlign w:val="baseline"/>
        </w:rPr>
        <w:t> In one case, </w:t>
      </w:r>
      <w:r>
        <w:rPr>
          <w:color w:val="005DA1"/>
          <w:u w:val="single" w:color="005DA1"/>
          <w:vertAlign w:val="superscript"/>
        </w:rPr>
        <w:t>671</w:t>
      </w:r>
      <w:r>
        <w:rPr>
          <w:color w:val="005DA1"/>
          <w:vertAlign w:val="baseline"/>
        </w:rPr>
        <w:t> </w:t>
      </w:r>
      <w:r>
        <w:rPr>
          <w:vertAlign w:val="baseline"/>
        </w:rPr>
        <w:t>for example, an agreement for the supply of chemicals to a manufacturer of pharmaceutical products gave the supplier “a first opportunity and right of refusal” </w:t>
      </w:r>
      <w:r>
        <w:rPr>
          <w:color w:val="005DA1"/>
          <w:u w:val="single" w:color="005DA1"/>
          <w:vertAlign w:val="superscript"/>
        </w:rPr>
        <w:t>672</w:t>
      </w:r>
      <w:r>
        <w:rPr>
          <w:color w:val="005DA1"/>
          <w:vertAlign w:val="baseline"/>
        </w:rPr>
        <w:t> </w:t>
      </w:r>
      <w:r>
        <w:rPr>
          <w:vertAlign w:val="baseline"/>
        </w:rPr>
        <w:t>in respect of supplies to be made under the agreement. The period for which the supplier was to have this right </w:t>
      </w:r>
      <w:bookmarkStart w:name="_bookmark1205" w:id="1207"/>
      <w:bookmarkEnd w:id="1207"/>
      <w:r>
        <w:rPr>
          <w:vertAlign w:val="baseline"/>
        </w:rPr>
        <w:t>was</w:t>
      </w:r>
      <w:r>
        <w:rPr>
          <w:vertAlign w:val="baseline"/>
        </w:rPr>
        <w:t> not specified but the clause conferring it was not too uncertain to be enforced, since it could be interpreted to mean that the right was to cease on the termination of the agreement </w:t>
      </w:r>
      <w:r>
        <w:rPr>
          <w:color w:val="005DA1"/>
          <w:u w:val="single" w:color="005DA1"/>
          <w:vertAlign w:val="superscript"/>
        </w:rPr>
        <w:t>673</w:t>
      </w:r>
      <w:r>
        <w:rPr>
          <w:color w:val="005DA1"/>
          <w:vertAlign w:val="baseline"/>
        </w:rPr>
        <w:t> </w:t>
      </w:r>
      <w:r>
        <w:rPr>
          <w:vertAlign w:val="baseline"/>
        </w:rPr>
        <w:t>in which that clause was contained.</w:t>
      </w:r>
    </w:p>
    <w:p>
      <w:pPr>
        <w:pStyle w:val="BodyText"/>
      </w:pPr>
    </w:p>
    <w:p>
      <w:pPr>
        <w:pStyle w:val="BodyText"/>
        <w:spacing w:before="33"/>
      </w:pPr>
    </w:p>
    <w:p>
      <w:pPr>
        <w:spacing w:before="0"/>
        <w:ind w:left="165" w:right="0" w:firstLine="0"/>
        <w:jc w:val="left"/>
        <w:rPr>
          <w:rFonts w:ascii="Arial"/>
          <w:b/>
          <w:sz w:val="18"/>
        </w:rPr>
      </w:pPr>
      <w:r>
        <w:rPr>
          <w:rFonts w:ascii="Arial"/>
          <w:b/>
          <w:sz w:val="18"/>
        </w:rPr>
        <w:t>Exceptions to requirement of execution and exchange of formal </w:t>
      </w:r>
      <w:r>
        <w:rPr>
          <w:rFonts w:ascii="Arial"/>
          <w:b/>
          <w:spacing w:val="-2"/>
          <w:sz w:val="18"/>
        </w:rPr>
        <w:t>contracts</w:t>
      </w:r>
    </w:p>
    <w:p>
      <w:pPr>
        <w:pStyle w:val="BodyText"/>
        <w:spacing w:before="41"/>
        <w:rPr>
          <w:rFonts w:ascii="Arial"/>
          <w:b/>
          <w:sz w:val="18"/>
        </w:rPr>
      </w:pPr>
    </w:p>
    <w:p>
      <w:pPr>
        <w:pStyle w:val="Heading2"/>
      </w:pPr>
      <w:r>
        <w:rPr/>
        <w:t>2-</w:t>
      </w:r>
      <w:r>
        <w:rPr>
          <w:spacing w:val="-5"/>
        </w:rPr>
        <w:t>129</w:t>
      </w:r>
    </w:p>
    <w:p>
      <w:pPr>
        <w:pStyle w:val="BodyText"/>
        <w:spacing w:line="235" w:lineRule="auto" w:before="203"/>
        <w:ind w:left="165" w:right="167"/>
        <w:jc w:val="both"/>
      </w:pPr>
      <w:r>
        <w:rPr/>
        <w:t>Agreements for the sale of land by auction or by tender are not normally made “subject to contract”. The intention of the parties in such cases is to enter into a binding contract as soon as an offer has </w:t>
      </w:r>
      <w:bookmarkStart w:name="_bookmark1206" w:id="1208"/>
      <w:bookmarkEnd w:id="1208"/>
      <w:r>
        <w:rPr/>
        <w:t>been</w:t>
      </w:r>
      <w:r>
        <w:rPr>
          <w:spacing w:val="-1"/>
        </w:rPr>
        <w:t> </w:t>
      </w:r>
      <w:r>
        <w:rPr/>
        <w:t>accepted;</w:t>
      </w:r>
      <w:r>
        <w:rPr>
          <w:spacing w:val="-1"/>
        </w:rPr>
        <w:t> </w:t>
      </w:r>
      <w:r>
        <w:rPr/>
        <w:t>and</w:t>
      </w:r>
      <w:r>
        <w:rPr>
          <w:spacing w:val="-1"/>
        </w:rPr>
        <w:t> </w:t>
      </w:r>
      <w:r>
        <w:rPr/>
        <w:t>the</w:t>
      </w:r>
      <w:r>
        <w:rPr>
          <w:spacing w:val="-1"/>
        </w:rPr>
        <w:t> </w:t>
      </w:r>
      <w:r>
        <w:rPr/>
        <w:t>terms</w:t>
      </w:r>
      <w:r>
        <w:rPr>
          <w:spacing w:val="-1"/>
        </w:rPr>
        <w:t> </w:t>
      </w:r>
      <w:r>
        <w:rPr/>
        <w:t>of</w:t>
      </w:r>
      <w:r>
        <w:rPr>
          <w:spacing w:val="-1"/>
        </w:rPr>
        <w:t> </w:t>
      </w:r>
      <w:r>
        <w:rPr/>
        <w:t>that</w:t>
      </w:r>
      <w:r>
        <w:rPr>
          <w:spacing w:val="-1"/>
        </w:rPr>
        <w:t> </w:t>
      </w:r>
      <w:r>
        <w:rPr/>
        <w:t>contract</w:t>
      </w:r>
      <w:r>
        <w:rPr>
          <w:spacing w:val="-1"/>
        </w:rPr>
        <w:t> </w:t>
      </w:r>
      <w:r>
        <w:rPr/>
        <w:t>are</w:t>
      </w:r>
      <w:r>
        <w:rPr>
          <w:spacing w:val="-1"/>
        </w:rPr>
        <w:t> </w:t>
      </w:r>
      <w:r>
        <w:rPr/>
        <w:t>usually</w:t>
      </w:r>
      <w:r>
        <w:rPr>
          <w:spacing w:val="-1"/>
        </w:rPr>
        <w:t> </w:t>
      </w:r>
      <w:r>
        <w:rPr/>
        <w:t>set</w:t>
      </w:r>
      <w:r>
        <w:rPr>
          <w:spacing w:val="-1"/>
        </w:rPr>
        <w:t> </w:t>
      </w:r>
      <w:r>
        <w:rPr/>
        <w:t>out,</w:t>
      </w:r>
      <w:r>
        <w:rPr>
          <w:spacing w:val="-1"/>
        </w:rPr>
        <w:t> </w:t>
      </w:r>
      <w:r>
        <w:rPr/>
        <w:t>or</w:t>
      </w:r>
      <w:r>
        <w:rPr>
          <w:spacing w:val="-1"/>
        </w:rPr>
        <w:t> </w:t>
      </w:r>
      <w:r>
        <w:rPr/>
        <w:t>referred</w:t>
      </w:r>
      <w:r>
        <w:rPr>
          <w:spacing w:val="-1"/>
        </w:rPr>
        <w:t> </w:t>
      </w:r>
      <w:r>
        <w:rPr/>
        <w:t>to,</w:t>
      </w:r>
      <w:r>
        <w:rPr>
          <w:spacing w:val="-1"/>
        </w:rPr>
        <w:t> </w:t>
      </w:r>
      <w:r>
        <w:rPr/>
        <w:t>in</w:t>
      </w:r>
      <w:r>
        <w:rPr>
          <w:spacing w:val="-1"/>
        </w:rPr>
        <w:t> </w:t>
      </w:r>
      <w:r>
        <w:rPr/>
        <w:t>a</w:t>
      </w:r>
      <w:r>
        <w:rPr>
          <w:spacing w:val="-1"/>
        </w:rPr>
        <w:t> </w:t>
      </w:r>
      <w:r>
        <w:rPr/>
        <w:t>document</w:t>
      </w:r>
      <w:r>
        <w:rPr>
          <w:spacing w:val="-1"/>
        </w:rPr>
        <w:t> </w:t>
      </w:r>
      <w:r>
        <w:rPr/>
        <w:t>signed to provide a written record of the fact of agreement. In one case of this kind, </w:t>
      </w:r>
      <w:r>
        <w:rPr>
          <w:color w:val="005DA1"/>
          <w:u w:val="single" w:color="005DA1"/>
          <w:vertAlign w:val="superscript"/>
        </w:rPr>
        <w:t>674</w:t>
      </w:r>
      <w:r>
        <w:rPr>
          <w:color w:val="005DA1"/>
          <w:vertAlign w:val="baseline"/>
        </w:rPr>
        <w:t> </w:t>
      </w:r>
      <w:r>
        <w:rPr>
          <w:vertAlign w:val="baseline"/>
        </w:rPr>
        <w:t>however, the words “subject to contract” were, by a clerical error, added to the acceptance. It was held that there </w:t>
      </w:r>
      <w:r>
        <w:rPr>
          <w:vertAlign w:val="baseline"/>
        </w:rPr>
        <w:t>was </w:t>
      </w:r>
      <w:bookmarkStart w:name="_bookmark1207" w:id="1209"/>
      <w:bookmarkEnd w:id="1209"/>
      <w:r>
        <w:rPr>
          <w:vertAlign w:val="baseline"/>
        </w:rPr>
        <w:t>nevertheless</w:t>
      </w:r>
      <w:r>
        <w:rPr>
          <w:vertAlign w:val="baseline"/>
        </w:rPr>
        <w:t> a binding contract since the tender documents set out in full the description of the </w:t>
      </w:r>
      <w:bookmarkStart w:name="_bookmark1208" w:id="1210"/>
      <w:bookmarkEnd w:id="1210"/>
      <w:r>
        <w:rPr>
          <w:vertAlign w:val="baseline"/>
        </w:rPr>
        <w:t>property</w:t>
      </w:r>
      <w:r>
        <w:rPr>
          <w:vertAlign w:val="baseline"/>
        </w:rPr>
        <w:t> and the terms of the transaction. In these highly exceptional </w:t>
      </w:r>
      <w:r>
        <w:rPr>
          <w:color w:val="005DA1"/>
          <w:u w:val="single" w:color="005DA1"/>
          <w:vertAlign w:val="superscript"/>
        </w:rPr>
        <w:t>675</w:t>
      </w:r>
      <w:r>
        <w:rPr>
          <w:color w:val="005DA1"/>
          <w:vertAlign w:val="baseline"/>
        </w:rPr>
        <w:t> </w:t>
      </w:r>
      <w:r>
        <w:rPr>
          <w:vertAlign w:val="baseline"/>
        </w:rPr>
        <w:t>circumstances, the words “subject to contract” were treated as meaningless and disregarded. </w:t>
      </w:r>
      <w:r>
        <w:rPr>
          <w:color w:val="005DA1"/>
          <w:u w:val="single" w:color="005DA1"/>
          <w:vertAlign w:val="superscript"/>
        </w:rPr>
        <w:t>676</w:t>
      </w:r>
      <w:r>
        <w:rPr>
          <w:color w:val="005DA1"/>
          <w:vertAlign w:val="baseline"/>
        </w:rPr>
        <w:t> </w:t>
      </w:r>
      <w:r>
        <w:rPr>
          <w:vertAlign w:val="baseline"/>
        </w:rPr>
        <w:t>Presumably this reasoning could also apply where the sale was by auction. The same reasoning has also been applied where a </w:t>
      </w:r>
      <w:bookmarkStart w:name="_bookmark1209" w:id="1211"/>
      <w:bookmarkEnd w:id="1211"/>
      <w:r>
        <w:rPr>
          <w:vertAlign w:val="baseline"/>
        </w:rPr>
        <w:t>notice</w:t>
      </w:r>
      <w:r>
        <w:rPr>
          <w:vertAlign w:val="baseline"/>
        </w:rPr>
        <w:t> exercising an option to purchase land was expressed to be “subject to contract”: this phrase was again held to be meaningless as the notice was clearly intended to give rise to a binding </w:t>
      </w:r>
      <w:r>
        <w:rPr>
          <w:spacing w:val="-2"/>
          <w:vertAlign w:val="baseline"/>
        </w:rPr>
        <w:t>contract.</w:t>
      </w:r>
    </w:p>
    <w:p>
      <w:pPr>
        <w:spacing w:line="109" w:lineRule="exact" w:before="0"/>
        <w:ind w:left="165" w:right="0" w:firstLine="0"/>
        <w:jc w:val="left"/>
        <w:rPr>
          <w:sz w:val="12"/>
        </w:rPr>
      </w:pPr>
      <w:r>
        <w:rPr>
          <w:color w:val="005DA1"/>
          <w:spacing w:val="-5"/>
          <w:sz w:val="12"/>
          <w:u w:val="single" w:color="005DA1"/>
        </w:rPr>
        <w:t>677</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left"/>
        <w:rPr>
          <w:rFonts w:ascii="Arial"/>
          <w:b/>
          <w:sz w:val="18"/>
        </w:rPr>
      </w:pPr>
      <w:r>
        <w:rPr>
          <w:rFonts w:ascii="Arial"/>
          <w:b/>
          <w:sz w:val="18"/>
        </w:rPr>
        <w:t>Binding provisional </w:t>
      </w:r>
      <w:r>
        <w:rPr>
          <w:rFonts w:ascii="Arial"/>
          <w:b/>
          <w:spacing w:val="-2"/>
          <w:sz w:val="18"/>
        </w:rPr>
        <w:t>agreements</w:t>
      </w:r>
    </w:p>
    <w:p>
      <w:pPr>
        <w:pStyle w:val="BodyText"/>
        <w:spacing w:before="41"/>
        <w:rPr>
          <w:rFonts w:ascii="Arial"/>
          <w:b/>
          <w:sz w:val="18"/>
        </w:rPr>
      </w:pPr>
    </w:p>
    <w:p>
      <w:pPr>
        <w:pStyle w:val="Heading2"/>
      </w:pPr>
      <w:r>
        <w:rPr/>
        <w:t>2-</w:t>
      </w:r>
      <w:r>
        <w:rPr>
          <w:spacing w:val="-5"/>
        </w:rPr>
        <w:t>130</w:t>
      </w:r>
    </w:p>
    <w:p>
      <w:pPr>
        <w:pStyle w:val="BodyText"/>
        <w:spacing w:line="235" w:lineRule="auto" w:before="203"/>
        <w:ind w:left="165" w:right="167"/>
        <w:jc w:val="both"/>
      </w:pPr>
      <w:bookmarkStart w:name="_bookmark1210" w:id="1212"/>
      <w:bookmarkEnd w:id="1212"/>
      <w:r>
        <w:rPr/>
      </w:r>
      <w:r>
        <w:rPr/>
        <w:t>Even in the case of an ordinary sale of land, the agreement is not invariably made “subject </w:t>
      </w:r>
      <w:r>
        <w:rPr/>
        <w:t>to contract,” </w:t>
      </w:r>
      <w:r>
        <w:rPr>
          <w:color w:val="005DA1"/>
          <w:u w:val="single" w:color="005DA1"/>
          <w:vertAlign w:val="superscript"/>
        </w:rPr>
        <w:t>678</w:t>
      </w:r>
      <w:r>
        <w:rPr>
          <w:color w:val="005DA1"/>
          <w:vertAlign w:val="baseline"/>
        </w:rPr>
        <w:t> </w:t>
      </w:r>
      <w:r>
        <w:rPr>
          <w:vertAlign w:val="baseline"/>
        </w:rPr>
        <w:t>and the court may on construction find that the parties have made an immediately </w:t>
      </w:r>
      <w:bookmarkStart w:name="_bookmark1211" w:id="1213"/>
      <w:bookmarkEnd w:id="1213"/>
      <w:r>
        <w:rPr>
          <w:vertAlign w:val="baseline"/>
        </w:rPr>
        <w:t>binding</w:t>
      </w:r>
      <w:r>
        <w:rPr>
          <w:spacing w:val="-2"/>
          <w:vertAlign w:val="baseline"/>
        </w:rPr>
        <w:t> </w:t>
      </w:r>
      <w:r>
        <w:rPr>
          <w:vertAlign w:val="baseline"/>
        </w:rPr>
        <w:t>agreement,</w:t>
      </w:r>
      <w:r>
        <w:rPr>
          <w:spacing w:val="-2"/>
          <w:vertAlign w:val="baseline"/>
        </w:rPr>
        <w:t> </w:t>
      </w:r>
      <w:r>
        <w:rPr>
          <w:vertAlign w:val="baseline"/>
        </w:rPr>
        <w:t>even</w:t>
      </w:r>
      <w:r>
        <w:rPr>
          <w:spacing w:val="-2"/>
          <w:vertAlign w:val="baseline"/>
        </w:rPr>
        <w:t> </w:t>
      </w:r>
      <w:r>
        <w:rPr>
          <w:vertAlign w:val="baseline"/>
        </w:rPr>
        <w:t>though</w:t>
      </w:r>
      <w:r>
        <w:rPr>
          <w:spacing w:val="-2"/>
          <w:vertAlign w:val="baseline"/>
        </w:rPr>
        <w:t> </w:t>
      </w:r>
      <w:r>
        <w:rPr>
          <w:vertAlign w:val="baseline"/>
        </w:rPr>
        <w:t>this</w:t>
      </w:r>
      <w:r>
        <w:rPr>
          <w:spacing w:val="-2"/>
          <w:vertAlign w:val="baseline"/>
        </w:rPr>
        <w:t> </w:t>
      </w:r>
      <w:r>
        <w:rPr>
          <w:vertAlign w:val="baseline"/>
        </w:rPr>
        <w:t>is</w:t>
      </w:r>
      <w:r>
        <w:rPr>
          <w:spacing w:val="-2"/>
          <w:vertAlign w:val="baseline"/>
        </w:rPr>
        <w:t> </w:t>
      </w:r>
      <w:r>
        <w:rPr>
          <w:vertAlign w:val="baseline"/>
        </w:rPr>
        <w:t>later</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superseded</w:t>
      </w:r>
      <w:r>
        <w:rPr>
          <w:spacing w:val="-2"/>
          <w:vertAlign w:val="baseline"/>
        </w:rPr>
        <w:t> </w:t>
      </w:r>
      <w:r>
        <w:rPr>
          <w:vertAlign w:val="baseline"/>
        </w:rPr>
        <w:t>by</w:t>
      </w:r>
      <w:r>
        <w:rPr>
          <w:spacing w:val="-2"/>
          <w:vertAlign w:val="baseline"/>
        </w:rPr>
        <w:t> </w:t>
      </w:r>
      <w:r>
        <w:rPr>
          <w:vertAlign w:val="baseline"/>
        </w:rPr>
        <w:t>a</w:t>
      </w:r>
      <w:r>
        <w:rPr>
          <w:spacing w:val="-2"/>
          <w:vertAlign w:val="baseline"/>
        </w:rPr>
        <w:t> </w:t>
      </w:r>
      <w:r>
        <w:rPr>
          <w:vertAlign w:val="baseline"/>
        </w:rPr>
        <w:t>formal</w:t>
      </w:r>
      <w:r>
        <w:rPr>
          <w:spacing w:val="-2"/>
          <w:vertAlign w:val="baseline"/>
        </w:rPr>
        <w:t> </w:t>
      </w:r>
      <w:r>
        <w:rPr>
          <w:vertAlign w:val="baseline"/>
        </w:rPr>
        <w:t>contract.</w:t>
      </w:r>
      <w:r>
        <w:rPr>
          <w:spacing w:val="-2"/>
          <w:vertAlign w:val="baseline"/>
        </w:rPr>
        <w:t> </w:t>
      </w:r>
      <w:r>
        <w:rPr>
          <w:vertAlign w:val="baseline"/>
        </w:rPr>
        <w:t>Thus</w:t>
      </w:r>
      <w:r>
        <w:rPr>
          <w:spacing w:val="-2"/>
          <w:vertAlign w:val="baseline"/>
        </w:rPr>
        <w:t> </w:t>
      </w:r>
      <w:r>
        <w:rPr>
          <w:vertAlign w:val="baseline"/>
        </w:rPr>
        <w:t>in</w:t>
      </w:r>
      <w:r>
        <w:rPr>
          <w:spacing w:val="-3"/>
          <w:vertAlign w:val="baseline"/>
        </w:rPr>
        <w:t> </w:t>
      </w:r>
      <w:r>
        <w:rPr>
          <w:rFonts w:ascii="Arial" w:hAnsi="Arial"/>
          <w:i/>
          <w:vertAlign w:val="baseline"/>
        </w:rPr>
        <w:t>Rossiter</w:t>
      </w:r>
      <w:r>
        <w:rPr>
          <w:rFonts w:ascii="Arial" w:hAnsi="Arial"/>
          <w:i/>
          <w:spacing w:val="-2"/>
          <w:vertAlign w:val="baseline"/>
        </w:rPr>
        <w:t> </w:t>
      </w:r>
      <w:r>
        <w:rPr>
          <w:rFonts w:ascii="Arial" w:hAnsi="Arial"/>
          <w:i/>
          <w:vertAlign w:val="baseline"/>
        </w:rPr>
        <w:t>v Miller </w:t>
      </w:r>
      <w:r>
        <w:rPr>
          <w:color w:val="005DA1"/>
          <w:u w:val="single" w:color="005DA1"/>
          <w:vertAlign w:val="superscript"/>
        </w:rPr>
        <w:t>679</w:t>
      </w:r>
      <w:r>
        <w:rPr>
          <w:color w:val="005DA1"/>
          <w:vertAlign w:val="baseline"/>
        </w:rPr>
        <w:t> </w:t>
      </w:r>
      <w:r>
        <w:rPr>
          <w:vertAlign w:val="baseline"/>
        </w:rPr>
        <w:t>the defendant offered to purchase land and was informed that he must purchase subject to certain conditions; his offer remained open and was accepted “subject to the conditions and </w:t>
      </w:r>
      <w:bookmarkStart w:name="_bookmark1212" w:id="1214"/>
      <w:bookmarkEnd w:id="1214"/>
      <w:r>
        <w:rPr>
          <w:vertAlign w:val="baseline"/>
        </w:rPr>
        <w:t>stipulations</w:t>
      </w:r>
      <w:r>
        <w:rPr>
          <w:vertAlign w:val="baseline"/>
        </w:rPr>
        <w:t> printed on the plan”. It was held that the acceptance gave rise to a binding contract and Lord Blackburn said </w:t>
      </w:r>
      <w:r>
        <w:rPr>
          <w:color w:val="005DA1"/>
          <w:u w:val="single" w:color="005DA1"/>
          <w:vertAlign w:val="superscript"/>
        </w:rPr>
        <w:t>680</w:t>
      </w:r>
      <w:r>
        <w:rPr>
          <w:vertAlign w:val="baseline"/>
        </w:rPr>
        <w:t>:</w:t>
      </w:r>
    </w:p>
    <w:p>
      <w:pPr>
        <w:pStyle w:val="BodyText"/>
      </w:pPr>
    </w:p>
    <w:p>
      <w:pPr>
        <w:pStyle w:val="BodyText"/>
        <w:spacing w:before="124"/>
      </w:pPr>
    </w:p>
    <w:p>
      <w:pPr>
        <w:pStyle w:val="BodyText"/>
        <w:spacing w:line="235" w:lineRule="auto"/>
        <w:ind w:left="354" w:right="167"/>
        <w:jc w:val="right"/>
      </w:pPr>
      <w:r>
        <w:rPr/>
        <w:t>“…</w:t>
      </w:r>
      <w:r>
        <w:rPr>
          <w:spacing w:val="20"/>
        </w:rPr>
        <w:t> </w:t>
      </w:r>
      <w:r>
        <w:rPr/>
        <w:t>the</w:t>
      </w:r>
      <w:r>
        <w:rPr>
          <w:spacing w:val="20"/>
        </w:rPr>
        <w:t> </w:t>
      </w:r>
      <w:r>
        <w:rPr/>
        <w:t>mere</w:t>
      </w:r>
      <w:r>
        <w:rPr>
          <w:spacing w:val="20"/>
        </w:rPr>
        <w:t> </w:t>
      </w:r>
      <w:r>
        <w:rPr/>
        <w:t>fact</w:t>
      </w:r>
      <w:r>
        <w:rPr>
          <w:spacing w:val="20"/>
        </w:rPr>
        <w:t> </w:t>
      </w:r>
      <w:r>
        <w:rPr/>
        <w:t>that</w:t>
      </w:r>
      <w:r>
        <w:rPr>
          <w:spacing w:val="20"/>
        </w:rPr>
        <w:t> </w:t>
      </w:r>
      <w:r>
        <w:rPr/>
        <w:t>the</w:t>
      </w:r>
      <w:r>
        <w:rPr>
          <w:spacing w:val="20"/>
        </w:rPr>
        <w:t> </w:t>
      </w:r>
      <w:r>
        <w:rPr/>
        <w:t>parties</w:t>
      </w:r>
      <w:r>
        <w:rPr>
          <w:spacing w:val="20"/>
        </w:rPr>
        <w:t> </w:t>
      </w:r>
      <w:r>
        <w:rPr/>
        <w:t>have</w:t>
      </w:r>
      <w:r>
        <w:rPr>
          <w:spacing w:val="20"/>
        </w:rPr>
        <w:t> </w:t>
      </w:r>
      <w:r>
        <w:rPr/>
        <w:t>expressly</w:t>
      </w:r>
      <w:r>
        <w:rPr>
          <w:spacing w:val="20"/>
        </w:rPr>
        <w:t> </w:t>
      </w:r>
      <w:r>
        <w:rPr/>
        <w:t>stipulated</w:t>
      </w:r>
      <w:r>
        <w:rPr>
          <w:spacing w:val="20"/>
        </w:rPr>
        <w:t> </w:t>
      </w:r>
      <w:r>
        <w:rPr/>
        <w:t>that</w:t>
      </w:r>
      <w:r>
        <w:rPr>
          <w:spacing w:val="20"/>
        </w:rPr>
        <w:t> </w:t>
      </w:r>
      <w:r>
        <w:rPr/>
        <w:t>there</w:t>
      </w:r>
      <w:r>
        <w:rPr>
          <w:spacing w:val="20"/>
        </w:rPr>
        <w:t> </w:t>
      </w:r>
      <w:r>
        <w:rPr/>
        <w:t>shall</w:t>
      </w:r>
      <w:r>
        <w:rPr>
          <w:spacing w:val="20"/>
        </w:rPr>
        <w:t> </w:t>
      </w:r>
      <w:r>
        <w:rPr/>
        <w:t>be</w:t>
      </w:r>
      <w:r>
        <w:rPr>
          <w:spacing w:val="20"/>
        </w:rPr>
        <w:t> </w:t>
      </w:r>
      <w:r>
        <w:rPr/>
        <w:t>a</w:t>
      </w:r>
      <w:r>
        <w:rPr>
          <w:spacing w:val="20"/>
        </w:rPr>
        <w:t> </w:t>
      </w:r>
      <w:r>
        <w:rPr/>
        <w:t>formal agreement prepared … does not, by itself, show that they continue merely in </w:t>
      </w:r>
      <w:r>
        <w:rPr>
          <w:spacing w:val="-2"/>
        </w:rPr>
        <w:t>negotiation.”</w:t>
      </w:r>
    </w:p>
    <w:p>
      <w:pPr>
        <w:pStyle w:val="BodyText"/>
      </w:pPr>
    </w:p>
    <w:p>
      <w:pPr>
        <w:pStyle w:val="BodyText"/>
        <w:spacing w:before="206"/>
      </w:pPr>
    </w:p>
    <w:p>
      <w:pPr>
        <w:pStyle w:val="BodyText"/>
        <w:spacing w:line="235" w:lineRule="auto"/>
        <w:ind w:right="166"/>
        <w:jc w:val="right"/>
      </w:pPr>
      <w:bookmarkStart w:name="_bookmark1213" w:id="1215"/>
      <w:bookmarkEnd w:id="1215"/>
      <w:r>
        <w:rPr/>
      </w:r>
      <w:r>
        <w:rPr/>
        <w:t>And</w:t>
      </w:r>
      <w:r>
        <w:rPr>
          <w:spacing w:val="16"/>
        </w:rPr>
        <w:t> </w:t>
      </w:r>
      <w:r>
        <w:rPr/>
        <w:t>in</w:t>
      </w:r>
      <w:r>
        <w:rPr>
          <w:spacing w:val="16"/>
        </w:rPr>
        <w:t> </w:t>
      </w:r>
      <w:r>
        <w:rPr>
          <w:rFonts w:ascii="Arial" w:hAnsi="Arial"/>
          <w:i/>
        </w:rPr>
        <w:t>Branca</w:t>
      </w:r>
      <w:r>
        <w:rPr>
          <w:rFonts w:ascii="Arial" w:hAnsi="Arial"/>
          <w:i/>
          <w:spacing w:val="16"/>
        </w:rPr>
        <w:t> </w:t>
      </w:r>
      <w:r>
        <w:rPr>
          <w:rFonts w:ascii="Arial" w:hAnsi="Arial"/>
          <w:i/>
        </w:rPr>
        <w:t>v</w:t>
      </w:r>
      <w:r>
        <w:rPr>
          <w:rFonts w:ascii="Arial" w:hAnsi="Arial"/>
          <w:i/>
          <w:spacing w:val="16"/>
        </w:rPr>
        <w:t> </w:t>
      </w:r>
      <w:r>
        <w:rPr>
          <w:rFonts w:ascii="Arial" w:hAnsi="Arial"/>
          <w:i/>
        </w:rPr>
        <w:t>Cobarro</w:t>
      </w:r>
      <w:r>
        <w:rPr>
          <w:rFonts w:ascii="Arial" w:hAnsi="Arial"/>
          <w:i/>
          <w:spacing w:val="16"/>
        </w:rPr>
        <w:t> </w:t>
      </w:r>
      <w:r>
        <w:rPr>
          <w:color w:val="005DA1"/>
          <w:u w:val="single" w:color="005DA1"/>
          <w:vertAlign w:val="superscript"/>
        </w:rPr>
        <w:t>681</w:t>
      </w:r>
      <w:r>
        <w:rPr>
          <w:color w:val="005DA1"/>
          <w:spacing w:val="16"/>
          <w:vertAlign w:val="baseline"/>
        </w:rPr>
        <w:t> </w:t>
      </w:r>
      <w:r>
        <w:rPr>
          <w:vertAlign w:val="baseline"/>
        </w:rPr>
        <w:t>an</w:t>
      </w:r>
      <w:r>
        <w:rPr>
          <w:spacing w:val="16"/>
          <w:vertAlign w:val="baseline"/>
        </w:rPr>
        <w:t> </w:t>
      </w:r>
      <w:r>
        <w:rPr>
          <w:vertAlign w:val="baseline"/>
        </w:rPr>
        <w:t>agreement</w:t>
      </w:r>
      <w:r>
        <w:rPr>
          <w:spacing w:val="16"/>
          <w:vertAlign w:val="baseline"/>
        </w:rPr>
        <w:t> </w:t>
      </w:r>
      <w:r>
        <w:rPr>
          <w:vertAlign w:val="baseline"/>
        </w:rPr>
        <w:t>for</w:t>
      </w:r>
      <w:r>
        <w:rPr>
          <w:spacing w:val="16"/>
          <w:vertAlign w:val="baseline"/>
        </w:rPr>
        <w:t> </w:t>
      </w:r>
      <w:r>
        <w:rPr>
          <w:vertAlign w:val="baseline"/>
        </w:rPr>
        <w:t>the</w:t>
      </w:r>
      <w:r>
        <w:rPr>
          <w:spacing w:val="16"/>
          <w:vertAlign w:val="baseline"/>
        </w:rPr>
        <w:t> </w:t>
      </w:r>
      <w:r>
        <w:rPr>
          <w:vertAlign w:val="baseline"/>
        </w:rPr>
        <w:t>sale</w:t>
      </w:r>
      <w:r>
        <w:rPr>
          <w:spacing w:val="16"/>
          <w:vertAlign w:val="baseline"/>
        </w:rPr>
        <w:t> </w:t>
      </w:r>
      <w:r>
        <w:rPr>
          <w:vertAlign w:val="baseline"/>
        </w:rPr>
        <w:t>of</w:t>
      </w:r>
      <w:r>
        <w:rPr>
          <w:spacing w:val="16"/>
          <w:vertAlign w:val="baseline"/>
        </w:rPr>
        <w:t> </w:t>
      </w:r>
      <w:r>
        <w:rPr>
          <w:vertAlign w:val="baseline"/>
        </w:rPr>
        <w:t>a</w:t>
      </w:r>
      <w:r>
        <w:rPr>
          <w:spacing w:val="16"/>
          <w:vertAlign w:val="baseline"/>
        </w:rPr>
        <w:t> </w:t>
      </w:r>
      <w:r>
        <w:rPr>
          <w:vertAlign w:val="baseline"/>
        </w:rPr>
        <w:t>farm</w:t>
      </w:r>
      <w:r>
        <w:rPr>
          <w:spacing w:val="16"/>
          <w:vertAlign w:val="baseline"/>
        </w:rPr>
        <w:t> </w:t>
      </w:r>
      <w:r>
        <w:rPr>
          <w:vertAlign w:val="baseline"/>
        </w:rPr>
        <w:t>provided</w:t>
      </w:r>
      <w:r>
        <w:rPr>
          <w:spacing w:val="16"/>
          <w:vertAlign w:val="baseline"/>
        </w:rPr>
        <w:t> </w:t>
      </w:r>
      <w:r>
        <w:rPr>
          <w:vertAlign w:val="baseline"/>
        </w:rPr>
        <w:t>that</w:t>
      </w:r>
      <w:r>
        <w:rPr>
          <w:spacing w:val="16"/>
          <w:vertAlign w:val="baseline"/>
        </w:rPr>
        <w:t> </w:t>
      </w:r>
      <w:r>
        <w:rPr>
          <w:vertAlign w:val="baseline"/>
        </w:rPr>
        <w:t>it</w:t>
      </w:r>
      <w:r>
        <w:rPr>
          <w:spacing w:val="16"/>
          <w:vertAlign w:val="baseline"/>
        </w:rPr>
        <w:t> </w:t>
      </w:r>
      <w:r>
        <w:rPr>
          <w:vertAlign w:val="baseline"/>
        </w:rPr>
        <w:t>was</w:t>
      </w:r>
      <w:r>
        <w:rPr>
          <w:spacing w:val="16"/>
          <w:vertAlign w:val="baseline"/>
        </w:rPr>
        <w:t> </w:t>
      </w:r>
      <w:r>
        <w:rPr>
          <w:vertAlign w:val="baseline"/>
        </w:rPr>
        <w:t>“a</w:t>
      </w:r>
      <w:r>
        <w:rPr>
          <w:spacing w:val="16"/>
          <w:vertAlign w:val="baseline"/>
        </w:rPr>
        <w:t> </w:t>
      </w:r>
      <w:r>
        <w:rPr>
          <w:vertAlign w:val="baseline"/>
        </w:rPr>
        <w:t>provisional agreement</w:t>
      </w:r>
      <w:r>
        <w:rPr>
          <w:spacing w:val="8"/>
          <w:vertAlign w:val="baseline"/>
        </w:rPr>
        <w:t> </w:t>
      </w:r>
      <w:r>
        <w:rPr>
          <w:vertAlign w:val="baseline"/>
        </w:rPr>
        <w:t>until</w:t>
      </w:r>
      <w:r>
        <w:rPr>
          <w:spacing w:val="8"/>
          <w:vertAlign w:val="baseline"/>
        </w:rPr>
        <w:t> </w:t>
      </w:r>
      <w:r>
        <w:rPr>
          <w:vertAlign w:val="baseline"/>
        </w:rPr>
        <w:t>a</w:t>
      </w:r>
      <w:r>
        <w:rPr>
          <w:spacing w:val="8"/>
          <w:vertAlign w:val="baseline"/>
        </w:rPr>
        <w:t> </w:t>
      </w:r>
      <w:r>
        <w:rPr>
          <w:vertAlign w:val="baseline"/>
        </w:rPr>
        <w:t>fully</w:t>
      </w:r>
      <w:r>
        <w:rPr>
          <w:spacing w:val="8"/>
          <w:vertAlign w:val="baseline"/>
        </w:rPr>
        <w:t> </w:t>
      </w:r>
      <w:r>
        <w:rPr>
          <w:vertAlign w:val="baseline"/>
        </w:rPr>
        <w:t>legalised</w:t>
      </w:r>
      <w:r>
        <w:rPr>
          <w:spacing w:val="8"/>
          <w:vertAlign w:val="baseline"/>
        </w:rPr>
        <w:t> </w:t>
      </w:r>
      <w:r>
        <w:rPr>
          <w:vertAlign w:val="baseline"/>
        </w:rPr>
        <w:t>agreement,</w:t>
      </w:r>
      <w:r>
        <w:rPr>
          <w:spacing w:val="8"/>
          <w:vertAlign w:val="baseline"/>
        </w:rPr>
        <w:t> </w:t>
      </w:r>
      <w:r>
        <w:rPr>
          <w:vertAlign w:val="baseline"/>
        </w:rPr>
        <w:t>drawn</w:t>
      </w:r>
      <w:r>
        <w:rPr>
          <w:spacing w:val="8"/>
          <w:vertAlign w:val="baseline"/>
        </w:rPr>
        <w:t> </w:t>
      </w:r>
      <w:r>
        <w:rPr>
          <w:vertAlign w:val="baseline"/>
        </w:rPr>
        <w:t>up</w:t>
      </w:r>
      <w:r>
        <w:rPr>
          <w:spacing w:val="8"/>
          <w:vertAlign w:val="baseline"/>
        </w:rPr>
        <w:t> </w:t>
      </w:r>
      <w:r>
        <w:rPr>
          <w:vertAlign w:val="baseline"/>
        </w:rPr>
        <w:t>by</w:t>
      </w:r>
      <w:r>
        <w:rPr>
          <w:spacing w:val="8"/>
          <w:vertAlign w:val="baseline"/>
        </w:rPr>
        <w:t> </w:t>
      </w:r>
      <w:r>
        <w:rPr>
          <w:vertAlign w:val="baseline"/>
        </w:rPr>
        <w:t>a</w:t>
      </w:r>
      <w:r>
        <w:rPr>
          <w:spacing w:val="8"/>
          <w:vertAlign w:val="baseline"/>
        </w:rPr>
        <w:t> </w:t>
      </w:r>
      <w:r>
        <w:rPr>
          <w:vertAlign w:val="baseline"/>
        </w:rPr>
        <w:t>solicitor</w:t>
      </w:r>
      <w:r>
        <w:rPr>
          <w:spacing w:val="8"/>
          <w:vertAlign w:val="baseline"/>
        </w:rPr>
        <w:t> </w:t>
      </w:r>
      <w:r>
        <w:rPr>
          <w:vertAlign w:val="baseline"/>
        </w:rPr>
        <w:t>and</w:t>
      </w:r>
      <w:r>
        <w:rPr>
          <w:spacing w:val="8"/>
          <w:vertAlign w:val="baseline"/>
        </w:rPr>
        <w:t> </w:t>
      </w:r>
      <w:r>
        <w:rPr>
          <w:vertAlign w:val="baseline"/>
        </w:rPr>
        <w:t>embodying</w:t>
      </w:r>
      <w:r>
        <w:rPr>
          <w:spacing w:val="8"/>
          <w:vertAlign w:val="baseline"/>
        </w:rPr>
        <w:t> </w:t>
      </w:r>
      <w:r>
        <w:rPr>
          <w:vertAlign w:val="baseline"/>
        </w:rPr>
        <w:t>all</w:t>
      </w:r>
      <w:r>
        <w:rPr>
          <w:spacing w:val="8"/>
          <w:vertAlign w:val="baseline"/>
        </w:rPr>
        <w:t> </w:t>
      </w:r>
      <w:r>
        <w:rPr>
          <w:vertAlign w:val="baseline"/>
        </w:rPr>
        <w:t>the</w:t>
      </w:r>
      <w:r>
        <w:rPr>
          <w:spacing w:val="8"/>
          <w:vertAlign w:val="baseline"/>
        </w:rPr>
        <w:t> </w:t>
      </w:r>
      <w:r>
        <w:rPr>
          <w:spacing w:val="-2"/>
          <w:vertAlign w:val="baseline"/>
        </w:rPr>
        <w:t>conditions</w:t>
      </w:r>
    </w:p>
    <w:p>
      <w:pPr>
        <w:pStyle w:val="BodyText"/>
        <w:spacing w:after="0" w:line="235" w:lineRule="auto"/>
        <w:jc w:val="right"/>
        <w:sectPr>
          <w:pgSz w:w="11900" w:h="16840"/>
          <w:pgMar w:header="971" w:footer="0" w:top="1300" w:bottom="280" w:left="1275" w:right="1275"/>
        </w:sectPr>
      </w:pPr>
    </w:p>
    <w:p>
      <w:pPr>
        <w:pStyle w:val="BodyText"/>
        <w:spacing w:line="235" w:lineRule="auto" w:before="170"/>
        <w:ind w:left="165" w:right="167"/>
        <w:jc w:val="both"/>
      </w:pPr>
      <w:r>
        <w:rPr/>
        <w:t>herewith stated, is signed.” It was held that the provisional agreement was binding until it </w:t>
      </w:r>
      <w:r>
        <w:rPr/>
        <w:t>was superseded</w:t>
      </w:r>
      <w:r>
        <w:rPr>
          <w:spacing w:val="-2"/>
        </w:rPr>
        <w:t> </w:t>
      </w:r>
      <w:r>
        <w:rPr/>
        <w:t>when</w:t>
      </w:r>
      <w:r>
        <w:rPr>
          <w:spacing w:val="-2"/>
        </w:rPr>
        <w:t> </w:t>
      </w:r>
      <w:r>
        <w:rPr/>
        <w:t>the</w:t>
      </w:r>
      <w:r>
        <w:rPr>
          <w:spacing w:val="-2"/>
        </w:rPr>
        <w:t> </w:t>
      </w:r>
      <w:r>
        <w:rPr/>
        <w:t>formal</w:t>
      </w:r>
      <w:r>
        <w:rPr>
          <w:spacing w:val="-2"/>
        </w:rPr>
        <w:t> </w:t>
      </w:r>
      <w:r>
        <w:rPr/>
        <w:t>agreement</w:t>
      </w:r>
      <w:r>
        <w:rPr>
          <w:spacing w:val="-2"/>
        </w:rPr>
        <w:t> </w:t>
      </w:r>
      <w:r>
        <w:rPr/>
        <w:t>was</w:t>
      </w:r>
      <w:r>
        <w:rPr>
          <w:spacing w:val="-2"/>
        </w:rPr>
        <w:t> </w:t>
      </w:r>
      <w:r>
        <w:rPr/>
        <w:t>drawn</w:t>
      </w:r>
      <w:r>
        <w:rPr>
          <w:spacing w:val="-2"/>
        </w:rPr>
        <w:t> </w:t>
      </w:r>
      <w:r>
        <w:rPr/>
        <w:t>up</w:t>
      </w:r>
      <w:r>
        <w:rPr>
          <w:spacing w:val="-2"/>
        </w:rPr>
        <w:t> </w:t>
      </w:r>
      <w:r>
        <w:rPr/>
        <w:t>and</w:t>
      </w:r>
      <w:r>
        <w:rPr>
          <w:spacing w:val="-2"/>
        </w:rPr>
        <w:t> </w:t>
      </w:r>
      <w:r>
        <w:rPr/>
        <w:t>signed;</w:t>
      </w:r>
      <w:r>
        <w:rPr>
          <w:spacing w:val="-2"/>
        </w:rPr>
        <w:t> </w:t>
      </w:r>
      <w:r>
        <w:rPr/>
        <w:t>execution</w:t>
      </w:r>
      <w:r>
        <w:rPr>
          <w:spacing w:val="-2"/>
        </w:rPr>
        <w:t> </w:t>
      </w:r>
      <w:r>
        <w:rPr/>
        <w:t>of</w:t>
      </w:r>
      <w:r>
        <w:rPr>
          <w:spacing w:val="-2"/>
        </w:rPr>
        <w:t> </w:t>
      </w:r>
      <w:r>
        <w:rPr/>
        <w:t>the</w:t>
      </w:r>
      <w:r>
        <w:rPr>
          <w:spacing w:val="-2"/>
        </w:rPr>
        <w:t> </w:t>
      </w:r>
      <w:r>
        <w:rPr/>
        <w:t>formal</w:t>
      </w:r>
      <w:r>
        <w:rPr>
          <w:spacing w:val="-2"/>
        </w:rPr>
        <w:t> </w:t>
      </w:r>
      <w:r>
        <w:rPr/>
        <w:t>agreement was not a condition which had to be fulfilled before the parties were bound.</w:t>
      </w:r>
    </w:p>
    <w:p>
      <w:pPr>
        <w:pStyle w:val="BodyText"/>
      </w:pPr>
    </w:p>
    <w:p>
      <w:pPr>
        <w:pStyle w:val="BodyText"/>
        <w:spacing w:before="38"/>
      </w:pPr>
    </w:p>
    <w:p>
      <w:pPr>
        <w:spacing w:before="0"/>
        <w:ind w:left="165" w:right="0" w:firstLine="0"/>
        <w:jc w:val="both"/>
        <w:rPr>
          <w:rFonts w:ascii="Arial"/>
          <w:b/>
          <w:sz w:val="18"/>
        </w:rPr>
      </w:pPr>
      <w:r>
        <w:rPr>
          <w:rFonts w:ascii="Arial"/>
          <w:b/>
          <w:sz w:val="18"/>
        </w:rPr>
        <w:t>Acting on agreement subsequently </w:t>
      </w:r>
      <w:r>
        <w:rPr>
          <w:rFonts w:ascii="Arial"/>
          <w:b/>
          <w:spacing w:val="-2"/>
          <w:sz w:val="18"/>
        </w:rPr>
        <w:t>completed</w:t>
      </w:r>
    </w:p>
    <w:p>
      <w:pPr>
        <w:pStyle w:val="BodyText"/>
        <w:spacing w:before="41"/>
        <w:rPr>
          <w:rFonts w:ascii="Arial"/>
          <w:b/>
          <w:sz w:val="18"/>
        </w:rPr>
      </w:pPr>
    </w:p>
    <w:p>
      <w:pPr>
        <w:pStyle w:val="Heading2"/>
      </w:pPr>
      <w:r>
        <w:rPr/>
        <w:t>2-</w:t>
      </w:r>
      <w:r>
        <w:rPr>
          <w:spacing w:val="-5"/>
        </w:rPr>
        <w:t>131</w:t>
      </w:r>
    </w:p>
    <w:p>
      <w:pPr>
        <w:pStyle w:val="BodyText"/>
        <w:spacing w:line="235" w:lineRule="auto" w:before="203"/>
        <w:ind w:left="165" w:right="167"/>
        <w:jc w:val="both"/>
      </w:pPr>
      <w:r>
        <w:rPr/>
        <w:t>The parties may begin to act on the terms of an agreement before it has contractual force. When it </w:t>
      </w:r>
      <w:r>
        <w:rPr/>
        <w:t>is </w:t>
      </w:r>
      <w:bookmarkStart w:name="_bookmark1214" w:id="1216"/>
      <w:bookmarkEnd w:id="1216"/>
      <w:r>
        <w:rPr/>
        <w:t>later</w:t>
      </w:r>
      <w:r>
        <w:rPr/>
        <w:t> given such force, the resulting contract may then, if it expressly or by implication so provides, </w:t>
      </w:r>
      <w:bookmarkStart w:name="_bookmark1215" w:id="1217"/>
      <w:bookmarkEnd w:id="1217"/>
      <w:r>
        <w:rPr/>
        <w:t>have</w:t>
      </w:r>
      <w:r>
        <w:rPr>
          <w:spacing w:val="10"/>
        </w:rPr>
        <w:t> </w:t>
      </w:r>
      <w:r>
        <w:rPr/>
        <w:t>retrospective</w:t>
      </w:r>
      <w:r>
        <w:rPr>
          <w:spacing w:val="10"/>
        </w:rPr>
        <w:t> </w:t>
      </w:r>
      <w:r>
        <w:rPr/>
        <w:t>effect</w:t>
      </w:r>
      <w:r>
        <w:rPr>
          <w:spacing w:val="10"/>
        </w:rPr>
        <w:t> </w:t>
      </w:r>
      <w:r>
        <w:rPr/>
        <w:t>so</w:t>
      </w:r>
      <w:r>
        <w:rPr>
          <w:spacing w:val="10"/>
        </w:rPr>
        <w:t> </w:t>
      </w:r>
      <w:r>
        <w:rPr/>
        <w:t>as</w:t>
      </w:r>
      <w:r>
        <w:rPr>
          <w:spacing w:val="10"/>
        </w:rPr>
        <w:t> </w:t>
      </w:r>
      <w:r>
        <w:rPr/>
        <w:t>to</w:t>
      </w:r>
      <w:r>
        <w:rPr>
          <w:spacing w:val="10"/>
        </w:rPr>
        <w:t> </w:t>
      </w:r>
      <w:r>
        <w:rPr/>
        <w:t>apply</w:t>
      </w:r>
      <w:r>
        <w:rPr>
          <w:spacing w:val="10"/>
        </w:rPr>
        <w:t> </w:t>
      </w:r>
      <w:r>
        <w:rPr/>
        <w:t>to</w:t>
      </w:r>
      <w:r>
        <w:rPr>
          <w:spacing w:val="10"/>
        </w:rPr>
        <w:t> </w:t>
      </w:r>
      <w:r>
        <w:rPr/>
        <w:t>work</w:t>
      </w:r>
      <w:r>
        <w:rPr>
          <w:spacing w:val="10"/>
        </w:rPr>
        <w:t> </w:t>
      </w:r>
      <w:r>
        <w:rPr/>
        <w:t>done</w:t>
      </w:r>
      <w:r>
        <w:rPr>
          <w:spacing w:val="10"/>
        </w:rPr>
        <w:t> </w:t>
      </w:r>
      <w:r>
        <w:rPr/>
        <w:t>or</w:t>
      </w:r>
      <w:r>
        <w:rPr>
          <w:spacing w:val="10"/>
        </w:rPr>
        <w:t> </w:t>
      </w:r>
      <w:r>
        <w:rPr/>
        <w:t>goods</w:t>
      </w:r>
      <w:r>
        <w:rPr>
          <w:spacing w:val="10"/>
        </w:rPr>
        <w:t> </w:t>
      </w:r>
      <w:r>
        <w:rPr/>
        <w:t>supplied</w:t>
      </w:r>
      <w:r>
        <w:rPr>
          <w:spacing w:val="10"/>
        </w:rPr>
        <w:t> </w:t>
      </w:r>
      <w:r>
        <w:rPr/>
        <w:t>before</w:t>
      </w:r>
      <w:r>
        <w:rPr>
          <w:spacing w:val="10"/>
        </w:rPr>
        <w:t> </w:t>
      </w:r>
      <w:r>
        <w:rPr/>
        <w:t>it</w:t>
      </w:r>
      <w:r>
        <w:rPr>
          <w:spacing w:val="10"/>
        </w:rPr>
        <w:t> </w:t>
      </w:r>
      <w:r>
        <w:rPr/>
        <w:t>was</w:t>
      </w:r>
      <w:r>
        <w:rPr>
          <w:spacing w:val="10"/>
        </w:rPr>
        <w:t> </w:t>
      </w:r>
      <w:r>
        <w:rPr/>
        <w:t>actually</w:t>
      </w:r>
      <w:r>
        <w:rPr>
          <w:spacing w:val="10"/>
        </w:rPr>
        <w:t> </w:t>
      </w:r>
      <w:r>
        <w:rPr>
          <w:spacing w:val="-2"/>
        </w:rPr>
        <w:t>made.</w:t>
      </w:r>
    </w:p>
    <w:p>
      <w:pPr>
        <w:pStyle w:val="BodyText"/>
        <w:spacing w:line="223" w:lineRule="exact"/>
        <w:ind w:left="165"/>
        <w:jc w:val="both"/>
      </w:pPr>
      <w:r>
        <w:rPr>
          <w:color w:val="005DA1"/>
          <w:u w:val="single" w:color="005DA1"/>
          <w:vertAlign w:val="superscript"/>
        </w:rPr>
        <w:t>682</w:t>
      </w:r>
      <w:r>
        <w:rPr>
          <w:color w:val="005DA1"/>
          <w:spacing w:val="13"/>
          <w:vertAlign w:val="baseline"/>
        </w:rPr>
        <w:t> </w:t>
      </w:r>
      <w:r>
        <w:rPr>
          <w:vertAlign w:val="baseline"/>
        </w:rPr>
        <w:t>But</w:t>
      </w:r>
      <w:r>
        <w:rPr>
          <w:spacing w:val="14"/>
          <w:vertAlign w:val="baseline"/>
        </w:rPr>
        <w:t> </w:t>
      </w:r>
      <w:r>
        <w:rPr>
          <w:vertAlign w:val="baseline"/>
        </w:rPr>
        <w:t>where</w:t>
      </w:r>
      <w:r>
        <w:rPr>
          <w:spacing w:val="14"/>
          <w:vertAlign w:val="baseline"/>
        </w:rPr>
        <w:t> </w:t>
      </w:r>
      <w:r>
        <w:rPr>
          <w:vertAlign w:val="baseline"/>
        </w:rPr>
        <w:t>parties</w:t>
      </w:r>
      <w:r>
        <w:rPr>
          <w:spacing w:val="14"/>
          <w:vertAlign w:val="baseline"/>
        </w:rPr>
        <w:t> </w:t>
      </w:r>
      <w:r>
        <w:rPr>
          <w:vertAlign w:val="baseline"/>
        </w:rPr>
        <w:t>have</w:t>
      </w:r>
      <w:r>
        <w:rPr>
          <w:spacing w:val="14"/>
          <w:vertAlign w:val="baseline"/>
        </w:rPr>
        <w:t> </w:t>
      </w:r>
      <w:r>
        <w:rPr>
          <w:vertAlign w:val="baseline"/>
        </w:rPr>
        <w:t>negotiated</w:t>
      </w:r>
      <w:r>
        <w:rPr>
          <w:spacing w:val="14"/>
          <w:vertAlign w:val="baseline"/>
        </w:rPr>
        <w:t> </w:t>
      </w:r>
      <w:r>
        <w:rPr>
          <w:vertAlign w:val="baseline"/>
        </w:rPr>
        <w:t>“subject</w:t>
      </w:r>
      <w:r>
        <w:rPr>
          <w:spacing w:val="13"/>
          <w:vertAlign w:val="baseline"/>
        </w:rPr>
        <w:t> </w:t>
      </w:r>
      <w:r>
        <w:rPr>
          <w:vertAlign w:val="baseline"/>
        </w:rPr>
        <w:t>to</w:t>
      </w:r>
      <w:r>
        <w:rPr>
          <w:spacing w:val="14"/>
          <w:vertAlign w:val="baseline"/>
        </w:rPr>
        <w:t> </w:t>
      </w:r>
      <w:r>
        <w:rPr>
          <w:vertAlign w:val="baseline"/>
        </w:rPr>
        <w:t>contract”</w:t>
      </w:r>
      <w:r>
        <w:rPr>
          <w:spacing w:val="14"/>
          <w:vertAlign w:val="baseline"/>
        </w:rPr>
        <w:t> </w:t>
      </w:r>
      <w:r>
        <w:rPr>
          <w:vertAlign w:val="baseline"/>
        </w:rPr>
        <w:t>(or</w:t>
      </w:r>
      <w:r>
        <w:rPr>
          <w:spacing w:val="14"/>
          <w:vertAlign w:val="baseline"/>
        </w:rPr>
        <w:t> </w:t>
      </w:r>
      <w:r>
        <w:rPr>
          <w:vertAlign w:val="baseline"/>
        </w:rPr>
        <w:t>used</w:t>
      </w:r>
      <w:r>
        <w:rPr>
          <w:spacing w:val="14"/>
          <w:vertAlign w:val="baseline"/>
        </w:rPr>
        <w:t> </w:t>
      </w:r>
      <w:r>
        <w:rPr>
          <w:vertAlign w:val="baseline"/>
        </w:rPr>
        <w:t>expressions</w:t>
      </w:r>
      <w:r>
        <w:rPr>
          <w:spacing w:val="14"/>
          <w:vertAlign w:val="baseline"/>
        </w:rPr>
        <w:t> </w:t>
      </w:r>
      <w:r>
        <w:rPr>
          <w:vertAlign w:val="baseline"/>
        </w:rPr>
        <w:t>to</w:t>
      </w:r>
      <w:r>
        <w:rPr>
          <w:spacing w:val="13"/>
          <w:vertAlign w:val="baseline"/>
        </w:rPr>
        <w:t> </w:t>
      </w:r>
      <w:r>
        <w:rPr>
          <w:vertAlign w:val="baseline"/>
        </w:rPr>
        <w:t>the</w:t>
      </w:r>
      <w:r>
        <w:rPr>
          <w:spacing w:val="14"/>
          <w:vertAlign w:val="baseline"/>
        </w:rPr>
        <w:t> </w:t>
      </w:r>
      <w:r>
        <w:rPr>
          <w:vertAlign w:val="baseline"/>
        </w:rPr>
        <w:t>same</w:t>
      </w:r>
      <w:r>
        <w:rPr>
          <w:spacing w:val="14"/>
          <w:vertAlign w:val="baseline"/>
        </w:rPr>
        <w:t> </w:t>
      </w:r>
      <w:r>
        <w:rPr>
          <w:spacing w:val="-2"/>
          <w:vertAlign w:val="baseline"/>
        </w:rPr>
        <w:t>effect),</w:t>
      </w:r>
    </w:p>
    <w:p>
      <w:pPr>
        <w:pStyle w:val="BodyText"/>
        <w:spacing w:line="235" w:lineRule="auto" w:before="1"/>
        <w:ind w:left="164" w:right="167"/>
        <w:jc w:val="both"/>
      </w:pPr>
      <w:r>
        <w:rPr>
          <w:color w:val="005DA1"/>
          <w:u w:val="single" w:color="005DA1"/>
          <w:vertAlign w:val="superscript"/>
        </w:rPr>
        <w:t>683</w:t>
      </w:r>
      <w:r>
        <w:rPr>
          <w:color w:val="005DA1"/>
          <w:spacing w:val="-2"/>
          <w:vertAlign w:val="baseline"/>
        </w:rPr>
        <w:t> </w:t>
      </w:r>
      <w:bookmarkStart w:name="_bookmark1216" w:id="1218"/>
      <w:bookmarkEnd w:id="1218"/>
      <w:r>
        <w:rPr>
          <w:color w:val="005DA1"/>
          <w:spacing w:val="1"/>
          <w:vertAlign w:val="baseline"/>
        </w:rPr>
      </w:r>
      <w:r>
        <w:rPr>
          <w:vertAlign w:val="baseline"/>
        </w:rPr>
        <w:t>then</w:t>
      </w:r>
      <w:r>
        <w:rPr>
          <w:spacing w:val="-2"/>
          <w:vertAlign w:val="baseline"/>
        </w:rPr>
        <w:t> </w:t>
      </w:r>
      <w:r>
        <w:rPr>
          <w:vertAlign w:val="baseline"/>
        </w:rPr>
        <w:t>the</w:t>
      </w:r>
      <w:r>
        <w:rPr>
          <w:spacing w:val="-2"/>
          <w:vertAlign w:val="baseline"/>
        </w:rPr>
        <w:t> </w:t>
      </w:r>
      <w:r>
        <w:rPr>
          <w:vertAlign w:val="baseline"/>
        </w:rPr>
        <w:t>fact</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contemplated</w:t>
      </w:r>
      <w:r>
        <w:rPr>
          <w:spacing w:val="-2"/>
          <w:vertAlign w:val="baseline"/>
        </w:rPr>
        <w:t> </w:t>
      </w:r>
      <w:r>
        <w:rPr>
          <w:vertAlign w:val="baseline"/>
        </w:rPr>
        <w:t>work</w:t>
      </w:r>
      <w:r>
        <w:rPr>
          <w:spacing w:val="-2"/>
          <w:vertAlign w:val="baseline"/>
        </w:rPr>
        <w:t> </w:t>
      </w:r>
      <w:r>
        <w:rPr>
          <w:vertAlign w:val="baseline"/>
        </w:rPr>
        <w:t>is</w:t>
      </w:r>
      <w:r>
        <w:rPr>
          <w:spacing w:val="-2"/>
          <w:vertAlign w:val="baseline"/>
        </w:rPr>
        <w:t> </w:t>
      </w:r>
      <w:r>
        <w:rPr>
          <w:vertAlign w:val="baseline"/>
        </w:rPr>
        <w:t>begun</w:t>
      </w:r>
      <w:r>
        <w:rPr>
          <w:spacing w:val="-2"/>
          <w:vertAlign w:val="baseline"/>
        </w:rPr>
        <w:t> </w:t>
      </w:r>
      <w:r>
        <w:rPr>
          <w:vertAlign w:val="baseline"/>
        </w:rPr>
        <w:t>before</w:t>
      </w:r>
      <w:r>
        <w:rPr>
          <w:spacing w:val="-2"/>
          <w:vertAlign w:val="baseline"/>
        </w:rPr>
        <w:t> </w:t>
      </w:r>
      <w:r>
        <w:rPr>
          <w:vertAlign w:val="baseline"/>
        </w:rPr>
        <w:t>the</w:t>
      </w:r>
      <w:r>
        <w:rPr>
          <w:spacing w:val="-2"/>
          <w:vertAlign w:val="baseline"/>
        </w:rPr>
        <w:t> </w:t>
      </w:r>
      <w:r>
        <w:rPr>
          <w:vertAlign w:val="baseline"/>
        </w:rPr>
        <w:t>execution</w:t>
      </w:r>
      <w:r>
        <w:rPr>
          <w:spacing w:val="-2"/>
          <w:vertAlign w:val="baseline"/>
        </w:rPr>
        <w:t> </w:t>
      </w:r>
      <w:r>
        <w:rPr>
          <w:vertAlign w:val="baseline"/>
        </w:rPr>
        <w:t>of</w:t>
      </w:r>
      <w:r>
        <w:rPr>
          <w:spacing w:val="-2"/>
          <w:vertAlign w:val="baseline"/>
        </w:rPr>
        <w:t> </w:t>
      </w:r>
      <w:r>
        <w:rPr>
          <w:vertAlign w:val="baseline"/>
        </w:rPr>
        <w:t>a</w:t>
      </w:r>
      <w:r>
        <w:rPr>
          <w:spacing w:val="-2"/>
          <w:vertAlign w:val="baseline"/>
        </w:rPr>
        <w:t> </w:t>
      </w:r>
      <w:r>
        <w:rPr>
          <w:vertAlign w:val="baseline"/>
        </w:rPr>
        <w:t>formal</w:t>
      </w:r>
      <w:r>
        <w:rPr>
          <w:spacing w:val="-2"/>
          <w:vertAlign w:val="baseline"/>
        </w:rPr>
        <w:t> </w:t>
      </w:r>
      <w:r>
        <w:rPr>
          <w:vertAlign w:val="baseline"/>
        </w:rPr>
        <w:t>contract,</w:t>
      </w:r>
      <w:r>
        <w:rPr>
          <w:spacing w:val="-2"/>
          <w:vertAlign w:val="baseline"/>
        </w:rPr>
        <w:t> </w:t>
      </w:r>
      <w:r>
        <w:rPr>
          <w:vertAlign w:val="baseline"/>
        </w:rPr>
        <w:t>will</w:t>
      </w:r>
      <w:r>
        <w:rPr>
          <w:spacing w:val="-2"/>
          <w:vertAlign w:val="baseline"/>
        </w:rPr>
        <w:t> </w:t>
      </w:r>
      <w:r>
        <w:rPr>
          <w:vertAlign w:val="baseline"/>
        </w:rPr>
        <w:t>not (in the words of Lord Clarke S.C.J. in the</w:t>
      </w:r>
      <w:r>
        <w:rPr>
          <w:spacing w:val="-1"/>
          <w:vertAlign w:val="baseline"/>
        </w:rPr>
        <w:t> </w:t>
      </w:r>
      <w:r>
        <w:rPr>
          <w:rFonts w:ascii="Arial" w:hAnsi="Arial"/>
          <w:i/>
          <w:vertAlign w:val="baseline"/>
        </w:rPr>
        <w:t>RTS </w:t>
      </w:r>
      <w:r>
        <w:rPr>
          <w:vertAlign w:val="baseline"/>
        </w:rPr>
        <w:t>case) “always or even usually”</w:t>
      </w:r>
      <w:r>
        <w:rPr>
          <w:spacing w:val="-1"/>
          <w:vertAlign w:val="baseline"/>
        </w:rPr>
        <w:t> </w:t>
      </w:r>
      <w:r>
        <w:rPr>
          <w:color w:val="005DA1"/>
          <w:u w:val="single" w:color="005DA1"/>
          <w:vertAlign w:val="superscript"/>
        </w:rPr>
        <w:t>684</w:t>
      </w:r>
      <w:r>
        <w:rPr>
          <w:color w:val="005DA1"/>
          <w:vertAlign w:val="baseline"/>
        </w:rPr>
        <w:t> </w:t>
      </w:r>
      <w:r>
        <w:rPr>
          <w:vertAlign w:val="baseline"/>
        </w:rPr>
        <w:t>give rise to a binding contract. The facts of that case, however, illustrate an exception to this general approach; for one </w:t>
      </w:r>
      <w:r>
        <w:rPr>
          <w:vertAlign w:val="baseline"/>
        </w:rPr>
        <w:t>of </w:t>
      </w:r>
      <w:bookmarkStart w:name="_bookmark1217" w:id="1219"/>
      <w:bookmarkEnd w:id="1219"/>
      <w:r>
        <w:rPr>
          <w:vertAlign w:val="baseline"/>
        </w:rPr>
        <w:t>the</w:t>
      </w:r>
      <w:r>
        <w:rPr>
          <w:vertAlign w:val="baseline"/>
        </w:rPr>
        <w:t> factors mentioned in support of the conclusion that a contract had there come into existence was that, after “essentially all the terms were agreed … substantial works were then carried out”. </w:t>
      </w:r>
      <w:r>
        <w:rPr>
          <w:color w:val="005DA1"/>
          <w:u w:val="single" w:color="005DA1"/>
          <w:vertAlign w:val="superscript"/>
        </w:rPr>
        <w:t>685</w:t>
      </w:r>
      <w:r>
        <w:rPr>
          <w:color w:val="005DA1"/>
          <w:vertAlign w:val="baseline"/>
        </w:rPr>
        <w:t> </w:t>
      </w:r>
      <w:r>
        <w:rPr>
          <w:vertAlign w:val="baseline"/>
        </w:rPr>
        <w:t>The resulting contract was one for the supply of goods, a type of contract to which the further requirement </w:t>
      </w:r>
      <w:bookmarkStart w:name="_bookmark1218" w:id="1220"/>
      <w:bookmarkEnd w:id="1220"/>
      <w:r>
        <w:rPr>
          <w:vertAlign w:val="baseline"/>
        </w:rPr>
        <w:t>of</w:t>
      </w:r>
      <w:r>
        <w:rPr>
          <w:vertAlign w:val="baseline"/>
        </w:rPr>
        <w:t> an “exchange of contracts” (which as a matter of law normally applies to a contract for the sale of </w:t>
      </w:r>
      <w:bookmarkStart w:name="_bookmark1219" w:id="1221"/>
      <w:bookmarkEnd w:id="1221"/>
      <w:r>
        <w:rPr>
          <w:vertAlign w:val="baseline"/>
        </w:rPr>
        <w:t>land)</w:t>
      </w:r>
      <w:r>
        <w:rPr>
          <w:vertAlign w:val="baseline"/>
        </w:rPr>
        <w:t> </w:t>
      </w:r>
      <w:r>
        <w:rPr>
          <w:color w:val="005DA1"/>
          <w:u w:val="single" w:color="005DA1"/>
          <w:vertAlign w:val="superscript"/>
        </w:rPr>
        <w:t>686</w:t>
      </w:r>
      <w:r>
        <w:rPr>
          <w:color w:val="005DA1"/>
          <w:vertAlign w:val="baseline"/>
        </w:rPr>
        <w:t> </w:t>
      </w:r>
      <w:r>
        <w:rPr>
          <w:vertAlign w:val="baseline"/>
        </w:rPr>
        <w:t>does not normally extend, though in the </w:t>
      </w:r>
      <w:r>
        <w:rPr>
          <w:rFonts w:ascii="Arial" w:hAnsi="Arial"/>
          <w:i/>
          <w:vertAlign w:val="baseline"/>
        </w:rPr>
        <w:t>RTS </w:t>
      </w:r>
      <w:r>
        <w:rPr>
          <w:vertAlign w:val="baseline"/>
        </w:rPr>
        <w:t>case such a requirement was imposed by one of the express terms of the draft which formed the basis of the negotiations in that case. </w:t>
      </w:r>
      <w:r>
        <w:rPr>
          <w:color w:val="005DA1"/>
          <w:u w:val="single" w:color="005DA1"/>
          <w:vertAlign w:val="superscript"/>
        </w:rPr>
        <w:t>687</w:t>
      </w:r>
      <w:r>
        <w:rPr>
          <w:color w:val="005DA1"/>
          <w:vertAlign w:val="baseline"/>
        </w:rPr>
        <w:t> </w:t>
      </w:r>
      <w:r>
        <w:rPr>
          <w:vertAlign w:val="baseline"/>
        </w:rPr>
        <w:t>It seems that the mere carrying out of “substantial works” </w:t>
      </w:r>
      <w:r>
        <w:rPr>
          <w:rFonts w:ascii="Arial" w:hAnsi="Arial"/>
          <w:i/>
          <w:vertAlign w:val="baseline"/>
        </w:rPr>
        <w:t>before </w:t>
      </w:r>
      <w:r>
        <w:rPr>
          <w:vertAlign w:val="baseline"/>
        </w:rPr>
        <w:t>agreement had been reached on “essentially all the terms” would not have sufficed to give rise to a binding contract on such terms as had been </w:t>
      </w:r>
      <w:bookmarkStart w:name="_bookmark1220" w:id="1222"/>
      <w:bookmarkEnd w:id="1222"/>
      <w:r>
        <w:rPr>
          <w:vertAlign w:val="baseline"/>
        </w:rPr>
        <w:t>agreed,</w:t>
      </w:r>
      <w:r>
        <w:rPr>
          <w:vertAlign w:val="baseline"/>
        </w:rPr>
        <w:t> unless the conduct of the parties supported the inference of an implied contract between them. </w:t>
      </w:r>
      <w:r>
        <w:rPr>
          <w:color w:val="005DA1"/>
          <w:u w:val="single" w:color="005DA1"/>
          <w:vertAlign w:val="superscript"/>
        </w:rPr>
        <w:t>688</w:t>
      </w:r>
    </w:p>
    <w:p>
      <w:pPr>
        <w:pStyle w:val="BodyText"/>
      </w:pPr>
    </w:p>
    <w:p>
      <w:pPr>
        <w:pStyle w:val="BodyText"/>
        <w:spacing w:before="33"/>
      </w:pPr>
    </w:p>
    <w:p>
      <w:pPr>
        <w:spacing w:before="1"/>
        <w:ind w:left="165" w:right="0" w:firstLine="0"/>
        <w:jc w:val="left"/>
        <w:rPr>
          <w:rFonts w:ascii="Arial"/>
          <w:b/>
          <w:sz w:val="18"/>
        </w:rPr>
      </w:pPr>
      <w:bookmarkStart w:name="_bookmark1221" w:id="1223"/>
      <w:bookmarkEnd w:id="1223"/>
      <w:r>
        <w:rPr/>
      </w:r>
      <w:r>
        <w:rPr>
          <w:rFonts w:ascii="Arial"/>
          <w:b/>
          <w:sz w:val="18"/>
        </w:rPr>
        <w:t>Letters of intent; letters of comfort.</w:t>
      </w:r>
      <w:r>
        <w:rPr>
          <w:rFonts w:ascii="Arial"/>
          <w:b/>
          <w:spacing w:val="-1"/>
          <w:sz w:val="18"/>
        </w:rPr>
        <w:t> </w:t>
      </w:r>
      <w:r>
        <w:rPr>
          <w:rFonts w:ascii="Arial"/>
          <w:b/>
          <w:color w:val="005DA1"/>
          <w:spacing w:val="-5"/>
          <w:sz w:val="18"/>
          <w:u w:val="single" w:color="005DA1"/>
          <w:vertAlign w:val="superscript"/>
        </w:rPr>
        <w:t>689</w:t>
      </w:r>
    </w:p>
    <w:p>
      <w:pPr>
        <w:pStyle w:val="BodyText"/>
        <w:spacing w:before="41"/>
        <w:rPr>
          <w:rFonts w:ascii="Arial"/>
          <w:b/>
          <w:sz w:val="18"/>
        </w:rPr>
      </w:pPr>
    </w:p>
    <w:p>
      <w:pPr>
        <w:pStyle w:val="Heading2"/>
      </w:pPr>
      <w:r>
        <w:rPr/>
        <w:t>2-</w:t>
      </w:r>
      <w:r>
        <w:rPr>
          <w:spacing w:val="-5"/>
        </w:rPr>
        <w:t>132</w:t>
      </w:r>
    </w:p>
    <w:p>
      <w:pPr>
        <w:pStyle w:val="BodyText"/>
        <w:spacing w:before="92"/>
        <w:rPr>
          <w:rFonts w:ascii="Arial"/>
          <w:b/>
        </w:rPr>
      </w:pPr>
    </w:p>
    <w:p>
      <w:pPr>
        <w:pStyle w:val="BodyText"/>
        <w:spacing w:line="235" w:lineRule="auto" w:before="1"/>
        <w:ind w:left="164" w:right="167"/>
        <w:jc w:val="both"/>
      </w:pPr>
      <w:r>
        <w:rPr>
          <w:position w:val="-2"/>
        </w:rPr>
        <w:drawing>
          <wp:inline distT="0" distB="0" distL="0" distR="0">
            <wp:extent cx="107988" cy="107988"/>
            <wp:effectExtent l="0" t="0" r="0" b="0"/>
            <wp:docPr id="101" name="Image 101"/>
            <wp:cNvGraphicFramePr>
              <a:graphicFrameLocks/>
            </wp:cNvGraphicFramePr>
            <a:graphic>
              <a:graphicData uri="http://schemas.openxmlformats.org/drawingml/2006/picture">
                <pic:pic>
                  <pic:nvPicPr>
                    <pic:cNvPr id="101" name="Image 10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r>
        <w:rPr/>
        <w:t>Issues of contractual intention have arisen in a number of cases concerned with the legal effects of the commercial practice whereby parties to a transaction issue or exchange “letters of intent” </w:t>
      </w:r>
      <w:r>
        <w:rPr/>
        <w:t>on</w:t>
      </w:r>
      <w:r>
        <w:rPr>
          <w:spacing w:val="40"/>
        </w:rPr>
        <w:t> </w:t>
      </w:r>
      <w:bookmarkStart w:name="_bookmark1222" w:id="1224"/>
      <w:bookmarkEnd w:id="1224"/>
      <w:r>
        <w:rPr/>
        <w:t>which</w:t>
      </w:r>
      <w:r>
        <w:rPr/>
        <w:t> they act pending the preparation of formal contracts. One possibility is that such letters may, by their express terms or on their true construction, negative contractual intention. </w:t>
      </w:r>
      <w:r>
        <w:rPr>
          <w:color w:val="005DA1"/>
          <w:u w:val="single" w:color="005DA1"/>
          <w:vertAlign w:val="superscript"/>
        </w:rPr>
        <w:t>690</w:t>
      </w:r>
      <w:r>
        <w:rPr>
          <w:color w:val="005DA1"/>
          <w:vertAlign w:val="baseline"/>
        </w:rPr>
        <w:t> </w:t>
      </w:r>
      <w:r>
        <w:rPr>
          <w:vertAlign w:val="baseline"/>
        </w:rPr>
        <w:t>There is, similarly, </w:t>
      </w:r>
      <w:bookmarkStart w:name="_bookmark1223" w:id="1225"/>
      <w:bookmarkEnd w:id="1225"/>
      <w:r>
        <w:rPr>
          <w:vertAlign w:val="baseline"/>
        </w:rPr>
        <w:t>judicial</w:t>
      </w:r>
      <w:r>
        <w:rPr>
          <w:vertAlign w:val="baseline"/>
        </w:rPr>
        <w:t> support for the view that “a letter of comfort, properly so called,” is “one that does not give rise to contractual liability”. </w:t>
      </w:r>
      <w:r>
        <w:rPr>
          <w:color w:val="005DA1"/>
          <w:u w:val="single" w:color="005DA1"/>
          <w:vertAlign w:val="superscript"/>
        </w:rPr>
        <w:t>691</w:t>
      </w:r>
      <w:r>
        <w:rPr>
          <w:color w:val="005DA1"/>
          <w:vertAlign w:val="baseline"/>
        </w:rPr>
        <w:t> </w:t>
      </w:r>
      <w:r>
        <w:rPr>
          <w:vertAlign w:val="baseline"/>
        </w:rPr>
        <w:t>This position is illustrated by a case </w:t>
      </w:r>
      <w:r>
        <w:rPr>
          <w:color w:val="005DA1"/>
          <w:u w:val="single" w:color="005DA1"/>
          <w:vertAlign w:val="superscript"/>
        </w:rPr>
        <w:t>692</w:t>
      </w:r>
      <w:r>
        <w:rPr>
          <w:color w:val="005DA1"/>
          <w:vertAlign w:val="baseline"/>
        </w:rPr>
        <w:t> </w:t>
      </w:r>
      <w:r>
        <w:rPr>
          <w:vertAlign w:val="baseline"/>
        </w:rPr>
        <w:t>in which a company issued a “letter of comfort” to a lender in respect of a loan to one of the company’s subsidiaries. The letter stated that “it is our policy that [the subsidiary] is at all times in a position to meet its liabilities”. This was held to be no more than a statement of the present policy of the company: it was not an undertaking that the </w:t>
      </w:r>
      <w:bookmarkStart w:name="_bookmark1224" w:id="1226"/>
      <w:bookmarkEnd w:id="1226"/>
      <w:r>
        <w:rPr>
          <w:vertAlign w:val="baseline"/>
        </w:rPr>
        <w:t>policy</w:t>
      </w:r>
      <w:r>
        <w:rPr>
          <w:vertAlign w:val="baseline"/>
        </w:rPr>
        <w:t> would not be changed since the parties had not intended it to take effect as a contractually binding promise. On the other hand, “[t]he label used by the parties is not necessarily determinative”, </w:t>
      </w:r>
      <w:r>
        <w:rPr>
          <w:color w:val="005DA1"/>
          <w:u w:val="single" w:color="005DA1"/>
          <w:vertAlign w:val="superscript"/>
        </w:rPr>
        <w:t>693</w:t>
      </w:r>
      <w:r>
        <w:rPr>
          <w:color w:val="005DA1"/>
          <w:vertAlign w:val="baseline"/>
        </w:rPr>
        <w:t> </w:t>
      </w:r>
      <w:bookmarkStart w:name="_bookmark1225" w:id="1227"/>
      <w:bookmarkEnd w:id="1227"/>
      <w:r>
        <w:rPr>
          <w:color w:val="005DA1"/>
          <w:spacing w:val="22"/>
          <w:vertAlign w:val="baseline"/>
        </w:rPr>
      </w:r>
      <w:r>
        <w:rPr>
          <w:vertAlign w:val="baseline"/>
        </w:rPr>
        <w:t>so that “sometimes a legal obligation may arise as a matter of construction, notwithstanding the rubric of a letter of comfort”. </w:t>
      </w:r>
      <w:r>
        <w:rPr>
          <w:color w:val="005DA1"/>
          <w:u w:val="single" w:color="005DA1"/>
          <w:vertAlign w:val="superscript"/>
        </w:rPr>
        <w:t>694</w:t>
      </w:r>
      <w:r>
        <w:rPr>
          <w:color w:val="005DA1"/>
          <w:vertAlign w:val="baseline"/>
        </w:rPr>
        <w:t> </w:t>
      </w:r>
      <w:r>
        <w:rPr>
          <w:vertAlign w:val="baseline"/>
        </w:rPr>
        <w:t>Hence where the language of such a document, or of a letter of intent, </w:t>
      </w:r>
      <w:bookmarkStart w:name="_bookmark1226" w:id="1228"/>
      <w:bookmarkEnd w:id="1228"/>
      <w:r>
        <w:rPr>
          <w:vertAlign w:val="baseline"/>
        </w:rPr>
        <w:t>does</w:t>
      </w:r>
      <w:r>
        <w:rPr>
          <w:vertAlign w:val="baseline"/>
        </w:rPr>
        <w:t> not negative contractual intention, it is open to the courts to hold the parties bound by the </w:t>
      </w:r>
      <w:bookmarkStart w:name="_bookmark1227" w:id="1229"/>
      <w:bookmarkEnd w:id="1229"/>
      <w:r>
        <w:rPr>
          <w:vertAlign w:val="baseline"/>
        </w:rPr>
        <w:t>document.</w:t>
      </w:r>
      <w:r>
        <w:rPr>
          <w:vertAlign w:val="baseline"/>
        </w:rPr>
        <w:t> </w:t>
      </w:r>
      <w:r>
        <w:rPr>
          <w:color w:val="005DA1"/>
          <w:u w:val="single" w:color="005DA1"/>
          <w:vertAlign w:val="superscript"/>
        </w:rPr>
        <w:t>695</w:t>
      </w:r>
      <w:r>
        <w:rPr>
          <w:color w:val="005DA1"/>
          <w:vertAlign w:val="baseline"/>
        </w:rPr>
        <w:t> </w:t>
      </w:r>
      <w:r>
        <w:rPr>
          <w:vertAlign w:val="baseline"/>
        </w:rPr>
        <w:t>They will, in particular, be inclined to do so where the parties have acted on the document for a long period of time or have expended considerable sums of money in reliance on it.</w:t>
      </w:r>
      <w:r>
        <w:rPr>
          <w:spacing w:val="-1"/>
          <w:vertAlign w:val="baseline"/>
        </w:rPr>
        <w:t> </w:t>
      </w:r>
      <w:r>
        <w:rPr>
          <w:color w:val="005DA1"/>
          <w:spacing w:val="-4"/>
          <w:u w:val="single" w:color="005DA1"/>
          <w:vertAlign w:val="superscript"/>
        </w:rPr>
        <w:t>696</w:t>
      </w:r>
    </w:p>
    <w:p>
      <w:pPr>
        <w:pStyle w:val="BodyText"/>
        <w:spacing w:line="235" w:lineRule="auto" w:before="114"/>
        <w:ind w:left="165" w:right="167" w:firstLine="169"/>
        <w:jc w:val="both"/>
      </w:pPr>
      <w:r>
        <w:rPr>
          <w:position w:val="-2"/>
        </w:rPr>
        <w:drawing>
          <wp:inline distT="0" distB="0" distL="0" distR="0">
            <wp:extent cx="107988" cy="107988"/>
            <wp:effectExtent l="0" t="0" r="0" b="0"/>
            <wp:docPr id="102" name="Image 102"/>
            <wp:cNvGraphicFramePr>
              <a:graphicFrameLocks/>
            </wp:cNvGraphicFramePr>
            <a:graphic>
              <a:graphicData uri="http://schemas.openxmlformats.org/drawingml/2006/picture">
                <pic:pic>
                  <pic:nvPicPr>
                    <pic:cNvPr id="102" name="Image 10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228" w:id="1230"/>
      <w:bookmarkEnd w:id="1230"/>
      <w:r>
        <w:rPr>
          <w:rFonts w:ascii="Times New Roman"/>
          <w:spacing w:val="-16"/>
        </w:rPr>
      </w:r>
      <w:r>
        <w:rPr/>
        <w:t>The fact that the parties envisage that the letter is to be superseded by a later, more formal, contractual document does not, of itself, prevent the letter from taking effect as a contract. </w:t>
      </w:r>
      <w:r>
        <w:rPr>
          <w:color w:val="005DA1"/>
          <w:u w:val="single" w:color="005DA1"/>
          <w:vertAlign w:val="superscript"/>
        </w:rPr>
        <w:t>697</w:t>
      </w:r>
      <w:r>
        <w:rPr>
          <w:color w:val="005DA1"/>
          <w:vertAlign w:val="baseline"/>
        </w:rPr>
        <w:t> </w:t>
      </w:r>
      <w:r>
        <w:rPr>
          <w:vertAlign w:val="baseline"/>
        </w:rPr>
        <w:t>The</w:t>
      </w:r>
      <w:r>
        <w:rPr>
          <w:spacing w:val="40"/>
          <w:vertAlign w:val="baseline"/>
        </w:rPr>
        <w:t> </w:t>
      </w:r>
      <w:bookmarkStart w:name="_bookmark1229" w:id="1231"/>
      <w:bookmarkEnd w:id="1231"/>
      <w:r>
        <w:rPr>
          <w:vertAlign w:val="baseline"/>
        </w:rPr>
        <w:t>final</w:t>
      </w:r>
      <w:r>
        <w:rPr>
          <w:vertAlign w:val="baseline"/>
        </w:rPr>
        <w:t> possibility is that a letter of intent may be so worded that one part of it has, while the rest of it does not, have, contractual force. In </w:t>
      </w:r>
      <w:r>
        <w:rPr>
          <w:rFonts w:ascii="Arial"/>
          <w:i/>
          <w:vertAlign w:val="baseline"/>
        </w:rPr>
        <w:t>Shaker v VistaJet Group Holding SA</w:t>
      </w:r>
      <w:r>
        <w:rPr>
          <w:vertAlign w:val="baseline"/>
        </w:rPr>
        <w:t>, </w:t>
      </w:r>
      <w:r>
        <w:rPr>
          <w:color w:val="005DA1"/>
          <w:u w:val="single" w:color="005DA1"/>
          <w:vertAlign w:val="superscript"/>
        </w:rPr>
        <w:t>698</w:t>
      </w:r>
      <w:r>
        <w:rPr>
          <w:color w:val="005DA1"/>
          <w:vertAlign w:val="baseline"/>
        </w:rPr>
        <w:t> </w:t>
      </w:r>
      <w:r>
        <w:rPr>
          <w:vertAlign w:val="baseline"/>
        </w:rPr>
        <w:t>one of the terms of a letter of intent (LOI) began with the words:</w:t>
      </w:r>
    </w:p>
    <w:p>
      <w:pPr>
        <w:pStyle w:val="BodyText"/>
      </w:pPr>
    </w:p>
    <w:p>
      <w:pPr>
        <w:pStyle w:val="BodyText"/>
        <w:spacing w:before="124"/>
      </w:pPr>
    </w:p>
    <w:p>
      <w:pPr>
        <w:pStyle w:val="BodyText"/>
        <w:spacing w:line="235" w:lineRule="auto"/>
        <w:ind w:left="1245" w:right="167"/>
        <w:jc w:val="both"/>
      </w:pPr>
      <w:r>
        <w:rPr/>
        <w:t>“Non-binding: other than the provisions relating to the application, payment and refund </w:t>
      </w:r>
      <w:r>
        <w:rPr/>
        <w:t>of the Deposit and the confidentiality provisions hereunder, it is specifically understood as agreed that this letter of intent does not constitute a binding agreement upon the Guarantor, Seller and Buyer to enter into the Transaction Documents.”</w:t>
      </w:r>
    </w:p>
    <w:p>
      <w:pPr>
        <w:pStyle w:val="BodyText"/>
        <w:spacing w:after="0" w:line="235" w:lineRule="auto"/>
        <w:jc w:val="both"/>
        <w:sectPr>
          <w:pgSz w:w="11900" w:h="16840"/>
          <w:pgMar w:header="971" w:footer="0" w:top="1300" w:bottom="280" w:left="1275" w:right="1275"/>
        </w:sectPr>
      </w:pPr>
    </w:p>
    <w:p>
      <w:pPr>
        <w:pStyle w:val="BodyText"/>
        <w:spacing w:before="40"/>
      </w:pPr>
    </w:p>
    <w:p>
      <w:pPr>
        <w:pStyle w:val="BodyText"/>
        <w:spacing w:line="235" w:lineRule="auto"/>
        <w:ind w:left="164" w:right="167"/>
        <w:jc w:val="both"/>
      </w:pPr>
      <w:bookmarkStart w:name="_bookmark1230" w:id="1232"/>
      <w:bookmarkEnd w:id="1232"/>
      <w:r>
        <w:rPr/>
      </w:r>
      <w:r>
        <w:rPr/>
        <w:t>On this basis, it was held that the claimant buyer was contractually entitled to enforce the provisions</w:t>
      </w:r>
      <w:r>
        <w:rPr>
          <w:spacing w:val="40"/>
        </w:rPr>
        <w:t> </w:t>
      </w:r>
      <w:r>
        <w:rPr/>
        <w:t>of the LOI relating to the return of his deposit, </w:t>
      </w:r>
      <w:r>
        <w:rPr>
          <w:color w:val="005DA1"/>
          <w:u w:val="single" w:color="005DA1"/>
          <w:vertAlign w:val="superscript"/>
        </w:rPr>
        <w:t>699</w:t>
      </w:r>
      <w:r>
        <w:rPr>
          <w:color w:val="005DA1"/>
          <w:vertAlign w:val="baseline"/>
        </w:rPr>
        <w:t> </w:t>
      </w:r>
      <w:r>
        <w:rPr>
          <w:vertAlign w:val="baseline"/>
        </w:rPr>
        <w:t>even though other parts of the LOI, in particular, the </w:t>
      </w:r>
      <w:bookmarkStart w:name="_bookmark1231" w:id="1233"/>
      <w:bookmarkEnd w:id="1233"/>
      <w:r>
        <w:rPr>
          <w:vertAlign w:val="baseline"/>
        </w:rPr>
        <w:t>buyer’s</w:t>
      </w:r>
      <w:r>
        <w:rPr>
          <w:spacing w:val="-1"/>
          <w:vertAlign w:val="baseline"/>
        </w:rPr>
        <w:t> </w:t>
      </w:r>
      <w:r>
        <w:rPr>
          <w:vertAlign w:val="baseline"/>
        </w:rPr>
        <w:t>undertaking</w:t>
      </w:r>
      <w:r>
        <w:rPr>
          <w:spacing w:val="-1"/>
          <w:vertAlign w:val="baseline"/>
        </w:rPr>
        <w:t> </w:t>
      </w:r>
      <w:r>
        <w:rPr>
          <w:vertAlign w:val="baseline"/>
        </w:rPr>
        <w:t>to</w:t>
      </w:r>
      <w:r>
        <w:rPr>
          <w:spacing w:val="-1"/>
          <w:vertAlign w:val="baseline"/>
        </w:rPr>
        <w:t> </w:t>
      </w:r>
      <w:r>
        <w:rPr>
          <w:vertAlign w:val="baseline"/>
        </w:rPr>
        <w:t>negotiate</w:t>
      </w:r>
      <w:r>
        <w:rPr>
          <w:spacing w:val="-1"/>
          <w:vertAlign w:val="baseline"/>
        </w:rPr>
        <w:t> </w:t>
      </w:r>
      <w:r>
        <w:rPr>
          <w:vertAlign w:val="baseline"/>
        </w:rPr>
        <w:t>in</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had</w:t>
      </w:r>
      <w:r>
        <w:rPr>
          <w:spacing w:val="-1"/>
          <w:vertAlign w:val="baseline"/>
        </w:rPr>
        <w:t> </w:t>
      </w:r>
      <w:r>
        <w:rPr>
          <w:vertAlign w:val="baseline"/>
        </w:rPr>
        <w:t>no</w:t>
      </w:r>
      <w:r>
        <w:rPr>
          <w:spacing w:val="-1"/>
          <w:vertAlign w:val="baseline"/>
        </w:rPr>
        <w:t> </w:t>
      </w:r>
      <w:r>
        <w:rPr>
          <w:vertAlign w:val="baseline"/>
        </w:rPr>
        <w:t>contractual</w:t>
      </w:r>
      <w:r>
        <w:rPr>
          <w:spacing w:val="-1"/>
          <w:vertAlign w:val="baseline"/>
        </w:rPr>
        <w:t> </w:t>
      </w:r>
      <w:r>
        <w:rPr>
          <w:vertAlign w:val="baseline"/>
        </w:rPr>
        <w:t>force,</w:t>
      </w:r>
      <w:r>
        <w:rPr>
          <w:spacing w:val="-1"/>
          <w:vertAlign w:val="baseline"/>
        </w:rPr>
        <w:t> </w:t>
      </w:r>
      <w:r>
        <w:rPr>
          <w:vertAlign w:val="baseline"/>
        </w:rPr>
        <w:t>because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express</w:t>
      </w:r>
      <w:r>
        <w:rPr>
          <w:spacing w:val="-1"/>
          <w:vertAlign w:val="baseline"/>
        </w:rPr>
        <w:t> </w:t>
      </w:r>
      <w:r>
        <w:rPr>
          <w:vertAlign w:val="baseline"/>
        </w:rPr>
        <w:t>terms of the LOI quoted above. In any case, an undertaking to negotiate in good faith is not binding in law. </w:t>
      </w:r>
      <w:r>
        <w:rPr>
          <w:color w:val="005DA1"/>
          <w:u w:val="single" w:color="005DA1"/>
          <w:vertAlign w:val="superscript"/>
        </w:rPr>
        <w:t>700</w:t>
      </w:r>
      <w:r>
        <w:rPr>
          <w:color w:val="005DA1"/>
          <w:vertAlign w:val="baseline"/>
        </w:rPr>
        <w:t> </w:t>
      </w:r>
      <w:bookmarkStart w:name="_bookmark1232" w:id="1234"/>
      <w:bookmarkEnd w:id="1234"/>
      <w:r>
        <w:rPr>
          <w:color w:val="005DA1"/>
          <w:spacing w:val="16"/>
          <w:vertAlign w:val="baseline"/>
        </w:rPr>
      </w:r>
      <w:r>
        <w:rPr>
          <w:vertAlign w:val="baseline"/>
        </w:rPr>
        <w:t>The binding force of the provisions as to the repayment would not be impaired even if they were </w:t>
      </w:r>
      <w:bookmarkStart w:name="_bookmark1233" w:id="1235"/>
      <w:bookmarkEnd w:id="1235"/>
      <w:r>
        <w:rPr>
          <w:vertAlign w:val="baseline"/>
        </w:rPr>
        <w:t>subject</w:t>
      </w:r>
      <w:r>
        <w:rPr>
          <w:vertAlign w:val="baseline"/>
        </w:rPr>
        <w:t> to a condition precedent </w:t>
      </w:r>
      <w:r>
        <w:rPr>
          <w:color w:val="005DA1"/>
          <w:u w:val="single" w:color="005DA1"/>
          <w:vertAlign w:val="superscript"/>
        </w:rPr>
        <w:t>701</w:t>
      </w:r>
      <w:r>
        <w:rPr>
          <w:color w:val="005DA1"/>
          <w:vertAlign w:val="baseline"/>
        </w:rPr>
        <w:t> </w:t>
      </w:r>
      <w:r>
        <w:rPr>
          <w:vertAlign w:val="baseline"/>
        </w:rPr>
        <w:t>that the buyer should negotiate in good faith, since such a </w:t>
      </w:r>
      <w:r>
        <w:rPr>
          <w:rFonts w:ascii="Arial" w:hAnsi="Arial"/>
          <w:i/>
          <w:vertAlign w:val="baseline"/>
        </w:rPr>
        <w:t>condition </w:t>
      </w:r>
      <w:r>
        <w:rPr>
          <w:vertAlign w:val="baseline"/>
        </w:rPr>
        <w:t>could not, any more than an </w:t>
      </w:r>
      <w:r>
        <w:rPr>
          <w:rFonts w:ascii="Arial" w:hAnsi="Arial"/>
          <w:i/>
          <w:vertAlign w:val="baseline"/>
        </w:rPr>
        <w:t>undertaking </w:t>
      </w:r>
      <w:r>
        <w:rPr>
          <w:vertAlign w:val="baseline"/>
        </w:rPr>
        <w:t>to negotiate in good faith, be enforced in law. </w:t>
      </w:r>
      <w:r>
        <w:rPr>
          <w:color w:val="005DA1"/>
          <w:u w:val="single" w:color="005DA1"/>
          <w:vertAlign w:val="superscript"/>
        </w:rPr>
        <w:t>702</w:t>
      </w:r>
    </w:p>
    <w:p>
      <w:pPr>
        <w:pStyle w:val="BodyText"/>
      </w:pPr>
    </w:p>
    <w:p>
      <w:pPr>
        <w:pStyle w:val="BodyText"/>
        <w:spacing w:before="36"/>
      </w:pPr>
    </w:p>
    <w:p>
      <w:pPr>
        <w:spacing w:before="0"/>
        <w:ind w:left="165" w:right="0" w:firstLine="0"/>
        <w:jc w:val="left"/>
        <w:rPr>
          <w:rFonts w:ascii="Arial" w:hAnsi="Arial"/>
          <w:b/>
          <w:sz w:val="18"/>
        </w:rPr>
      </w:pPr>
      <w:r>
        <w:rPr>
          <w:rFonts w:ascii="Arial" w:hAnsi="Arial"/>
          <w:b/>
          <w:sz w:val="18"/>
        </w:rPr>
        <w:t>Terms “to be </w:t>
      </w:r>
      <w:r>
        <w:rPr>
          <w:rFonts w:ascii="Arial" w:hAnsi="Arial"/>
          <w:b/>
          <w:spacing w:val="-2"/>
          <w:sz w:val="18"/>
        </w:rPr>
        <w:t>agreed”</w:t>
      </w:r>
    </w:p>
    <w:p>
      <w:pPr>
        <w:pStyle w:val="BodyText"/>
        <w:spacing w:before="41"/>
        <w:rPr>
          <w:rFonts w:ascii="Arial"/>
          <w:b/>
          <w:sz w:val="18"/>
        </w:rPr>
      </w:pPr>
    </w:p>
    <w:p>
      <w:pPr>
        <w:pStyle w:val="Heading2"/>
        <w:spacing w:before="1"/>
      </w:pPr>
      <w:r>
        <w:rPr/>
        <w:t>2-</w:t>
      </w:r>
      <w:r>
        <w:rPr>
          <w:spacing w:val="-5"/>
        </w:rPr>
        <w:t>133</w:t>
      </w:r>
    </w:p>
    <w:p>
      <w:pPr>
        <w:pStyle w:val="BodyText"/>
        <w:spacing w:line="235" w:lineRule="auto" w:before="202"/>
        <w:ind w:left="165" w:right="167"/>
        <w:jc w:val="both"/>
      </w:pPr>
      <w:r>
        <w:rPr/>
        <w:t>The</w:t>
      </w:r>
      <w:r>
        <w:rPr>
          <w:spacing w:val="-2"/>
        </w:rPr>
        <w:t> </w:t>
      </w:r>
      <w:r>
        <w:rPr/>
        <w:t>parties</w:t>
      </w:r>
      <w:r>
        <w:rPr>
          <w:spacing w:val="-2"/>
        </w:rPr>
        <w:t> </w:t>
      </w:r>
      <w:r>
        <w:rPr/>
        <w:t>to</w:t>
      </w:r>
      <w:r>
        <w:rPr>
          <w:spacing w:val="-2"/>
        </w:rPr>
        <w:t> </w:t>
      </w:r>
      <w:r>
        <w:rPr/>
        <w:t>an</w:t>
      </w:r>
      <w:r>
        <w:rPr>
          <w:spacing w:val="-2"/>
        </w:rPr>
        <w:t> </w:t>
      </w:r>
      <w:r>
        <w:rPr/>
        <w:t>agreement</w:t>
      </w:r>
      <w:r>
        <w:rPr>
          <w:spacing w:val="-2"/>
        </w:rPr>
        <w:t> </w:t>
      </w:r>
      <w:r>
        <w:rPr/>
        <w:t>may</w:t>
      </w:r>
      <w:r>
        <w:rPr>
          <w:spacing w:val="-2"/>
        </w:rPr>
        <w:t> </w:t>
      </w:r>
      <w:r>
        <w:rPr/>
        <w:t>be</w:t>
      </w:r>
      <w:r>
        <w:rPr>
          <w:spacing w:val="-2"/>
        </w:rPr>
        <w:t> </w:t>
      </w:r>
      <w:r>
        <w:rPr/>
        <w:t>reluctant</w:t>
      </w:r>
      <w:r>
        <w:rPr>
          <w:spacing w:val="-2"/>
        </w:rPr>
        <w:t> </w:t>
      </w:r>
      <w:r>
        <w:rPr/>
        <w:t>to</w:t>
      </w:r>
      <w:r>
        <w:rPr>
          <w:spacing w:val="-2"/>
        </w:rPr>
        <w:t> </w:t>
      </w:r>
      <w:r>
        <w:rPr/>
        <w:t>commit</w:t>
      </w:r>
      <w:r>
        <w:rPr>
          <w:spacing w:val="-2"/>
        </w:rPr>
        <w:t> </w:t>
      </w:r>
      <w:r>
        <w:rPr/>
        <w:t>themselves</w:t>
      </w:r>
      <w:r>
        <w:rPr>
          <w:spacing w:val="-2"/>
        </w:rPr>
        <w:t> </w:t>
      </w:r>
      <w:r>
        <w:rPr/>
        <w:t>to</w:t>
      </w:r>
      <w:r>
        <w:rPr>
          <w:spacing w:val="-2"/>
        </w:rPr>
        <w:t> </w:t>
      </w:r>
      <w:r>
        <w:rPr/>
        <w:t>a</w:t>
      </w:r>
      <w:r>
        <w:rPr>
          <w:spacing w:val="-2"/>
        </w:rPr>
        <w:t> </w:t>
      </w:r>
      <w:r>
        <w:rPr/>
        <w:t>rigid</w:t>
      </w:r>
      <w:r>
        <w:rPr>
          <w:spacing w:val="-2"/>
        </w:rPr>
        <w:t> </w:t>
      </w:r>
      <w:r>
        <w:rPr/>
        <w:t>long-term</w:t>
      </w:r>
      <w:r>
        <w:rPr>
          <w:spacing w:val="-2"/>
        </w:rPr>
        <w:t> </w:t>
      </w:r>
      <w:r>
        <w:rPr/>
        <w:t>arrangement, particularly when prices and other circumstances affecting performance are likely to fluctuate. </w:t>
      </w:r>
      <w:r>
        <w:rPr/>
        <w:t>They sometimes attempt to introduce an element of flexibility by providing that certain terms are to be </w:t>
      </w:r>
      <w:bookmarkStart w:name="_bookmark1234" w:id="1236"/>
      <w:bookmarkEnd w:id="1236"/>
      <w:r>
        <w:rPr/>
        <w:t>agreed</w:t>
      </w:r>
      <w:r>
        <w:rPr/>
        <w:t> later, or from time to time. The result of such a provision may be to make the agreement so uncertain that it cannot be enforced. In </w:t>
      </w:r>
      <w:r>
        <w:rPr>
          <w:rFonts w:ascii="Arial" w:hAnsi="Arial"/>
          <w:i/>
        </w:rPr>
        <w:t>May &amp; Butcher v R. </w:t>
      </w:r>
      <w:r>
        <w:rPr>
          <w:color w:val="005DA1"/>
          <w:u w:val="single" w:color="005DA1"/>
          <w:vertAlign w:val="superscript"/>
        </w:rPr>
        <w:t>703</w:t>
      </w:r>
      <w:r>
        <w:rPr>
          <w:color w:val="005DA1"/>
          <w:vertAlign w:val="baseline"/>
        </w:rPr>
        <w:t> </w:t>
      </w:r>
      <w:r>
        <w:rPr>
          <w:vertAlign w:val="baseline"/>
        </w:rPr>
        <w:t>an agreement for the sale of tentage provided that the price, dates of payment and manner of delivery should be agreed from time to time. The House of Lords held that the agreement was incomplete as it left vital matters to be settled. Had </w:t>
      </w:r>
      <w:bookmarkStart w:name="_bookmark1235" w:id="1237"/>
      <w:bookmarkEnd w:id="1237"/>
      <w:r>
        <w:rPr>
          <w:vertAlign w:val="baseline"/>
        </w:rPr>
        <w:t>the</w:t>
      </w:r>
      <w:r>
        <w:rPr>
          <w:vertAlign w:val="baseline"/>
        </w:rPr>
        <w:t> agreement simply been silent on these points, they could perhaps have been settled in </w:t>
      </w:r>
      <w:bookmarkStart w:name="_bookmark1236" w:id="1238"/>
      <w:bookmarkEnd w:id="1238"/>
      <w:r>
        <w:rPr>
          <w:vertAlign w:val="baseline"/>
        </w:rPr>
        <w:t>accordance</w:t>
      </w:r>
      <w:r>
        <w:rPr>
          <w:vertAlign w:val="baseline"/>
        </w:rPr>
        <w:t> with the provisions of the Sale of Goods Act 1979 </w:t>
      </w:r>
      <w:r>
        <w:rPr>
          <w:color w:val="005DA1"/>
          <w:u w:val="single" w:color="005DA1"/>
          <w:vertAlign w:val="superscript"/>
        </w:rPr>
        <w:t>704</w:t>
      </w:r>
      <w:r>
        <w:rPr>
          <w:color w:val="005DA1"/>
          <w:vertAlign w:val="baseline"/>
        </w:rPr>
        <w:t> </w:t>
      </w:r>
      <w:r>
        <w:rPr>
          <w:vertAlign w:val="baseline"/>
        </w:rPr>
        <w:t>or by the standard of </w:t>
      </w:r>
      <w:bookmarkStart w:name="_bookmark1237" w:id="1239"/>
      <w:bookmarkEnd w:id="1239"/>
      <w:r>
        <w:rPr>
          <w:vertAlign w:val="baseline"/>
        </w:rPr>
        <w:t>reasonableness</w:t>
      </w:r>
      <w:r>
        <w:rPr>
          <w:spacing w:val="-3"/>
          <w:vertAlign w:val="baseline"/>
        </w:rPr>
        <w:t> </w:t>
      </w:r>
      <w:r>
        <w:rPr>
          <w:color w:val="005DA1"/>
          <w:u w:val="single" w:color="005DA1"/>
          <w:vertAlign w:val="superscript"/>
        </w:rPr>
        <w:t>705</w:t>
      </w:r>
      <w:r>
        <w:rPr>
          <w:vertAlign w:val="baseline"/>
        </w:rPr>
        <w:t>;</w:t>
      </w:r>
      <w:r>
        <w:rPr>
          <w:spacing w:val="-2"/>
          <w:vertAlign w:val="baseline"/>
        </w:rPr>
        <w:t> </w:t>
      </w:r>
      <w:r>
        <w:rPr>
          <w:vertAlign w:val="baseline"/>
        </w:rPr>
        <w:t>but</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agreement</w:t>
      </w:r>
      <w:r>
        <w:rPr>
          <w:spacing w:val="-2"/>
          <w:vertAlign w:val="baseline"/>
        </w:rPr>
        <w:t> </w:t>
      </w:r>
      <w:r>
        <w:rPr>
          <w:vertAlign w:val="baseline"/>
        </w:rPr>
        <w:t>precluded</w:t>
      </w:r>
      <w:r>
        <w:rPr>
          <w:spacing w:val="-2"/>
          <w:vertAlign w:val="baseline"/>
        </w:rPr>
        <w:t> </w:t>
      </w:r>
      <w:r>
        <w:rPr>
          <w:vertAlign w:val="baseline"/>
        </w:rPr>
        <w:t>this</w:t>
      </w:r>
      <w:r>
        <w:rPr>
          <w:spacing w:val="-2"/>
          <w:vertAlign w:val="baseline"/>
        </w:rPr>
        <w:t> </w:t>
      </w:r>
      <w:r>
        <w:rPr>
          <w:vertAlign w:val="baseline"/>
        </w:rPr>
        <w:t>by</w:t>
      </w:r>
      <w:r>
        <w:rPr>
          <w:spacing w:val="-2"/>
          <w:vertAlign w:val="baseline"/>
        </w:rPr>
        <w:t> </w:t>
      </w:r>
      <w:r>
        <w:rPr>
          <w:vertAlign w:val="baseline"/>
        </w:rPr>
        <w:t>providing</w:t>
      </w:r>
      <w:r>
        <w:rPr>
          <w:spacing w:val="-2"/>
          <w:vertAlign w:val="baseline"/>
        </w:rPr>
        <w:t> </w:t>
      </w:r>
      <w:r>
        <w:rPr>
          <w:vertAlign w:val="baseline"/>
        </w:rPr>
        <w:t>that</w:t>
      </w:r>
      <w:r>
        <w:rPr>
          <w:spacing w:val="-2"/>
          <w:vertAlign w:val="baseline"/>
        </w:rPr>
        <w:t> </w:t>
      </w:r>
      <w:r>
        <w:rPr>
          <w:vertAlign w:val="baseline"/>
        </w:rPr>
        <w:t>such</w:t>
      </w:r>
      <w:r>
        <w:rPr>
          <w:spacing w:val="-2"/>
          <w:vertAlign w:val="baseline"/>
        </w:rPr>
        <w:t> </w:t>
      </w:r>
      <w:r>
        <w:rPr>
          <w:vertAlign w:val="baseline"/>
        </w:rPr>
        <w:t>points</w:t>
      </w:r>
      <w:r>
        <w:rPr>
          <w:spacing w:val="-2"/>
          <w:vertAlign w:val="baseline"/>
        </w:rPr>
        <w:t> </w:t>
      </w:r>
      <w:r>
        <w:rPr>
          <w:vertAlign w:val="baseline"/>
        </w:rPr>
        <w:t>were</w:t>
      </w:r>
      <w:r>
        <w:rPr>
          <w:spacing w:val="-2"/>
          <w:vertAlign w:val="baseline"/>
        </w:rPr>
        <w:t> </w:t>
      </w:r>
      <w:r>
        <w:rPr>
          <w:vertAlign w:val="baseline"/>
        </w:rPr>
        <w:t>to</w:t>
      </w:r>
      <w:r>
        <w:rPr>
          <w:spacing w:val="-2"/>
          <w:vertAlign w:val="baseline"/>
        </w:rPr>
        <w:t> </w:t>
      </w:r>
      <w:r>
        <w:rPr>
          <w:vertAlign w:val="baseline"/>
        </w:rPr>
        <w:t>be </w:t>
      </w:r>
      <w:bookmarkStart w:name="_bookmark1238" w:id="1240"/>
      <w:bookmarkEnd w:id="1240"/>
      <w:r>
        <w:rPr>
          <w:vertAlign w:val="baseline"/>
        </w:rPr>
        <w:t>settled</w:t>
      </w:r>
      <w:r>
        <w:rPr>
          <w:vertAlign w:val="baseline"/>
        </w:rPr>
        <w:t> by further agreement between them. </w:t>
      </w:r>
      <w:r>
        <w:rPr>
          <w:color w:val="005DA1"/>
          <w:u w:val="single" w:color="005DA1"/>
          <w:vertAlign w:val="superscript"/>
        </w:rPr>
        <w:t>706</w:t>
      </w:r>
      <w:r>
        <w:rPr>
          <w:color w:val="005DA1"/>
          <w:vertAlign w:val="baseline"/>
        </w:rPr>
        <w:t> </w:t>
      </w:r>
      <w:r>
        <w:rPr>
          <w:vertAlign w:val="baseline"/>
        </w:rPr>
        <w:t>Similarly, a lease at “a rent to be agreed” is not a binding contract. </w:t>
      </w:r>
      <w:r>
        <w:rPr>
          <w:color w:val="005DA1"/>
          <w:u w:val="single" w:color="005DA1"/>
          <w:vertAlign w:val="superscript"/>
        </w:rPr>
        <w:t>707</w:t>
      </w:r>
      <w:r>
        <w:rPr>
          <w:color w:val="005DA1"/>
          <w:vertAlign w:val="baseline"/>
        </w:rPr>
        <w:t> </w:t>
      </w:r>
      <w:r>
        <w:rPr>
          <w:vertAlign w:val="baseline"/>
        </w:rPr>
        <w:t>In the above cases, the most natural inference to be drawn from the fact that the parties left such an important matter as the price to be settled by further agreement was that they did not intend to be bound until they had agreed on the price. Even where the points left outstanding are of relatively minor importance, there will be no contract if it appears from the words used or other </w:t>
      </w:r>
      <w:bookmarkStart w:name="_bookmark1239" w:id="1241"/>
      <w:bookmarkEnd w:id="1241"/>
      <w:r>
        <w:rPr>
          <w:vertAlign w:val="baseline"/>
        </w:rPr>
        <w:t>circumstances</w:t>
      </w:r>
      <w:r>
        <w:rPr>
          <w:vertAlign w:val="baseline"/>
        </w:rPr>
        <w:t> that the parties did not intend to be bound until agreement on these points had been reached. </w:t>
      </w:r>
      <w:r>
        <w:rPr>
          <w:color w:val="005DA1"/>
          <w:u w:val="single" w:color="005DA1"/>
          <w:vertAlign w:val="superscript"/>
        </w:rPr>
        <w:t>708</w:t>
      </w:r>
      <w:r>
        <w:rPr>
          <w:color w:val="005DA1"/>
          <w:vertAlign w:val="baseline"/>
        </w:rPr>
        <w:t> </w:t>
      </w:r>
      <w:r>
        <w:rPr>
          <w:vertAlign w:val="baseline"/>
        </w:rPr>
        <w:t>A fortiori parties are not bound by a term requiring outstanding points to be agreed if that </w:t>
      </w:r>
      <w:bookmarkStart w:name="_bookmark1240" w:id="1242"/>
      <w:bookmarkEnd w:id="1242"/>
      <w:r>
        <w:rPr>
          <w:vertAlign w:val="baseline"/>
        </w:rPr>
        <w:t>term</w:t>
      </w:r>
      <w:r>
        <w:rPr>
          <w:vertAlign w:val="baseline"/>
        </w:rPr>
        <w:t> forms part of an agreement which is itself not binding because it was made without any intention of entering into contractual relations. </w:t>
      </w:r>
      <w:r>
        <w:rPr>
          <w:color w:val="005DA1"/>
          <w:u w:val="single" w:color="005DA1"/>
          <w:vertAlign w:val="superscript"/>
        </w:rPr>
        <w:t>709</w:t>
      </w:r>
    </w:p>
    <w:p>
      <w:pPr>
        <w:pStyle w:val="BodyText"/>
      </w:pPr>
    </w:p>
    <w:p>
      <w:pPr>
        <w:pStyle w:val="BodyText"/>
        <w:spacing w:before="31"/>
      </w:pPr>
    </w:p>
    <w:p>
      <w:pPr>
        <w:spacing w:before="1"/>
        <w:ind w:left="165" w:right="0" w:firstLine="0"/>
        <w:jc w:val="left"/>
        <w:rPr>
          <w:rFonts w:ascii="Arial"/>
          <w:b/>
          <w:sz w:val="18"/>
        </w:rPr>
      </w:pPr>
      <w:r>
        <w:rPr>
          <w:rFonts w:ascii="Arial"/>
          <w:b/>
          <w:sz w:val="18"/>
        </w:rPr>
        <w:t>Options and rights of pre-</w:t>
      </w:r>
      <w:r>
        <w:rPr>
          <w:rFonts w:ascii="Arial"/>
          <w:b/>
          <w:spacing w:val="-2"/>
          <w:sz w:val="18"/>
        </w:rPr>
        <w:t>emption</w:t>
      </w:r>
    </w:p>
    <w:p>
      <w:pPr>
        <w:pStyle w:val="BodyText"/>
        <w:spacing w:before="41"/>
        <w:rPr>
          <w:rFonts w:ascii="Arial"/>
          <w:b/>
          <w:sz w:val="18"/>
        </w:rPr>
      </w:pPr>
    </w:p>
    <w:p>
      <w:pPr>
        <w:pStyle w:val="Heading2"/>
      </w:pPr>
      <w:r>
        <w:rPr/>
        <w:t>2-</w:t>
      </w:r>
      <w:r>
        <w:rPr>
          <w:spacing w:val="-5"/>
        </w:rPr>
        <w:t>134</w:t>
      </w:r>
    </w:p>
    <w:p>
      <w:pPr>
        <w:pStyle w:val="BodyText"/>
        <w:spacing w:line="235" w:lineRule="auto" w:before="203"/>
        <w:ind w:left="164" w:right="167"/>
        <w:jc w:val="both"/>
      </w:pPr>
      <w:bookmarkStart w:name="_bookmark1241" w:id="1243"/>
      <w:bookmarkEnd w:id="1243"/>
      <w:r>
        <w:rPr/>
      </w:r>
      <w:r>
        <w:rPr/>
        <w:t>It follows from the principle stated in para.2-133 above that an option to sell land “at a price to be </w:t>
      </w:r>
      <w:bookmarkStart w:name="_bookmark1242" w:id="1244"/>
      <w:bookmarkEnd w:id="1244"/>
      <w:r>
        <w:rPr/>
        <w:t>agreed”</w:t>
      </w:r>
      <w:r>
        <w:rPr>
          <w:spacing w:val="40"/>
        </w:rPr>
        <w:t> </w:t>
      </w:r>
      <w:r>
        <w:rPr/>
        <w:t>is</w:t>
      </w:r>
      <w:r>
        <w:rPr>
          <w:spacing w:val="40"/>
        </w:rPr>
        <w:t> </w:t>
      </w:r>
      <w:r>
        <w:rPr/>
        <w:t>not</w:t>
      </w:r>
      <w:r>
        <w:rPr>
          <w:spacing w:val="40"/>
        </w:rPr>
        <w:t> </w:t>
      </w:r>
      <w:r>
        <w:rPr/>
        <w:t>a</w:t>
      </w:r>
      <w:r>
        <w:rPr>
          <w:spacing w:val="40"/>
        </w:rPr>
        <w:t> </w:t>
      </w:r>
      <w:r>
        <w:rPr/>
        <w:t>binding</w:t>
      </w:r>
      <w:r>
        <w:rPr>
          <w:spacing w:val="40"/>
        </w:rPr>
        <w:t> </w:t>
      </w:r>
      <w:r>
        <w:rPr/>
        <w:t>contract</w:t>
      </w:r>
      <w:r>
        <w:rPr>
          <w:spacing w:val="40"/>
        </w:rPr>
        <w:t> </w:t>
      </w:r>
      <w:r>
        <w:rPr>
          <w:color w:val="005DA1"/>
          <w:u w:val="single" w:color="005DA1"/>
          <w:vertAlign w:val="superscript"/>
        </w:rPr>
        <w:t>710</w:t>
      </w:r>
      <w:r>
        <w:rPr>
          <w:vertAlign w:val="baseline"/>
        </w:rPr>
        <w:t>;</w:t>
      </w:r>
      <w:r>
        <w:rPr>
          <w:spacing w:val="40"/>
          <w:vertAlign w:val="baseline"/>
        </w:rPr>
        <w:t> </w:t>
      </w:r>
      <w:r>
        <w:rPr>
          <w:vertAlign w:val="baseline"/>
        </w:rPr>
        <w:t>but</w:t>
      </w:r>
      <w:r>
        <w:rPr>
          <w:spacing w:val="40"/>
          <w:vertAlign w:val="baseline"/>
        </w:rPr>
        <w:t> </w:t>
      </w:r>
      <w:r>
        <w:rPr>
          <w:vertAlign w:val="baseline"/>
        </w:rPr>
        <w:t>such</w:t>
      </w:r>
      <w:r>
        <w:rPr>
          <w:spacing w:val="40"/>
          <w:vertAlign w:val="baseline"/>
        </w:rPr>
        <w:t> </w:t>
      </w:r>
      <w:r>
        <w:rPr>
          <w:vertAlign w:val="baseline"/>
        </w:rPr>
        <w:t>an</w:t>
      </w:r>
      <w:r>
        <w:rPr>
          <w:spacing w:val="40"/>
          <w:vertAlign w:val="baseline"/>
        </w:rPr>
        <w:t> </w:t>
      </w:r>
      <w:r>
        <w:rPr>
          <w:vertAlign w:val="baseline"/>
        </w:rPr>
        <w:t>option</w:t>
      </w:r>
      <w:r>
        <w:rPr>
          <w:spacing w:val="40"/>
          <w:vertAlign w:val="baseline"/>
        </w:rPr>
        <w:t> </w:t>
      </w:r>
      <w:r>
        <w:rPr>
          <w:vertAlign w:val="baseline"/>
        </w:rPr>
        <w:t>must</w:t>
      </w:r>
      <w:r>
        <w:rPr>
          <w:spacing w:val="40"/>
          <w:vertAlign w:val="baseline"/>
        </w:rPr>
        <w:t> </w:t>
      </w:r>
      <w:r>
        <w:rPr>
          <w:vertAlign w:val="baseline"/>
        </w:rPr>
        <w:t>be</w:t>
      </w:r>
      <w:r>
        <w:rPr>
          <w:spacing w:val="40"/>
          <w:vertAlign w:val="baseline"/>
        </w:rPr>
        <w:t> </w:t>
      </w:r>
      <w:r>
        <w:rPr>
          <w:vertAlign w:val="baseline"/>
        </w:rPr>
        <w:t>distinguished</w:t>
      </w:r>
      <w:r>
        <w:rPr>
          <w:spacing w:val="40"/>
          <w:vertAlign w:val="baseline"/>
        </w:rPr>
        <w:t> </w:t>
      </w:r>
      <w:r>
        <w:rPr>
          <w:vertAlign w:val="baseline"/>
        </w:rPr>
        <w:t>from</w:t>
      </w:r>
      <w:r>
        <w:rPr>
          <w:spacing w:val="40"/>
          <w:vertAlign w:val="baseline"/>
        </w:rPr>
        <w:t> </w:t>
      </w:r>
      <w:r>
        <w:rPr>
          <w:vertAlign w:val="baseline"/>
        </w:rPr>
        <w:t>a</w:t>
      </w:r>
      <w:r>
        <w:rPr>
          <w:spacing w:val="40"/>
          <w:vertAlign w:val="baseline"/>
        </w:rPr>
        <w:t> </w:t>
      </w:r>
      <w:r>
        <w:rPr>
          <w:vertAlign w:val="baseline"/>
        </w:rPr>
        <w:t>“right</w:t>
      </w:r>
      <w:r>
        <w:rPr>
          <w:spacing w:val="40"/>
          <w:vertAlign w:val="baseline"/>
        </w:rPr>
        <w:t> </w:t>
      </w:r>
      <w:r>
        <w:rPr>
          <w:vertAlign w:val="baseline"/>
        </w:rPr>
        <w:t>of </w:t>
      </w:r>
      <w:bookmarkStart w:name="_bookmark1243" w:id="1245"/>
      <w:bookmarkEnd w:id="1245"/>
      <w:r>
        <w:rPr>
          <w:vertAlign w:val="baseline"/>
        </w:rPr>
        <w:t>pre</w:t>
      </w:r>
      <w:r>
        <w:rPr>
          <w:vertAlign w:val="baseline"/>
        </w:rPr>
        <w:t>-emption” </w:t>
      </w:r>
      <w:r>
        <w:rPr>
          <w:color w:val="005DA1"/>
          <w:u w:val="single" w:color="005DA1"/>
          <w:vertAlign w:val="superscript"/>
        </w:rPr>
        <w:t>711</w:t>
      </w:r>
      <w:r>
        <w:rPr>
          <w:color w:val="005DA1"/>
          <w:vertAlign w:val="baseline"/>
        </w:rPr>
        <w:t> </w:t>
      </w:r>
      <w:r>
        <w:rPr>
          <w:vertAlign w:val="baseline"/>
        </w:rPr>
        <w:t>by which a landowner agrees to give the purchaser the right to buy “at a figure to be </w:t>
      </w:r>
      <w:bookmarkStart w:name="_bookmark1244" w:id="1246"/>
      <w:bookmarkEnd w:id="1246"/>
      <w:r>
        <w:rPr>
          <w:vertAlign w:val="baseline"/>
        </w:rPr>
        <w:t>agreed”</w:t>
      </w:r>
      <w:r>
        <w:rPr>
          <w:vertAlign w:val="baseline"/>
        </w:rPr>
        <w:t> should the landowner wish to sell. </w:t>
      </w:r>
      <w:r>
        <w:rPr>
          <w:color w:val="005DA1"/>
          <w:u w:val="single" w:color="005DA1"/>
          <w:vertAlign w:val="superscript"/>
        </w:rPr>
        <w:t>712</w:t>
      </w:r>
      <w:r>
        <w:rPr>
          <w:color w:val="005DA1"/>
          <w:vertAlign w:val="baseline"/>
        </w:rPr>
        <w:t> </w:t>
      </w:r>
      <w:r>
        <w:rPr>
          <w:vertAlign w:val="baseline"/>
        </w:rPr>
        <w:t>An </w:t>
      </w:r>
      <w:r>
        <w:rPr>
          <w:rFonts w:ascii="Arial" w:hAnsi="Arial"/>
          <w:i/>
          <w:vertAlign w:val="baseline"/>
        </w:rPr>
        <w:t>option </w:t>
      </w:r>
      <w:r>
        <w:rPr>
          <w:vertAlign w:val="baseline"/>
        </w:rPr>
        <w:t>has at least some of the characteristics of an offer</w:t>
      </w:r>
      <w:r>
        <w:rPr>
          <w:spacing w:val="-3"/>
          <w:vertAlign w:val="baseline"/>
        </w:rPr>
        <w:t> </w:t>
      </w:r>
      <w:r>
        <w:rPr>
          <w:color w:val="005DA1"/>
          <w:u w:val="single" w:color="005DA1"/>
          <w:vertAlign w:val="superscript"/>
        </w:rPr>
        <w:t>713</w:t>
      </w:r>
      <w:r>
        <w:rPr>
          <w:color w:val="005DA1"/>
          <w:spacing w:val="-3"/>
          <w:vertAlign w:val="baseline"/>
        </w:rPr>
        <w:t> </w:t>
      </w:r>
      <w:r>
        <w:rPr>
          <w:vertAlign w:val="baseline"/>
        </w:rPr>
        <w:t>in</w:t>
      </w:r>
      <w:r>
        <w:rPr>
          <w:spacing w:val="-3"/>
          <w:vertAlign w:val="baseline"/>
        </w:rPr>
        <w:t> </w:t>
      </w:r>
      <w:r>
        <w:rPr>
          <w:vertAlign w:val="baseline"/>
        </w:rPr>
        <w:t>that</w:t>
      </w:r>
      <w:r>
        <w:rPr>
          <w:spacing w:val="-3"/>
          <w:vertAlign w:val="baseline"/>
        </w:rPr>
        <w:t> </w:t>
      </w:r>
      <w:r>
        <w:rPr>
          <w:vertAlign w:val="baseline"/>
        </w:rPr>
        <w:t>it</w:t>
      </w:r>
      <w:r>
        <w:rPr>
          <w:spacing w:val="-3"/>
          <w:vertAlign w:val="baseline"/>
        </w:rPr>
        <w:t> </w:t>
      </w:r>
      <w:r>
        <w:rPr>
          <w:vertAlign w:val="baseline"/>
        </w:rPr>
        <w:t>can</w:t>
      </w:r>
      <w:r>
        <w:rPr>
          <w:spacing w:val="-3"/>
          <w:vertAlign w:val="baseline"/>
        </w:rPr>
        <w:t> </w:t>
      </w:r>
      <w:r>
        <w:rPr>
          <w:vertAlign w:val="baseline"/>
        </w:rPr>
        <w:t>become</w:t>
      </w:r>
      <w:r>
        <w:rPr>
          <w:spacing w:val="-3"/>
          <w:vertAlign w:val="baseline"/>
        </w:rPr>
        <w:t> </w:t>
      </w:r>
      <w:r>
        <w:rPr>
          <w:vertAlign w:val="baseline"/>
        </w:rPr>
        <w:t>a</w:t>
      </w:r>
      <w:r>
        <w:rPr>
          <w:spacing w:val="-3"/>
          <w:vertAlign w:val="baseline"/>
        </w:rPr>
        <w:t> </w:t>
      </w:r>
      <w:r>
        <w:rPr>
          <w:vertAlign w:val="baseline"/>
        </w:rPr>
        <w:t>contract</w:t>
      </w:r>
      <w:r>
        <w:rPr>
          <w:spacing w:val="-3"/>
          <w:vertAlign w:val="baseline"/>
        </w:rPr>
        <w:t> </w:t>
      </w:r>
      <w:r>
        <w:rPr>
          <w:vertAlign w:val="baseline"/>
        </w:rPr>
        <w:t>of</w:t>
      </w:r>
      <w:r>
        <w:rPr>
          <w:spacing w:val="-3"/>
          <w:vertAlign w:val="baseline"/>
        </w:rPr>
        <w:t> </w:t>
      </w:r>
      <w:r>
        <w:rPr>
          <w:vertAlign w:val="baseline"/>
        </w:rPr>
        <w:t>sale</w:t>
      </w:r>
      <w:r>
        <w:rPr>
          <w:spacing w:val="-3"/>
          <w:vertAlign w:val="baseline"/>
        </w:rPr>
        <w:t> </w:t>
      </w:r>
      <w:r>
        <w:rPr>
          <w:vertAlign w:val="baseline"/>
        </w:rPr>
        <w:t>when</w:t>
      </w:r>
      <w:r>
        <w:rPr>
          <w:spacing w:val="-3"/>
          <w:vertAlign w:val="baseline"/>
        </w:rPr>
        <w:t> </w:t>
      </w:r>
      <w:r>
        <w:rPr>
          <w:vertAlign w:val="baseline"/>
        </w:rPr>
        <w:t>the</w:t>
      </w:r>
      <w:r>
        <w:rPr>
          <w:spacing w:val="-3"/>
          <w:vertAlign w:val="baseline"/>
        </w:rPr>
        <w:t> </w:t>
      </w:r>
      <w:r>
        <w:rPr>
          <w:vertAlign w:val="baseline"/>
        </w:rPr>
        <w:t>purchaser</w:t>
      </w:r>
      <w:r>
        <w:rPr>
          <w:spacing w:val="-3"/>
          <w:vertAlign w:val="baseline"/>
        </w:rPr>
        <w:t> </w:t>
      </w:r>
      <w:r>
        <w:rPr>
          <w:vertAlign w:val="baseline"/>
        </w:rPr>
        <w:t>accepts</w:t>
      </w:r>
      <w:r>
        <w:rPr>
          <w:spacing w:val="-3"/>
          <w:vertAlign w:val="baseline"/>
        </w:rPr>
        <w:t> </w:t>
      </w:r>
      <w:r>
        <w:rPr>
          <w:vertAlign w:val="baseline"/>
        </w:rPr>
        <w:t>it</w:t>
      </w:r>
      <w:r>
        <w:rPr>
          <w:spacing w:val="-3"/>
          <w:vertAlign w:val="baseline"/>
        </w:rPr>
        <w:t> </w:t>
      </w:r>
      <w:r>
        <w:rPr>
          <w:vertAlign w:val="baseline"/>
        </w:rPr>
        <w:t>by</w:t>
      </w:r>
      <w:r>
        <w:rPr>
          <w:spacing w:val="-3"/>
          <w:vertAlign w:val="baseline"/>
        </w:rPr>
        <w:t> </w:t>
      </w:r>
      <w:r>
        <w:rPr>
          <w:vertAlign w:val="baseline"/>
        </w:rPr>
        <w:t>exercising</w:t>
      </w:r>
      <w:r>
        <w:rPr>
          <w:spacing w:val="-3"/>
          <w:vertAlign w:val="baseline"/>
        </w:rPr>
        <w:t> </w:t>
      </w:r>
      <w:r>
        <w:rPr>
          <w:vertAlign w:val="baseline"/>
        </w:rPr>
        <w:t>the</w:t>
      </w:r>
      <w:r>
        <w:rPr>
          <w:spacing w:val="-3"/>
          <w:vertAlign w:val="baseline"/>
        </w:rPr>
        <w:t> </w:t>
      </w:r>
      <w:r>
        <w:rPr>
          <w:vertAlign w:val="baseline"/>
        </w:rPr>
        <w:t>option </w:t>
      </w:r>
      <w:r>
        <w:rPr>
          <w:color w:val="005DA1"/>
          <w:u w:val="single" w:color="005DA1"/>
          <w:vertAlign w:val="superscript"/>
        </w:rPr>
        <w:t>714</w:t>
      </w:r>
      <w:bookmarkStart w:name="_bookmark1245" w:id="1247"/>
      <w:bookmarkEnd w:id="1247"/>
      <w:r>
        <w:rPr>
          <w:color w:val="005DA1"/>
          <w:spacing w:val="-1"/>
          <w:vertAlign w:val="baseline"/>
        </w:rPr>
      </w:r>
      <w:r>
        <w:rPr>
          <w:vertAlign w:val="baseline"/>
        </w:rPr>
        <w:t>; and it cannot have this effect where it fails to specify the price. A </w:t>
      </w:r>
      <w:r>
        <w:rPr>
          <w:rFonts w:ascii="Arial" w:hAnsi="Arial"/>
          <w:i/>
          <w:vertAlign w:val="baseline"/>
        </w:rPr>
        <w:t>right of pre-emption</w:t>
      </w:r>
      <w:r>
        <w:rPr>
          <w:vertAlign w:val="baseline"/>
        </w:rPr>
        <w:t>, on the other </w:t>
      </w:r>
      <w:bookmarkStart w:name="_bookmark1246" w:id="1248"/>
      <w:bookmarkEnd w:id="1248"/>
      <w:r>
        <w:rPr>
          <w:vertAlign w:val="baseline"/>
        </w:rPr>
        <w:t>hand,</w:t>
      </w:r>
      <w:r>
        <w:rPr>
          <w:vertAlign w:val="baseline"/>
        </w:rPr>
        <w:t> is not itself an offer </w:t>
      </w:r>
      <w:r>
        <w:rPr>
          <w:color w:val="005DA1"/>
          <w:u w:val="single" w:color="005DA1"/>
          <w:vertAlign w:val="superscript"/>
        </w:rPr>
        <w:t>715</w:t>
      </w:r>
      <w:r>
        <w:rPr>
          <w:color w:val="005DA1"/>
          <w:vertAlign w:val="baseline"/>
        </w:rPr>
        <w:t> </w:t>
      </w:r>
      <w:r>
        <w:rPr>
          <w:vertAlign w:val="baseline"/>
        </w:rPr>
        <w:t>but an undertaking to make an offer in certain specified future circumstances. </w:t>
      </w:r>
      <w:r>
        <w:rPr>
          <w:color w:val="005DA1"/>
          <w:u w:val="single" w:color="005DA1"/>
          <w:vertAlign w:val="superscript"/>
        </w:rPr>
        <w:t>716</w:t>
      </w:r>
      <w:r>
        <w:rPr>
          <w:color w:val="005DA1"/>
          <w:vertAlign w:val="baseline"/>
        </w:rPr>
        <w:t> </w:t>
      </w:r>
      <w:r>
        <w:rPr>
          <w:vertAlign w:val="baseline"/>
        </w:rPr>
        <w:t>An agreement conferring such a right is, therefore, not void for uncertainty merely because it fails to specify the price. It obliges the landowner to offer the land to the purchaser at a </w:t>
      </w:r>
      <w:bookmarkStart w:name="_bookmark1247" w:id="1249"/>
      <w:bookmarkEnd w:id="1249"/>
      <w:r>
        <w:rPr>
          <w:vertAlign w:val="baseline"/>
        </w:rPr>
        <w:t>price</w:t>
      </w:r>
      <w:r>
        <w:rPr>
          <w:vertAlign w:val="baseline"/>
        </w:rPr>
        <w:t> at which he is in fact prepared to sell; and if the purchaser accepts that offer there is no </w:t>
      </w:r>
      <w:bookmarkStart w:name="_bookmark1248" w:id="1250"/>
      <w:bookmarkEnd w:id="1250"/>
      <w:r>
        <w:rPr>
          <w:vertAlign w:val="baseline"/>
        </w:rPr>
        <w:t>uncertainty</w:t>
      </w:r>
      <w:r>
        <w:rPr>
          <w:vertAlign w:val="baseline"/>
        </w:rPr>
        <w:t> as to price. </w:t>
      </w:r>
      <w:r>
        <w:rPr>
          <w:color w:val="005DA1"/>
          <w:u w:val="single" w:color="005DA1"/>
          <w:vertAlign w:val="superscript"/>
        </w:rPr>
        <w:t>717</w:t>
      </w:r>
      <w:r>
        <w:rPr>
          <w:color w:val="005DA1"/>
          <w:vertAlign w:val="baseline"/>
        </w:rPr>
        <w:t> </w:t>
      </w:r>
      <w:r>
        <w:rPr>
          <w:vertAlign w:val="baseline"/>
        </w:rPr>
        <w:t>This is so even though the parties have described the right as an “option” when its true legal nature is that of a right of preemption. </w:t>
      </w:r>
      <w:r>
        <w:rPr>
          <w:color w:val="005DA1"/>
          <w:u w:val="single" w:color="005DA1"/>
          <w:vertAlign w:val="superscript"/>
        </w:rPr>
        <w:t>718</w:t>
      </w:r>
    </w:p>
    <w:p>
      <w:pPr>
        <w:pStyle w:val="BodyText"/>
      </w:pPr>
    </w:p>
    <w:p>
      <w:pPr>
        <w:pStyle w:val="BodyText"/>
        <w:spacing w:before="33"/>
      </w:pPr>
    </w:p>
    <w:p>
      <w:pPr>
        <w:spacing w:before="1"/>
        <w:ind w:left="165" w:right="0" w:firstLine="0"/>
        <w:jc w:val="left"/>
        <w:rPr>
          <w:rFonts w:ascii="Arial"/>
          <w:b/>
          <w:sz w:val="18"/>
        </w:rPr>
      </w:pPr>
      <w:r>
        <w:rPr>
          <w:rFonts w:ascii="Arial"/>
          <w:b/>
          <w:sz w:val="18"/>
        </w:rPr>
        <w:t>Agreement not incomplete merely because further agreement is </w:t>
      </w:r>
      <w:r>
        <w:rPr>
          <w:rFonts w:ascii="Arial"/>
          <w:b/>
          <w:spacing w:val="-2"/>
          <w:sz w:val="18"/>
        </w:rPr>
        <w:t>required</w:t>
      </w:r>
    </w:p>
    <w:p>
      <w:pPr>
        <w:pStyle w:val="BodyText"/>
        <w:spacing w:before="41"/>
        <w:rPr>
          <w:rFonts w:ascii="Arial"/>
          <w:b/>
          <w:sz w:val="18"/>
        </w:rPr>
      </w:pPr>
    </w:p>
    <w:p>
      <w:pPr>
        <w:pStyle w:val="Heading2"/>
      </w:pPr>
      <w:r>
        <w:rPr/>
        <w:t>2-</w:t>
      </w:r>
      <w:r>
        <w:rPr>
          <w:spacing w:val="-5"/>
        </w:rPr>
        <w:t>135</w:t>
      </w:r>
    </w:p>
    <w:p>
      <w:pPr>
        <w:pStyle w:val="BodyText"/>
        <w:spacing w:line="235" w:lineRule="auto" w:before="203"/>
        <w:ind w:left="164" w:right="167"/>
        <w:jc w:val="both"/>
      </w:pPr>
      <w:bookmarkStart w:name="_bookmark1249" w:id="1251"/>
      <w:bookmarkEnd w:id="1251"/>
      <w:r>
        <w:rPr/>
      </w:r>
      <w:r>
        <w:rPr/>
        <w:t>Because the courts are “reluctant to hold void for uncertainty any provision that was intended to </w:t>
      </w:r>
      <w:r>
        <w:rPr/>
        <w:t>have </w:t>
      </w:r>
      <w:bookmarkStart w:name="_bookmark1250" w:id="1252"/>
      <w:bookmarkEnd w:id="1252"/>
      <w:r>
        <w:rPr/>
        <w:t>legal</w:t>
      </w:r>
      <w:r>
        <w:rPr/>
        <w:t> effect”, </w:t>
      </w:r>
      <w:r>
        <w:rPr>
          <w:color w:val="005DA1"/>
          <w:u w:val="single" w:color="005DA1"/>
          <w:vertAlign w:val="superscript"/>
        </w:rPr>
        <w:t>719</w:t>
      </w:r>
      <w:r>
        <w:rPr>
          <w:color w:val="005DA1"/>
          <w:vertAlign w:val="baseline"/>
        </w:rPr>
        <w:t> </w:t>
      </w:r>
      <w:r>
        <w:rPr>
          <w:vertAlign w:val="baseline"/>
        </w:rPr>
        <w:t>they may sometimes give effect even to an agreement which provides for further terms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agreed”.</w:t>
      </w:r>
      <w:r>
        <w:rPr>
          <w:spacing w:val="-1"/>
          <w:vertAlign w:val="baseline"/>
        </w:rPr>
        <w:t> </w:t>
      </w:r>
      <w:r>
        <w:rPr>
          <w:vertAlign w:val="baseline"/>
        </w:rPr>
        <w:t>This</w:t>
      </w:r>
      <w:r>
        <w:rPr>
          <w:spacing w:val="-1"/>
          <w:vertAlign w:val="baseline"/>
        </w:rPr>
        <w:t> </w:t>
      </w:r>
      <w:r>
        <w:rPr>
          <w:vertAlign w:val="baseline"/>
        </w:rPr>
        <w:t>was</w:t>
      </w:r>
      <w:r>
        <w:rPr>
          <w:spacing w:val="-1"/>
          <w:vertAlign w:val="baseline"/>
        </w:rPr>
        <w:t> </w:t>
      </w:r>
      <w:r>
        <w:rPr>
          <w:vertAlign w:val="baseline"/>
        </w:rPr>
        <w:t>the</w:t>
      </w:r>
      <w:r>
        <w:rPr>
          <w:spacing w:val="-1"/>
          <w:vertAlign w:val="baseline"/>
        </w:rPr>
        <w:t> </w:t>
      </w:r>
      <w:r>
        <w:rPr>
          <w:vertAlign w:val="baseline"/>
        </w:rPr>
        <w:t>position</w:t>
      </w:r>
      <w:r>
        <w:rPr>
          <w:spacing w:val="-1"/>
          <w:vertAlign w:val="baseline"/>
        </w:rPr>
        <w:t> </w:t>
      </w:r>
      <w:r>
        <w:rPr>
          <w:vertAlign w:val="baseline"/>
        </w:rPr>
        <w:t>in</w:t>
      </w:r>
      <w:r>
        <w:rPr>
          <w:spacing w:val="-1"/>
          <w:vertAlign w:val="baseline"/>
        </w:rPr>
        <w:t> </w:t>
      </w:r>
      <w:r>
        <w:rPr>
          <w:rFonts w:ascii="Arial" w:hAnsi="Arial"/>
          <w:i/>
          <w:vertAlign w:val="baseline"/>
        </w:rPr>
        <w:t>Foley</w:t>
      </w:r>
      <w:r>
        <w:rPr>
          <w:rFonts w:ascii="Arial" w:hAnsi="Arial"/>
          <w:i/>
          <w:spacing w:val="-1"/>
          <w:vertAlign w:val="baseline"/>
        </w:rPr>
        <w:t> </w:t>
      </w:r>
      <w:r>
        <w:rPr>
          <w:rFonts w:ascii="Arial" w:hAnsi="Arial"/>
          <w:i/>
          <w:vertAlign w:val="baseline"/>
        </w:rPr>
        <w:t>v</w:t>
      </w:r>
      <w:r>
        <w:rPr>
          <w:rFonts w:ascii="Arial" w:hAnsi="Arial"/>
          <w:i/>
          <w:spacing w:val="-1"/>
          <w:vertAlign w:val="baseline"/>
        </w:rPr>
        <w:t> </w:t>
      </w:r>
      <w:r>
        <w:rPr>
          <w:rFonts w:ascii="Arial" w:hAnsi="Arial"/>
          <w:i/>
          <w:vertAlign w:val="baseline"/>
        </w:rPr>
        <w:t>Classique</w:t>
      </w:r>
      <w:r>
        <w:rPr>
          <w:rFonts w:ascii="Arial" w:hAnsi="Arial"/>
          <w:i/>
          <w:spacing w:val="-1"/>
          <w:vertAlign w:val="baseline"/>
        </w:rPr>
        <w:t> </w:t>
      </w:r>
      <w:r>
        <w:rPr>
          <w:rFonts w:ascii="Arial" w:hAnsi="Arial"/>
          <w:i/>
          <w:vertAlign w:val="baseline"/>
        </w:rPr>
        <w:t>Coaches</w:t>
      </w:r>
      <w:r>
        <w:rPr>
          <w:rFonts w:ascii="Arial" w:hAnsi="Arial"/>
          <w:i/>
          <w:spacing w:val="-1"/>
          <w:vertAlign w:val="baseline"/>
        </w:rPr>
        <w:t> </w:t>
      </w:r>
      <w:r>
        <w:rPr>
          <w:rFonts w:ascii="Arial" w:hAnsi="Arial"/>
          <w:i/>
          <w:vertAlign w:val="baseline"/>
        </w:rPr>
        <w:t>Ltd</w:t>
      </w:r>
      <w:r>
        <w:rPr>
          <w:vertAlign w:val="baseline"/>
        </w:rPr>
        <w:t>.</w:t>
      </w:r>
      <w:r>
        <w:rPr>
          <w:spacing w:val="-1"/>
          <w:vertAlign w:val="baseline"/>
        </w:rPr>
        <w:t> </w:t>
      </w:r>
      <w:r>
        <w:rPr>
          <w:color w:val="005DA1"/>
          <w:u w:val="single" w:color="005DA1"/>
          <w:vertAlign w:val="superscript"/>
        </w:rPr>
        <w:t>720</w:t>
      </w:r>
      <w:r>
        <w:rPr>
          <w:color w:val="005DA1"/>
          <w:spacing w:val="-1"/>
          <w:vertAlign w:val="baseline"/>
        </w:rPr>
        <w:t> </w:t>
      </w:r>
      <w:r>
        <w:rPr>
          <w:vertAlign w:val="baseline"/>
        </w:rPr>
        <w:t>The</w:t>
      </w:r>
      <w:r>
        <w:rPr>
          <w:spacing w:val="-1"/>
          <w:vertAlign w:val="baseline"/>
        </w:rPr>
        <w:t> </w:t>
      </w:r>
      <w:r>
        <w:rPr>
          <w:vertAlign w:val="baseline"/>
        </w:rPr>
        <w:t>claimant</w:t>
      </w:r>
      <w:r>
        <w:rPr>
          <w:spacing w:val="-1"/>
          <w:vertAlign w:val="baseline"/>
        </w:rPr>
        <w:t> </w:t>
      </w:r>
      <w:r>
        <w:rPr>
          <w:vertAlign w:val="baseline"/>
        </w:rPr>
        <w:t>owned a</w:t>
      </w:r>
      <w:r>
        <w:rPr>
          <w:spacing w:val="24"/>
          <w:vertAlign w:val="baseline"/>
        </w:rPr>
        <w:t> </w:t>
      </w:r>
      <w:r>
        <w:rPr>
          <w:vertAlign w:val="baseline"/>
        </w:rPr>
        <w:t>petrol-filling</w:t>
      </w:r>
      <w:r>
        <w:rPr>
          <w:spacing w:val="24"/>
          <w:vertAlign w:val="baseline"/>
        </w:rPr>
        <w:t> </w:t>
      </w:r>
      <w:r>
        <w:rPr>
          <w:vertAlign w:val="baseline"/>
        </w:rPr>
        <w:t>station</w:t>
      </w:r>
      <w:r>
        <w:rPr>
          <w:spacing w:val="24"/>
          <w:vertAlign w:val="baseline"/>
        </w:rPr>
        <w:t> </w:t>
      </w:r>
      <w:r>
        <w:rPr>
          <w:vertAlign w:val="baseline"/>
        </w:rPr>
        <w:t>and</w:t>
      </w:r>
      <w:r>
        <w:rPr>
          <w:spacing w:val="24"/>
          <w:vertAlign w:val="baseline"/>
        </w:rPr>
        <w:t> </w:t>
      </w:r>
      <w:r>
        <w:rPr>
          <w:vertAlign w:val="baseline"/>
        </w:rPr>
        <w:t>adjoining</w:t>
      </w:r>
      <w:r>
        <w:rPr>
          <w:spacing w:val="24"/>
          <w:vertAlign w:val="baseline"/>
        </w:rPr>
        <w:t> </w:t>
      </w:r>
      <w:r>
        <w:rPr>
          <w:vertAlign w:val="baseline"/>
        </w:rPr>
        <w:t>land.</w:t>
      </w:r>
      <w:r>
        <w:rPr>
          <w:spacing w:val="24"/>
          <w:vertAlign w:val="baseline"/>
        </w:rPr>
        <w:t> </w:t>
      </w:r>
      <w:r>
        <w:rPr>
          <w:vertAlign w:val="baseline"/>
        </w:rPr>
        <w:t>He</w:t>
      </w:r>
      <w:r>
        <w:rPr>
          <w:spacing w:val="24"/>
          <w:vertAlign w:val="baseline"/>
        </w:rPr>
        <w:t> </w:t>
      </w:r>
      <w:r>
        <w:rPr>
          <w:vertAlign w:val="baseline"/>
        </w:rPr>
        <w:t>sold</w:t>
      </w:r>
      <w:r>
        <w:rPr>
          <w:spacing w:val="24"/>
          <w:vertAlign w:val="baseline"/>
        </w:rPr>
        <w:t> </w:t>
      </w:r>
      <w:r>
        <w:rPr>
          <w:vertAlign w:val="baseline"/>
        </w:rPr>
        <w:t>the</w:t>
      </w:r>
      <w:r>
        <w:rPr>
          <w:spacing w:val="24"/>
          <w:vertAlign w:val="baseline"/>
        </w:rPr>
        <w:t> </w:t>
      </w:r>
      <w:r>
        <w:rPr>
          <w:vertAlign w:val="baseline"/>
        </w:rPr>
        <w:t>land</w:t>
      </w:r>
      <w:r>
        <w:rPr>
          <w:spacing w:val="24"/>
          <w:vertAlign w:val="baseline"/>
        </w:rPr>
        <w:t> </w:t>
      </w:r>
      <w:r>
        <w:rPr>
          <w:vertAlign w:val="baseline"/>
        </w:rPr>
        <w:t>to</w:t>
      </w:r>
      <w:r>
        <w:rPr>
          <w:spacing w:val="24"/>
          <w:vertAlign w:val="baseline"/>
        </w:rPr>
        <w:t> </w:t>
      </w:r>
      <w:r>
        <w:rPr>
          <w:vertAlign w:val="baseline"/>
        </w:rPr>
        <w:t>the</w:t>
      </w:r>
      <w:r>
        <w:rPr>
          <w:spacing w:val="24"/>
          <w:vertAlign w:val="baseline"/>
        </w:rPr>
        <w:t> </w:t>
      </w:r>
      <w:r>
        <w:rPr>
          <w:vertAlign w:val="baseline"/>
        </w:rPr>
        <w:t>defendants</w:t>
      </w:r>
      <w:r>
        <w:rPr>
          <w:spacing w:val="24"/>
          <w:vertAlign w:val="baseline"/>
        </w:rPr>
        <w:t> </w:t>
      </w:r>
      <w:r>
        <w:rPr>
          <w:vertAlign w:val="baseline"/>
        </w:rPr>
        <w:t>on</w:t>
      </w:r>
      <w:r>
        <w:rPr>
          <w:spacing w:val="24"/>
          <w:vertAlign w:val="baseline"/>
        </w:rPr>
        <w:t> </w:t>
      </w:r>
      <w:r>
        <w:rPr>
          <w:vertAlign w:val="baseline"/>
        </w:rPr>
        <w:t>condition</w:t>
      </w:r>
      <w:r>
        <w:rPr>
          <w:spacing w:val="24"/>
          <w:vertAlign w:val="baseline"/>
        </w:rPr>
        <w:t> </w:t>
      </w:r>
      <w:r>
        <w:rPr>
          <w:vertAlign w:val="baseline"/>
        </w:rPr>
        <w:t>that</w:t>
      </w:r>
      <w:r>
        <w:rPr>
          <w:spacing w:val="24"/>
          <w:vertAlign w:val="baseline"/>
        </w:rPr>
        <w:t> </w:t>
      </w:r>
      <w:r>
        <w:rPr>
          <w:spacing w:val="-4"/>
          <w:vertAlign w:val="baseline"/>
        </w:rPr>
        <w:t>they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should enter into an agreement to buy petrol for the purpose of their motor-coach business</w:t>
      </w:r>
      <w:r>
        <w:rPr>
          <w:spacing w:val="40"/>
        </w:rPr>
        <w:t> </w:t>
      </w:r>
      <w:r>
        <w:rPr/>
        <w:t>exclusively</w:t>
      </w:r>
      <w:r>
        <w:rPr>
          <w:spacing w:val="-1"/>
        </w:rPr>
        <w:t> </w:t>
      </w:r>
      <w:r>
        <w:rPr/>
        <w:t>from</w:t>
      </w:r>
      <w:r>
        <w:rPr>
          <w:spacing w:val="-1"/>
        </w:rPr>
        <w:t> </w:t>
      </w:r>
      <w:r>
        <w:rPr/>
        <w:t>him.</w:t>
      </w:r>
      <w:r>
        <w:rPr>
          <w:spacing w:val="-1"/>
        </w:rPr>
        <w:t> </w:t>
      </w:r>
      <w:r>
        <w:rPr/>
        <w:t>This</w:t>
      </w:r>
      <w:r>
        <w:rPr>
          <w:spacing w:val="-2"/>
        </w:rPr>
        <w:t> </w:t>
      </w:r>
      <w:r>
        <w:rPr/>
        <w:t>agreement</w:t>
      </w:r>
      <w:r>
        <w:rPr>
          <w:spacing w:val="-1"/>
        </w:rPr>
        <w:t> </w:t>
      </w:r>
      <w:r>
        <w:rPr/>
        <w:t>was</w:t>
      </w:r>
      <w:r>
        <w:rPr>
          <w:spacing w:val="-1"/>
        </w:rPr>
        <w:t> </w:t>
      </w:r>
      <w:r>
        <w:rPr/>
        <w:t>duly</w:t>
      </w:r>
      <w:r>
        <w:rPr>
          <w:spacing w:val="-1"/>
        </w:rPr>
        <w:t> </w:t>
      </w:r>
      <w:r>
        <w:rPr/>
        <w:t>executed,</w:t>
      </w:r>
      <w:r>
        <w:rPr>
          <w:spacing w:val="-2"/>
        </w:rPr>
        <w:t> </w:t>
      </w:r>
      <w:r>
        <w:rPr/>
        <w:t>but</w:t>
      </w:r>
      <w:r>
        <w:rPr>
          <w:spacing w:val="-1"/>
        </w:rPr>
        <w:t> </w:t>
      </w:r>
      <w:r>
        <w:rPr/>
        <w:t>the</w:t>
      </w:r>
      <w:r>
        <w:rPr>
          <w:spacing w:val="-1"/>
        </w:rPr>
        <w:t> </w:t>
      </w:r>
      <w:r>
        <w:rPr/>
        <w:t>defendants</w:t>
      </w:r>
      <w:r>
        <w:rPr>
          <w:spacing w:val="-1"/>
        </w:rPr>
        <w:t> </w:t>
      </w:r>
      <w:r>
        <w:rPr/>
        <w:t>broke</w:t>
      </w:r>
      <w:r>
        <w:rPr>
          <w:spacing w:val="-2"/>
        </w:rPr>
        <w:t> </w:t>
      </w:r>
      <w:r>
        <w:rPr/>
        <w:t>it,</w:t>
      </w:r>
      <w:r>
        <w:rPr>
          <w:spacing w:val="-1"/>
        </w:rPr>
        <w:t> </w:t>
      </w:r>
      <w:r>
        <w:rPr/>
        <w:t>and</w:t>
      </w:r>
      <w:r>
        <w:rPr>
          <w:spacing w:val="-1"/>
        </w:rPr>
        <w:t> </w:t>
      </w:r>
      <w:r>
        <w:rPr/>
        <w:t>argued</w:t>
      </w:r>
      <w:r>
        <w:rPr>
          <w:spacing w:val="-1"/>
        </w:rPr>
        <w:t> </w:t>
      </w:r>
      <w:r>
        <w:rPr/>
        <w:t>that it was incomplete because it provided that the petrol should be bought “at a price to be agreed by </w:t>
      </w:r>
      <w:r>
        <w:rPr/>
        <w:t>the </w:t>
      </w:r>
      <w:bookmarkStart w:name="_bookmark1251" w:id="1253"/>
      <w:bookmarkEnd w:id="1253"/>
      <w:r>
        <w:rPr/>
        <w:t>parties</w:t>
      </w:r>
      <w:r>
        <w:rPr/>
        <w:t> from time to time”. The Court of Appeal rejected this argument and held that, in default of agreement, a reasonable price must be paid. </w:t>
      </w:r>
      <w:r>
        <w:rPr>
          <w:color w:val="005DA1"/>
          <w:u w:val="single" w:color="005DA1"/>
          <w:vertAlign w:val="superscript"/>
        </w:rPr>
        <w:t>721</w:t>
      </w:r>
      <w:r>
        <w:rPr>
          <w:color w:val="005DA1"/>
          <w:vertAlign w:val="baseline"/>
        </w:rPr>
        <w:t> </w:t>
      </w:r>
      <w:r>
        <w:rPr>
          <w:rFonts w:ascii="Arial" w:hAnsi="Arial"/>
          <w:i/>
          <w:vertAlign w:val="baseline"/>
        </w:rPr>
        <w:t>May &amp; Butcher v R </w:t>
      </w:r>
      <w:r>
        <w:rPr>
          <w:color w:val="005DA1"/>
          <w:u w:val="single" w:color="005DA1"/>
          <w:vertAlign w:val="superscript"/>
        </w:rPr>
        <w:t>722</w:t>
      </w:r>
      <w:r>
        <w:rPr>
          <w:color w:val="005DA1"/>
          <w:vertAlign w:val="baseline"/>
        </w:rPr>
        <w:t> </w:t>
      </w:r>
      <w:r>
        <w:rPr>
          <w:vertAlign w:val="baseline"/>
        </w:rPr>
        <w:t>was distinguished on a</w:t>
      </w:r>
      <w:r>
        <w:rPr>
          <w:spacing w:val="40"/>
          <w:vertAlign w:val="baseline"/>
        </w:rPr>
        <w:t> </w:t>
      </w:r>
      <w:bookmarkStart w:name="_bookmark1252" w:id="1254"/>
      <w:bookmarkEnd w:id="1254"/>
      <w:r>
        <w:rPr>
          <w:vertAlign w:val="baseline"/>
        </w:rPr>
        <w:t>number</w:t>
      </w:r>
      <w:r>
        <w:rPr>
          <w:vertAlign w:val="baseline"/>
        </w:rPr>
        <w:t> of grounds: the agreement in </w:t>
      </w:r>
      <w:r>
        <w:rPr>
          <w:rFonts w:ascii="Arial" w:hAnsi="Arial"/>
          <w:i/>
          <w:vertAlign w:val="baseline"/>
        </w:rPr>
        <w:t>Foley’s </w:t>
      </w:r>
      <w:r>
        <w:rPr>
          <w:vertAlign w:val="baseline"/>
        </w:rPr>
        <w:t>case was contained in a stamped document; it was believed</w:t>
      </w:r>
      <w:r>
        <w:rPr>
          <w:spacing w:val="-2"/>
          <w:vertAlign w:val="baseline"/>
        </w:rPr>
        <w:t> </w:t>
      </w:r>
      <w:r>
        <w:rPr>
          <w:vertAlign w:val="baseline"/>
        </w:rPr>
        <w:t>by</w:t>
      </w:r>
      <w:r>
        <w:rPr>
          <w:spacing w:val="-2"/>
          <w:vertAlign w:val="baseline"/>
        </w:rPr>
        <w:t> </w:t>
      </w:r>
      <w:r>
        <w:rPr>
          <w:vertAlign w:val="baseline"/>
        </w:rPr>
        <w:t>both</w:t>
      </w:r>
      <w:r>
        <w:rPr>
          <w:spacing w:val="-2"/>
          <w:vertAlign w:val="baseline"/>
        </w:rPr>
        <w:t> </w:t>
      </w:r>
      <w:r>
        <w:rPr>
          <w:vertAlign w:val="baseline"/>
        </w:rPr>
        <w:t>parties</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binding</w:t>
      </w:r>
      <w:r>
        <w:rPr>
          <w:spacing w:val="-2"/>
          <w:vertAlign w:val="baseline"/>
        </w:rPr>
        <w:t> </w:t>
      </w:r>
      <w:r>
        <w:rPr>
          <w:vertAlign w:val="baseline"/>
        </w:rPr>
        <w:t>and</w:t>
      </w:r>
      <w:r>
        <w:rPr>
          <w:spacing w:val="-2"/>
          <w:vertAlign w:val="baseline"/>
        </w:rPr>
        <w:t> </w:t>
      </w:r>
      <w:r>
        <w:rPr>
          <w:vertAlign w:val="baseline"/>
        </w:rPr>
        <w:t>had</w:t>
      </w:r>
      <w:r>
        <w:rPr>
          <w:spacing w:val="-2"/>
          <w:vertAlign w:val="baseline"/>
        </w:rPr>
        <w:t> </w:t>
      </w:r>
      <w:r>
        <w:rPr>
          <w:vertAlign w:val="baseline"/>
        </w:rPr>
        <w:t>been</w:t>
      </w:r>
      <w:r>
        <w:rPr>
          <w:spacing w:val="-2"/>
          <w:vertAlign w:val="baseline"/>
        </w:rPr>
        <w:t> </w:t>
      </w:r>
      <w:r>
        <w:rPr>
          <w:vertAlign w:val="baseline"/>
        </w:rPr>
        <w:t>acted</w:t>
      </w:r>
      <w:r>
        <w:rPr>
          <w:spacing w:val="-2"/>
          <w:vertAlign w:val="baseline"/>
        </w:rPr>
        <w:t> </w:t>
      </w:r>
      <w:r>
        <w:rPr>
          <w:vertAlign w:val="baseline"/>
        </w:rPr>
        <w:t>upon</w:t>
      </w:r>
      <w:r>
        <w:rPr>
          <w:spacing w:val="-2"/>
          <w:vertAlign w:val="baseline"/>
        </w:rPr>
        <w:t> </w:t>
      </w:r>
      <w:r>
        <w:rPr>
          <w:vertAlign w:val="baseline"/>
        </w:rPr>
        <w:t>for</w:t>
      </w:r>
      <w:r>
        <w:rPr>
          <w:spacing w:val="-2"/>
          <w:vertAlign w:val="baseline"/>
        </w:rPr>
        <w:t> </w:t>
      </w:r>
      <w:r>
        <w:rPr>
          <w:vertAlign w:val="baseline"/>
        </w:rPr>
        <w:t>a</w:t>
      </w:r>
      <w:r>
        <w:rPr>
          <w:spacing w:val="-2"/>
          <w:vertAlign w:val="baseline"/>
        </w:rPr>
        <w:t> </w:t>
      </w:r>
      <w:r>
        <w:rPr>
          <w:vertAlign w:val="baseline"/>
        </w:rPr>
        <w:t>number</w:t>
      </w:r>
      <w:r>
        <w:rPr>
          <w:spacing w:val="-2"/>
          <w:vertAlign w:val="baseline"/>
        </w:rPr>
        <w:t> </w:t>
      </w:r>
      <w:r>
        <w:rPr>
          <w:vertAlign w:val="baseline"/>
        </w:rPr>
        <w:t>of</w:t>
      </w:r>
      <w:r>
        <w:rPr>
          <w:spacing w:val="-2"/>
          <w:vertAlign w:val="baseline"/>
        </w:rPr>
        <w:t> </w:t>
      </w:r>
      <w:r>
        <w:rPr>
          <w:vertAlign w:val="baseline"/>
        </w:rPr>
        <w:t>years</w:t>
      </w:r>
      <w:r>
        <w:rPr>
          <w:spacing w:val="-3"/>
          <w:vertAlign w:val="baseline"/>
        </w:rPr>
        <w:t> </w:t>
      </w:r>
      <w:r>
        <w:rPr>
          <w:color w:val="005DA1"/>
          <w:u w:val="single" w:color="005DA1"/>
          <w:vertAlign w:val="superscript"/>
        </w:rPr>
        <w:t>723</w:t>
      </w:r>
      <w:r>
        <w:rPr>
          <w:vertAlign w:val="baseline"/>
        </w:rPr>
        <w:t>;</w:t>
      </w:r>
      <w:r>
        <w:rPr>
          <w:spacing w:val="-2"/>
          <w:vertAlign w:val="baseline"/>
        </w:rPr>
        <w:t> </w:t>
      </w:r>
      <w:r>
        <w:rPr>
          <w:vertAlign w:val="baseline"/>
        </w:rPr>
        <w:t>it</w:t>
      </w:r>
      <w:r>
        <w:rPr>
          <w:spacing w:val="-2"/>
          <w:vertAlign w:val="baseline"/>
        </w:rPr>
        <w:t> </w:t>
      </w:r>
      <w:r>
        <w:rPr>
          <w:vertAlign w:val="baseline"/>
        </w:rPr>
        <w:t>contained </w:t>
      </w:r>
      <w:bookmarkStart w:name="_bookmark1253" w:id="1255"/>
      <w:bookmarkEnd w:id="1255"/>
      <w:r>
        <w:rPr>
          <w:vertAlign w:val="baseline"/>
        </w:rPr>
        <w:t>an</w:t>
      </w:r>
      <w:r>
        <w:rPr>
          <w:vertAlign w:val="baseline"/>
        </w:rPr>
        <w:t> arbitration clause in a somewhat unusual form which was construed to apply “to any failure to agree as to the price” </w:t>
      </w:r>
      <w:r>
        <w:rPr>
          <w:color w:val="005DA1"/>
          <w:u w:val="single" w:color="005DA1"/>
          <w:vertAlign w:val="superscript"/>
        </w:rPr>
        <w:t>724</w:t>
      </w:r>
      <w:r>
        <w:rPr>
          <w:vertAlign w:val="baseline"/>
        </w:rPr>
        <w:t>; and it formed part of a larger bargain under which the defendants had </w:t>
      </w:r>
      <w:bookmarkStart w:name="_bookmark1254" w:id="1256"/>
      <w:bookmarkEnd w:id="1256"/>
      <w:r>
        <w:rPr>
          <w:vertAlign w:val="baseline"/>
        </w:rPr>
        <w:t>acquired</w:t>
      </w:r>
      <w:r>
        <w:rPr>
          <w:vertAlign w:val="baseline"/>
        </w:rPr>
        <w:t> the land at a price which was no doubt based on the assumption that they would be bound</w:t>
      </w:r>
      <w:r>
        <w:rPr>
          <w:spacing w:val="40"/>
          <w:vertAlign w:val="baseline"/>
        </w:rPr>
        <w:t> </w:t>
      </w:r>
      <w:bookmarkStart w:name="_bookmark1255" w:id="1257"/>
      <w:bookmarkEnd w:id="1257"/>
      <w:r>
        <w:rPr>
          <w:vertAlign w:val="baseline"/>
        </w:rPr>
        <w:t>to</w:t>
      </w:r>
      <w:r>
        <w:rPr>
          <w:vertAlign w:val="baseline"/>
        </w:rPr>
        <w:t> buy all their petrol from the claimant. </w:t>
      </w:r>
      <w:r>
        <w:rPr>
          <w:color w:val="005DA1"/>
          <w:u w:val="single" w:color="005DA1"/>
          <w:vertAlign w:val="superscript"/>
        </w:rPr>
        <w:t>725</w:t>
      </w:r>
      <w:r>
        <w:rPr>
          <w:color w:val="005DA1"/>
          <w:vertAlign w:val="baseline"/>
        </w:rPr>
        <w:t> </w:t>
      </w:r>
      <w:r>
        <w:rPr>
          <w:vertAlign w:val="baseline"/>
        </w:rPr>
        <w:t>While none of these factors is in itself conclusive, </w:t>
      </w:r>
      <w:r>
        <w:rPr>
          <w:color w:val="005DA1"/>
          <w:u w:val="single" w:color="005DA1"/>
          <w:vertAlign w:val="superscript"/>
        </w:rPr>
        <w:t>726</w:t>
      </w:r>
      <w:r>
        <w:rPr>
          <w:color w:val="005DA1"/>
          <w:vertAlign w:val="baseline"/>
        </w:rPr>
        <w:t> </w:t>
      </w:r>
      <w:r>
        <w:rPr>
          <w:vertAlign w:val="baseline"/>
        </w:rPr>
        <w:t>their cumulative effect seems to be sufficient to distinguish the two cases. </w:t>
      </w:r>
      <w:r>
        <w:rPr>
          <w:color w:val="005DA1"/>
          <w:u w:val="single" w:color="005DA1"/>
          <w:vertAlign w:val="superscript"/>
        </w:rPr>
        <w:t>727</w:t>
      </w:r>
    </w:p>
    <w:p>
      <w:pPr>
        <w:pStyle w:val="BodyText"/>
        <w:spacing w:before="77"/>
      </w:pPr>
    </w:p>
    <w:p>
      <w:pPr>
        <w:pStyle w:val="Heading2"/>
      </w:pPr>
      <w:r>
        <w:rPr/>
        <w:t>2-</w:t>
      </w:r>
      <w:r>
        <w:rPr>
          <w:spacing w:val="-5"/>
        </w:rPr>
        <w:t>136</w:t>
      </w:r>
    </w:p>
    <w:p>
      <w:pPr>
        <w:pStyle w:val="BodyText"/>
        <w:spacing w:line="235" w:lineRule="auto" w:before="203"/>
        <w:ind w:left="165" w:right="167"/>
        <w:jc w:val="both"/>
      </w:pPr>
      <w:r>
        <w:rPr/>
        <w:t>Thus</w:t>
      </w:r>
      <w:r>
        <w:rPr>
          <w:spacing w:val="-1"/>
        </w:rPr>
        <w:t> </w:t>
      </w:r>
      <w:r>
        <w:rPr/>
        <w:t>an</w:t>
      </w:r>
      <w:r>
        <w:rPr>
          <w:spacing w:val="-1"/>
        </w:rPr>
        <w:t> </w:t>
      </w:r>
      <w:r>
        <w:rPr/>
        <w:t>agreement</w:t>
      </w:r>
      <w:r>
        <w:rPr>
          <w:spacing w:val="-1"/>
        </w:rPr>
        <w:t> </w:t>
      </w:r>
      <w:r>
        <w:rPr/>
        <w:t>is</w:t>
      </w:r>
      <w:r>
        <w:rPr>
          <w:spacing w:val="-1"/>
        </w:rPr>
        <w:t> </w:t>
      </w:r>
      <w:r>
        <w:rPr/>
        <w:t>not</w:t>
      </w:r>
      <w:r>
        <w:rPr>
          <w:spacing w:val="-1"/>
        </w:rPr>
        <w:t> </w:t>
      </w:r>
      <w:r>
        <w:rPr/>
        <w:t>incomplete</w:t>
      </w:r>
      <w:r>
        <w:rPr>
          <w:spacing w:val="-2"/>
        </w:rPr>
        <w:t> </w:t>
      </w:r>
      <w:r>
        <w:rPr>
          <w:rFonts w:ascii="Arial" w:hAnsi="Arial"/>
          <w:i/>
        </w:rPr>
        <w:t>merely</w:t>
      </w:r>
      <w:r>
        <w:rPr>
          <w:rFonts w:ascii="Arial" w:hAnsi="Arial"/>
          <w:i/>
          <w:spacing w:val="-1"/>
        </w:rPr>
        <w:t> </w:t>
      </w:r>
      <w:r>
        <w:rPr/>
        <w:t>because</w:t>
      </w:r>
      <w:r>
        <w:rPr>
          <w:spacing w:val="-1"/>
        </w:rPr>
        <w:t> </w:t>
      </w:r>
      <w:r>
        <w:rPr/>
        <w:t>it</w:t>
      </w:r>
      <w:r>
        <w:rPr>
          <w:spacing w:val="-1"/>
        </w:rPr>
        <w:t> </w:t>
      </w:r>
      <w:r>
        <w:rPr/>
        <w:t>calls</w:t>
      </w:r>
      <w:r>
        <w:rPr>
          <w:spacing w:val="-1"/>
        </w:rPr>
        <w:t> </w:t>
      </w:r>
      <w:r>
        <w:rPr/>
        <w:t>for</w:t>
      </w:r>
      <w:r>
        <w:rPr>
          <w:spacing w:val="-1"/>
        </w:rPr>
        <w:t> </w:t>
      </w:r>
      <w:r>
        <w:rPr/>
        <w:t>some</w:t>
      </w:r>
      <w:r>
        <w:rPr>
          <w:spacing w:val="-1"/>
        </w:rPr>
        <w:t> </w:t>
      </w:r>
      <w:r>
        <w:rPr/>
        <w:t>further</w:t>
      </w:r>
      <w:r>
        <w:rPr>
          <w:spacing w:val="-1"/>
        </w:rPr>
        <w:t> </w:t>
      </w:r>
      <w:r>
        <w:rPr/>
        <w:t>agreement</w:t>
      </w:r>
      <w:r>
        <w:rPr>
          <w:spacing w:val="-1"/>
        </w:rPr>
        <w:t> </w:t>
      </w:r>
      <w:r>
        <w:rPr/>
        <w:t>between</w:t>
      </w:r>
      <w:r>
        <w:rPr>
          <w:spacing w:val="-1"/>
        </w:rPr>
        <w:t> </w:t>
      </w:r>
      <w:r>
        <w:rPr/>
        <w:t>the </w:t>
      </w:r>
      <w:bookmarkStart w:name="_bookmark1256" w:id="1258"/>
      <w:bookmarkEnd w:id="1258"/>
      <w:r>
        <w:rPr/>
        <w:t>parties.</w:t>
      </w:r>
      <w:r>
        <w:rPr/>
        <w:t> The parties’ later failure to agree on the matters left outstanding may then vitiate the contract only if it makes it “unworkable or void for uncertainty”. </w:t>
      </w:r>
      <w:r>
        <w:rPr>
          <w:color w:val="005DA1"/>
          <w:u w:val="single" w:color="005DA1"/>
          <w:vertAlign w:val="superscript"/>
        </w:rPr>
        <w:t>728</w:t>
      </w:r>
      <w:r>
        <w:rPr>
          <w:color w:val="005DA1"/>
          <w:vertAlign w:val="baseline"/>
        </w:rPr>
        <w:t> </w:t>
      </w:r>
      <w:r>
        <w:rPr>
          <w:vertAlign w:val="baseline"/>
        </w:rPr>
        <w:t>Often, the failure will not have this effect, for </w:t>
      </w:r>
      <w:bookmarkStart w:name="_bookmark1257" w:id="1259"/>
      <w:bookmarkEnd w:id="1259"/>
      <w:r>
        <w:rPr>
          <w:vertAlign w:val="baseline"/>
        </w:rPr>
        <w:t>it</w:t>
      </w:r>
      <w:r>
        <w:rPr>
          <w:vertAlign w:val="baseline"/>
        </w:rPr>
        <w:t> may be possible to resolve the uncertainty in one of the ways already discussed, e.g. by applying </w:t>
      </w:r>
      <w:bookmarkStart w:name="_bookmark1258" w:id="1260"/>
      <w:bookmarkEnd w:id="1260"/>
      <w:r>
        <w:rPr>
          <w:vertAlign w:val="baseline"/>
        </w:rPr>
        <w:t>the</w:t>
      </w:r>
      <w:r>
        <w:rPr>
          <w:vertAlign w:val="baseline"/>
        </w:rPr>
        <w:t> standard of reasonableness </w:t>
      </w:r>
      <w:r>
        <w:rPr>
          <w:color w:val="005DA1"/>
          <w:u w:val="single" w:color="005DA1"/>
          <w:vertAlign w:val="superscript"/>
        </w:rPr>
        <w:t>729</w:t>
      </w:r>
      <w:r>
        <w:rPr>
          <w:vertAlign w:val="baseline"/>
        </w:rPr>
        <w:t>; or the matter to be negotiated may be of such subsidiary </w:t>
      </w:r>
      <w:bookmarkStart w:name="_bookmark1259" w:id="1261"/>
      <w:bookmarkEnd w:id="1261"/>
      <w:r>
        <w:rPr>
          <w:vertAlign w:val="baseline"/>
        </w:rPr>
        <w:t>importance</w:t>
      </w:r>
      <w:r>
        <w:rPr>
          <w:spacing w:val="-1"/>
          <w:vertAlign w:val="baseline"/>
        </w:rPr>
        <w:t> </w:t>
      </w:r>
      <w:r>
        <w:rPr>
          <w:color w:val="005DA1"/>
          <w:u w:val="single" w:color="005DA1"/>
          <w:vertAlign w:val="superscript"/>
        </w:rPr>
        <w:t>730</w:t>
      </w:r>
      <w:r>
        <w:rPr>
          <w:color w:val="005DA1"/>
          <w:spacing w:val="-1"/>
          <w:vertAlign w:val="baseline"/>
        </w:rPr>
        <w:t> </w:t>
      </w:r>
      <w:r>
        <w:rPr>
          <w:vertAlign w:val="baseline"/>
        </w:rPr>
        <w:t>as not to negative the intention of the parties to be bound by the more significant </w:t>
      </w:r>
      <w:r>
        <w:rPr>
          <w:vertAlign w:val="baseline"/>
        </w:rPr>
        <w:t>terms to which they have agreed. Thus in </w:t>
      </w:r>
      <w:r>
        <w:rPr>
          <w:rFonts w:ascii="Arial" w:hAnsi="Arial"/>
          <w:i/>
          <w:vertAlign w:val="baseline"/>
        </w:rPr>
        <w:t>Neilson v Stewart </w:t>
      </w:r>
      <w:r>
        <w:rPr>
          <w:color w:val="005DA1"/>
          <w:u w:val="single" w:color="005DA1"/>
          <w:vertAlign w:val="superscript"/>
        </w:rPr>
        <w:t>731</w:t>
      </w:r>
      <w:r>
        <w:rPr>
          <w:color w:val="005DA1"/>
          <w:vertAlign w:val="baseline"/>
        </w:rPr>
        <w:t> </w:t>
      </w:r>
      <w:r>
        <w:rPr>
          <w:vertAlign w:val="baseline"/>
        </w:rPr>
        <w:t>a contract for the sale of shares provided</w:t>
      </w:r>
      <w:r>
        <w:rPr>
          <w:spacing w:val="40"/>
          <w:vertAlign w:val="baseline"/>
        </w:rPr>
        <w:t> </w:t>
      </w:r>
      <w:r>
        <w:rPr>
          <w:vertAlign w:val="baseline"/>
        </w:rPr>
        <w:t>that part of the price payable by the buyer was to be lent back to him and to a third party on repayment terms to be negotiated after one year. The House of Lords held that there was nevertheless a binding contract for the sale of the shares as the parties had not intended the validity</w:t>
      </w:r>
      <w:r>
        <w:rPr>
          <w:spacing w:val="40"/>
          <w:vertAlign w:val="baseline"/>
        </w:rPr>
        <w:t> </w:t>
      </w:r>
      <w:bookmarkStart w:name="_bookmark1260" w:id="1262"/>
      <w:bookmarkEnd w:id="1262"/>
      <w:r>
        <w:rPr>
          <w:vertAlign w:val="baseline"/>
        </w:rPr>
        <w:t>of</w:t>
      </w:r>
      <w:r>
        <w:rPr>
          <w:vertAlign w:val="baseline"/>
        </w:rPr>
        <w:t> this contract to depend on the outcome of the negotiations as to the repayment of the loan. In </w:t>
      </w:r>
      <w:r>
        <w:rPr>
          <w:rFonts w:ascii="Arial" w:hAnsi="Arial"/>
          <w:i/>
          <w:vertAlign w:val="baseline"/>
        </w:rPr>
        <w:t>RTS Flexible Systems Ltd v Molkerei Alois Müller GmbH &amp; Co KG (UK Production) </w:t>
      </w:r>
      <w:r>
        <w:rPr>
          <w:color w:val="005DA1"/>
          <w:u w:val="single" w:color="005DA1"/>
          <w:vertAlign w:val="superscript"/>
        </w:rPr>
        <w:t>732</w:t>
      </w:r>
      <w:r>
        <w:rPr>
          <w:color w:val="005DA1"/>
          <w:vertAlign w:val="baseline"/>
        </w:rPr>
        <w:t> </w:t>
      </w:r>
      <w:r>
        <w:rPr>
          <w:vertAlign w:val="baseline"/>
        </w:rPr>
        <w:t>the Supreme Court </w:t>
      </w:r>
      <w:bookmarkStart w:name="_bookmark1261" w:id="1263"/>
      <w:bookmarkEnd w:id="1263"/>
      <w:r>
        <w:rPr>
          <w:vertAlign w:val="baseline"/>
        </w:rPr>
        <w:t>held</w:t>
      </w:r>
      <w:r>
        <w:rPr>
          <w:vertAlign w:val="baseline"/>
        </w:rPr>
        <w:t> that a contract had come into existence when “essentially all the terms were agreed between the parties”, </w:t>
      </w:r>
      <w:r>
        <w:rPr>
          <w:color w:val="005DA1"/>
          <w:u w:val="single" w:color="005DA1"/>
          <w:vertAlign w:val="superscript"/>
        </w:rPr>
        <w:t>733</w:t>
      </w:r>
      <w:r>
        <w:rPr>
          <w:color w:val="005DA1"/>
          <w:vertAlign w:val="baseline"/>
        </w:rPr>
        <w:t> </w:t>
      </w:r>
      <w:r>
        <w:rPr>
          <w:vertAlign w:val="baseline"/>
        </w:rPr>
        <w:t>even though other terms were still the subject of further negotiations between them. </w:t>
      </w:r>
      <w:r>
        <w:rPr>
          <w:color w:val="005DA1"/>
          <w:u w:val="single" w:color="005DA1"/>
          <w:vertAlign w:val="superscript"/>
        </w:rPr>
        <w:t>734</w:t>
      </w:r>
      <w:r>
        <w:rPr>
          <w:color w:val="005DA1"/>
          <w:vertAlign w:val="baseline"/>
        </w:rPr>
        <w:t> </w:t>
      </w:r>
      <w:r>
        <w:rPr>
          <w:vertAlign w:val="baseline"/>
        </w:rPr>
        <w:t>There can be no doubt as to the commercial convenience of the judicial approach described in this paragraph. Commercial agreements are often intended to be binding in principle even though the parties are not at the time able or willing to settle all the details. For example, contracts of insurance may be made “at a premium to be arranged” when immediate cover is required but there is no time to </w:t>
      </w:r>
      <w:bookmarkStart w:name="_bookmark1262" w:id="1264"/>
      <w:bookmarkEnd w:id="1264"/>
      <w:r>
        <w:rPr>
          <w:vertAlign w:val="baseline"/>
        </w:rPr>
        <w:t>go</w:t>
      </w:r>
      <w:r>
        <w:rPr>
          <w:spacing w:val="-2"/>
          <w:vertAlign w:val="baseline"/>
        </w:rPr>
        <w:t> </w:t>
      </w:r>
      <w:r>
        <w:rPr>
          <w:vertAlign w:val="baseline"/>
        </w:rPr>
        <w:t>into</w:t>
      </w:r>
      <w:r>
        <w:rPr>
          <w:spacing w:val="-2"/>
          <w:vertAlign w:val="baseline"/>
        </w:rPr>
        <w:t> </w:t>
      </w:r>
      <w:r>
        <w:rPr>
          <w:vertAlign w:val="baseline"/>
        </w:rPr>
        <w:t>all</w:t>
      </w:r>
      <w:r>
        <w:rPr>
          <w:spacing w:val="-2"/>
          <w:vertAlign w:val="baseline"/>
        </w:rPr>
        <w:t> </w:t>
      </w:r>
      <w:r>
        <w:rPr>
          <w:vertAlign w:val="baseline"/>
        </w:rPr>
        <w:t>the</w:t>
      </w:r>
      <w:r>
        <w:rPr>
          <w:spacing w:val="-2"/>
          <w:vertAlign w:val="baseline"/>
        </w:rPr>
        <w:t> </w:t>
      </w:r>
      <w:r>
        <w:rPr>
          <w:vertAlign w:val="baseline"/>
        </w:rPr>
        <w:t>details</w:t>
      </w:r>
      <w:r>
        <w:rPr>
          <w:spacing w:val="-2"/>
          <w:vertAlign w:val="baseline"/>
        </w:rPr>
        <w:t> </w:t>
      </w:r>
      <w:r>
        <w:rPr>
          <w:vertAlign w:val="baseline"/>
        </w:rPr>
        <w:t>at</w:t>
      </w:r>
      <w:r>
        <w:rPr>
          <w:spacing w:val="-2"/>
          <w:vertAlign w:val="baseline"/>
        </w:rPr>
        <w:t> </w:t>
      </w:r>
      <w:r>
        <w:rPr>
          <w:vertAlign w:val="baseline"/>
        </w:rPr>
        <w:t>once:</w:t>
      </w:r>
      <w:r>
        <w:rPr>
          <w:spacing w:val="-2"/>
          <w:vertAlign w:val="baseline"/>
        </w:rPr>
        <w:t> </w:t>
      </w:r>
      <w:r>
        <w:rPr>
          <w:vertAlign w:val="baseline"/>
        </w:rPr>
        <w:t>such</w:t>
      </w:r>
      <w:r>
        <w:rPr>
          <w:spacing w:val="-2"/>
          <w:vertAlign w:val="baseline"/>
        </w:rPr>
        <w:t> </w:t>
      </w:r>
      <w:r>
        <w:rPr>
          <w:vertAlign w:val="baseline"/>
        </w:rPr>
        <w:t>agreements</w:t>
      </w:r>
      <w:r>
        <w:rPr>
          <w:spacing w:val="-2"/>
          <w:vertAlign w:val="baseline"/>
        </w:rPr>
        <w:t> </w:t>
      </w:r>
      <w:r>
        <w:rPr>
          <w:vertAlign w:val="baseline"/>
        </w:rPr>
        <w:t>are</w:t>
      </w:r>
      <w:r>
        <w:rPr>
          <w:spacing w:val="-2"/>
          <w:vertAlign w:val="baseline"/>
        </w:rPr>
        <w:t> </w:t>
      </w:r>
      <w:r>
        <w:rPr>
          <w:vertAlign w:val="baseline"/>
        </w:rPr>
        <w:t>perfectly</w:t>
      </w:r>
      <w:r>
        <w:rPr>
          <w:spacing w:val="-2"/>
          <w:vertAlign w:val="baseline"/>
        </w:rPr>
        <w:t> </w:t>
      </w:r>
      <w:r>
        <w:rPr>
          <w:vertAlign w:val="baseline"/>
        </w:rPr>
        <w:t>valid</w:t>
      </w:r>
      <w:r>
        <w:rPr>
          <w:spacing w:val="-2"/>
          <w:vertAlign w:val="baseline"/>
        </w:rPr>
        <w:t> </w:t>
      </w:r>
      <w:r>
        <w:rPr>
          <w:vertAlign w:val="baseline"/>
        </w:rPr>
        <w:t>and</w:t>
      </w:r>
      <w:r>
        <w:rPr>
          <w:spacing w:val="-2"/>
          <w:vertAlign w:val="baseline"/>
        </w:rPr>
        <w:t> </w:t>
      </w:r>
      <w:r>
        <w:rPr>
          <w:vertAlign w:val="baseline"/>
        </w:rPr>
        <w:t>a</w:t>
      </w:r>
      <w:r>
        <w:rPr>
          <w:spacing w:val="-2"/>
          <w:vertAlign w:val="baseline"/>
        </w:rPr>
        <w:t> </w:t>
      </w:r>
      <w:r>
        <w:rPr>
          <w:vertAlign w:val="baseline"/>
        </w:rPr>
        <w:t>reasonable</w:t>
      </w:r>
      <w:r>
        <w:rPr>
          <w:spacing w:val="-2"/>
          <w:vertAlign w:val="baseline"/>
        </w:rPr>
        <w:t> </w:t>
      </w:r>
      <w:r>
        <w:rPr>
          <w:vertAlign w:val="baseline"/>
        </w:rPr>
        <w:t>premium</w:t>
      </w:r>
      <w:r>
        <w:rPr>
          <w:spacing w:val="-2"/>
          <w:vertAlign w:val="baseline"/>
        </w:rPr>
        <w:t> </w:t>
      </w:r>
      <w:r>
        <w:rPr>
          <w:vertAlign w:val="baseline"/>
        </w:rPr>
        <w:t>must</w:t>
      </w:r>
      <w:r>
        <w:rPr>
          <w:spacing w:val="-2"/>
          <w:vertAlign w:val="baseline"/>
        </w:rPr>
        <w:t> </w:t>
      </w:r>
      <w:r>
        <w:rPr>
          <w:vertAlign w:val="baseline"/>
        </w:rPr>
        <w:t>be </w:t>
      </w:r>
      <w:bookmarkStart w:name="_bookmark1263" w:id="1265"/>
      <w:bookmarkEnd w:id="1265"/>
      <w:r>
        <w:rPr>
          <w:vertAlign w:val="baseline"/>
        </w:rPr>
        <w:t>paid.</w:t>
      </w:r>
      <w:r>
        <w:rPr>
          <w:vertAlign w:val="baseline"/>
        </w:rPr>
        <w:t> </w:t>
      </w:r>
      <w:r>
        <w:rPr>
          <w:color w:val="005DA1"/>
          <w:u w:val="single" w:color="005DA1"/>
          <w:vertAlign w:val="superscript"/>
        </w:rPr>
        <w:t>735</w:t>
      </w:r>
      <w:r>
        <w:rPr>
          <w:color w:val="005DA1"/>
          <w:vertAlign w:val="baseline"/>
        </w:rPr>
        <w:t> </w:t>
      </w:r>
      <w:r>
        <w:rPr>
          <w:vertAlign w:val="baseline"/>
        </w:rPr>
        <w:t>All this is not to say that the courts will hold parties bound when they have not yet reached </w:t>
      </w:r>
      <w:bookmarkStart w:name="_bookmark1264" w:id="1266"/>
      <w:bookmarkEnd w:id="1266"/>
      <w:r>
        <w:rPr>
          <w:vertAlign w:val="baseline"/>
        </w:rPr>
        <w:t>substantial</w:t>
      </w:r>
      <w:r>
        <w:rPr>
          <w:vertAlign w:val="baseline"/>
        </w:rPr>
        <w:t> agreement, </w:t>
      </w:r>
      <w:r>
        <w:rPr>
          <w:color w:val="005DA1"/>
          <w:u w:val="single" w:color="005DA1"/>
          <w:vertAlign w:val="superscript"/>
        </w:rPr>
        <w:t>736</w:t>
      </w:r>
      <w:r>
        <w:rPr>
          <w:color w:val="005DA1"/>
          <w:vertAlign w:val="baseline"/>
        </w:rPr>
        <w:t> </w:t>
      </w:r>
      <w:r>
        <w:rPr>
          <w:vertAlign w:val="baseline"/>
        </w:rPr>
        <w:t>but once they have reached such agreement it is not fatal that some points (even important ones) remain to be settled by further negotiation. </w:t>
      </w:r>
      <w:r>
        <w:rPr>
          <w:color w:val="005DA1"/>
          <w:u w:val="single" w:color="005DA1"/>
          <w:vertAlign w:val="superscript"/>
        </w:rPr>
        <w:t>737</w:t>
      </w:r>
    </w:p>
    <w:p>
      <w:pPr>
        <w:pStyle w:val="BodyText"/>
      </w:pPr>
    </w:p>
    <w:p>
      <w:pPr>
        <w:pStyle w:val="BodyText"/>
        <w:spacing w:before="30"/>
      </w:pPr>
    </w:p>
    <w:p>
      <w:pPr>
        <w:spacing w:before="0"/>
        <w:ind w:left="165" w:right="0" w:firstLine="0"/>
        <w:jc w:val="left"/>
        <w:rPr>
          <w:rFonts w:ascii="Arial"/>
          <w:b/>
          <w:sz w:val="18"/>
        </w:rPr>
      </w:pPr>
      <w:r>
        <w:rPr>
          <w:rFonts w:ascii="Arial"/>
          <w:b/>
          <w:sz w:val="18"/>
        </w:rPr>
        <w:t>Criteria laid down in the </w:t>
      </w:r>
      <w:r>
        <w:rPr>
          <w:rFonts w:ascii="Arial"/>
          <w:b/>
          <w:spacing w:val="-2"/>
          <w:sz w:val="18"/>
        </w:rPr>
        <w:t>agreement</w:t>
      </w:r>
    </w:p>
    <w:p>
      <w:pPr>
        <w:pStyle w:val="BodyText"/>
        <w:spacing w:before="41"/>
        <w:rPr>
          <w:rFonts w:ascii="Arial"/>
          <w:b/>
          <w:sz w:val="18"/>
        </w:rPr>
      </w:pPr>
    </w:p>
    <w:p>
      <w:pPr>
        <w:pStyle w:val="Heading2"/>
      </w:pPr>
      <w:r>
        <w:rPr/>
        <w:t>2-</w:t>
      </w:r>
      <w:r>
        <w:rPr>
          <w:spacing w:val="-5"/>
        </w:rPr>
        <w:t>137</w:t>
      </w:r>
    </w:p>
    <w:p>
      <w:pPr>
        <w:pStyle w:val="BodyText"/>
        <w:spacing w:line="235" w:lineRule="auto" w:before="203"/>
        <w:ind w:left="165" w:right="167"/>
        <w:jc w:val="both"/>
      </w:pPr>
      <w:bookmarkStart w:name="_bookmark1265" w:id="1267"/>
      <w:bookmarkEnd w:id="1267"/>
      <w:r>
        <w:rPr/>
      </w:r>
      <w:r>
        <w:rPr/>
        <w:t>The courts have less difficulty in upholding agreements which lay down </w:t>
      </w:r>
      <w:r>
        <w:rPr>
          <w:rFonts w:ascii="Arial" w:hAnsi="Arial"/>
          <w:i/>
        </w:rPr>
        <w:t>criteria </w:t>
      </w:r>
      <w:r>
        <w:rPr/>
        <w:t>for </w:t>
      </w:r>
      <w:r>
        <w:rPr/>
        <w:t>determining</w:t>
      </w:r>
      <w:r>
        <w:rPr>
          <w:spacing w:val="40"/>
        </w:rPr>
        <w:t> </w:t>
      </w:r>
      <w:r>
        <w:rPr/>
        <w:t>matters which are left open. For example, in </w:t>
      </w:r>
      <w:r>
        <w:rPr>
          <w:rFonts w:ascii="Arial" w:hAnsi="Arial"/>
          <w:i/>
        </w:rPr>
        <w:t>Hillas &amp; Co Ltd v Arcos Ltd </w:t>
      </w:r>
      <w:r>
        <w:rPr>
          <w:color w:val="005DA1"/>
          <w:u w:val="single" w:color="005DA1"/>
          <w:vertAlign w:val="superscript"/>
        </w:rPr>
        <w:t>738</w:t>
      </w:r>
      <w:r>
        <w:rPr>
          <w:color w:val="005DA1"/>
          <w:vertAlign w:val="baseline"/>
        </w:rPr>
        <w:t> </w:t>
      </w:r>
      <w:r>
        <w:rPr>
          <w:vertAlign w:val="baseline"/>
        </w:rPr>
        <w:t>an option to buy timber was held binding even though it did not specify the price, since it provided for the price to be calculated by reference to the official price list. Similarly, an option to renew a lease “at a rent to be </w:t>
      </w:r>
      <w:bookmarkStart w:name="_bookmark1266" w:id="1268"/>
      <w:bookmarkEnd w:id="1268"/>
      <w:r>
        <w:rPr>
          <w:vertAlign w:val="baseline"/>
        </w:rPr>
        <w:t>fixed</w:t>
      </w:r>
      <w:r>
        <w:rPr>
          <w:vertAlign w:val="baseline"/>
        </w:rPr>
        <w:t> having regard to the market value of the premises” has been held binding as it provided a criterion (though not a very precise one </w:t>
      </w:r>
      <w:r>
        <w:rPr>
          <w:color w:val="005DA1"/>
          <w:u w:val="single" w:color="005DA1"/>
          <w:vertAlign w:val="superscript"/>
        </w:rPr>
        <w:t>739</w:t>
      </w:r>
      <w:r>
        <w:rPr>
          <w:vertAlign w:val="baseline"/>
        </w:rPr>
        <w:t>) for resolving the uncertainty. </w:t>
      </w:r>
      <w:r>
        <w:rPr>
          <w:color w:val="005DA1"/>
          <w:u w:val="single" w:color="005DA1"/>
          <w:vertAlign w:val="superscript"/>
        </w:rPr>
        <w:t>740</w:t>
      </w:r>
      <w:r>
        <w:rPr>
          <w:color w:val="005DA1"/>
          <w:vertAlign w:val="baseline"/>
        </w:rPr>
        <w:t> </w:t>
      </w:r>
      <w:r>
        <w:rPr>
          <w:vertAlign w:val="baseline"/>
        </w:rPr>
        <w:t>Even a provision that hire under a charterparty was in certain specified events to be “equitably decreased by an amount to be </w:t>
      </w:r>
      <w:bookmarkStart w:name="_bookmark1267" w:id="1269"/>
      <w:bookmarkEnd w:id="1269"/>
      <w:r>
        <w:rPr>
          <w:vertAlign w:val="baseline"/>
        </w:rPr>
        <w:t>mutually</w:t>
      </w:r>
      <w:r>
        <w:rPr>
          <w:vertAlign w:val="baseline"/>
        </w:rPr>
        <w:t> agreed” has been held (by reason of its reference to what was equitable) “to provide a </w:t>
      </w:r>
      <w:bookmarkStart w:name="_bookmark1268" w:id="1270"/>
      <w:bookmarkEnd w:id="1270"/>
      <w:r>
        <w:rPr>
          <w:vertAlign w:val="baseline"/>
        </w:rPr>
        <w:t>sufficient</w:t>
      </w:r>
      <w:r>
        <w:rPr>
          <w:vertAlign w:val="baseline"/>
        </w:rPr>
        <w:t> criterion to enable the appropriate reduction … to be determined”. </w:t>
      </w:r>
      <w:r>
        <w:rPr>
          <w:color w:val="005DA1"/>
          <w:u w:val="single" w:color="005DA1"/>
          <w:vertAlign w:val="superscript"/>
        </w:rPr>
        <w:t>741</w:t>
      </w:r>
      <w:r>
        <w:rPr>
          <w:color w:val="005DA1"/>
          <w:vertAlign w:val="baseline"/>
        </w:rPr>
        <w:t> </w:t>
      </w:r>
      <w:r>
        <w:rPr>
          <w:vertAlign w:val="baseline"/>
        </w:rPr>
        <w:t>It was said that “equitably” meant “fairly and reasonably” and that “a purely objective standard has been prescribed”. </w:t>
      </w:r>
      <w:r>
        <w:rPr>
          <w:color w:val="005DA1"/>
          <w:u w:val="single" w:color="005DA1"/>
          <w:vertAlign w:val="superscript"/>
        </w:rPr>
        <w:t>742</w:t>
      </w:r>
      <w:r>
        <w:rPr>
          <w:color w:val="005DA1"/>
          <w:vertAlign w:val="baseline"/>
        </w:rPr>
        <w:t> </w:t>
      </w:r>
      <w:r>
        <w:rPr>
          <w:vertAlign w:val="baseline"/>
        </w:rPr>
        <w:t>On the other hand, where an agreement provided for payment of a fixed percentage of the “open market value” of shares in a </w:t>
      </w:r>
      <w:r>
        <w:rPr>
          <w:rFonts w:ascii="Arial" w:hAnsi="Arial"/>
          <w:i/>
          <w:vertAlign w:val="baseline"/>
        </w:rPr>
        <w:t>private </w:t>
      </w:r>
      <w:r>
        <w:rPr>
          <w:vertAlign w:val="baseline"/>
        </w:rPr>
        <w:t>company, it was held that these words did not provide a </w:t>
      </w:r>
      <w:bookmarkStart w:name="_bookmark1269" w:id="1271"/>
      <w:bookmarkEnd w:id="1271"/>
      <w:r>
        <w:rPr>
          <w:vertAlign w:val="baseline"/>
        </w:rPr>
        <w:t>sufficiently</w:t>
      </w:r>
      <w:r>
        <w:rPr>
          <w:vertAlign w:val="baseline"/>
        </w:rPr>
        <w:t> precise criterion since there was more than one formula for calculating the market value of shares in such a company. </w:t>
      </w:r>
      <w:r>
        <w:rPr>
          <w:color w:val="005DA1"/>
          <w:u w:val="single" w:color="005DA1"/>
          <w:vertAlign w:val="superscript"/>
        </w:rPr>
        <w:t>743</w:t>
      </w:r>
      <w:r>
        <w:rPr>
          <w:color w:val="005DA1"/>
          <w:vertAlign w:val="baseline"/>
        </w:rPr>
        <w:t> </w:t>
      </w:r>
      <w:r>
        <w:rPr>
          <w:vertAlign w:val="baseline"/>
        </w:rPr>
        <w:t>An agreement may also lack contractual force where, though it lays down a criterion for resolving matters which are left open, it goes on to provide that the principles for </w:t>
      </w:r>
      <w:bookmarkStart w:name="_bookmark1270" w:id="1272"/>
      <w:bookmarkEnd w:id="1272"/>
      <w:r>
        <w:rPr>
          <w:vertAlign w:val="baseline"/>
        </w:rPr>
        <w:t>determining</w:t>
      </w:r>
      <w:r>
        <w:rPr>
          <w:vertAlign w:val="baseline"/>
        </w:rPr>
        <w:t> the application of that criterion are to be settled by further negotiations between the parties. </w:t>
      </w:r>
      <w:r>
        <w:rPr>
          <w:color w:val="005DA1"/>
          <w:u w:val="single" w:color="005DA1"/>
          <w:vertAlign w:val="superscript"/>
        </w:rPr>
        <w:t>744</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Machinery laid down in the </w:t>
      </w:r>
      <w:r>
        <w:rPr>
          <w:rFonts w:ascii="Arial"/>
          <w:b/>
          <w:spacing w:val="-2"/>
          <w:sz w:val="18"/>
        </w:rPr>
        <w:t>agreement</w:t>
      </w:r>
    </w:p>
    <w:p>
      <w:pPr>
        <w:pStyle w:val="BodyText"/>
        <w:spacing w:before="41"/>
        <w:rPr>
          <w:rFonts w:ascii="Arial"/>
          <w:b/>
          <w:sz w:val="18"/>
        </w:rPr>
      </w:pPr>
    </w:p>
    <w:p>
      <w:pPr>
        <w:pStyle w:val="Heading2"/>
      </w:pPr>
      <w:r>
        <w:rPr/>
        <w:t>2-</w:t>
      </w:r>
      <w:r>
        <w:rPr>
          <w:spacing w:val="-5"/>
        </w:rPr>
        <w:t>138</w:t>
      </w:r>
    </w:p>
    <w:p>
      <w:pPr>
        <w:pStyle w:val="BodyText"/>
        <w:spacing w:before="93"/>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03" name="Image 103"/>
            <wp:cNvGraphicFramePr>
              <a:graphicFrameLocks/>
            </wp:cNvGraphicFramePr>
            <a:graphic>
              <a:graphicData uri="http://schemas.openxmlformats.org/drawingml/2006/picture">
                <pic:pic>
                  <pic:nvPicPr>
                    <pic:cNvPr id="103" name="Image 103"/>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271" w:id="1273"/>
      <w:bookmarkEnd w:id="1273"/>
      <w:r>
        <w:rPr>
          <w:rFonts w:ascii="Times New Roman" w:hAnsi="Times New Roman"/>
          <w:spacing w:val="-17"/>
        </w:rPr>
      </w:r>
      <w:r>
        <w:rPr/>
        <w:t>An agreement is not incomplete where it provides </w:t>
      </w:r>
      <w:r>
        <w:rPr>
          <w:rFonts w:ascii="Arial" w:hAnsi="Arial"/>
          <w:i/>
        </w:rPr>
        <w:t>machinery </w:t>
      </w:r>
      <w:r>
        <w:rPr/>
        <w:t>for resolving matters originally left open. </w:t>
      </w:r>
      <w:r>
        <w:rPr>
          <w:color w:val="005DA1"/>
          <w:u w:val="single" w:color="005DA1"/>
          <w:vertAlign w:val="superscript"/>
        </w:rPr>
        <w:t>745</w:t>
      </w:r>
      <w:r>
        <w:rPr>
          <w:color w:val="005DA1"/>
          <w:vertAlign w:val="baseline"/>
        </w:rPr>
        <w:t> </w:t>
      </w:r>
      <w:r>
        <w:rPr>
          <w:vertAlign w:val="baseline"/>
        </w:rPr>
        <w:t>Perhaps the most striking illustration of this possibility is provided by cases in which </w:t>
      </w:r>
      <w:r>
        <w:rPr>
          <w:vertAlign w:val="baseline"/>
        </w:rPr>
        <w:t>such </w:t>
      </w:r>
      <w:bookmarkStart w:name="_bookmark1272" w:id="1274"/>
      <w:bookmarkEnd w:id="1274"/>
      <w:r>
        <w:rPr>
          <w:vertAlign w:val="baseline"/>
        </w:rPr>
        <w:t>matters</w:t>
      </w:r>
      <w:r>
        <w:rPr>
          <w:spacing w:val="-1"/>
          <w:vertAlign w:val="baseline"/>
        </w:rPr>
        <w:t> </w:t>
      </w:r>
      <w:r>
        <w:rPr>
          <w:vertAlign w:val="baseline"/>
        </w:rPr>
        <w:t>are</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resolved</w:t>
      </w:r>
      <w:r>
        <w:rPr>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decision</w:t>
      </w:r>
      <w:r>
        <w:rPr>
          <w:spacing w:val="-1"/>
          <w:vertAlign w:val="baseline"/>
        </w:rPr>
        <w:t> </w:t>
      </w:r>
      <w:r>
        <w:rPr>
          <w:vertAlign w:val="baseline"/>
        </w:rPr>
        <w:t>of</w:t>
      </w:r>
      <w:r>
        <w:rPr>
          <w:spacing w:val="-1"/>
          <w:vertAlign w:val="baseline"/>
        </w:rPr>
        <w:t> </w:t>
      </w:r>
      <w:r>
        <w:rPr>
          <w:vertAlign w:val="baseline"/>
        </w:rPr>
        <w:t>one</w:t>
      </w:r>
      <w:r>
        <w:rPr>
          <w:spacing w:val="-1"/>
          <w:vertAlign w:val="baseline"/>
        </w:rPr>
        <w:t> </w:t>
      </w:r>
      <w:r>
        <w:rPr>
          <w:vertAlign w:val="baseline"/>
        </w:rPr>
        <w:t>party:</w:t>
      </w:r>
      <w:r>
        <w:rPr>
          <w:spacing w:val="-1"/>
          <w:vertAlign w:val="baseline"/>
        </w:rPr>
        <w:t> </w:t>
      </w:r>
      <w:r>
        <w:rPr>
          <w:vertAlign w:val="baseline"/>
        </w:rPr>
        <w:t>for</w:t>
      </w:r>
      <w:r>
        <w:rPr>
          <w:spacing w:val="-1"/>
          <w:vertAlign w:val="baseline"/>
        </w:rPr>
        <w:t> </w:t>
      </w:r>
      <w:r>
        <w:rPr>
          <w:vertAlign w:val="baseline"/>
        </w:rPr>
        <w:t>example</w:t>
      </w:r>
      <w:r>
        <w:rPr>
          <w:spacing w:val="-1"/>
          <w:vertAlign w:val="baseline"/>
        </w:rPr>
        <w:t> </w:t>
      </w:r>
      <w:r>
        <w:rPr>
          <w:vertAlign w:val="baseline"/>
        </w:rPr>
        <w:t>a</w:t>
      </w:r>
      <w:r>
        <w:rPr>
          <w:spacing w:val="-1"/>
          <w:vertAlign w:val="baseline"/>
        </w:rPr>
        <w:t> </w:t>
      </w:r>
      <w:r>
        <w:rPr>
          <w:vertAlign w:val="baseline"/>
        </w:rPr>
        <w:t>term</w:t>
      </w:r>
      <w:r>
        <w:rPr>
          <w:spacing w:val="-1"/>
          <w:vertAlign w:val="baseline"/>
        </w:rPr>
        <w:t> </w:t>
      </w:r>
      <w:r>
        <w:rPr>
          <w:vertAlign w:val="baseline"/>
        </w:rPr>
        <w:t>by</w:t>
      </w:r>
      <w:r>
        <w:rPr>
          <w:spacing w:val="-1"/>
          <w:vertAlign w:val="baseline"/>
        </w:rPr>
        <w:t> </w:t>
      </w:r>
      <w:r>
        <w:rPr>
          <w:vertAlign w:val="baseline"/>
        </w:rPr>
        <w:t>which</w:t>
      </w:r>
      <w:r>
        <w:rPr>
          <w:spacing w:val="-1"/>
          <w:vertAlign w:val="baseline"/>
        </w:rPr>
        <w:t> </w:t>
      </w:r>
      <w:r>
        <w:rPr>
          <w:vertAlign w:val="baseline"/>
        </w:rPr>
        <w:t>interest</w:t>
      </w:r>
      <w:r>
        <w:rPr>
          <w:spacing w:val="-1"/>
          <w:vertAlign w:val="baseline"/>
        </w:rPr>
        <w:t> </w:t>
      </w:r>
      <w:r>
        <w:rPr>
          <w:vertAlign w:val="baseline"/>
        </w:rPr>
        <w:t>rates</w:t>
      </w:r>
      <w:r>
        <w:rPr>
          <w:spacing w:val="-1"/>
          <w:vertAlign w:val="baseline"/>
        </w:rPr>
        <w:t> </w:t>
      </w:r>
      <w:r>
        <w:rPr>
          <w:vertAlign w:val="baseline"/>
        </w:rPr>
        <w:t>are expressed to be variable on notification by the creditor, is in principle valid, </w:t>
      </w:r>
      <w:r>
        <w:rPr>
          <w:color w:val="005DA1"/>
          <w:u w:val="single" w:color="005DA1"/>
          <w:vertAlign w:val="superscript"/>
        </w:rPr>
        <w:t>746</w:t>
      </w:r>
      <w:r>
        <w:rPr>
          <w:color w:val="005DA1"/>
          <w:vertAlign w:val="baseline"/>
        </w:rPr>
        <w:t> </w:t>
      </w:r>
      <w:r>
        <w:rPr>
          <w:vertAlign w:val="baseline"/>
        </w:rPr>
        <w:t>though the creditor’s </w:t>
      </w:r>
      <w:bookmarkStart w:name="_bookmark1273" w:id="1275"/>
      <w:bookmarkEnd w:id="1275"/>
      <w:r>
        <w:rPr>
          <w:vertAlign w:val="baseline"/>
        </w:rPr>
        <w:t>power</w:t>
      </w:r>
      <w:r>
        <w:rPr>
          <w:vertAlign w:val="baseline"/>
        </w:rPr>
        <w:t> to set interest rates under such a contract is limited by an implied term that he must not exercise</w:t>
      </w:r>
      <w:r>
        <w:rPr>
          <w:spacing w:val="-4"/>
          <w:vertAlign w:val="baseline"/>
        </w:rPr>
        <w:t> </w:t>
      </w:r>
      <w:r>
        <w:rPr>
          <w:vertAlign w:val="baseline"/>
        </w:rPr>
        <w:t>it</w:t>
      </w:r>
      <w:r>
        <w:rPr>
          <w:spacing w:val="-4"/>
          <w:vertAlign w:val="baseline"/>
        </w:rPr>
        <w:t> </w:t>
      </w:r>
      <w:r>
        <w:rPr>
          <w:vertAlign w:val="baseline"/>
        </w:rPr>
        <w:t>“dishonestly,</w:t>
      </w:r>
      <w:r>
        <w:rPr>
          <w:spacing w:val="-4"/>
          <w:vertAlign w:val="baseline"/>
        </w:rPr>
        <w:t> </w:t>
      </w:r>
      <w:r>
        <w:rPr>
          <w:vertAlign w:val="baseline"/>
        </w:rPr>
        <w:t>for</w:t>
      </w:r>
      <w:r>
        <w:rPr>
          <w:spacing w:val="-4"/>
          <w:vertAlign w:val="baseline"/>
        </w:rPr>
        <w:t> </w:t>
      </w:r>
      <w:r>
        <w:rPr>
          <w:vertAlign w:val="baseline"/>
        </w:rPr>
        <w:t>an</w:t>
      </w:r>
      <w:r>
        <w:rPr>
          <w:spacing w:val="-4"/>
          <w:vertAlign w:val="baseline"/>
        </w:rPr>
        <w:t> </w:t>
      </w:r>
      <w:r>
        <w:rPr>
          <w:vertAlign w:val="baseline"/>
        </w:rPr>
        <w:t>improper</w:t>
      </w:r>
      <w:r>
        <w:rPr>
          <w:spacing w:val="-4"/>
          <w:vertAlign w:val="baseline"/>
        </w:rPr>
        <w:t> </w:t>
      </w:r>
      <w:r>
        <w:rPr>
          <w:vertAlign w:val="baseline"/>
        </w:rPr>
        <w:t>purpose,</w:t>
      </w:r>
      <w:r>
        <w:rPr>
          <w:spacing w:val="-4"/>
          <w:vertAlign w:val="baseline"/>
        </w:rPr>
        <w:t> </w:t>
      </w:r>
      <w:r>
        <w:rPr>
          <w:vertAlign w:val="baseline"/>
        </w:rPr>
        <w:t>capriciously</w:t>
      </w:r>
      <w:r>
        <w:rPr>
          <w:spacing w:val="-4"/>
          <w:vertAlign w:val="baseline"/>
        </w:rPr>
        <w:t> </w:t>
      </w:r>
      <w:r>
        <w:rPr>
          <w:vertAlign w:val="baseline"/>
        </w:rPr>
        <w:t>or</w:t>
      </w:r>
      <w:r>
        <w:rPr>
          <w:spacing w:val="-4"/>
          <w:vertAlign w:val="baseline"/>
        </w:rPr>
        <w:t> </w:t>
      </w:r>
      <w:r>
        <w:rPr>
          <w:vertAlign w:val="baseline"/>
        </w:rPr>
        <w:t>arbitrarily”.</w:t>
      </w:r>
      <w:r>
        <w:rPr>
          <w:spacing w:val="-5"/>
          <w:vertAlign w:val="baseline"/>
        </w:rPr>
        <w:t> </w:t>
      </w:r>
      <w:r>
        <w:rPr>
          <w:color w:val="005DA1"/>
          <w:u w:val="single" w:color="005DA1"/>
          <w:vertAlign w:val="superscript"/>
        </w:rPr>
        <w:t>747</w:t>
      </w:r>
      <w:r>
        <w:rPr>
          <w:color w:val="005DA1"/>
          <w:spacing w:val="-4"/>
          <w:vertAlign w:val="baseline"/>
        </w:rPr>
        <w:t> </w:t>
      </w:r>
      <w:r>
        <w:rPr>
          <w:vertAlign w:val="baseline"/>
        </w:rPr>
        <w:t>Similarly,</w:t>
      </w:r>
      <w:r>
        <w:rPr>
          <w:spacing w:val="-4"/>
          <w:vertAlign w:val="baseline"/>
        </w:rPr>
        <w:t> </w:t>
      </w:r>
      <w:r>
        <w:rPr>
          <w:vertAlign w:val="baseline"/>
        </w:rPr>
        <w:t>an</w:t>
      </w:r>
      <w:r>
        <w:rPr>
          <w:spacing w:val="-4"/>
          <w:vertAlign w:val="baseline"/>
        </w:rPr>
        <w:t> </w:t>
      </w:r>
      <w:r>
        <w:rPr>
          <w:vertAlign w:val="baseline"/>
        </w:rPr>
        <w:t>arbitration </w:t>
      </w:r>
      <w:bookmarkStart w:name="_bookmark1274" w:id="1276"/>
      <w:bookmarkEnd w:id="1276"/>
      <w:r>
        <w:rPr>
          <w:vertAlign w:val="baseline"/>
        </w:rPr>
        <w:t>clause</w:t>
      </w:r>
      <w:r>
        <w:rPr>
          <w:vertAlign w:val="baseline"/>
        </w:rPr>
        <w:t> can validly provide for the arbitration to take place at one of two or more places to be selected </w:t>
      </w:r>
      <w:bookmarkStart w:name="_bookmark1275" w:id="1277"/>
      <w:bookmarkEnd w:id="1277"/>
      <w:r>
        <w:rPr>
          <w:vertAlign w:val="baseline"/>
        </w:rPr>
        <w:t>by</w:t>
      </w:r>
      <w:r>
        <w:rPr>
          <w:vertAlign w:val="baseline"/>
        </w:rPr>
        <w:t> one of the parties </w:t>
      </w:r>
      <w:r>
        <w:rPr>
          <w:color w:val="005DA1"/>
          <w:u w:val="single" w:color="005DA1"/>
          <w:vertAlign w:val="superscript"/>
        </w:rPr>
        <w:t>748</w:t>
      </w:r>
      <w:r>
        <w:rPr>
          <w:vertAlign w:val="baseline"/>
        </w:rPr>
        <w:t>; a compromise agreement can provide that one party is to have the right to </w:t>
      </w:r>
      <w:bookmarkStart w:name="_bookmark1276" w:id="1278"/>
      <w:bookmarkEnd w:id="1278"/>
      <w:r>
        <w:rPr>
          <w:vertAlign w:val="baseline"/>
        </w:rPr>
        <w:t>choose</w:t>
      </w:r>
      <w:r>
        <w:rPr>
          <w:vertAlign w:val="baseline"/>
        </w:rPr>
        <w:t> which assets are to be transferred under it </w:t>
      </w:r>
      <w:r>
        <w:rPr>
          <w:color w:val="005DA1"/>
          <w:u w:val="single" w:color="005DA1"/>
          <w:vertAlign w:val="superscript"/>
        </w:rPr>
        <w:t>749</w:t>
      </w:r>
      <w:r>
        <w:rPr>
          <w:vertAlign w:val="baseline"/>
        </w:rPr>
        <w:t>; and a “staff handbook” can allow an employer </w:t>
      </w:r>
      <w:bookmarkStart w:name="_bookmark1277" w:id="1279"/>
      <w:bookmarkEnd w:id="1279"/>
      <w:r>
        <w:rPr>
          <w:vertAlign w:val="baseline"/>
        </w:rPr>
        <w:t>unilaterally</w:t>
      </w:r>
      <w:r>
        <w:rPr>
          <w:vertAlign w:val="baseline"/>
        </w:rPr>
        <w:t> to vary terms of a contract of employment. </w:t>
      </w:r>
      <w:r>
        <w:rPr>
          <w:color w:val="005DA1"/>
          <w:u w:val="single" w:color="005DA1"/>
          <w:vertAlign w:val="superscript"/>
        </w:rPr>
        <w:t>750</w:t>
      </w:r>
      <w:r>
        <w:rPr>
          <w:color w:val="005DA1"/>
          <w:vertAlign w:val="baseline"/>
        </w:rPr>
        <w:t> </w:t>
      </w:r>
      <w:r>
        <w:rPr>
          <w:vertAlign w:val="baseline"/>
        </w:rPr>
        <w:t>Agreements are a fortiori not incomplete </w:t>
      </w:r>
      <w:bookmarkStart w:name="_bookmark1278" w:id="1280"/>
      <w:bookmarkEnd w:id="1280"/>
      <w:r>
        <w:rPr>
          <w:vertAlign w:val="baseline"/>
        </w:rPr>
        <w:t>merely</w:t>
      </w:r>
      <w:r>
        <w:rPr>
          <w:vertAlign w:val="baseline"/>
        </w:rPr>
        <w:t> because they provide that outstanding points shall be determined by arbitration </w:t>
      </w:r>
      <w:r>
        <w:rPr>
          <w:color w:val="005DA1"/>
          <w:u w:val="single" w:color="005DA1"/>
          <w:vertAlign w:val="superscript"/>
        </w:rPr>
        <w:t>751</w:t>
      </w:r>
      <w:r>
        <w:rPr>
          <w:color w:val="005DA1"/>
          <w:vertAlign w:val="baseline"/>
        </w:rPr>
        <w:t> </w:t>
      </w:r>
      <w:r>
        <w:rPr>
          <w:vertAlign w:val="baseline"/>
        </w:rPr>
        <w:t>or other dispute resolution procedure, </w:t>
      </w:r>
      <w:r>
        <w:rPr>
          <w:color w:val="005DA1"/>
          <w:u w:val="single" w:color="005DA1"/>
          <w:vertAlign w:val="superscript"/>
        </w:rPr>
        <w:t>752</w:t>
      </w:r>
      <w:r>
        <w:rPr>
          <w:color w:val="005DA1"/>
          <w:vertAlign w:val="baseline"/>
        </w:rPr>
        <w:t> </w:t>
      </w:r>
      <w:r>
        <w:rPr>
          <w:vertAlign w:val="baseline"/>
        </w:rPr>
        <w:t>or by the decision or valuation </w:t>
      </w:r>
      <w:r>
        <w:rPr>
          <w:color w:val="005DA1"/>
          <w:u w:val="single" w:color="005DA1"/>
          <w:vertAlign w:val="superscript"/>
        </w:rPr>
        <w:t>753</w:t>
      </w:r>
      <w:r>
        <w:rPr>
          <w:color w:val="005DA1"/>
          <w:vertAlign w:val="baseline"/>
        </w:rPr>
        <w:t> </w:t>
      </w:r>
      <w:r>
        <w:rPr>
          <w:vertAlign w:val="baseline"/>
        </w:rPr>
        <w:t>of a third party </w:t>
      </w:r>
      <w:r>
        <w:rPr>
          <w:color w:val="005DA1"/>
          <w:u w:val="single" w:color="005DA1"/>
          <w:vertAlign w:val="superscript"/>
        </w:rPr>
        <w:t>754</w:t>
      </w:r>
      <w:r>
        <w:rPr>
          <w:vertAlign w:val="baseline"/>
        </w:rPr>
        <w:t>; though the Sale </w:t>
      </w:r>
      <w:bookmarkStart w:name="_bookmark1279" w:id="1281"/>
      <w:bookmarkEnd w:id="1281"/>
      <w:r>
        <w:rPr>
          <w:vertAlign w:val="baseline"/>
        </w:rPr>
        <w:t>of</w:t>
      </w:r>
      <w:r>
        <w:rPr>
          <w:vertAlign w:val="baseline"/>
        </w:rPr>
        <w:t> Goods Act 1979 provides that if the third party “cannot or does not make the valuation, the </w:t>
      </w:r>
      <w:bookmarkStart w:name="_bookmark1280" w:id="1282"/>
      <w:bookmarkEnd w:id="1282"/>
      <w:r>
        <w:rPr>
          <w:vertAlign w:val="baseline"/>
        </w:rPr>
        <w:t>agreement</w:t>
      </w:r>
      <w:r>
        <w:rPr>
          <w:vertAlign w:val="baseline"/>
        </w:rPr>
        <w:t> is avoided”. </w:t>
      </w:r>
      <w:r>
        <w:rPr>
          <w:color w:val="005DA1"/>
          <w:u w:val="single" w:color="005DA1"/>
          <w:vertAlign w:val="superscript"/>
        </w:rPr>
        <w:t>755</w:t>
      </w:r>
      <w:r>
        <w:rPr>
          <w:color w:val="005DA1"/>
          <w:vertAlign w:val="baseline"/>
        </w:rPr>
        <w:t> </w:t>
      </w:r>
      <w:r>
        <w:rPr>
          <w:vertAlign w:val="baseline"/>
        </w:rPr>
        <w:t>An agreement is not, however, ineffective merely because such machinery fails to work. Thus, in </w:t>
      </w:r>
      <w:r>
        <w:rPr>
          <w:rFonts w:ascii="Arial" w:hAnsi="Arial"/>
          <w:i/>
          <w:vertAlign w:val="baseline"/>
        </w:rPr>
        <w:t>Sudbrook Trading Estate Ltd v Eggleton </w:t>
      </w:r>
      <w:r>
        <w:rPr>
          <w:color w:val="005DA1"/>
          <w:u w:val="single" w:color="005DA1"/>
          <w:vertAlign w:val="superscript"/>
        </w:rPr>
        <w:t>756</w:t>
      </w:r>
      <w:r>
        <w:rPr>
          <w:color w:val="005DA1"/>
          <w:vertAlign w:val="baseline"/>
        </w:rPr>
        <w:t> </w:t>
      </w:r>
      <w:r>
        <w:rPr>
          <w:vertAlign w:val="baseline"/>
        </w:rPr>
        <w:t>a lease gave a tenant an option to purchase the premises “at such price as may be agreed upon by two valuers, one to be nominated</w:t>
      </w:r>
      <w:r>
        <w:rPr>
          <w:spacing w:val="40"/>
          <w:vertAlign w:val="baseline"/>
        </w:rPr>
        <w:t> </w:t>
      </w:r>
      <w:r>
        <w:rPr>
          <w:vertAlign w:val="baseline"/>
        </w:rPr>
        <w:t>by” each party. Although the landlord refused to appoint a valuer, the House of Lords held that the option did not fail for uncertainty. It amounted, on its true construction, to an agreement to sell at a </w:t>
      </w:r>
      <w:bookmarkStart w:name="_bookmark1281" w:id="1283"/>
      <w:bookmarkEnd w:id="1283"/>
      <w:r>
        <w:rPr>
          <w:vertAlign w:val="baseline"/>
        </w:rPr>
        <w:t>reasonable</w:t>
      </w:r>
      <w:r>
        <w:rPr>
          <w:vertAlign w:val="baseline"/>
        </w:rPr>
        <w:t> price to be determined by valuers. The stipulation that each party should nominate one of </w:t>
      </w:r>
      <w:bookmarkStart w:name="_bookmark1282" w:id="1284"/>
      <w:bookmarkEnd w:id="1284"/>
      <w:r>
        <w:rPr>
          <w:vertAlign w:val="baseline"/>
        </w:rPr>
        <w:t>the</w:t>
      </w:r>
      <w:r>
        <w:rPr>
          <w:vertAlign w:val="baseline"/>
        </w:rPr>
        <w:t> valuers was merely “subsidiary and inessential” </w:t>
      </w:r>
      <w:r>
        <w:rPr>
          <w:color w:val="005DA1"/>
          <w:u w:val="single" w:color="005DA1"/>
          <w:vertAlign w:val="superscript"/>
        </w:rPr>
        <w:t>757</w:t>
      </w:r>
      <w:r>
        <w:rPr>
          <w:vertAlign w:val="baseline"/>
        </w:rPr>
        <w:t>; and where the agreed machinery (which fails to operate) is of this character, </w:t>
      </w:r>
      <w:r>
        <w:rPr>
          <w:color w:val="005DA1"/>
          <w:u w:val="single" w:color="005DA1"/>
          <w:vertAlign w:val="superscript"/>
        </w:rPr>
        <w:t>758</w:t>
      </w:r>
      <w:r>
        <w:rPr>
          <w:color w:val="005DA1"/>
          <w:vertAlign w:val="baseline"/>
        </w:rPr>
        <w:t> </w:t>
      </w:r>
      <w:r>
        <w:rPr>
          <w:vertAlign w:val="baseline"/>
        </w:rPr>
        <w:t>the court can, on its failure to operate, substitute other machinery: </w:t>
      </w:r>
      <w:bookmarkStart w:name="_bookmark1283" w:id="1285"/>
      <w:bookmarkEnd w:id="1285"/>
      <w:r>
        <w:rPr>
          <w:vertAlign w:val="baseline"/>
        </w:rPr>
        <w:t>for</w:t>
      </w:r>
      <w:r>
        <w:rPr>
          <w:vertAlign w:val="baseline"/>
        </w:rPr>
        <w:t> example, the court can itself fix the price with the aid of expert evidence. This is so not only where </w:t>
      </w:r>
      <w:bookmarkStart w:name="_bookmark1284" w:id="1286"/>
      <w:bookmarkEnd w:id="1286"/>
      <w:r>
        <w:rPr>
          <w:vertAlign w:val="baseline"/>
        </w:rPr>
        <w:t>the</w:t>
      </w:r>
      <w:r>
        <w:rPr>
          <w:vertAlign w:val="baseline"/>
        </w:rPr>
        <w:t> agreed machinery fails because of one party’s failure</w:t>
      </w:r>
      <w:r>
        <w:rPr>
          <w:spacing w:val="-1"/>
          <w:vertAlign w:val="baseline"/>
        </w:rPr>
        <w:t> </w:t>
      </w:r>
      <w:r>
        <w:rPr>
          <w:color w:val="005DA1"/>
          <w:u w:val="single" w:color="005DA1"/>
          <w:vertAlign w:val="superscript"/>
        </w:rPr>
        <w:t>759</w:t>
      </w:r>
      <w:r>
        <w:rPr>
          <w:color w:val="005DA1"/>
          <w:vertAlign w:val="baseline"/>
        </w:rPr>
        <w:t> </w:t>
      </w:r>
      <w:r>
        <w:rPr>
          <w:vertAlign w:val="baseline"/>
        </w:rPr>
        <w:t>or refusal to operate it, </w:t>
      </w:r>
      <w:r>
        <w:rPr>
          <w:color w:val="005DA1"/>
          <w:u w:val="single" w:color="005DA1"/>
          <w:vertAlign w:val="superscript"/>
        </w:rPr>
        <w:t>760</w:t>
      </w:r>
      <w:r>
        <w:rPr>
          <w:color w:val="005DA1"/>
          <w:vertAlign w:val="baseline"/>
        </w:rPr>
        <w:t> </w:t>
      </w:r>
      <w:r>
        <w:rPr>
          <w:vertAlign w:val="baseline"/>
        </w:rPr>
        <w:t>but also where it fails for some other reason, such as the refusal of a designated valuer to make the valuation. </w:t>
      </w:r>
      <w:r>
        <w:rPr>
          <w:color w:val="005DA1"/>
          <w:u w:val="single" w:color="005DA1"/>
          <w:vertAlign w:val="superscript"/>
        </w:rPr>
        <w:t>761</w:t>
      </w:r>
      <w:r>
        <w:rPr>
          <w:color w:val="005DA1"/>
          <w:vertAlign w:val="baseline"/>
        </w:rPr>
        <w:t> </w:t>
      </w:r>
      <w:r>
        <w:rPr>
          <w:vertAlign w:val="baseline"/>
        </w:rPr>
        <w:t>However, where the designated machinery that fails is regarded as “essential”, the agreement will be unenforceable.</w:t>
      </w:r>
      <w:r>
        <w:rPr>
          <w:spacing w:val="40"/>
          <w:vertAlign w:val="baseline"/>
        </w:rPr>
        <w:t> </w:t>
      </w:r>
      <w:r>
        <w:rPr>
          <w:vertAlign w:val="baseline"/>
        </w:rPr>
        <w:t>Thus,</w:t>
      </w:r>
      <w:r>
        <w:rPr>
          <w:spacing w:val="40"/>
          <w:vertAlign w:val="baseline"/>
        </w:rPr>
        <w:t> </w:t>
      </w:r>
      <w:r>
        <w:rPr>
          <w:vertAlign w:val="baseline"/>
        </w:rPr>
        <w:t>where</w:t>
      </w:r>
      <w:r>
        <w:rPr>
          <w:spacing w:val="40"/>
          <w:vertAlign w:val="baseline"/>
        </w:rPr>
        <w:t> </w:t>
      </w:r>
      <w:r>
        <w:rPr>
          <w:vertAlign w:val="baseline"/>
        </w:rPr>
        <w:t>one</w:t>
      </w:r>
      <w:r>
        <w:rPr>
          <w:spacing w:val="40"/>
          <w:vertAlign w:val="baseline"/>
        </w:rPr>
        <w:t> </w:t>
      </w:r>
      <w:r>
        <w:rPr>
          <w:vertAlign w:val="baseline"/>
        </w:rPr>
        <w:t>party</w:t>
      </w:r>
      <w:r>
        <w:rPr>
          <w:spacing w:val="40"/>
          <w:vertAlign w:val="baseline"/>
        </w:rPr>
        <w:t> </w:t>
      </w:r>
      <w:r>
        <w:rPr>
          <w:vertAlign w:val="baseline"/>
        </w:rPr>
        <w:t>agreed</w:t>
      </w:r>
      <w:r>
        <w:rPr>
          <w:spacing w:val="40"/>
          <w:vertAlign w:val="baseline"/>
        </w:rPr>
        <w:t> </w:t>
      </w:r>
      <w:r>
        <w:rPr>
          <w:vertAlign w:val="baseline"/>
        </w:rPr>
        <w:t>to</w:t>
      </w:r>
      <w:r>
        <w:rPr>
          <w:spacing w:val="40"/>
          <w:vertAlign w:val="baseline"/>
        </w:rPr>
        <w:t> </w:t>
      </w:r>
      <w:r>
        <w:rPr>
          <w:vertAlign w:val="baseline"/>
        </w:rPr>
        <w:t>pay</w:t>
      </w:r>
      <w:r>
        <w:rPr>
          <w:spacing w:val="40"/>
          <w:vertAlign w:val="baseline"/>
        </w:rPr>
        <w:t> </w:t>
      </w:r>
      <w:r>
        <w:rPr>
          <w:vertAlign w:val="baseline"/>
        </w:rPr>
        <w:t>compensation</w:t>
      </w:r>
      <w:r>
        <w:rPr>
          <w:spacing w:val="40"/>
          <w:vertAlign w:val="baseline"/>
        </w:rPr>
        <w:t> </w:t>
      </w:r>
      <w:r>
        <w:rPr>
          <w:vertAlign w:val="baseline"/>
        </w:rPr>
        <w:t>to</w:t>
      </w:r>
      <w:r>
        <w:rPr>
          <w:spacing w:val="40"/>
          <w:vertAlign w:val="baseline"/>
        </w:rPr>
        <w:t> </w:t>
      </w:r>
      <w:r>
        <w:rPr>
          <w:vertAlign w:val="baseline"/>
        </w:rPr>
        <w:t>the</w:t>
      </w:r>
      <w:r>
        <w:rPr>
          <w:spacing w:val="40"/>
          <w:vertAlign w:val="baseline"/>
        </w:rPr>
        <w:t> </w:t>
      </w:r>
      <w:r>
        <w:rPr>
          <w:vertAlign w:val="baseline"/>
        </w:rPr>
        <w:t>other</w:t>
      </w:r>
      <w:r>
        <w:rPr>
          <w:spacing w:val="40"/>
          <w:vertAlign w:val="baseline"/>
        </w:rPr>
        <w:t> </w:t>
      </w:r>
      <w:r>
        <w:rPr>
          <w:vertAlign w:val="baseline"/>
        </w:rPr>
        <w:t>for</w:t>
      </w:r>
      <w:r>
        <w:rPr>
          <w:spacing w:val="40"/>
          <w:vertAlign w:val="baseline"/>
        </w:rPr>
        <w:t> </w:t>
      </w:r>
      <w:r>
        <w:rPr>
          <w:vertAlign w:val="baseline"/>
        </w:rPr>
        <w:t>increased water-flow rates from flooding incidents, and the parties failed to identify a site at which water-flow rates could be gauged via their engineers or via arbitration, the court refused to substitute other </w:t>
      </w:r>
      <w:bookmarkStart w:name="_bookmark1285" w:id="1287"/>
      <w:bookmarkEnd w:id="1287"/>
      <w:r>
        <w:rPr>
          <w:vertAlign w:val="baseline"/>
        </w:rPr>
        <w:t>machinery,</w:t>
      </w:r>
      <w:r>
        <w:rPr>
          <w:spacing w:val="3"/>
          <w:vertAlign w:val="baseline"/>
        </w:rPr>
        <w:t> </w:t>
      </w:r>
      <w:r>
        <w:rPr>
          <w:vertAlign w:val="baseline"/>
        </w:rPr>
        <w:t>and</w:t>
      </w:r>
      <w:r>
        <w:rPr>
          <w:spacing w:val="3"/>
          <w:vertAlign w:val="baseline"/>
        </w:rPr>
        <w:t> </w:t>
      </w:r>
      <w:r>
        <w:rPr>
          <w:vertAlign w:val="baseline"/>
        </w:rPr>
        <w:t>refused</w:t>
      </w:r>
      <w:r>
        <w:rPr>
          <w:spacing w:val="3"/>
          <w:vertAlign w:val="baseline"/>
        </w:rPr>
        <w:t> </w:t>
      </w:r>
      <w:r>
        <w:rPr>
          <w:vertAlign w:val="baseline"/>
        </w:rPr>
        <w:t>to</w:t>
      </w:r>
      <w:r>
        <w:rPr>
          <w:spacing w:val="3"/>
          <w:vertAlign w:val="baseline"/>
        </w:rPr>
        <w:t> </w:t>
      </w:r>
      <w:r>
        <w:rPr>
          <w:vertAlign w:val="baseline"/>
        </w:rPr>
        <w:t>allow</w:t>
      </w:r>
      <w:r>
        <w:rPr>
          <w:spacing w:val="3"/>
          <w:vertAlign w:val="baseline"/>
        </w:rPr>
        <w:t> </w:t>
      </w:r>
      <w:r>
        <w:rPr>
          <w:vertAlign w:val="baseline"/>
        </w:rPr>
        <w:t>the</w:t>
      </w:r>
      <w:r>
        <w:rPr>
          <w:spacing w:val="3"/>
          <w:vertAlign w:val="baseline"/>
        </w:rPr>
        <w:t> </w:t>
      </w:r>
      <w:r>
        <w:rPr>
          <w:vertAlign w:val="baseline"/>
        </w:rPr>
        <w:t>gauging</w:t>
      </w:r>
      <w:r>
        <w:rPr>
          <w:spacing w:val="3"/>
          <w:vertAlign w:val="baseline"/>
        </w:rPr>
        <w:t> </w:t>
      </w:r>
      <w:r>
        <w:rPr>
          <w:vertAlign w:val="baseline"/>
        </w:rPr>
        <w:t>site</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determined</w:t>
      </w:r>
      <w:r>
        <w:rPr>
          <w:spacing w:val="3"/>
          <w:vertAlign w:val="baseline"/>
        </w:rPr>
        <w:t> </w:t>
      </w:r>
      <w:r>
        <w:rPr>
          <w:vertAlign w:val="baseline"/>
        </w:rPr>
        <w:t>retrospectively</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engineers</w:t>
      </w:r>
      <w:r>
        <w:rPr>
          <w:spacing w:val="3"/>
          <w:vertAlign w:val="baseline"/>
        </w:rPr>
        <w:t> </w:t>
      </w:r>
      <w:r>
        <w:rPr>
          <w:spacing w:val="-5"/>
          <w:vertAlign w:val="baseline"/>
        </w:rPr>
        <w:t>or</w:t>
      </w:r>
    </w:p>
    <w:p>
      <w:pPr>
        <w:pStyle w:val="BodyText"/>
        <w:spacing w:before="105"/>
        <w:ind w:left="165"/>
        <w:jc w:val="both"/>
        <w:rPr>
          <w:position w:val="-2"/>
        </w:rPr>
      </w:pPr>
      <w:r>
        <w:rPr/>
        <w:t>arbitration. </w:t>
      </w:r>
      <w:r>
        <w:rPr>
          <w:color w:val="005DA1"/>
          <w:u w:val="single" w:color="005DA1"/>
          <w:vertAlign w:val="superscript"/>
        </w:rPr>
        <w:t>762</w:t>
      </w:r>
      <w:r>
        <w:rPr>
          <w:color w:val="005DA1"/>
          <w:spacing w:val="80"/>
          <w:vertAlign w:val="baseline"/>
        </w:rPr>
        <w:t> </w:t>
      </w:r>
      <w:r>
        <w:rPr>
          <w:color w:val="005DA1"/>
          <w:position w:val="-2"/>
          <w:vertAlign w:val="baseline"/>
        </w:rPr>
        <w:drawing>
          <wp:inline distT="0" distB="0" distL="0" distR="0">
            <wp:extent cx="107988" cy="107988"/>
            <wp:effectExtent l="0" t="0" r="0" b="0"/>
            <wp:docPr id="104" name="Image 104"/>
            <wp:cNvGraphicFramePr>
              <a:graphicFrameLocks/>
            </wp:cNvGraphicFramePr>
            <a:graphic>
              <a:graphicData uri="http://schemas.openxmlformats.org/drawingml/2006/picture">
                <pic:pic>
                  <pic:nvPicPr>
                    <pic:cNvPr id="104" name="Image 104"/>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Rent review </w:t>
      </w:r>
      <w:r>
        <w:rPr>
          <w:rFonts w:ascii="Arial"/>
          <w:b/>
          <w:spacing w:val="-2"/>
          <w:sz w:val="18"/>
        </w:rPr>
        <w:t>clauses</w:t>
      </w:r>
    </w:p>
    <w:p>
      <w:pPr>
        <w:pStyle w:val="BodyText"/>
        <w:spacing w:before="42"/>
        <w:rPr>
          <w:rFonts w:ascii="Arial"/>
          <w:b/>
          <w:sz w:val="18"/>
        </w:rPr>
      </w:pPr>
    </w:p>
    <w:p>
      <w:pPr>
        <w:pStyle w:val="Heading2"/>
      </w:pPr>
      <w:r>
        <w:rPr/>
        <w:t>2-</w:t>
      </w:r>
      <w:r>
        <w:rPr>
          <w:spacing w:val="-5"/>
        </w:rPr>
        <w:t>139</w:t>
      </w:r>
    </w:p>
    <w:p>
      <w:pPr>
        <w:pStyle w:val="BodyText"/>
        <w:spacing w:line="235" w:lineRule="auto" w:before="202"/>
        <w:ind w:left="165" w:right="167"/>
        <w:jc w:val="both"/>
      </w:pPr>
      <w:r>
        <w:rPr/>
        <w:t>Problems of the kind discussed in paras 2-133—2-138 above have arisen in a number of </w:t>
      </w:r>
      <w:r>
        <w:rPr/>
        <w:t>cases </w:t>
      </w:r>
      <w:bookmarkStart w:name="_bookmark1286" w:id="1288"/>
      <w:bookmarkEnd w:id="1288"/>
      <w:r>
        <w:rPr/>
        <w:t>involving</w:t>
      </w:r>
      <w:r>
        <w:rPr/>
        <w:t> rent review clauses in leases. A provision in a lease that, after an initial period for which the rent is specified, the tenant shall pay “such rent as may be agreed” is prima facie ineffective. </w:t>
      </w:r>
      <w:r>
        <w:rPr>
          <w:color w:val="005DA1"/>
          <w:u w:val="single" w:color="005DA1"/>
          <w:vertAlign w:val="superscript"/>
        </w:rPr>
        <w:t>763</w:t>
      </w:r>
      <w:r>
        <w:rPr>
          <w:color w:val="005DA1"/>
          <w:vertAlign w:val="baseline"/>
        </w:rPr>
        <w:t> </w:t>
      </w:r>
      <w:r>
        <w:rPr>
          <w:vertAlign w:val="baseline"/>
        </w:rPr>
        <w:t>It does not follow that the lease is, or becomes, void on failure to agree the new rent; indeed, it is unlikely that the court would so hold where the parties had acted during the initial period in the belief </w:t>
      </w:r>
      <w:bookmarkStart w:name="_bookmark1287" w:id="1289"/>
      <w:bookmarkEnd w:id="1289"/>
      <w:r>
        <w:rPr>
          <w:vertAlign w:val="baseline"/>
        </w:rPr>
        <w:t>that</w:t>
      </w:r>
      <w:r>
        <w:rPr>
          <w:vertAlign w:val="baseline"/>
        </w:rPr>
        <w:t> the lease was binding for its full term; nor is it likely that the court would hold that, in default of </w:t>
      </w:r>
      <w:bookmarkStart w:name="_bookmark1288" w:id="1290"/>
      <w:bookmarkEnd w:id="1290"/>
      <w:r>
        <w:rPr>
          <w:vertAlign w:val="baseline"/>
        </w:rPr>
        <w:t>agreement,</w:t>
      </w:r>
      <w:r>
        <w:rPr>
          <w:vertAlign w:val="baseline"/>
        </w:rPr>
        <w:t> no rent at all need</w:t>
      </w:r>
      <w:r>
        <w:rPr>
          <w:spacing w:val="-1"/>
          <w:vertAlign w:val="baseline"/>
        </w:rPr>
        <w:t> </w:t>
      </w:r>
      <w:r>
        <w:rPr>
          <w:vertAlign w:val="baseline"/>
        </w:rPr>
        <w:t>be paid. </w:t>
      </w:r>
      <w:r>
        <w:rPr>
          <w:color w:val="005DA1"/>
          <w:u w:val="single" w:color="005DA1"/>
          <w:vertAlign w:val="superscript"/>
        </w:rPr>
        <w:t>764</w:t>
      </w:r>
      <w:r>
        <w:rPr>
          <w:color w:val="005DA1"/>
          <w:vertAlign w:val="baseline"/>
        </w:rPr>
        <w:t> </w:t>
      </w:r>
      <w:r>
        <w:rPr>
          <w:vertAlign w:val="baseline"/>
        </w:rPr>
        <w:t>Failure to agree</w:t>
      </w:r>
      <w:r>
        <w:rPr>
          <w:spacing w:val="-1"/>
          <w:vertAlign w:val="baseline"/>
        </w:rPr>
        <w:t> </w:t>
      </w:r>
      <w:r>
        <w:rPr>
          <w:vertAlign w:val="baseline"/>
        </w:rPr>
        <w:t>a new rent will therefore lead</w:t>
      </w:r>
      <w:r>
        <w:rPr>
          <w:spacing w:val="-1"/>
          <w:vertAlign w:val="baseline"/>
        </w:rPr>
        <w:t> </w:t>
      </w:r>
      <w:r>
        <w:rPr>
          <w:vertAlign w:val="baseline"/>
        </w:rPr>
        <w:t>to one of two results: that the old rent continues </w:t>
      </w:r>
      <w:r>
        <w:rPr>
          <w:color w:val="005DA1"/>
          <w:u w:val="single" w:color="005DA1"/>
          <w:vertAlign w:val="superscript"/>
        </w:rPr>
        <w:t>765</w:t>
      </w:r>
      <w:r>
        <w:rPr>
          <w:color w:val="005DA1"/>
          <w:vertAlign w:val="baseline"/>
        </w:rPr>
        <w:t> </w:t>
      </w:r>
      <w:r>
        <w:rPr>
          <w:vertAlign w:val="baseline"/>
        </w:rPr>
        <w:t>or that a reasonable rent must be paid. The first of these </w:t>
      </w:r>
      <w:bookmarkStart w:name="_bookmark1289" w:id="1291"/>
      <w:bookmarkEnd w:id="1291"/>
      <w:r>
        <w:rPr>
          <w:vertAlign w:val="baseline"/>
        </w:rPr>
        <w:t>solutions</w:t>
      </w:r>
      <w:r>
        <w:rPr>
          <w:vertAlign w:val="baseline"/>
        </w:rPr>
        <w:t> is open to the objection that it makes the rent review clause inoperative since under it the </w:t>
      </w:r>
      <w:bookmarkStart w:name="_bookmark1290" w:id="1292"/>
      <w:bookmarkEnd w:id="1292"/>
      <w:r>
        <w:rPr>
          <w:vertAlign w:val="baseline"/>
        </w:rPr>
        <w:t>party</w:t>
      </w:r>
      <w:r>
        <w:rPr>
          <w:vertAlign w:val="baseline"/>
        </w:rPr>
        <w:t> in whose interest it was to maintain the old rent would have no incentive to agree to a new one. </w:t>
      </w:r>
      <w:r>
        <w:rPr>
          <w:color w:val="005DA1"/>
          <w:u w:val="single" w:color="005DA1"/>
          <w:vertAlign w:val="superscript"/>
        </w:rPr>
        <w:t>766</w:t>
      </w:r>
      <w:r>
        <w:rPr>
          <w:color w:val="005DA1"/>
          <w:vertAlign w:val="baseline"/>
        </w:rPr>
        <w:t> </w:t>
      </w:r>
      <w:bookmarkStart w:name="_bookmark1291" w:id="1293"/>
      <w:bookmarkEnd w:id="1293"/>
      <w:r>
        <w:rPr>
          <w:color w:val="005DA1"/>
          <w:spacing w:val="19"/>
          <w:vertAlign w:val="baseline"/>
        </w:rPr>
      </w:r>
      <w:r>
        <w:rPr>
          <w:vertAlign w:val="baseline"/>
        </w:rPr>
        <w:t>The better view, therefore, is that a reasonable rent must be paid. </w:t>
      </w:r>
      <w:r>
        <w:rPr>
          <w:color w:val="005DA1"/>
          <w:u w:val="single" w:color="005DA1"/>
          <w:vertAlign w:val="superscript"/>
        </w:rPr>
        <w:t>767</w:t>
      </w:r>
      <w:r>
        <w:rPr>
          <w:color w:val="005DA1"/>
          <w:vertAlign w:val="baseline"/>
        </w:rPr>
        <w:t> </w:t>
      </w:r>
      <w:r>
        <w:rPr>
          <w:vertAlign w:val="baseline"/>
        </w:rPr>
        <w:t>The lease may, of course, </w:t>
      </w:r>
      <w:bookmarkStart w:name="_bookmark1292" w:id="1294"/>
      <w:bookmarkEnd w:id="1294"/>
      <w:r>
        <w:rPr>
          <w:vertAlign w:val="baseline"/>
        </w:rPr>
        <w:t>contain</w:t>
      </w:r>
      <w:r>
        <w:rPr>
          <w:vertAlign w:val="baseline"/>
        </w:rPr>
        <w:t> an express provision to this effect, </w:t>
      </w:r>
      <w:r>
        <w:rPr>
          <w:color w:val="005DA1"/>
          <w:u w:val="single" w:color="005DA1"/>
          <w:vertAlign w:val="superscript"/>
        </w:rPr>
        <w:t>768</w:t>
      </w:r>
      <w:r>
        <w:rPr>
          <w:color w:val="005DA1"/>
          <w:vertAlign w:val="baseline"/>
        </w:rPr>
        <w:t> </w:t>
      </w:r>
      <w:r>
        <w:rPr>
          <w:vertAlign w:val="baseline"/>
        </w:rPr>
        <w:t>or provide for the rent to be determined by arbitration or by a valuer. </w:t>
      </w:r>
      <w:r>
        <w:rPr>
          <w:color w:val="005DA1"/>
          <w:u w:val="single" w:color="005DA1"/>
          <w:vertAlign w:val="superscript"/>
        </w:rPr>
        <w:t>769</w:t>
      </w:r>
      <w:r>
        <w:rPr>
          <w:color w:val="005DA1"/>
          <w:vertAlign w:val="baseline"/>
        </w:rPr>
        <w:t> </w:t>
      </w:r>
      <w:r>
        <w:rPr>
          <w:vertAlign w:val="baseline"/>
        </w:rPr>
        <w:t>The original rent may, however, continue to govern for some reason </w:t>
      </w:r>
      <w:r>
        <w:rPr>
          <w:rFonts w:ascii="Arial" w:hAnsi="Arial"/>
          <w:i/>
          <w:vertAlign w:val="baseline"/>
        </w:rPr>
        <w:t>other </w:t>
      </w:r>
      <w:r>
        <w:rPr>
          <w:vertAlign w:val="baseline"/>
        </w:rPr>
        <w:t>than the</w:t>
      </w:r>
      <w:r>
        <w:rPr>
          <w:spacing w:val="40"/>
          <w:vertAlign w:val="baseline"/>
        </w:rPr>
        <w:t> </w:t>
      </w:r>
      <w:r>
        <w:rPr>
          <w:vertAlign w:val="baseline"/>
        </w:rPr>
        <w:t>fact that the clause provides that the new rent is to be agreed or to be fixed by a third party: for </w:t>
      </w:r>
      <w:bookmarkStart w:name="_bookmark1293" w:id="1295"/>
      <w:bookmarkEnd w:id="1295"/>
      <w:r>
        <w:rPr>
          <w:vertAlign w:val="baseline"/>
        </w:rPr>
        <w:t>example,</w:t>
      </w:r>
      <w:r>
        <w:rPr>
          <w:vertAlign w:val="baseline"/>
        </w:rPr>
        <w:t> because the party who wishes to vary it has not complied with the conditions laid down by the contract as a prerequisite to the operation of the rent review clause. </w:t>
      </w:r>
      <w:r>
        <w:rPr>
          <w:color w:val="005DA1"/>
          <w:u w:val="single" w:color="005DA1"/>
          <w:vertAlign w:val="superscript"/>
        </w:rPr>
        <w:t>770</w:t>
      </w:r>
    </w:p>
    <w:p>
      <w:pPr>
        <w:pStyle w:val="BodyText"/>
        <w:spacing w:after="0" w:line="235" w:lineRule="auto"/>
        <w:jc w:val="both"/>
        <w:sectPr>
          <w:pgSz w:w="11900" w:h="16840"/>
          <w:pgMar w:header="971" w:footer="0" w:top="1300" w:bottom="280" w:left="1275" w:right="1275"/>
        </w:sectPr>
      </w:pPr>
    </w:p>
    <w:p>
      <w:pPr>
        <w:pStyle w:val="BodyText"/>
        <w:spacing w:before="2"/>
        <w:rPr>
          <w:sz w:val="18"/>
        </w:rPr>
      </w:pPr>
    </w:p>
    <w:p>
      <w:pPr>
        <w:spacing w:before="0"/>
        <w:ind w:left="165" w:right="0" w:firstLine="0"/>
        <w:jc w:val="left"/>
        <w:rPr>
          <w:rFonts w:ascii="Arial"/>
          <w:b/>
          <w:sz w:val="18"/>
        </w:rPr>
      </w:pPr>
      <w:r>
        <w:rPr>
          <w:rFonts w:ascii="Arial"/>
          <w:b/>
          <w:sz w:val="18"/>
        </w:rPr>
        <w:t>Facts to be </w:t>
      </w:r>
      <w:r>
        <w:rPr>
          <w:rFonts w:ascii="Arial"/>
          <w:b/>
          <w:spacing w:val="-2"/>
          <w:sz w:val="18"/>
        </w:rPr>
        <w:t>ascertained</w:t>
      </w:r>
    </w:p>
    <w:p>
      <w:pPr>
        <w:pStyle w:val="BodyText"/>
        <w:spacing w:before="41"/>
        <w:rPr>
          <w:rFonts w:ascii="Arial"/>
          <w:b/>
          <w:sz w:val="18"/>
        </w:rPr>
      </w:pPr>
    </w:p>
    <w:p>
      <w:pPr>
        <w:pStyle w:val="Heading2"/>
      </w:pPr>
      <w:r>
        <w:rPr/>
        <w:t>2-</w:t>
      </w:r>
      <w:r>
        <w:rPr>
          <w:spacing w:val="-5"/>
        </w:rPr>
        <w:t>140</w:t>
      </w:r>
    </w:p>
    <w:p>
      <w:pPr>
        <w:pStyle w:val="BodyText"/>
        <w:spacing w:line="235" w:lineRule="auto" w:before="203"/>
        <w:ind w:left="165" w:right="167"/>
        <w:jc w:val="both"/>
      </w:pPr>
      <w:r>
        <w:rPr/>
        <w:t>An agreement is not ineffective for uncertainty merely because the facts on which its operation is to depend are not known when it is made. The requirement of certainty will be satisfied if those facts become ascertainable and are ascertained, without the need for further negotiation, after the making of the agreement. Thus a finance agreement which depended on the merchantability of goods dealt </w:t>
      </w:r>
      <w:bookmarkStart w:name="_bookmark1294" w:id="1296"/>
      <w:bookmarkEnd w:id="1296"/>
      <w:r>
        <w:rPr/>
        <w:t>with</w:t>
      </w:r>
      <w:r>
        <w:rPr/>
        <w:t> under it was held not to be invalid for uncertainty merely because it was not known, when the agreement was made, whether the goods were in fact merchantable. </w:t>
      </w:r>
      <w:r>
        <w:rPr>
          <w:color w:val="005DA1"/>
          <w:u w:val="single" w:color="005DA1"/>
          <w:vertAlign w:val="superscript"/>
        </w:rPr>
        <w:t>771</w:t>
      </w:r>
    </w:p>
    <w:p>
      <w:pPr>
        <w:pStyle w:val="BodyText"/>
      </w:pPr>
    </w:p>
    <w:p>
      <w:pPr>
        <w:pStyle w:val="BodyText"/>
        <w:spacing w:before="36"/>
      </w:pPr>
    </w:p>
    <w:p>
      <w:pPr>
        <w:spacing w:before="0"/>
        <w:ind w:left="165" w:right="0" w:firstLine="0"/>
        <w:jc w:val="left"/>
        <w:rPr>
          <w:rFonts w:ascii="Arial"/>
          <w:b/>
          <w:sz w:val="18"/>
        </w:rPr>
      </w:pPr>
      <w:r>
        <w:rPr>
          <w:rFonts w:ascii="Arial"/>
          <w:b/>
          <w:sz w:val="18"/>
        </w:rPr>
        <w:t>Contract to make a </w:t>
      </w:r>
      <w:r>
        <w:rPr>
          <w:rFonts w:ascii="Arial"/>
          <w:b/>
          <w:spacing w:val="-2"/>
          <w:sz w:val="18"/>
        </w:rPr>
        <w:t>contract</w:t>
      </w:r>
    </w:p>
    <w:p>
      <w:pPr>
        <w:pStyle w:val="BodyText"/>
        <w:spacing w:before="41"/>
        <w:rPr>
          <w:rFonts w:ascii="Arial"/>
          <w:b/>
          <w:sz w:val="18"/>
        </w:rPr>
      </w:pPr>
    </w:p>
    <w:p>
      <w:pPr>
        <w:pStyle w:val="Heading2"/>
        <w:spacing w:before="1"/>
      </w:pPr>
      <w:r>
        <w:rPr/>
        <w:t>2-</w:t>
      </w:r>
      <w:r>
        <w:rPr>
          <w:spacing w:val="-5"/>
        </w:rPr>
        <w:t>141</w:t>
      </w:r>
    </w:p>
    <w:p>
      <w:pPr>
        <w:pStyle w:val="BodyText"/>
        <w:spacing w:line="235" w:lineRule="auto" w:before="202"/>
        <w:ind w:left="165" w:right="167"/>
        <w:jc w:val="both"/>
      </w:pPr>
      <w:bookmarkStart w:name="_bookmark1295" w:id="1297"/>
      <w:bookmarkEnd w:id="1297"/>
      <w:r>
        <w:rPr/>
      </w:r>
      <w:r>
        <w:rPr/>
        <w:t>In some cases of incomplete agreements it is said that there is a “contract to make a contract”. </w:t>
      </w:r>
      <w:r>
        <w:rPr>
          <w:color w:val="005DA1"/>
          <w:u w:val="single" w:color="005DA1"/>
          <w:vertAlign w:val="superscript"/>
        </w:rPr>
        <w:t>772</w:t>
      </w:r>
      <w:r>
        <w:rPr>
          <w:color w:val="005DA1"/>
          <w:spacing w:val="40"/>
          <w:vertAlign w:val="baseline"/>
        </w:rPr>
        <w:t> </w:t>
      </w:r>
      <w:r>
        <w:rPr>
          <w:vertAlign w:val="baseline"/>
        </w:rPr>
        <w:t>This</w:t>
      </w:r>
      <w:r>
        <w:rPr>
          <w:spacing w:val="71"/>
          <w:vertAlign w:val="baseline"/>
        </w:rPr>
        <w:t> </w:t>
      </w:r>
      <w:r>
        <w:rPr>
          <w:vertAlign w:val="baseline"/>
        </w:rPr>
        <w:t>expression</w:t>
      </w:r>
      <w:r>
        <w:rPr>
          <w:spacing w:val="71"/>
          <w:vertAlign w:val="baseline"/>
        </w:rPr>
        <w:t> </w:t>
      </w:r>
      <w:r>
        <w:rPr>
          <w:vertAlign w:val="baseline"/>
        </w:rPr>
        <w:t>may</w:t>
      </w:r>
      <w:r>
        <w:rPr>
          <w:spacing w:val="71"/>
          <w:vertAlign w:val="baseline"/>
        </w:rPr>
        <w:t> </w:t>
      </w:r>
      <w:r>
        <w:rPr>
          <w:vertAlign w:val="baseline"/>
        </w:rPr>
        <w:t>refer</w:t>
      </w:r>
      <w:r>
        <w:rPr>
          <w:spacing w:val="71"/>
          <w:vertAlign w:val="baseline"/>
        </w:rPr>
        <w:t> </w:t>
      </w:r>
      <w:r>
        <w:rPr>
          <w:vertAlign w:val="baseline"/>
        </w:rPr>
        <w:t>to</w:t>
      </w:r>
      <w:r>
        <w:rPr>
          <w:spacing w:val="71"/>
          <w:vertAlign w:val="baseline"/>
        </w:rPr>
        <w:t> </w:t>
      </w:r>
      <w:r>
        <w:rPr>
          <w:vertAlign w:val="baseline"/>
        </w:rPr>
        <w:t>a</w:t>
      </w:r>
      <w:r>
        <w:rPr>
          <w:spacing w:val="71"/>
          <w:vertAlign w:val="baseline"/>
        </w:rPr>
        <w:t> </w:t>
      </w:r>
      <w:r>
        <w:rPr>
          <w:vertAlign w:val="baseline"/>
        </w:rPr>
        <w:t>number</w:t>
      </w:r>
      <w:r>
        <w:rPr>
          <w:spacing w:val="71"/>
          <w:vertAlign w:val="baseline"/>
        </w:rPr>
        <w:t> </w:t>
      </w:r>
      <w:r>
        <w:rPr>
          <w:vertAlign w:val="baseline"/>
        </w:rPr>
        <w:t>of</w:t>
      </w:r>
      <w:r>
        <w:rPr>
          <w:spacing w:val="71"/>
          <w:vertAlign w:val="baseline"/>
        </w:rPr>
        <w:t> </w:t>
      </w:r>
      <w:r>
        <w:rPr>
          <w:vertAlign w:val="baseline"/>
        </w:rPr>
        <w:t>different</w:t>
      </w:r>
      <w:r>
        <w:rPr>
          <w:spacing w:val="71"/>
          <w:vertAlign w:val="baseline"/>
        </w:rPr>
        <w:t> </w:t>
      </w:r>
      <w:r>
        <w:rPr>
          <w:vertAlign w:val="baseline"/>
        </w:rPr>
        <w:t>situations;</w:t>
      </w:r>
      <w:r>
        <w:rPr>
          <w:spacing w:val="71"/>
          <w:vertAlign w:val="baseline"/>
        </w:rPr>
        <w:t> </w:t>
      </w:r>
      <w:r>
        <w:rPr>
          <w:vertAlign w:val="baseline"/>
        </w:rPr>
        <w:t>these</w:t>
      </w:r>
      <w:r>
        <w:rPr>
          <w:spacing w:val="71"/>
          <w:vertAlign w:val="baseline"/>
        </w:rPr>
        <w:t> </w:t>
      </w:r>
      <w:r>
        <w:rPr>
          <w:vertAlign w:val="baseline"/>
        </w:rPr>
        <w:t>are</w:t>
      </w:r>
      <w:r>
        <w:rPr>
          <w:spacing w:val="71"/>
          <w:vertAlign w:val="baseline"/>
        </w:rPr>
        <w:t> </w:t>
      </w:r>
      <w:r>
        <w:rPr>
          <w:vertAlign w:val="baseline"/>
        </w:rPr>
        <w:t>discussed</w:t>
      </w:r>
      <w:r>
        <w:rPr>
          <w:spacing w:val="71"/>
          <w:vertAlign w:val="baseline"/>
        </w:rPr>
        <w:t> </w:t>
      </w:r>
      <w:r>
        <w:rPr>
          <w:vertAlign w:val="baseline"/>
        </w:rPr>
        <w:t>in</w:t>
      </w:r>
      <w:r>
        <w:rPr>
          <w:spacing w:val="71"/>
          <w:vertAlign w:val="baseline"/>
        </w:rPr>
        <w:t> </w:t>
      </w:r>
      <w:r>
        <w:rPr>
          <w:vertAlign w:val="baseline"/>
        </w:rPr>
        <w:t>paras 2-142—2-145 below.</w:t>
      </w:r>
    </w:p>
    <w:p>
      <w:pPr>
        <w:pStyle w:val="BodyText"/>
      </w:pPr>
    </w:p>
    <w:p>
      <w:pPr>
        <w:pStyle w:val="BodyText"/>
        <w:spacing w:before="37"/>
      </w:pPr>
    </w:p>
    <w:p>
      <w:pPr>
        <w:spacing w:before="1"/>
        <w:ind w:left="165" w:right="0" w:firstLine="0"/>
        <w:jc w:val="left"/>
        <w:rPr>
          <w:rFonts w:ascii="Arial"/>
          <w:b/>
          <w:sz w:val="18"/>
        </w:rPr>
      </w:pPr>
      <w:r>
        <w:rPr>
          <w:rFonts w:ascii="Arial"/>
          <w:b/>
          <w:sz w:val="18"/>
        </w:rPr>
        <w:t>Contract to execute a document incorporating terms previously </w:t>
      </w:r>
      <w:r>
        <w:rPr>
          <w:rFonts w:ascii="Arial"/>
          <w:b/>
          <w:spacing w:val="-2"/>
          <w:sz w:val="18"/>
        </w:rPr>
        <w:t>Agreed</w:t>
      </w:r>
    </w:p>
    <w:p>
      <w:pPr>
        <w:pStyle w:val="BodyText"/>
        <w:spacing w:before="41"/>
        <w:rPr>
          <w:rFonts w:ascii="Arial"/>
          <w:b/>
          <w:sz w:val="18"/>
        </w:rPr>
      </w:pPr>
    </w:p>
    <w:p>
      <w:pPr>
        <w:pStyle w:val="Heading2"/>
      </w:pPr>
      <w:r>
        <w:rPr/>
        <w:t>2-</w:t>
      </w:r>
      <w:r>
        <w:rPr>
          <w:spacing w:val="-5"/>
        </w:rPr>
        <w:t>142</w:t>
      </w:r>
    </w:p>
    <w:p>
      <w:pPr>
        <w:pStyle w:val="BodyText"/>
        <w:spacing w:line="235" w:lineRule="auto" w:before="203"/>
        <w:ind w:left="165" w:right="167"/>
        <w:jc w:val="both"/>
      </w:pPr>
      <w:r>
        <w:rPr/>
        <w:t>One possibility is that the parties may agree to execute a formal document incorporating terms on </w:t>
      </w:r>
      <w:bookmarkStart w:name="_bookmark1296" w:id="1298"/>
      <w:bookmarkEnd w:id="1298"/>
      <w:r>
        <w:rPr/>
        <w:t>which</w:t>
      </w:r>
      <w:r>
        <w:rPr/>
        <w:t> they have previously agreed. Such a provision does not deprive the agreement of contractual force. </w:t>
      </w:r>
      <w:r>
        <w:rPr>
          <w:color w:val="005DA1"/>
          <w:u w:val="single" w:color="005DA1"/>
          <w:vertAlign w:val="superscript"/>
        </w:rPr>
        <w:t>773</w:t>
      </w:r>
      <w:r>
        <w:rPr>
          <w:color w:val="005DA1"/>
          <w:vertAlign w:val="baseline"/>
        </w:rPr>
        <w:t> </w:t>
      </w:r>
      <w:r>
        <w:rPr>
          <w:vertAlign w:val="baseline"/>
        </w:rPr>
        <w:t>For example, in </w:t>
      </w:r>
      <w:r>
        <w:rPr>
          <w:rFonts w:ascii="Arial" w:hAnsi="Arial"/>
          <w:i/>
          <w:vertAlign w:val="baseline"/>
        </w:rPr>
        <w:t>Morton v Morton </w:t>
      </w:r>
      <w:r>
        <w:rPr>
          <w:color w:val="005DA1"/>
          <w:u w:val="single" w:color="005DA1"/>
          <w:vertAlign w:val="superscript"/>
        </w:rPr>
        <w:t>774</w:t>
      </w:r>
      <w:r>
        <w:rPr>
          <w:color w:val="005DA1"/>
          <w:vertAlign w:val="baseline"/>
        </w:rPr>
        <w:t> </w:t>
      </w:r>
      <w:r>
        <w:rPr>
          <w:vertAlign w:val="baseline"/>
        </w:rPr>
        <w:t>an agreement to “enter into a separation deed containing the following clauses” (of which a summary was then given) was held to be a binding contract. The grant of an option to purchase can similarly be described as a contract by which one </w:t>
      </w:r>
      <w:bookmarkStart w:name="_bookmark1297" w:id="1299"/>
      <w:bookmarkEnd w:id="1299"/>
      <w:r>
        <w:rPr>
          <w:vertAlign w:val="baseline"/>
        </w:rPr>
        <w:t>party</w:t>
      </w:r>
      <w:r>
        <w:rPr>
          <w:vertAlign w:val="baseline"/>
        </w:rPr>
        <w:t> binds himself to enter into a further contract if the other so elects; and neither of these </w:t>
      </w:r>
      <w:r>
        <w:rPr>
          <w:vertAlign w:val="baseline"/>
        </w:rPr>
        <w:t>contracts is (on this ground) void for uncertainty. </w:t>
      </w:r>
      <w:r>
        <w:rPr>
          <w:color w:val="005DA1"/>
          <w:u w:val="single" w:color="005DA1"/>
          <w:vertAlign w:val="superscript"/>
        </w:rPr>
        <w:t>775</w:t>
      </w:r>
    </w:p>
    <w:p>
      <w:pPr>
        <w:pStyle w:val="BodyText"/>
      </w:pPr>
    </w:p>
    <w:p>
      <w:pPr>
        <w:pStyle w:val="BodyText"/>
        <w:spacing w:before="35"/>
      </w:pPr>
    </w:p>
    <w:p>
      <w:pPr>
        <w:spacing w:before="1"/>
        <w:ind w:left="165" w:right="0" w:firstLine="0"/>
        <w:jc w:val="left"/>
        <w:rPr>
          <w:rFonts w:ascii="Arial"/>
          <w:b/>
          <w:sz w:val="18"/>
        </w:rPr>
      </w:pPr>
      <w:r>
        <w:rPr>
          <w:rFonts w:ascii="Arial"/>
          <w:b/>
          <w:sz w:val="18"/>
        </w:rPr>
        <w:t>Agreement to </w:t>
      </w:r>
      <w:r>
        <w:rPr>
          <w:rFonts w:ascii="Arial"/>
          <w:b/>
          <w:spacing w:val="-2"/>
          <w:sz w:val="18"/>
        </w:rPr>
        <w:t>negotiate</w:t>
      </w:r>
    </w:p>
    <w:p>
      <w:pPr>
        <w:pStyle w:val="BodyText"/>
        <w:spacing w:before="41"/>
        <w:rPr>
          <w:rFonts w:ascii="Arial"/>
          <w:b/>
          <w:sz w:val="18"/>
        </w:rPr>
      </w:pPr>
    </w:p>
    <w:p>
      <w:pPr>
        <w:pStyle w:val="Heading2"/>
      </w:pPr>
      <w:r>
        <w:rPr/>
        <w:t>2-</w:t>
      </w:r>
      <w:r>
        <w:rPr>
          <w:spacing w:val="-5"/>
        </w:rPr>
        <w:t>143</w:t>
      </w:r>
    </w:p>
    <w:p>
      <w:pPr>
        <w:pStyle w:val="BodyText"/>
        <w:spacing w:line="235" w:lineRule="auto" w:before="203"/>
        <w:ind w:left="164" w:right="167"/>
        <w:jc w:val="both"/>
      </w:pPr>
      <w:bookmarkStart w:name="_bookmark1298" w:id="1300"/>
      <w:bookmarkEnd w:id="1300"/>
      <w:r>
        <w:rPr/>
      </w:r>
      <w:r>
        <w:rPr/>
        <w:t>A</w:t>
      </w:r>
      <w:r>
        <w:rPr>
          <w:spacing w:val="-2"/>
        </w:rPr>
        <w:t> </w:t>
      </w:r>
      <w:r>
        <w:rPr/>
        <w:t>further</w:t>
      </w:r>
      <w:r>
        <w:rPr>
          <w:spacing w:val="-2"/>
        </w:rPr>
        <w:t> </w:t>
      </w:r>
      <w:r>
        <w:rPr/>
        <w:t>possibility</w:t>
      </w:r>
      <w:r>
        <w:rPr>
          <w:spacing w:val="-2"/>
        </w:rPr>
        <w:t> </w:t>
      </w:r>
      <w:r>
        <w:rPr/>
        <w:t>is</w:t>
      </w:r>
      <w:r>
        <w:rPr>
          <w:spacing w:val="-2"/>
        </w:rPr>
        <w:t> </w:t>
      </w:r>
      <w:r>
        <w:rPr/>
        <w:t>that</w:t>
      </w:r>
      <w:r>
        <w:rPr>
          <w:spacing w:val="-2"/>
        </w:rPr>
        <w:t> </w:t>
      </w:r>
      <w:r>
        <w:rPr/>
        <w:t>the</w:t>
      </w:r>
      <w:r>
        <w:rPr>
          <w:spacing w:val="-2"/>
        </w:rPr>
        <w:t> </w:t>
      </w:r>
      <w:r>
        <w:rPr/>
        <w:t>parties</w:t>
      </w:r>
      <w:r>
        <w:rPr>
          <w:spacing w:val="-2"/>
        </w:rPr>
        <w:t> </w:t>
      </w:r>
      <w:r>
        <w:rPr/>
        <w:t>have</w:t>
      </w:r>
      <w:r>
        <w:rPr>
          <w:spacing w:val="-2"/>
        </w:rPr>
        <w:t> </w:t>
      </w:r>
      <w:r>
        <w:rPr/>
        <w:t>simply</w:t>
      </w:r>
      <w:r>
        <w:rPr>
          <w:spacing w:val="-2"/>
        </w:rPr>
        <w:t> </w:t>
      </w:r>
      <w:r>
        <w:rPr/>
        <w:t>agreed</w:t>
      </w:r>
      <w:r>
        <w:rPr>
          <w:spacing w:val="-2"/>
        </w:rPr>
        <w:t> </w:t>
      </w:r>
      <w:r>
        <w:rPr/>
        <w:t>to</w:t>
      </w:r>
      <w:r>
        <w:rPr>
          <w:spacing w:val="-2"/>
        </w:rPr>
        <w:t> </w:t>
      </w:r>
      <w:r>
        <w:rPr/>
        <w:t>negotiate.</w:t>
      </w:r>
      <w:r>
        <w:rPr>
          <w:spacing w:val="-2"/>
        </w:rPr>
        <w:t> </w:t>
      </w:r>
      <w:r>
        <w:rPr/>
        <w:t>In</w:t>
      </w:r>
      <w:r>
        <w:rPr>
          <w:spacing w:val="-2"/>
        </w:rPr>
        <w:t> </w:t>
      </w:r>
      <w:r>
        <w:rPr/>
        <w:t>spite</w:t>
      </w:r>
      <w:r>
        <w:rPr>
          <w:spacing w:val="-2"/>
        </w:rPr>
        <w:t> </w:t>
      </w:r>
      <w:r>
        <w:rPr/>
        <w:t>of</w:t>
      </w:r>
      <w:r>
        <w:rPr>
          <w:spacing w:val="-2"/>
        </w:rPr>
        <w:t> </w:t>
      </w:r>
      <w:r>
        <w:rPr/>
        <w:t>dicta</w:t>
      </w:r>
      <w:r>
        <w:rPr>
          <w:spacing w:val="-2"/>
        </w:rPr>
        <w:t> </w:t>
      </w:r>
      <w:r>
        <w:rPr/>
        <w:t>to</w:t>
      </w:r>
      <w:r>
        <w:rPr>
          <w:spacing w:val="-2"/>
        </w:rPr>
        <w:t> </w:t>
      </w:r>
      <w:r>
        <w:rPr/>
        <w:t>the</w:t>
      </w:r>
      <w:r>
        <w:rPr>
          <w:spacing w:val="-2"/>
        </w:rPr>
        <w:t> </w:t>
      </w:r>
      <w:r>
        <w:rPr/>
        <w:t>contrary, </w:t>
      </w:r>
      <w:r>
        <w:rPr>
          <w:color w:val="005DA1"/>
          <w:u w:val="single" w:color="005DA1"/>
          <w:vertAlign w:val="superscript"/>
        </w:rPr>
        <w:t>776</w:t>
      </w:r>
      <w:r>
        <w:rPr>
          <w:color w:val="005DA1"/>
          <w:vertAlign w:val="baseline"/>
        </w:rPr>
        <w:t> </w:t>
      </w:r>
      <w:bookmarkStart w:name="_bookmark1299" w:id="1301"/>
      <w:bookmarkEnd w:id="1301"/>
      <w:r>
        <w:rPr>
          <w:color w:val="005DA1"/>
          <w:spacing w:val="6"/>
          <w:vertAlign w:val="baseline"/>
        </w:rPr>
      </w:r>
      <w:r>
        <w:rPr>
          <w:vertAlign w:val="baseline"/>
        </w:rPr>
        <w:t>it has been held that an express agreement merely to negotiate is not a contract “because it is too </w:t>
      </w:r>
      <w:bookmarkStart w:name="_bookmark1300" w:id="1302"/>
      <w:bookmarkEnd w:id="1302"/>
      <w:r>
        <w:rPr>
          <w:vertAlign w:val="baseline"/>
        </w:rPr>
        <w:t>uncertain</w:t>
      </w:r>
      <w:r>
        <w:rPr>
          <w:vertAlign w:val="baseline"/>
        </w:rPr>
        <w:t> to have any binding force”. </w:t>
      </w:r>
      <w:r>
        <w:rPr>
          <w:color w:val="005DA1"/>
          <w:u w:val="single" w:color="005DA1"/>
          <w:vertAlign w:val="superscript"/>
        </w:rPr>
        <w:t>777</w:t>
      </w:r>
      <w:r>
        <w:rPr>
          <w:color w:val="005DA1"/>
          <w:vertAlign w:val="baseline"/>
        </w:rPr>
        <w:t> </w:t>
      </w:r>
      <w:r>
        <w:rPr>
          <w:vertAlign w:val="baseline"/>
        </w:rPr>
        <w:t>It therefore does not impose any obligations to negotiate, or</w:t>
      </w:r>
      <w:r>
        <w:rPr>
          <w:spacing w:val="40"/>
          <w:vertAlign w:val="baseline"/>
        </w:rPr>
        <w:t> </w:t>
      </w:r>
      <w:bookmarkStart w:name="_bookmark1301" w:id="1303"/>
      <w:bookmarkEnd w:id="1303"/>
      <w:r>
        <w:rPr>
          <w:vertAlign w:val="baseline"/>
        </w:rPr>
        <w:t>to</w:t>
      </w:r>
      <w:r>
        <w:rPr>
          <w:vertAlign w:val="baseline"/>
        </w:rPr>
        <w:t> use best endeavours to reach agreement </w:t>
      </w:r>
      <w:r>
        <w:rPr>
          <w:color w:val="005DA1"/>
          <w:u w:val="single" w:color="005DA1"/>
          <w:vertAlign w:val="superscript"/>
        </w:rPr>
        <w:t>778</w:t>
      </w:r>
      <w:r>
        <w:rPr>
          <w:color w:val="005DA1"/>
          <w:vertAlign w:val="baseline"/>
        </w:rPr>
        <w:t> </w:t>
      </w:r>
      <w:r>
        <w:rPr>
          <w:vertAlign w:val="baseline"/>
        </w:rPr>
        <w:t>or to accept proposals that “with hindsight appear </w:t>
      </w:r>
      <w:r>
        <w:rPr>
          <w:vertAlign w:val="baseline"/>
        </w:rPr>
        <w:t>to be reasonable”. </w:t>
      </w:r>
      <w:r>
        <w:rPr>
          <w:color w:val="005DA1"/>
          <w:u w:val="single" w:color="005DA1"/>
          <w:vertAlign w:val="superscript"/>
        </w:rPr>
        <w:t>779</w:t>
      </w:r>
      <w:r>
        <w:rPr>
          <w:color w:val="005DA1"/>
          <w:vertAlign w:val="baseline"/>
        </w:rPr>
        <w:t> </w:t>
      </w:r>
      <w:r>
        <w:rPr>
          <w:vertAlign w:val="baseline"/>
        </w:rPr>
        <w:t>Nor, where an agreement fails to satisfy the requirement of certainty, can this </w:t>
      </w:r>
      <w:bookmarkStart w:name="_bookmark1302" w:id="1304"/>
      <w:bookmarkEnd w:id="1304"/>
      <w:r>
        <w:rPr>
          <w:vertAlign w:val="baseline"/>
        </w:rPr>
        <w:t>defect</w:t>
      </w:r>
      <w:r>
        <w:rPr>
          <w:vertAlign w:val="baseline"/>
        </w:rPr>
        <w:t> be cured by </w:t>
      </w:r>
      <w:r>
        <w:rPr>
          <w:rFonts w:ascii="Arial" w:hAnsi="Arial"/>
          <w:i/>
          <w:vertAlign w:val="baseline"/>
        </w:rPr>
        <w:t>implying </w:t>
      </w:r>
      <w:r>
        <w:rPr>
          <w:vertAlign w:val="baseline"/>
        </w:rPr>
        <w:t>into it a term to the effect that the parties must continue to negotiate in good faith. In </w:t>
      </w:r>
      <w:r>
        <w:rPr>
          <w:rFonts w:ascii="Arial" w:hAnsi="Arial"/>
          <w:i/>
          <w:vertAlign w:val="baseline"/>
        </w:rPr>
        <w:t>Walford v Miles</w:t>
      </w:r>
      <w:r>
        <w:rPr>
          <w:vertAlign w:val="baseline"/>
        </w:rPr>
        <w:t>, </w:t>
      </w:r>
      <w:r>
        <w:rPr>
          <w:color w:val="005DA1"/>
          <w:u w:val="single" w:color="005DA1"/>
          <w:vertAlign w:val="superscript"/>
        </w:rPr>
        <w:t>780</w:t>
      </w:r>
      <w:r>
        <w:rPr>
          <w:color w:val="005DA1"/>
          <w:vertAlign w:val="baseline"/>
        </w:rPr>
        <w:t> </w:t>
      </w:r>
      <w:r>
        <w:rPr>
          <w:vertAlign w:val="baseline"/>
        </w:rPr>
        <w:t>a “lock-out” agreement collateral to negotiations for the sale of a </w:t>
      </w:r>
      <w:bookmarkStart w:name="_bookmark1303" w:id="1305"/>
      <w:bookmarkEnd w:id="1305"/>
      <w:r>
        <w:rPr>
          <w:vertAlign w:val="baseline"/>
        </w:rPr>
        <w:t>business</w:t>
      </w:r>
      <w:r>
        <w:rPr>
          <w:vertAlign w:val="baseline"/>
        </w:rPr>
        <w:t> lacked sufficient certainty because it failed to specify the period of time during which the vendors</w:t>
      </w:r>
      <w:r>
        <w:rPr>
          <w:spacing w:val="-1"/>
          <w:vertAlign w:val="baseline"/>
        </w:rPr>
        <w:t> </w:t>
      </w:r>
      <w:r>
        <w:rPr>
          <w:vertAlign w:val="baseline"/>
        </w:rPr>
        <w:t>were</w:t>
      </w:r>
      <w:r>
        <w:rPr>
          <w:spacing w:val="-1"/>
          <w:vertAlign w:val="baseline"/>
        </w:rPr>
        <w:t> </w:t>
      </w:r>
      <w:r>
        <w:rPr>
          <w:vertAlign w:val="baseline"/>
        </w:rPr>
        <w:t>not</w:t>
      </w:r>
      <w:r>
        <w:rPr>
          <w:spacing w:val="-1"/>
          <w:vertAlign w:val="baseline"/>
        </w:rPr>
        <w:t> </w:t>
      </w:r>
      <w:r>
        <w:rPr>
          <w:vertAlign w:val="baseline"/>
        </w:rPr>
        <w:t>to</w:t>
      </w:r>
      <w:r>
        <w:rPr>
          <w:spacing w:val="-1"/>
          <w:vertAlign w:val="baseline"/>
        </w:rPr>
        <w:t> </w:t>
      </w:r>
      <w:r>
        <w:rPr>
          <w:vertAlign w:val="baseline"/>
        </w:rPr>
        <w:t>negotiate</w:t>
      </w:r>
      <w:r>
        <w:rPr>
          <w:spacing w:val="-1"/>
          <w:vertAlign w:val="baseline"/>
        </w:rPr>
        <w:t> </w:t>
      </w:r>
      <w:r>
        <w:rPr>
          <w:vertAlign w:val="baseline"/>
        </w:rPr>
        <w:t>with</w:t>
      </w:r>
      <w:r>
        <w:rPr>
          <w:spacing w:val="-1"/>
          <w:vertAlign w:val="baseline"/>
        </w:rPr>
        <w:t> </w:t>
      </w:r>
      <w:r>
        <w:rPr>
          <w:vertAlign w:val="baseline"/>
        </w:rPr>
        <w:t>third</w:t>
      </w:r>
      <w:r>
        <w:rPr>
          <w:spacing w:val="-1"/>
          <w:vertAlign w:val="baseline"/>
        </w:rPr>
        <w:t> </w:t>
      </w:r>
      <w:r>
        <w:rPr>
          <w:vertAlign w:val="baseline"/>
        </w:rPr>
        <w:t>parties.</w:t>
      </w:r>
      <w:r>
        <w:rPr>
          <w:spacing w:val="-1"/>
          <w:vertAlign w:val="baseline"/>
        </w:rPr>
        <w:t> </w:t>
      </w:r>
      <w:r>
        <w:rPr>
          <w:color w:val="005DA1"/>
          <w:u w:val="single" w:color="005DA1"/>
          <w:vertAlign w:val="superscript"/>
        </w:rPr>
        <w:t>781</w:t>
      </w:r>
      <w:r>
        <w:rPr>
          <w:color w:val="005DA1"/>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also</w:t>
      </w:r>
      <w:r>
        <w:rPr>
          <w:spacing w:val="-1"/>
          <w:vertAlign w:val="baseline"/>
        </w:rPr>
        <w:t> </w:t>
      </w:r>
      <w:r>
        <w:rPr>
          <w:vertAlign w:val="baseline"/>
        </w:rPr>
        <w:t>unanimously</w:t>
      </w:r>
      <w:r>
        <w:rPr>
          <w:spacing w:val="-1"/>
          <w:vertAlign w:val="baseline"/>
        </w:rPr>
        <w:t> </w:t>
      </w:r>
      <w:r>
        <w:rPr>
          <w:vertAlign w:val="baseline"/>
        </w:rPr>
        <w:t>rejected</w:t>
      </w:r>
      <w:r>
        <w:rPr>
          <w:spacing w:val="-1"/>
          <w:vertAlign w:val="baseline"/>
        </w:rPr>
        <w:t> </w:t>
      </w:r>
      <w:r>
        <w:rPr>
          <w:vertAlign w:val="baseline"/>
        </w:rPr>
        <w:t>the argument that a term should be implied requiring the vendors to continue to negotiate in good faith with the purchaser for as long as the vendors continued to desire to sell, since such a term was itself </w:t>
      </w:r>
      <w:bookmarkStart w:name="_bookmark1304" w:id="1306"/>
      <w:bookmarkEnd w:id="1306"/>
      <w:r>
        <w:rPr>
          <w:vertAlign w:val="baseline"/>
        </w:rPr>
        <w:t>too</w:t>
      </w:r>
      <w:r>
        <w:rPr>
          <w:vertAlign w:val="baseline"/>
        </w:rPr>
        <w:t> uncertain to be enforced. The uncertainty lay in the fact that the alleged duty was “inherently inconsistent with the position of a negotiating party” </w:t>
      </w:r>
      <w:r>
        <w:rPr>
          <w:color w:val="005DA1"/>
          <w:u w:val="single" w:color="005DA1"/>
          <w:vertAlign w:val="superscript"/>
        </w:rPr>
        <w:t>782</w:t>
      </w:r>
      <w:r>
        <w:rPr>
          <w:color w:val="005DA1"/>
          <w:vertAlign w:val="baseline"/>
        </w:rPr>
        <w:t> </w:t>
      </w:r>
      <w:r>
        <w:rPr>
          <w:vertAlign w:val="baseline"/>
        </w:rPr>
        <w:t>who must normally </w:t>
      </w:r>
      <w:r>
        <w:rPr>
          <w:color w:val="005DA1"/>
          <w:u w:val="single" w:color="005DA1"/>
          <w:vertAlign w:val="superscript"/>
        </w:rPr>
        <w:t>783</w:t>
      </w:r>
      <w:r>
        <w:rPr>
          <w:color w:val="005DA1"/>
          <w:vertAlign w:val="baseline"/>
        </w:rPr>
        <w:t> </w:t>
      </w:r>
      <w:r>
        <w:rPr>
          <w:vertAlign w:val="baseline"/>
        </w:rPr>
        <w:t>be free to advance his own interests during the negotiations. The point is well illustrated by the facts of </w:t>
      </w:r>
      <w:r>
        <w:rPr>
          <w:rFonts w:ascii="Arial" w:hAnsi="Arial"/>
          <w:i/>
          <w:vertAlign w:val="baseline"/>
        </w:rPr>
        <w:t>Walford v Miles </w:t>
      </w:r>
      <w:r>
        <w:rPr>
          <w:vertAlign w:val="baseline"/>
        </w:rPr>
        <w:t>itself, where the defendants had agreed, subject to contract, to sell a property to the purchasers for £2m</w:t>
      </w:r>
      <w:r>
        <w:rPr>
          <w:spacing w:val="40"/>
          <w:vertAlign w:val="baseline"/>
        </w:rPr>
        <w:t> </w:t>
      </w:r>
      <w:r>
        <w:rPr>
          <w:vertAlign w:val="baseline"/>
        </w:rPr>
        <w:t>and had (in breach of the above ineffective “lock-out” agreement) sold it to a third party for the same sum,</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purchasers</w:t>
      </w:r>
      <w:r>
        <w:rPr>
          <w:spacing w:val="-1"/>
          <w:vertAlign w:val="baseline"/>
        </w:rPr>
        <w:t> </w:t>
      </w:r>
      <w:r>
        <w:rPr>
          <w:vertAlign w:val="baseline"/>
        </w:rPr>
        <w:t>then</w:t>
      </w:r>
      <w:r>
        <w:rPr>
          <w:spacing w:val="-1"/>
          <w:vertAlign w:val="baseline"/>
        </w:rPr>
        <w:t> </w:t>
      </w:r>
      <w:r>
        <w:rPr>
          <w:vertAlign w:val="baseline"/>
        </w:rPr>
        <w:t>claimed</w:t>
      </w:r>
      <w:r>
        <w:rPr>
          <w:spacing w:val="-1"/>
          <w:vertAlign w:val="baseline"/>
        </w:rPr>
        <w:t> </w:t>
      </w:r>
      <w:r>
        <w:rPr>
          <w:vertAlign w:val="baseline"/>
        </w:rPr>
        <w:t>damages</w:t>
      </w:r>
      <w:r>
        <w:rPr>
          <w:spacing w:val="-1"/>
          <w:vertAlign w:val="baseline"/>
        </w:rPr>
        <w:t> </w:t>
      </w:r>
      <w:r>
        <w:rPr>
          <w:vertAlign w:val="baseline"/>
        </w:rPr>
        <w:t>of</w:t>
      </w:r>
      <w:r>
        <w:rPr>
          <w:spacing w:val="-1"/>
          <w:vertAlign w:val="baseline"/>
        </w:rPr>
        <w:t> </w:t>
      </w:r>
      <w:r>
        <w:rPr>
          <w:vertAlign w:val="baseline"/>
        </w:rPr>
        <w:t>£1m</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basis</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was</w:t>
      </w:r>
      <w:r>
        <w:rPr>
          <w:spacing w:val="-1"/>
          <w:vertAlign w:val="baseline"/>
        </w:rPr>
        <w:t> </w:t>
      </w:r>
      <w:r>
        <w:rPr>
          <w:vertAlign w:val="baseline"/>
        </w:rPr>
        <w:t>(by</w:t>
      </w:r>
      <w:r>
        <w:rPr>
          <w:spacing w:val="-1"/>
          <w:vertAlign w:val="baseline"/>
        </w:rPr>
        <w:t> </w:t>
      </w:r>
      <w:r>
        <w:rPr>
          <w:vertAlign w:val="baseline"/>
        </w:rPr>
        <w:t>reason of facts known to them but not to the defendants) worth £3m. If a duty to negotiate in good faith</w:t>
      </w:r>
      <w:r>
        <w:rPr>
          <w:spacing w:val="80"/>
          <w:vertAlign w:val="baseline"/>
        </w:rPr>
        <w:t> </w:t>
      </w:r>
      <w:r>
        <w:rPr>
          <w:vertAlign w:val="baseline"/>
        </w:rPr>
        <w:t>exists, it must be equally incumbent on both parties, so that it can hardly require a vendor to agree to sell a valuable property for only two thirds of its true value when the facts affecting that value are known to the purchaser and not disclosed (as good faith would seem to require) to the vendor. The actual</w:t>
      </w:r>
      <w:r>
        <w:rPr>
          <w:spacing w:val="3"/>
          <w:vertAlign w:val="baseline"/>
        </w:rPr>
        <w:t> </w:t>
      </w:r>
      <w:r>
        <w:rPr>
          <w:vertAlign w:val="baseline"/>
        </w:rPr>
        <w:t>result</w:t>
      </w:r>
      <w:r>
        <w:rPr>
          <w:spacing w:val="3"/>
          <w:vertAlign w:val="baseline"/>
        </w:rPr>
        <w:t> </w:t>
      </w:r>
      <w:r>
        <w:rPr>
          <w:vertAlign w:val="baseline"/>
        </w:rPr>
        <w:t>in</w:t>
      </w:r>
      <w:r>
        <w:rPr>
          <w:spacing w:val="2"/>
          <w:vertAlign w:val="baseline"/>
        </w:rPr>
        <w:t> </w:t>
      </w:r>
      <w:r>
        <w:rPr>
          <w:rFonts w:ascii="Arial" w:hAnsi="Arial"/>
          <w:i/>
          <w:vertAlign w:val="baseline"/>
        </w:rPr>
        <w:t>Walford</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Miles</w:t>
      </w:r>
      <w:r>
        <w:rPr>
          <w:rFonts w:ascii="Arial" w:hAnsi="Arial"/>
          <w:i/>
          <w:spacing w:val="2"/>
          <w:vertAlign w:val="baseline"/>
        </w:rPr>
        <w:t> </w:t>
      </w:r>
      <w:r>
        <w:rPr>
          <w:vertAlign w:val="baseline"/>
        </w:rPr>
        <w:t>(in</w:t>
      </w:r>
      <w:r>
        <w:rPr>
          <w:spacing w:val="3"/>
          <w:vertAlign w:val="baseline"/>
        </w:rPr>
        <w:t> </w:t>
      </w:r>
      <w:r>
        <w:rPr>
          <w:vertAlign w:val="baseline"/>
        </w:rPr>
        <w:t>which</w:t>
      </w:r>
      <w:r>
        <w:rPr>
          <w:spacing w:val="3"/>
          <w:vertAlign w:val="baseline"/>
        </w:rPr>
        <w:t> </w:t>
      </w:r>
      <w:r>
        <w:rPr>
          <w:vertAlign w:val="baseline"/>
        </w:rPr>
        <w:t>the</w:t>
      </w:r>
      <w:r>
        <w:rPr>
          <w:spacing w:val="3"/>
          <w:vertAlign w:val="baseline"/>
        </w:rPr>
        <w:t> </w:t>
      </w:r>
      <w:r>
        <w:rPr>
          <w:vertAlign w:val="baseline"/>
        </w:rPr>
        <w:t>purchasers</w:t>
      </w:r>
      <w:r>
        <w:rPr>
          <w:spacing w:val="3"/>
          <w:vertAlign w:val="baseline"/>
        </w:rPr>
        <w:t> </w:t>
      </w:r>
      <w:r>
        <w:rPr>
          <w:vertAlign w:val="baseline"/>
        </w:rPr>
        <w:t>recovered</w:t>
      </w:r>
      <w:r>
        <w:rPr>
          <w:spacing w:val="3"/>
          <w:vertAlign w:val="baseline"/>
        </w:rPr>
        <w:t> </w:t>
      </w:r>
      <w:r>
        <w:rPr>
          <w:vertAlign w:val="baseline"/>
        </w:rPr>
        <w:t>the</w:t>
      </w:r>
      <w:r>
        <w:rPr>
          <w:spacing w:val="3"/>
          <w:vertAlign w:val="baseline"/>
        </w:rPr>
        <w:t> </w:t>
      </w:r>
      <w:r>
        <w:rPr>
          <w:vertAlign w:val="baseline"/>
        </w:rPr>
        <w:t>sum</w:t>
      </w:r>
      <w:r>
        <w:rPr>
          <w:spacing w:val="3"/>
          <w:vertAlign w:val="baseline"/>
        </w:rPr>
        <w:t> </w:t>
      </w:r>
      <w:r>
        <w:rPr>
          <w:vertAlign w:val="baseline"/>
        </w:rPr>
        <w:t>of</w:t>
      </w:r>
      <w:r>
        <w:rPr>
          <w:spacing w:val="3"/>
          <w:vertAlign w:val="baseline"/>
        </w:rPr>
        <w:t> </w:t>
      </w:r>
      <w:r>
        <w:rPr>
          <w:vertAlign w:val="baseline"/>
        </w:rPr>
        <w:t>£700</w:t>
      </w:r>
      <w:r>
        <w:rPr>
          <w:spacing w:val="3"/>
          <w:vertAlign w:val="baseline"/>
        </w:rPr>
        <w:t> </w:t>
      </w:r>
      <w:r>
        <w:rPr>
          <w:vertAlign w:val="baseline"/>
        </w:rPr>
        <w:t>in</w:t>
      </w:r>
      <w:r>
        <w:rPr>
          <w:spacing w:val="3"/>
          <w:vertAlign w:val="baseline"/>
        </w:rPr>
        <w:t> </w:t>
      </w:r>
      <w:r>
        <w:rPr>
          <w:vertAlign w:val="baseline"/>
        </w:rPr>
        <w:t>respect</w:t>
      </w:r>
      <w:r>
        <w:rPr>
          <w:spacing w:val="3"/>
          <w:vertAlign w:val="baseline"/>
        </w:rPr>
        <w:t> </w:t>
      </w:r>
      <w:r>
        <w:rPr>
          <w:vertAlign w:val="baseline"/>
        </w:rPr>
        <w:t>of</w:t>
      </w:r>
      <w:r>
        <w:rPr>
          <w:spacing w:val="3"/>
          <w:vertAlign w:val="baseline"/>
        </w:rPr>
        <w:t> </w:t>
      </w:r>
      <w:r>
        <w:rPr>
          <w:spacing w:val="-2"/>
          <w:vertAlign w:val="baseline"/>
        </w:rPr>
        <w:t>their</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bookmarkStart w:name="_bookmark1305" w:id="1307"/>
      <w:bookmarkEnd w:id="1307"/>
      <w:r>
        <w:rPr/>
      </w:r>
      <w:bookmarkStart w:name="_bookmark1306" w:id="1308"/>
      <w:bookmarkEnd w:id="1308"/>
      <w:r>
        <w:rPr/>
      </w:r>
      <w:r>
        <w:rPr/>
        <w:t>wasted expenses as damages for misrepresentation, </w:t>
      </w:r>
      <w:r>
        <w:rPr>
          <w:color w:val="005DA1"/>
          <w:u w:val="single" w:color="005DA1"/>
          <w:vertAlign w:val="superscript"/>
        </w:rPr>
        <w:t>784</w:t>
      </w:r>
      <w:r>
        <w:rPr>
          <w:color w:val="005DA1"/>
          <w:vertAlign w:val="baseline"/>
        </w:rPr>
        <w:t> </w:t>
      </w:r>
      <w:r>
        <w:rPr>
          <w:vertAlign w:val="baseline"/>
        </w:rPr>
        <w:t>but not the £1m which they claimed as damages for breach of contract </w:t>
      </w:r>
      <w:r>
        <w:rPr>
          <w:color w:val="005DA1"/>
          <w:u w:val="single" w:color="005DA1"/>
          <w:vertAlign w:val="superscript"/>
        </w:rPr>
        <w:t>785</w:t>
      </w:r>
      <w:r>
        <w:rPr>
          <w:vertAlign w:val="baseline"/>
        </w:rPr>
        <w:t>) seems, with respect, to be entirely appropriate on the facts, especially because the vendors reasonably believed themselves to be protected from liability in </w:t>
      </w:r>
      <w:r>
        <w:rPr>
          <w:vertAlign w:val="baseline"/>
        </w:rPr>
        <w:t>the principal negotiation by the phrase “subject to contract”.</w:t>
      </w:r>
    </w:p>
    <w:p>
      <w:pPr>
        <w:pStyle w:val="BodyText"/>
        <w:spacing w:before="80"/>
      </w:pPr>
    </w:p>
    <w:p>
      <w:pPr>
        <w:pStyle w:val="Heading2"/>
      </w:pPr>
      <w:r>
        <w:rPr/>
        <w:t>2-</w:t>
      </w:r>
      <w:r>
        <w:rPr>
          <w:spacing w:val="-5"/>
        </w:rPr>
        <w:t>144</w:t>
      </w:r>
    </w:p>
    <w:p>
      <w:pPr>
        <w:pStyle w:val="BodyText"/>
        <w:spacing w:line="235" w:lineRule="auto" w:before="203"/>
        <w:ind w:left="164" w:right="167"/>
        <w:jc w:val="both"/>
      </w:pPr>
      <w:bookmarkStart w:name="_bookmark1307" w:id="1309"/>
      <w:bookmarkEnd w:id="1309"/>
      <w:r>
        <w:rPr/>
      </w:r>
      <w:r>
        <w:rPr/>
        <w:t>In</w:t>
      </w:r>
      <w:r>
        <w:rPr>
          <w:spacing w:val="-2"/>
        </w:rPr>
        <w:t> </w:t>
      </w:r>
      <w:r>
        <w:rPr>
          <w:rFonts w:ascii="Arial" w:hAnsi="Arial"/>
          <w:i/>
        </w:rPr>
        <w:t>Cobbe</w:t>
      </w:r>
      <w:r>
        <w:rPr>
          <w:rFonts w:ascii="Arial" w:hAnsi="Arial"/>
          <w:i/>
          <w:spacing w:val="-2"/>
        </w:rPr>
        <w:t> </w:t>
      </w:r>
      <w:r>
        <w:rPr>
          <w:rFonts w:ascii="Arial" w:hAnsi="Arial"/>
          <w:i/>
        </w:rPr>
        <w:t>v</w:t>
      </w:r>
      <w:r>
        <w:rPr>
          <w:rFonts w:ascii="Arial" w:hAnsi="Arial"/>
          <w:i/>
          <w:spacing w:val="-2"/>
        </w:rPr>
        <w:t> </w:t>
      </w:r>
      <w:r>
        <w:rPr>
          <w:rFonts w:ascii="Arial" w:hAnsi="Arial"/>
          <w:i/>
        </w:rPr>
        <w:t>Yeomans</w:t>
      </w:r>
      <w:r>
        <w:rPr>
          <w:rFonts w:ascii="Arial" w:hAnsi="Arial"/>
          <w:i/>
          <w:spacing w:val="-2"/>
        </w:rPr>
        <w:t> </w:t>
      </w:r>
      <w:r>
        <w:rPr>
          <w:rFonts w:ascii="Arial" w:hAnsi="Arial"/>
          <w:i/>
        </w:rPr>
        <w:t>Row</w:t>
      </w:r>
      <w:r>
        <w:rPr>
          <w:rFonts w:ascii="Arial" w:hAnsi="Arial"/>
          <w:i/>
          <w:spacing w:val="-2"/>
        </w:rPr>
        <w:t> </w:t>
      </w:r>
      <w:r>
        <w:rPr>
          <w:rFonts w:ascii="Arial" w:hAnsi="Arial"/>
          <w:i/>
        </w:rPr>
        <w:t>Management</w:t>
      </w:r>
      <w:r>
        <w:rPr>
          <w:rFonts w:ascii="Arial" w:hAnsi="Arial"/>
          <w:i/>
          <w:spacing w:val="-2"/>
        </w:rPr>
        <w:t> </w:t>
      </w:r>
      <w:r>
        <w:rPr>
          <w:rFonts w:ascii="Arial" w:hAnsi="Arial"/>
          <w:i/>
        </w:rPr>
        <w:t>Ltd</w:t>
      </w:r>
      <w:r>
        <w:rPr>
          <w:rFonts w:ascii="Arial" w:hAnsi="Arial"/>
          <w:i/>
          <w:spacing w:val="-3"/>
        </w:rPr>
        <w:t> </w:t>
      </w:r>
      <w:r>
        <w:rPr>
          <w:color w:val="005DA1"/>
          <w:u w:val="single" w:color="005DA1"/>
          <w:vertAlign w:val="superscript"/>
        </w:rPr>
        <w:t>786</w:t>
      </w:r>
      <w:r>
        <w:rPr>
          <w:color w:val="005DA1"/>
          <w:spacing w:val="-2"/>
          <w:vertAlign w:val="baseline"/>
        </w:rPr>
        <w:t> </w:t>
      </w:r>
      <w:r>
        <w:rPr>
          <w:vertAlign w:val="baseline"/>
        </w:rPr>
        <w:t>Mummery</w:t>
      </w:r>
      <w:r>
        <w:rPr>
          <w:spacing w:val="-2"/>
          <w:vertAlign w:val="baseline"/>
        </w:rPr>
        <w:t> </w:t>
      </w:r>
      <w:r>
        <w:rPr>
          <w:vertAlign w:val="baseline"/>
        </w:rPr>
        <w:t>L.J.</w:t>
      </w:r>
      <w:r>
        <w:rPr>
          <w:spacing w:val="-2"/>
          <w:vertAlign w:val="baseline"/>
        </w:rPr>
        <w:t> </w:t>
      </w:r>
      <w:r>
        <w:rPr>
          <w:vertAlign w:val="baseline"/>
        </w:rPr>
        <w:t>said</w:t>
      </w:r>
      <w:r>
        <w:rPr>
          <w:spacing w:val="-2"/>
          <w:vertAlign w:val="baseline"/>
        </w:rPr>
        <w:t> </w:t>
      </w:r>
      <w:r>
        <w:rPr>
          <w:vertAlign w:val="baseline"/>
        </w:rPr>
        <w:t>that</w:t>
      </w:r>
      <w:r>
        <w:rPr>
          <w:spacing w:val="-2"/>
          <w:vertAlign w:val="baseline"/>
        </w:rPr>
        <w:t> </w:t>
      </w:r>
      <w:r>
        <w:rPr>
          <w:vertAlign w:val="baseline"/>
        </w:rPr>
        <w:t>“Under</w:t>
      </w:r>
      <w:r>
        <w:rPr>
          <w:spacing w:val="-2"/>
          <w:vertAlign w:val="baseline"/>
        </w:rPr>
        <w:t> </w:t>
      </w:r>
      <w:r>
        <w:rPr>
          <w:vertAlign w:val="baseline"/>
        </w:rPr>
        <w:t>English</w:t>
      </w:r>
      <w:r>
        <w:rPr>
          <w:spacing w:val="-2"/>
          <w:vertAlign w:val="baseline"/>
        </w:rPr>
        <w:t> </w:t>
      </w:r>
      <w:r>
        <w:rPr>
          <w:vertAlign w:val="baseline"/>
        </w:rPr>
        <w:t>law</w:t>
      </w:r>
      <w:r>
        <w:rPr>
          <w:spacing w:val="-2"/>
          <w:vertAlign w:val="baseline"/>
        </w:rPr>
        <w:t> </w:t>
      </w:r>
      <w:r>
        <w:rPr>
          <w:vertAlign w:val="baseline"/>
        </w:rPr>
        <w:t>there</w:t>
      </w:r>
      <w:r>
        <w:rPr>
          <w:spacing w:val="-2"/>
          <w:vertAlign w:val="baseline"/>
        </w:rPr>
        <w:t> </w:t>
      </w:r>
      <w:r>
        <w:rPr>
          <w:vertAlign w:val="baseline"/>
        </w:rPr>
        <w:t>is</w:t>
      </w:r>
      <w:r>
        <w:rPr>
          <w:spacing w:val="-2"/>
          <w:vertAlign w:val="baseline"/>
        </w:rPr>
        <w:t> </w:t>
      </w:r>
      <w:r>
        <w:rPr>
          <w:vertAlign w:val="baseline"/>
        </w:rPr>
        <w:t>no general duty to negotiate in good faith”; but he added that there were “plenty of other ways of dealing with particular problems of unacceptable conduct occurring in the course of negotiations without </w:t>
      </w:r>
      <w:bookmarkStart w:name="_bookmark1308" w:id="1310"/>
      <w:bookmarkEnd w:id="1310"/>
      <w:r>
        <w:rPr>
          <w:vertAlign w:val="baseline"/>
        </w:rPr>
        <w:t>unduly</w:t>
      </w:r>
      <w:r>
        <w:rPr>
          <w:vertAlign w:val="baseline"/>
        </w:rPr>
        <w:t> hampering the ability of the parties to negotiate their own bargains without the intervention of the courts.” </w:t>
      </w:r>
      <w:r>
        <w:rPr>
          <w:color w:val="005DA1"/>
          <w:u w:val="single" w:color="005DA1"/>
          <w:vertAlign w:val="superscript"/>
        </w:rPr>
        <w:t>787</w:t>
      </w:r>
      <w:r>
        <w:rPr>
          <w:color w:val="005DA1"/>
          <w:vertAlign w:val="baseline"/>
        </w:rPr>
        <w:t> </w:t>
      </w:r>
      <w:r>
        <w:rPr>
          <w:vertAlign w:val="baseline"/>
        </w:rPr>
        <w:t>In the </w:t>
      </w:r>
      <w:r>
        <w:rPr>
          <w:rFonts w:ascii="Arial" w:hAnsi="Arial"/>
          <w:i/>
          <w:vertAlign w:val="baseline"/>
        </w:rPr>
        <w:t>Cobbe </w:t>
      </w:r>
      <w:r>
        <w:rPr>
          <w:vertAlign w:val="baseline"/>
        </w:rPr>
        <w:t>case itself, Court of Appeal had relied on the doctrine of proprietary </w:t>
      </w:r>
      <w:bookmarkStart w:name="_bookmark1309" w:id="1311"/>
      <w:bookmarkEnd w:id="1311"/>
      <w:r>
        <w:rPr>
          <w:vertAlign w:val="baseline"/>
        </w:rPr>
        <w:t>estoppel</w:t>
      </w:r>
      <w:r>
        <w:rPr>
          <w:vertAlign w:val="baseline"/>
        </w:rPr>
        <w:t> to this end; and although on further appeal this doctrine was held not to apply on the facts of </w:t>
      </w:r>
      <w:bookmarkStart w:name="_bookmark1310" w:id="1312"/>
      <w:bookmarkEnd w:id="1312"/>
      <w:r>
        <w:rPr>
          <w:vertAlign w:val="baseline"/>
        </w:rPr>
        <w:t>the</w:t>
      </w:r>
      <w:r>
        <w:rPr>
          <w:vertAlign w:val="baseline"/>
        </w:rPr>
        <w:t> case, </w:t>
      </w:r>
      <w:r>
        <w:rPr>
          <w:color w:val="005DA1"/>
          <w:u w:val="single" w:color="005DA1"/>
          <w:vertAlign w:val="superscript"/>
        </w:rPr>
        <w:t>788</w:t>
      </w:r>
      <w:r>
        <w:rPr>
          <w:color w:val="005DA1"/>
          <w:vertAlign w:val="baseline"/>
        </w:rPr>
        <w:t> </w:t>
      </w:r>
      <w:r>
        <w:rPr>
          <w:vertAlign w:val="baseline"/>
        </w:rPr>
        <w:t>the House of Lords did provide other relief, by way of quantum meruit, to the party prejudiced by the other party’s “unattractive” </w:t>
      </w:r>
      <w:r>
        <w:rPr>
          <w:color w:val="005DA1"/>
          <w:u w:val="single" w:color="005DA1"/>
          <w:vertAlign w:val="superscript"/>
        </w:rPr>
        <w:t>789</w:t>
      </w:r>
      <w:r>
        <w:rPr>
          <w:color w:val="005DA1"/>
          <w:vertAlign w:val="baseline"/>
        </w:rPr>
        <w:t> </w:t>
      </w:r>
      <w:r>
        <w:rPr>
          <w:vertAlign w:val="baseline"/>
        </w:rPr>
        <w:t>conduct in withdrawing from the agreement which </w:t>
      </w:r>
      <w:bookmarkStart w:name="_bookmark1311" w:id="1313"/>
      <w:bookmarkEnd w:id="1313"/>
      <w:r>
        <w:rPr>
          <w:vertAlign w:val="baseline"/>
        </w:rPr>
        <w:t>required</w:t>
      </w:r>
      <w:r>
        <w:rPr>
          <w:vertAlign w:val="baseline"/>
        </w:rPr>
        <w:t> further negotiations to acquire contractual force; and in </w:t>
      </w:r>
      <w:r>
        <w:rPr>
          <w:rFonts w:ascii="Arial" w:hAnsi="Arial"/>
          <w:i/>
          <w:vertAlign w:val="baseline"/>
        </w:rPr>
        <w:t>Walford v Miles </w:t>
      </w:r>
      <w:r>
        <w:rPr>
          <w:vertAlign w:val="baseline"/>
        </w:rPr>
        <w:t>the award of damages for misrepresentation may illustrate the same point. </w:t>
      </w:r>
      <w:r>
        <w:rPr>
          <w:color w:val="005DA1"/>
          <w:u w:val="single" w:color="005DA1"/>
          <w:vertAlign w:val="superscript"/>
        </w:rPr>
        <w:t>790</w:t>
      </w:r>
      <w:r>
        <w:rPr>
          <w:color w:val="005DA1"/>
          <w:vertAlign w:val="baseline"/>
        </w:rPr>
        <w:t> </w:t>
      </w:r>
      <w:r>
        <w:rPr>
          <w:vertAlign w:val="baseline"/>
        </w:rPr>
        <w:t>It should be emphasised that, in neither of these cases, did the claimant recover the full damages for loss of his bargain to which he would have been entitled, if the defendant’s failure to negotiate in good faith had amounted to a breach of contract.</w:t>
      </w:r>
    </w:p>
    <w:p>
      <w:pPr>
        <w:pStyle w:val="BodyText"/>
        <w:spacing w:before="76"/>
      </w:pPr>
    </w:p>
    <w:p>
      <w:pPr>
        <w:pStyle w:val="Heading2"/>
      </w:pPr>
      <w:r>
        <w:rPr/>
        <w:t>2-</w:t>
      </w:r>
      <w:r>
        <w:rPr>
          <w:spacing w:val="-5"/>
        </w:rPr>
        <w:t>145</w:t>
      </w:r>
    </w:p>
    <w:p>
      <w:pPr>
        <w:pStyle w:val="BodyText"/>
        <w:spacing w:line="235" w:lineRule="auto" w:before="203"/>
        <w:ind w:left="164" w:right="167"/>
        <w:jc w:val="both"/>
      </w:pPr>
      <w:bookmarkStart w:name="_bookmark1312" w:id="1314"/>
      <w:bookmarkEnd w:id="1314"/>
      <w:r>
        <w:rPr/>
      </w:r>
      <w:r>
        <w:rPr/>
        <w:t>In </w:t>
      </w:r>
      <w:r>
        <w:rPr>
          <w:rFonts w:ascii="Arial" w:hAnsi="Arial"/>
          <w:i/>
        </w:rPr>
        <w:t>Walford v Miles </w:t>
      </w:r>
      <w:r>
        <w:rPr/>
        <w:t>Lord Ackner, with whom all the other members of the House agreed, described as “unsustainable” the view expressed in an American case </w:t>
      </w:r>
      <w:r>
        <w:rPr>
          <w:color w:val="005DA1"/>
          <w:u w:val="single" w:color="005DA1"/>
          <w:vertAlign w:val="superscript"/>
        </w:rPr>
        <w:t>791</w:t>
      </w:r>
      <w:r>
        <w:rPr>
          <w:color w:val="005DA1"/>
          <w:vertAlign w:val="baseline"/>
        </w:rPr>
        <w:t> </w:t>
      </w:r>
      <w:r>
        <w:rPr>
          <w:vertAlign w:val="baseline"/>
        </w:rPr>
        <w:t>“that an agreement to negotiate in </w:t>
      </w:r>
      <w:r>
        <w:rPr>
          <w:vertAlign w:val="baseline"/>
        </w:rPr>
        <w:t>good </w:t>
      </w:r>
      <w:bookmarkStart w:name="_bookmark1313" w:id="1315"/>
      <w:bookmarkEnd w:id="1315"/>
      <w:r>
        <w:rPr>
          <w:vertAlign w:val="baseline"/>
        </w:rPr>
        <w:t>faith</w:t>
      </w:r>
      <w:r>
        <w:rPr>
          <w:vertAlign w:val="baseline"/>
        </w:rPr>
        <w:t> is synonymous with an agreement to use best endeavours and, as the latter is enforceable so is the former.” </w:t>
      </w:r>
      <w:r>
        <w:rPr>
          <w:color w:val="005DA1"/>
          <w:u w:val="single" w:color="005DA1"/>
          <w:vertAlign w:val="superscript"/>
        </w:rPr>
        <w:t>792</w:t>
      </w:r>
      <w:r>
        <w:rPr>
          <w:color w:val="005DA1"/>
          <w:vertAlign w:val="baseline"/>
        </w:rPr>
        <w:t> </w:t>
      </w:r>
      <w:r>
        <w:rPr>
          <w:vertAlign w:val="baseline"/>
        </w:rPr>
        <w:t>He went on to say that “the reason why an agreement to negotiate, like an agreement </w:t>
      </w:r>
      <w:bookmarkStart w:name="_bookmark1314" w:id="1316"/>
      <w:bookmarkEnd w:id="1316"/>
      <w:r>
        <w:rPr>
          <w:vertAlign w:val="baseline"/>
        </w:rPr>
        <w:t>to</w:t>
      </w:r>
      <w:r>
        <w:rPr>
          <w:vertAlign w:val="baseline"/>
        </w:rPr>
        <w:t> agree, is unenforceable is simply because it lacks the necessary certainty. The same does not apply</w:t>
      </w:r>
      <w:r>
        <w:rPr>
          <w:spacing w:val="-1"/>
          <w:vertAlign w:val="baseline"/>
        </w:rPr>
        <w:t> </w:t>
      </w:r>
      <w:r>
        <w:rPr>
          <w:vertAlign w:val="baseline"/>
        </w:rPr>
        <w:t>to</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to</w:t>
      </w:r>
      <w:r>
        <w:rPr>
          <w:spacing w:val="-1"/>
          <w:vertAlign w:val="baseline"/>
        </w:rPr>
        <w:t> </w:t>
      </w:r>
      <w:r>
        <w:rPr>
          <w:vertAlign w:val="baseline"/>
        </w:rPr>
        <w:t>use</w:t>
      </w:r>
      <w:r>
        <w:rPr>
          <w:spacing w:val="-1"/>
          <w:vertAlign w:val="baseline"/>
        </w:rPr>
        <w:t> </w:t>
      </w:r>
      <w:r>
        <w:rPr>
          <w:vertAlign w:val="baseline"/>
        </w:rPr>
        <w:t>best</w:t>
      </w:r>
      <w:r>
        <w:rPr>
          <w:spacing w:val="-1"/>
          <w:vertAlign w:val="baseline"/>
        </w:rPr>
        <w:t> </w:t>
      </w:r>
      <w:r>
        <w:rPr>
          <w:vertAlign w:val="baseline"/>
        </w:rPr>
        <w:t>endeavours.”</w:t>
      </w:r>
      <w:r>
        <w:rPr>
          <w:spacing w:val="-2"/>
          <w:vertAlign w:val="baseline"/>
        </w:rPr>
        <w:t> </w:t>
      </w:r>
      <w:r>
        <w:rPr>
          <w:color w:val="005DA1"/>
          <w:u w:val="single" w:color="005DA1"/>
          <w:vertAlign w:val="superscript"/>
        </w:rPr>
        <w:t>793</w:t>
      </w:r>
      <w:r>
        <w:rPr>
          <w:color w:val="005DA1"/>
          <w:spacing w:val="-1"/>
          <w:vertAlign w:val="baseline"/>
        </w:rPr>
        <w:t> </w:t>
      </w:r>
      <w:r>
        <w:rPr>
          <w:vertAlign w:val="baseline"/>
        </w:rPr>
        <w:t>If</w:t>
      </w:r>
      <w:r>
        <w:rPr>
          <w:spacing w:val="-1"/>
          <w:vertAlign w:val="baseline"/>
        </w:rPr>
        <w:t> </w:t>
      </w:r>
      <w:r>
        <w:rPr>
          <w:vertAlign w:val="baseline"/>
        </w:rPr>
        <w:t>(as</w:t>
      </w:r>
      <w:r>
        <w:rPr>
          <w:spacing w:val="-1"/>
          <w:vertAlign w:val="baseline"/>
        </w:rPr>
        <w:t> </w:t>
      </w:r>
      <w:r>
        <w:rPr>
          <w:vertAlign w:val="baseline"/>
        </w:rPr>
        <w:t>appears</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the</w:t>
      </w:r>
      <w:r>
        <w:rPr>
          <w:spacing w:val="-1"/>
          <w:vertAlign w:val="baseline"/>
        </w:rPr>
        <w:t> </w:t>
      </w:r>
      <w:r>
        <w:rPr>
          <w:vertAlign w:val="baseline"/>
        </w:rPr>
        <w:t>case)</w:t>
      </w:r>
      <w:r>
        <w:rPr>
          <w:spacing w:val="-1"/>
          <w:vertAlign w:val="baseline"/>
        </w:rPr>
        <w:t> </w:t>
      </w:r>
      <w:r>
        <w:rPr>
          <w:vertAlign w:val="baseline"/>
        </w:rPr>
        <w:t>the</w:t>
      </w:r>
      <w:r>
        <w:rPr>
          <w:spacing w:val="-1"/>
          <w:vertAlign w:val="baseline"/>
        </w:rPr>
        <w:t> </w:t>
      </w:r>
      <w:r>
        <w:rPr>
          <w:vertAlign w:val="baseline"/>
        </w:rPr>
        <w:t>reference</w:t>
      </w:r>
      <w:r>
        <w:rPr>
          <w:spacing w:val="-1"/>
          <w:vertAlign w:val="baseline"/>
        </w:rPr>
        <w:t> </w:t>
      </w:r>
      <w:r>
        <w:rPr>
          <w:vertAlign w:val="baseline"/>
        </w:rPr>
        <w:t>in</w:t>
      </w:r>
      <w:r>
        <w:rPr>
          <w:spacing w:val="-1"/>
          <w:vertAlign w:val="baseline"/>
        </w:rPr>
        <w:t> </w:t>
      </w:r>
      <w:r>
        <w:rPr>
          <w:vertAlign w:val="baseline"/>
        </w:rPr>
        <w:t>this </w:t>
      </w:r>
      <w:bookmarkStart w:name="_bookmark1315" w:id="1317"/>
      <w:bookmarkEnd w:id="1317"/>
      <w:r>
        <w:rPr>
          <w:vertAlign w:val="baseline"/>
        </w:rPr>
        <w:t>passage</w:t>
      </w:r>
      <w:r>
        <w:rPr>
          <w:vertAlign w:val="baseline"/>
        </w:rPr>
        <w:t> is to an agreement to use best endeavours to reach agreement, then the passage gives rise </w:t>
      </w:r>
      <w:bookmarkStart w:name="_bookmark1316" w:id="1318"/>
      <w:bookmarkEnd w:id="1318"/>
      <w:r>
        <w:rPr>
          <w:vertAlign w:val="baseline"/>
        </w:rPr>
        <w:t>to</w:t>
      </w:r>
      <w:r>
        <w:rPr>
          <w:vertAlign w:val="baseline"/>
        </w:rPr>
        <w:t> a number of difficulties. The first arises from dictum in an English case </w:t>
      </w:r>
      <w:r>
        <w:rPr>
          <w:color w:val="005DA1"/>
          <w:u w:val="single" w:color="005DA1"/>
          <w:vertAlign w:val="superscript"/>
        </w:rPr>
        <w:t>794</w:t>
      </w:r>
      <w:r>
        <w:rPr>
          <w:color w:val="005DA1"/>
          <w:vertAlign w:val="baseline"/>
        </w:rPr>
        <w:t> </w:t>
      </w:r>
      <w:r>
        <w:rPr>
          <w:vertAlign w:val="baseline"/>
        </w:rPr>
        <w:t>(which is cited with approval in </w:t>
      </w:r>
      <w:r>
        <w:rPr>
          <w:rFonts w:ascii="Arial" w:hAnsi="Arial"/>
          <w:i/>
          <w:vertAlign w:val="baseline"/>
        </w:rPr>
        <w:t>Walford v Miles </w:t>
      </w:r>
      <w:r>
        <w:rPr>
          <w:color w:val="005DA1"/>
          <w:u w:val="single" w:color="005DA1"/>
          <w:vertAlign w:val="superscript"/>
        </w:rPr>
        <w:t>795</w:t>
      </w:r>
      <w:r>
        <w:rPr>
          <w:vertAlign w:val="baseline"/>
        </w:rPr>
        <w:t>) to the effect that an agreement to negotiate does not impose any obligation to use best endeavours to reach agreement; and this dictum certainly supports the view</w:t>
      </w:r>
      <w:r>
        <w:rPr>
          <w:spacing w:val="40"/>
          <w:vertAlign w:val="baseline"/>
        </w:rPr>
        <w:t> </w:t>
      </w:r>
      <w:r>
        <w:rPr>
          <w:vertAlign w:val="baseline"/>
        </w:rPr>
        <w:t>that an agreement to negotiate contains no </w:t>
      </w:r>
      <w:r>
        <w:rPr>
          <w:rFonts w:ascii="Arial" w:hAnsi="Arial"/>
          <w:i/>
          <w:vertAlign w:val="baseline"/>
        </w:rPr>
        <w:t>implied </w:t>
      </w:r>
      <w:r>
        <w:rPr>
          <w:vertAlign w:val="baseline"/>
        </w:rPr>
        <w:t>term to use such endeavours. It may be that Lord Ackner’s reference was to an </w:t>
      </w:r>
      <w:r>
        <w:rPr>
          <w:rFonts w:ascii="Arial" w:hAnsi="Arial"/>
          <w:i/>
          <w:vertAlign w:val="baseline"/>
        </w:rPr>
        <w:t>express </w:t>
      </w:r>
      <w:r>
        <w:rPr>
          <w:vertAlign w:val="baseline"/>
        </w:rPr>
        <w:t>term to use best endeavours to reach agreement, or that he was</w:t>
      </w:r>
      <w:r>
        <w:rPr>
          <w:spacing w:val="-2"/>
          <w:vertAlign w:val="baseline"/>
        </w:rPr>
        <w:t> </w:t>
      </w:r>
      <w:r>
        <w:rPr>
          <w:vertAlign w:val="baseline"/>
        </w:rPr>
        <w:t>simply</w:t>
      </w:r>
      <w:r>
        <w:rPr>
          <w:spacing w:val="-2"/>
          <w:vertAlign w:val="baseline"/>
        </w:rPr>
        <w:t> </w:t>
      </w:r>
      <w:r>
        <w:rPr>
          <w:vertAlign w:val="baseline"/>
        </w:rPr>
        <w:t>prepared</w:t>
      </w:r>
      <w:r>
        <w:rPr>
          <w:spacing w:val="-2"/>
          <w:vertAlign w:val="baseline"/>
        </w:rPr>
        <w:t> </w:t>
      </w:r>
      <w:r>
        <w:rPr>
          <w:vertAlign w:val="baseline"/>
        </w:rPr>
        <w:t>to</w:t>
      </w:r>
      <w:r>
        <w:rPr>
          <w:spacing w:val="-2"/>
          <w:vertAlign w:val="baseline"/>
        </w:rPr>
        <w:t> </w:t>
      </w:r>
      <w:r>
        <w:rPr>
          <w:vertAlign w:val="baseline"/>
        </w:rPr>
        <w:t>assume</w:t>
      </w:r>
      <w:r>
        <w:rPr>
          <w:spacing w:val="-2"/>
          <w:vertAlign w:val="baseline"/>
        </w:rPr>
        <w:t> </w:t>
      </w:r>
      <w:r>
        <w:rPr>
          <w:vertAlign w:val="baseline"/>
        </w:rPr>
        <w:t>(without</w:t>
      </w:r>
      <w:r>
        <w:rPr>
          <w:spacing w:val="-2"/>
          <w:vertAlign w:val="baseline"/>
        </w:rPr>
        <w:t> </w:t>
      </w:r>
      <w:r>
        <w:rPr>
          <w:vertAlign w:val="baseline"/>
        </w:rPr>
        <w:t>deciding)</w:t>
      </w:r>
      <w:r>
        <w:rPr>
          <w:spacing w:val="-2"/>
          <w:vertAlign w:val="baseline"/>
        </w:rPr>
        <w:t> </w:t>
      </w:r>
      <w:r>
        <w:rPr>
          <w:vertAlign w:val="baseline"/>
        </w:rPr>
        <w:t>that</w:t>
      </w:r>
      <w:r>
        <w:rPr>
          <w:spacing w:val="-2"/>
          <w:vertAlign w:val="baseline"/>
        </w:rPr>
        <w:t> </w:t>
      </w:r>
      <w:r>
        <w:rPr>
          <w:vertAlign w:val="baseline"/>
        </w:rPr>
        <w:t>an</w:t>
      </w:r>
      <w:r>
        <w:rPr>
          <w:spacing w:val="-2"/>
          <w:vertAlign w:val="baseline"/>
        </w:rPr>
        <w:t> </w:t>
      </w:r>
      <w:r>
        <w:rPr>
          <w:vertAlign w:val="baseline"/>
        </w:rPr>
        <w:t>agreement</w:t>
      </w:r>
      <w:r>
        <w:rPr>
          <w:spacing w:val="-2"/>
          <w:vertAlign w:val="baseline"/>
        </w:rPr>
        <w:t> </w:t>
      </w:r>
      <w:r>
        <w:rPr>
          <w:vertAlign w:val="baseline"/>
        </w:rPr>
        <w:t>(express</w:t>
      </w:r>
      <w:r>
        <w:rPr>
          <w:spacing w:val="-2"/>
          <w:vertAlign w:val="baseline"/>
        </w:rPr>
        <w:t> </w:t>
      </w:r>
      <w:r>
        <w:rPr>
          <w:vertAlign w:val="baseline"/>
        </w:rPr>
        <w:t>or</w:t>
      </w:r>
      <w:r>
        <w:rPr>
          <w:spacing w:val="-2"/>
          <w:vertAlign w:val="baseline"/>
        </w:rPr>
        <w:t> </w:t>
      </w:r>
      <w:r>
        <w:rPr>
          <w:vertAlign w:val="baseline"/>
        </w:rPr>
        <w:t>implied)</w:t>
      </w:r>
      <w:r>
        <w:rPr>
          <w:spacing w:val="-2"/>
          <w:vertAlign w:val="baseline"/>
        </w:rPr>
        <w:t> </w:t>
      </w:r>
      <w:r>
        <w:rPr>
          <w:vertAlign w:val="baseline"/>
        </w:rPr>
        <w:t>to</w:t>
      </w:r>
      <w:r>
        <w:rPr>
          <w:spacing w:val="-2"/>
          <w:vertAlign w:val="baseline"/>
        </w:rPr>
        <w:t> </w:t>
      </w:r>
      <w:r>
        <w:rPr>
          <w:vertAlign w:val="baseline"/>
        </w:rPr>
        <w:t>use</w:t>
      </w:r>
      <w:r>
        <w:rPr>
          <w:spacing w:val="-2"/>
          <w:vertAlign w:val="baseline"/>
        </w:rPr>
        <w:t> </w:t>
      </w:r>
      <w:r>
        <w:rPr>
          <w:vertAlign w:val="baseline"/>
        </w:rPr>
        <w:t>such endeavours</w:t>
      </w:r>
      <w:r>
        <w:rPr>
          <w:spacing w:val="-1"/>
          <w:vertAlign w:val="baseline"/>
        </w:rPr>
        <w:t> </w:t>
      </w:r>
      <w:r>
        <w:rPr>
          <w:vertAlign w:val="baseline"/>
        </w:rPr>
        <w:t>might</w:t>
      </w:r>
      <w:r>
        <w:rPr>
          <w:spacing w:val="-1"/>
          <w:vertAlign w:val="baseline"/>
        </w:rPr>
        <w:t> </w:t>
      </w:r>
      <w:r>
        <w:rPr>
          <w:vertAlign w:val="baseline"/>
        </w:rPr>
        <w:t>be</w:t>
      </w:r>
      <w:r>
        <w:rPr>
          <w:spacing w:val="-1"/>
          <w:vertAlign w:val="baseline"/>
        </w:rPr>
        <w:t> </w:t>
      </w:r>
      <w:r>
        <w:rPr>
          <w:vertAlign w:val="baseline"/>
        </w:rPr>
        <w:t>legally</w:t>
      </w:r>
      <w:r>
        <w:rPr>
          <w:spacing w:val="-1"/>
          <w:vertAlign w:val="baseline"/>
        </w:rPr>
        <w:t> </w:t>
      </w:r>
      <w:r>
        <w:rPr>
          <w:vertAlign w:val="baseline"/>
        </w:rPr>
        <w:t>enforceable</w:t>
      </w:r>
      <w:r>
        <w:rPr>
          <w:spacing w:val="-1"/>
          <w:vertAlign w:val="baseline"/>
        </w:rPr>
        <w:t> </w:t>
      </w:r>
      <w:r>
        <w:rPr>
          <w:vertAlign w:val="baseline"/>
        </w:rPr>
        <w:t>and</w:t>
      </w:r>
      <w:r>
        <w:rPr>
          <w:spacing w:val="-1"/>
          <w:vertAlign w:val="baseline"/>
        </w:rPr>
        <w:t> </w:t>
      </w:r>
      <w:r>
        <w:rPr>
          <w:vertAlign w:val="baseline"/>
        </w:rPr>
        <w:t>that</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concerned</w:t>
      </w:r>
      <w:r>
        <w:rPr>
          <w:spacing w:val="-1"/>
          <w:vertAlign w:val="baseline"/>
        </w:rPr>
        <w:t> </w:t>
      </w:r>
      <w:r>
        <w:rPr>
          <w:vertAlign w:val="baseline"/>
        </w:rPr>
        <w:t>only</w:t>
      </w:r>
      <w:r>
        <w:rPr>
          <w:spacing w:val="-1"/>
          <w:vertAlign w:val="baseline"/>
        </w:rPr>
        <w:t> </w:t>
      </w:r>
      <w:r>
        <w:rPr>
          <w:vertAlign w:val="baseline"/>
        </w:rPr>
        <w:t>to</w:t>
      </w:r>
      <w:r>
        <w:rPr>
          <w:spacing w:val="-1"/>
          <w:vertAlign w:val="baseline"/>
        </w:rPr>
        <w:t> </w:t>
      </w:r>
      <w:r>
        <w:rPr>
          <w:vertAlign w:val="baseline"/>
        </w:rPr>
        <w:t>make</w:t>
      </w:r>
      <w:r>
        <w:rPr>
          <w:spacing w:val="-1"/>
          <w:vertAlign w:val="baseline"/>
        </w:rPr>
        <w:t> </w:t>
      </w:r>
      <w:r>
        <w:rPr>
          <w:vertAlign w:val="baseline"/>
        </w:rPr>
        <w:t>the</w:t>
      </w:r>
      <w:r>
        <w:rPr>
          <w:spacing w:val="-1"/>
          <w:vertAlign w:val="baseline"/>
        </w:rPr>
        <w:t> </w:t>
      </w:r>
      <w:r>
        <w:rPr>
          <w:vertAlign w:val="baseline"/>
        </w:rPr>
        <w:t>point</w:t>
      </w:r>
      <w:r>
        <w:rPr>
          <w:spacing w:val="-1"/>
          <w:vertAlign w:val="baseline"/>
        </w:rPr>
        <w:t> </w:t>
      </w:r>
      <w:r>
        <w:rPr>
          <w:vertAlign w:val="baseline"/>
        </w:rPr>
        <w:t>that,</w:t>
      </w:r>
      <w:r>
        <w:rPr>
          <w:spacing w:val="-1"/>
          <w:vertAlign w:val="baseline"/>
        </w:rPr>
        <w:t> </w:t>
      </w:r>
      <w:r>
        <w:rPr>
          <w:vertAlign w:val="baseline"/>
        </w:rPr>
        <w:t>even on that assumption, the same was not true of an agreement to negotiate in good faith. That explanation of Lord Ackner’s statement in turn gives rise to the difficulty of distinguishing between the two types of agreement. One possibility is that an agreement to negotiate in good faith refers to the </w:t>
      </w:r>
      <w:r>
        <w:rPr>
          <w:rFonts w:ascii="Arial" w:hAnsi="Arial"/>
          <w:i/>
          <w:vertAlign w:val="baseline"/>
        </w:rPr>
        <w:t>formation </w:t>
      </w:r>
      <w:r>
        <w:rPr>
          <w:vertAlign w:val="baseline"/>
        </w:rPr>
        <w:t>and one to use best endeavours to the </w:t>
      </w:r>
      <w:r>
        <w:rPr>
          <w:rFonts w:ascii="Arial" w:hAnsi="Arial"/>
          <w:i/>
          <w:vertAlign w:val="baseline"/>
        </w:rPr>
        <w:t>performance </w:t>
      </w:r>
      <w:r>
        <w:rPr>
          <w:vertAlign w:val="baseline"/>
        </w:rPr>
        <w:t>of a contract, e.g. where an admitted contract between A and B requires A to use his best endeavours to make a computer software</w:t>
      </w:r>
      <w:r>
        <w:rPr>
          <w:spacing w:val="40"/>
          <w:vertAlign w:val="baseline"/>
        </w:rPr>
        <w:t> </w:t>
      </w:r>
      <w:bookmarkStart w:name="_bookmark1317" w:id="1319"/>
      <w:bookmarkEnd w:id="1319"/>
      <w:r>
        <w:rPr>
          <w:vertAlign w:val="baseline"/>
        </w:rPr>
        <w:t>system</w:t>
      </w:r>
      <w:r>
        <w:rPr>
          <w:vertAlign w:val="baseline"/>
        </w:rPr>
        <w:t> work, or to procure C to enter into a contract with B. There is no doubt that a term of this kind can impose a legal obligation on A. </w:t>
      </w:r>
      <w:r>
        <w:rPr>
          <w:color w:val="005DA1"/>
          <w:u w:val="single" w:color="005DA1"/>
          <w:vertAlign w:val="superscript"/>
        </w:rPr>
        <w:t>796</w:t>
      </w:r>
      <w:r>
        <w:rPr>
          <w:color w:val="005DA1"/>
          <w:vertAlign w:val="baseline"/>
        </w:rPr>
        <w:t> </w:t>
      </w:r>
      <w:r>
        <w:rPr>
          <w:vertAlign w:val="baseline"/>
        </w:rPr>
        <w:t>But such cases are not concerned with the legal effect (if any) of an agreement to use best endeavours </w:t>
      </w:r>
      <w:r>
        <w:rPr>
          <w:rFonts w:ascii="Arial" w:hAnsi="Arial"/>
          <w:i/>
          <w:vertAlign w:val="baseline"/>
        </w:rPr>
        <w:t>to reach agreement</w:t>
      </w:r>
      <w:r>
        <w:rPr>
          <w:vertAlign w:val="baseline"/>
        </w:rPr>
        <w:t>; and where the question is whether, in consequence of such an agreement, any contract has come into existence, later decisions support</w:t>
      </w:r>
      <w:r>
        <w:rPr>
          <w:spacing w:val="40"/>
          <w:vertAlign w:val="baseline"/>
        </w:rPr>
        <w:t> </w:t>
      </w:r>
      <w:bookmarkStart w:name="_bookmark1318" w:id="1320"/>
      <w:bookmarkEnd w:id="1320"/>
      <w:r>
        <w:rPr>
          <w:vertAlign w:val="baseline"/>
        </w:rPr>
        <w:t>the</w:t>
      </w:r>
      <w:r>
        <w:rPr>
          <w:vertAlign w:val="baseline"/>
        </w:rPr>
        <w:t> view that an express agreement to use best or reasonable endeavours to agree on the terms of a contract is no more than an agreement to negotiate, lacking contractual force. </w:t>
      </w:r>
      <w:r>
        <w:rPr>
          <w:color w:val="005DA1"/>
          <w:u w:val="single" w:color="005DA1"/>
          <w:vertAlign w:val="superscript"/>
        </w:rPr>
        <w:t>797</w:t>
      </w:r>
      <w:r>
        <w:rPr>
          <w:color w:val="005DA1"/>
          <w:vertAlign w:val="baseline"/>
        </w:rPr>
        <w:t> </w:t>
      </w:r>
      <w:r>
        <w:rPr>
          <w:vertAlign w:val="baseline"/>
        </w:rPr>
        <w:t>An alternative explanation of Lord Ackner’s statement may be that, while an agreement to use best endeavours to reach agreement could be interpreted as referring to the </w:t>
      </w:r>
      <w:r>
        <w:rPr>
          <w:rFonts w:ascii="Arial" w:hAnsi="Arial"/>
          <w:i/>
          <w:vertAlign w:val="baseline"/>
        </w:rPr>
        <w:t>machinery </w:t>
      </w:r>
      <w:r>
        <w:rPr>
          <w:vertAlign w:val="baseline"/>
        </w:rPr>
        <w:t>of negotiation, one to negotiate in good faith is more plausibly interpreted as referring to its </w:t>
      </w:r>
      <w:r>
        <w:rPr>
          <w:rFonts w:ascii="Arial" w:hAnsi="Arial"/>
          <w:i/>
          <w:vertAlign w:val="baseline"/>
        </w:rPr>
        <w:t>substance</w:t>
      </w:r>
      <w:r>
        <w:rPr>
          <w:vertAlign w:val="baseline"/>
        </w:rPr>
        <w:t>. A promise to use such endeavours might, for example, oblige a party to make himself available for negotiations, or at least </w:t>
      </w:r>
      <w:bookmarkStart w:name="_bookmark1319" w:id="1321"/>
      <w:bookmarkEnd w:id="1321"/>
      <w:r>
        <w:rPr>
          <w:vertAlign w:val="baseline"/>
        </w:rPr>
        <w:t>not</w:t>
      </w:r>
      <w:r>
        <w:rPr>
          <w:vertAlign w:val="baseline"/>
        </w:rPr>
        <w:t> (e.g. by deliberately failing to pick up his telephone) to prevent the other from communicating with him. </w:t>
      </w:r>
      <w:r>
        <w:rPr>
          <w:color w:val="005DA1"/>
          <w:u w:val="single" w:color="005DA1"/>
          <w:vertAlign w:val="superscript"/>
        </w:rPr>
        <w:t>798</w:t>
      </w:r>
      <w:r>
        <w:rPr>
          <w:color w:val="005DA1"/>
          <w:vertAlign w:val="baseline"/>
        </w:rPr>
        <w:t> </w:t>
      </w:r>
      <w:r>
        <w:rPr>
          <w:vertAlign w:val="baseline"/>
        </w:rPr>
        <w:t>A promise to negotiate in good faith, on the other hand, would oblige a party not to take unreasonable or exorbitant positions during the negotiations; and it is the difficulty of giving precise content to this obligation, while maintaining each party’s freedom to pursue his own interests, that makes such a promise too uncertain to be enforced.</w:t>
      </w:r>
    </w:p>
    <w:p>
      <w:pPr>
        <w:pStyle w:val="BodyText"/>
      </w:pPr>
    </w:p>
    <w:p>
      <w:pPr>
        <w:pStyle w:val="BodyText"/>
        <w:spacing w:before="25"/>
      </w:pPr>
    </w:p>
    <w:p>
      <w:pPr>
        <w:spacing w:before="1"/>
        <w:ind w:left="165" w:right="0" w:firstLine="0"/>
        <w:jc w:val="left"/>
        <w:rPr>
          <w:rFonts w:ascii="Arial"/>
          <w:b/>
          <w:sz w:val="18"/>
        </w:rPr>
      </w:pPr>
      <w:r>
        <w:rPr>
          <w:rFonts w:ascii="Arial"/>
          <w:b/>
          <w:sz w:val="18"/>
        </w:rPr>
        <w:t>Duty to negotiate outstanding </w:t>
      </w:r>
      <w:r>
        <w:rPr>
          <w:rFonts w:ascii="Arial"/>
          <w:b/>
          <w:spacing w:val="-2"/>
          <w:sz w:val="18"/>
        </w:rPr>
        <w:t>details?</w:t>
      </w:r>
    </w:p>
    <w:p>
      <w:pPr>
        <w:spacing w:after="0"/>
        <w:jc w:val="left"/>
        <w:rPr>
          <w:rFonts w:ascii="Arial"/>
          <w:b/>
          <w:sz w:val="18"/>
        </w:rPr>
        <w:sectPr>
          <w:pgSz w:w="11900" w:h="16840"/>
          <w:pgMar w:header="971" w:footer="0" w:top="1300" w:bottom="280" w:left="1275" w:right="1275"/>
        </w:sectPr>
      </w:pPr>
    </w:p>
    <w:p>
      <w:pPr>
        <w:pStyle w:val="Heading2"/>
        <w:spacing w:before="262"/>
      </w:pPr>
      <w:r>
        <w:rPr/>
        <w:t>2-</w:t>
      </w:r>
      <w:r>
        <w:rPr>
          <w:spacing w:val="-5"/>
        </w:rPr>
        <w:t>146</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05" name="Image 105"/>
            <wp:cNvGraphicFramePr>
              <a:graphicFrameLocks/>
            </wp:cNvGraphicFramePr>
            <a:graphic>
              <a:graphicData uri="http://schemas.openxmlformats.org/drawingml/2006/picture">
                <pic:pic>
                  <pic:nvPicPr>
                    <pic:cNvPr id="105" name="Image 105"/>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bookmarkStart w:name="_bookmark1320" w:id="1322"/>
      <w:bookmarkEnd w:id="1322"/>
      <w:r>
        <w:rPr>
          <w:rFonts w:ascii="Times New Roman"/>
          <w:spacing w:val="-1"/>
        </w:rPr>
      </w:r>
      <w:r>
        <w:rPr/>
        <w:t>In </w:t>
      </w:r>
      <w:r>
        <w:rPr>
          <w:rFonts w:ascii="Arial"/>
          <w:i/>
        </w:rPr>
        <w:t>Walford v Miles </w:t>
      </w:r>
      <w:r>
        <w:rPr/>
        <w:t>the principal agreement was not legally binding because it was subject to contract, and the lock-out agreement was not legally binding because it specified no dates. </w:t>
      </w:r>
      <w:r>
        <w:rPr>
          <w:color w:val="005DA1"/>
          <w:u w:val="single" w:color="005DA1"/>
          <w:vertAlign w:val="superscript"/>
        </w:rPr>
        <w:t>799</w:t>
      </w:r>
      <w:r>
        <w:rPr>
          <w:color w:val="005DA1"/>
          <w:vertAlign w:val="baseline"/>
        </w:rPr>
        <w:t> </w:t>
      </w:r>
      <w:r>
        <w:rPr>
          <w:vertAlign w:val="baseline"/>
        </w:rPr>
        <w:t>The case does not exclude the possibility that a different conclusion may be reached where the parties have reached agreement on all essential points so as to show that they do intend to be legally </w:t>
      </w:r>
      <w:r>
        <w:rPr>
          <w:vertAlign w:val="baseline"/>
        </w:rPr>
        <w:t>bound by the agreement, but have left other points open. The court may then imply a term that they are to </w:t>
      </w:r>
      <w:bookmarkStart w:name="_bookmark1321" w:id="1323"/>
      <w:bookmarkEnd w:id="1323"/>
      <w:r>
        <w:rPr>
          <w:vertAlign w:val="baseline"/>
        </w:rPr>
        <w:t>negotiate</w:t>
      </w:r>
      <w:r>
        <w:rPr>
          <w:vertAlign w:val="baseline"/>
        </w:rPr>
        <w:t> in good faith so as to settle outstanding details which are to be incorporated in the formal document setting out the full terms of the contract between them. </w:t>
      </w:r>
      <w:r>
        <w:rPr>
          <w:color w:val="005DA1"/>
          <w:u w:val="single" w:color="005DA1"/>
          <w:vertAlign w:val="superscript"/>
        </w:rPr>
        <w:t>800</w:t>
      </w:r>
      <w:r>
        <w:rPr>
          <w:color w:val="005DA1"/>
          <w:vertAlign w:val="baseline"/>
        </w:rPr>
        <w:t> </w:t>
      </w:r>
      <w:r>
        <w:rPr>
          <w:vertAlign w:val="baseline"/>
        </w:rPr>
        <w:t>An express term in an</w:t>
      </w:r>
      <w:r>
        <w:rPr>
          <w:spacing w:val="40"/>
          <w:vertAlign w:val="baseline"/>
        </w:rPr>
        <w:t> </w:t>
      </w:r>
      <w:bookmarkStart w:name="_bookmark1322" w:id="1324"/>
      <w:bookmarkEnd w:id="1324"/>
      <w:r>
        <w:rPr>
          <w:vertAlign w:val="baseline"/>
        </w:rPr>
        <w:t>agreement</w:t>
      </w:r>
      <w:r>
        <w:rPr>
          <w:vertAlign w:val="baseline"/>
        </w:rPr>
        <w:t> that is intended to be legally binding to negotiate outstanding matters in good faith may likewise have contractual force. </w:t>
      </w:r>
      <w:r>
        <w:rPr>
          <w:color w:val="005DA1"/>
          <w:u w:val="single" w:color="005DA1"/>
          <w:vertAlign w:val="superscript"/>
        </w:rPr>
        <w:t>801</w:t>
      </w:r>
      <w:r>
        <w:rPr>
          <w:color w:val="005DA1"/>
          <w:vertAlign w:val="baseline"/>
        </w:rPr>
        <w:t> </w:t>
      </w:r>
      <w:r>
        <w:rPr>
          <w:vertAlign w:val="baseline"/>
        </w:rPr>
        <w:t>Similarly, a dispute resolution clause in an existing and</w:t>
      </w:r>
      <w:r>
        <w:rPr>
          <w:spacing w:val="40"/>
          <w:vertAlign w:val="baseline"/>
        </w:rPr>
        <w:t> </w:t>
      </w:r>
      <w:r>
        <w:rPr>
          <w:vertAlign w:val="baseline"/>
        </w:rPr>
        <w:t>enforceable contract which requires the parties to seek to resolve a dispute by friendly discussions in good faith and within a limited period of time before the dispute may be referred to arbitration is enforceable. It is not incomplete; not uncertain (it has an identifiable standard, namely, fair, honest and</w:t>
      </w:r>
      <w:r>
        <w:rPr>
          <w:spacing w:val="-2"/>
          <w:vertAlign w:val="baseline"/>
        </w:rPr>
        <w:t> </w:t>
      </w:r>
      <w:r>
        <w:rPr>
          <w:vertAlign w:val="baseline"/>
        </w:rPr>
        <w:t>genuine</w:t>
      </w:r>
      <w:r>
        <w:rPr>
          <w:spacing w:val="-2"/>
          <w:vertAlign w:val="baseline"/>
        </w:rPr>
        <w:t> </w:t>
      </w:r>
      <w:r>
        <w:rPr>
          <w:vertAlign w:val="baseline"/>
        </w:rPr>
        <w:t>discussions</w:t>
      </w:r>
      <w:r>
        <w:rPr>
          <w:spacing w:val="-2"/>
          <w:vertAlign w:val="baseline"/>
        </w:rPr>
        <w:t> </w:t>
      </w:r>
      <w:r>
        <w:rPr>
          <w:vertAlign w:val="baseline"/>
        </w:rPr>
        <w:t>aimed</w:t>
      </w:r>
      <w:r>
        <w:rPr>
          <w:spacing w:val="-2"/>
          <w:vertAlign w:val="baseline"/>
        </w:rPr>
        <w:t> </w:t>
      </w:r>
      <w:r>
        <w:rPr>
          <w:vertAlign w:val="baseline"/>
        </w:rPr>
        <w:t>at</w:t>
      </w:r>
      <w:r>
        <w:rPr>
          <w:spacing w:val="-2"/>
          <w:vertAlign w:val="baseline"/>
        </w:rPr>
        <w:t> </w:t>
      </w:r>
      <w:r>
        <w:rPr>
          <w:vertAlign w:val="baseline"/>
        </w:rPr>
        <w:t>resolving</w:t>
      </w:r>
      <w:r>
        <w:rPr>
          <w:spacing w:val="-2"/>
          <w:vertAlign w:val="baseline"/>
        </w:rPr>
        <w:t> </w:t>
      </w:r>
      <w:r>
        <w:rPr>
          <w:vertAlign w:val="baseline"/>
        </w:rPr>
        <w:t>a</w:t>
      </w:r>
      <w:r>
        <w:rPr>
          <w:spacing w:val="-2"/>
          <w:vertAlign w:val="baseline"/>
        </w:rPr>
        <w:t> </w:t>
      </w:r>
      <w:r>
        <w:rPr>
          <w:vertAlign w:val="baseline"/>
        </w:rPr>
        <w:t>dispute,</w:t>
      </w:r>
      <w:r>
        <w:rPr>
          <w:spacing w:val="-2"/>
          <w:vertAlign w:val="baseline"/>
        </w:rPr>
        <w:t> </w:t>
      </w:r>
      <w:r>
        <w:rPr>
          <w:vertAlign w:val="baseline"/>
        </w:rPr>
        <w:t>the</w:t>
      </w:r>
      <w:r>
        <w:rPr>
          <w:spacing w:val="-2"/>
          <w:vertAlign w:val="baseline"/>
        </w:rPr>
        <w:t> </w:t>
      </w:r>
      <w:r>
        <w:rPr>
          <w:vertAlign w:val="baseline"/>
        </w:rPr>
        <w:t>difficulty</w:t>
      </w:r>
      <w:r>
        <w:rPr>
          <w:spacing w:val="-2"/>
          <w:vertAlign w:val="baseline"/>
        </w:rPr>
        <w:t> </w:t>
      </w:r>
      <w:r>
        <w:rPr>
          <w:vertAlign w:val="baseline"/>
        </w:rPr>
        <w:t>of</w:t>
      </w:r>
      <w:r>
        <w:rPr>
          <w:spacing w:val="-2"/>
          <w:vertAlign w:val="baseline"/>
        </w:rPr>
        <w:t> </w:t>
      </w:r>
      <w:r>
        <w:rPr>
          <w:vertAlign w:val="baseline"/>
        </w:rPr>
        <w:t>proving</w:t>
      </w:r>
      <w:r>
        <w:rPr>
          <w:spacing w:val="-2"/>
          <w:vertAlign w:val="baseline"/>
        </w:rPr>
        <w:t> </w:t>
      </w:r>
      <w:r>
        <w:rPr>
          <w:vertAlign w:val="baseline"/>
        </w:rPr>
        <w:t>a</w:t>
      </w:r>
      <w:r>
        <w:rPr>
          <w:spacing w:val="-2"/>
          <w:vertAlign w:val="baseline"/>
        </w:rPr>
        <w:t> </w:t>
      </w:r>
      <w:r>
        <w:rPr>
          <w:vertAlign w:val="baseline"/>
        </w:rPr>
        <w:t>breach</w:t>
      </w:r>
      <w:r>
        <w:rPr>
          <w:spacing w:val="-2"/>
          <w:vertAlign w:val="baseline"/>
        </w:rPr>
        <w:t> </w:t>
      </w:r>
      <w:r>
        <w:rPr>
          <w:vertAlign w:val="baseline"/>
        </w:rPr>
        <w:t>in</w:t>
      </w:r>
      <w:r>
        <w:rPr>
          <w:spacing w:val="-2"/>
          <w:vertAlign w:val="baseline"/>
        </w:rPr>
        <w:t> </w:t>
      </w:r>
      <w:r>
        <w:rPr>
          <w:vertAlign w:val="baseline"/>
        </w:rPr>
        <w:t>some</w:t>
      </w:r>
      <w:r>
        <w:rPr>
          <w:spacing w:val="-2"/>
          <w:vertAlign w:val="baseline"/>
        </w:rPr>
        <w:t> </w:t>
      </w:r>
      <w:r>
        <w:rPr>
          <w:vertAlign w:val="baseline"/>
        </w:rPr>
        <w:t>cases does not mean that the clause lacks certainty); and not inconsistent with the position of a negotiating party since the parties voluntarily accepted a restriction upon their freedom not to negotiate.</w:t>
      </w:r>
      <w:r>
        <w:rPr>
          <w:spacing w:val="40"/>
          <w:vertAlign w:val="baseline"/>
        </w:rPr>
        <w:t> </w:t>
      </w:r>
      <w:bookmarkStart w:name="_bookmark1323" w:id="1325"/>
      <w:bookmarkEnd w:id="1325"/>
      <w:r>
        <w:rPr>
          <w:vertAlign w:val="baseline"/>
        </w:rPr>
        <w:t>Moreover,</w:t>
      </w:r>
      <w:r>
        <w:rPr>
          <w:spacing w:val="53"/>
          <w:vertAlign w:val="baseline"/>
        </w:rPr>
        <w:t> </w:t>
      </w:r>
      <w:r>
        <w:rPr>
          <w:vertAlign w:val="baseline"/>
        </w:rPr>
        <w:t>it</w:t>
      </w:r>
      <w:r>
        <w:rPr>
          <w:spacing w:val="53"/>
          <w:vertAlign w:val="baseline"/>
        </w:rPr>
        <w:t> </w:t>
      </w:r>
      <w:r>
        <w:rPr>
          <w:vertAlign w:val="baseline"/>
        </w:rPr>
        <w:t>is</w:t>
      </w:r>
      <w:r>
        <w:rPr>
          <w:spacing w:val="53"/>
          <w:vertAlign w:val="baseline"/>
        </w:rPr>
        <w:t> </w:t>
      </w:r>
      <w:r>
        <w:rPr>
          <w:vertAlign w:val="baseline"/>
        </w:rPr>
        <w:t>in</w:t>
      </w:r>
      <w:r>
        <w:rPr>
          <w:spacing w:val="53"/>
          <w:vertAlign w:val="baseline"/>
        </w:rPr>
        <w:t> </w:t>
      </w:r>
      <w:r>
        <w:rPr>
          <w:vertAlign w:val="baseline"/>
        </w:rPr>
        <w:t>the</w:t>
      </w:r>
      <w:r>
        <w:rPr>
          <w:spacing w:val="53"/>
          <w:vertAlign w:val="baseline"/>
        </w:rPr>
        <w:t> </w:t>
      </w:r>
      <w:r>
        <w:rPr>
          <w:vertAlign w:val="baseline"/>
        </w:rPr>
        <w:t>public</w:t>
      </w:r>
      <w:r>
        <w:rPr>
          <w:spacing w:val="53"/>
          <w:vertAlign w:val="baseline"/>
        </w:rPr>
        <w:t> </w:t>
      </w:r>
      <w:r>
        <w:rPr>
          <w:vertAlign w:val="baseline"/>
        </w:rPr>
        <w:t>interest,</w:t>
      </w:r>
      <w:r>
        <w:rPr>
          <w:spacing w:val="53"/>
          <w:vertAlign w:val="baseline"/>
        </w:rPr>
        <w:t> </w:t>
      </w:r>
      <w:r>
        <w:rPr>
          <w:vertAlign w:val="baseline"/>
        </w:rPr>
        <w:t>since</w:t>
      </w:r>
      <w:r>
        <w:rPr>
          <w:spacing w:val="53"/>
          <w:vertAlign w:val="baseline"/>
        </w:rPr>
        <w:t> </w:t>
      </w:r>
      <w:r>
        <w:rPr>
          <w:vertAlign w:val="baseline"/>
        </w:rPr>
        <w:t>courts</w:t>
      </w:r>
      <w:r>
        <w:rPr>
          <w:spacing w:val="53"/>
          <w:vertAlign w:val="baseline"/>
        </w:rPr>
        <w:t> </w:t>
      </w:r>
      <w:r>
        <w:rPr>
          <w:vertAlign w:val="baseline"/>
        </w:rPr>
        <w:t>should</w:t>
      </w:r>
      <w:r>
        <w:rPr>
          <w:spacing w:val="53"/>
          <w:vertAlign w:val="baseline"/>
        </w:rPr>
        <w:t> </w:t>
      </w:r>
      <w:r>
        <w:rPr>
          <w:vertAlign w:val="baseline"/>
        </w:rPr>
        <w:t>enforce</w:t>
      </w:r>
      <w:r>
        <w:rPr>
          <w:spacing w:val="53"/>
          <w:vertAlign w:val="baseline"/>
        </w:rPr>
        <w:t> </w:t>
      </w:r>
      <w:r>
        <w:rPr>
          <w:vertAlign w:val="baseline"/>
        </w:rPr>
        <w:t>freely</w:t>
      </w:r>
      <w:r>
        <w:rPr>
          <w:spacing w:val="53"/>
          <w:vertAlign w:val="baseline"/>
        </w:rPr>
        <w:t> </w:t>
      </w:r>
      <w:r>
        <w:rPr>
          <w:vertAlign w:val="baseline"/>
        </w:rPr>
        <w:t>agreed</w:t>
      </w:r>
      <w:r>
        <w:rPr>
          <w:spacing w:val="53"/>
          <w:vertAlign w:val="baseline"/>
        </w:rPr>
        <w:t> </w:t>
      </w:r>
      <w:r>
        <w:rPr>
          <w:vertAlign w:val="baseline"/>
        </w:rPr>
        <w:t>obligations</w:t>
      </w:r>
      <w:r>
        <w:rPr>
          <w:spacing w:val="53"/>
          <w:vertAlign w:val="baseline"/>
        </w:rPr>
        <w:t> </w:t>
      </w:r>
      <w:r>
        <w:rPr>
          <w:spacing w:val="-5"/>
          <w:vertAlign w:val="baseline"/>
        </w:rPr>
        <w:t>and</w:t>
      </w:r>
    </w:p>
    <w:p>
      <w:pPr>
        <w:pStyle w:val="BodyText"/>
        <w:spacing w:before="110"/>
        <w:ind w:left="165"/>
        <w:jc w:val="both"/>
        <w:rPr>
          <w:position w:val="-2"/>
        </w:rPr>
      </w:pPr>
      <w:r>
        <w:rPr/>
        <w:t>because it may avoid expensive and time-consuming arbitration. </w:t>
      </w:r>
      <w:r>
        <w:rPr>
          <w:color w:val="005DA1"/>
          <w:u w:val="single" w:color="005DA1"/>
          <w:vertAlign w:val="superscript"/>
        </w:rPr>
        <w:t>802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06" name="Image 106"/>
            <wp:cNvGraphicFramePr>
              <a:graphicFrameLocks/>
            </wp:cNvGraphicFramePr>
            <a:graphic>
              <a:graphicData uri="http://schemas.openxmlformats.org/drawingml/2006/picture">
                <pic:pic>
                  <pic:nvPicPr>
                    <pic:cNvPr id="106" name="Image 10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pPr>
    </w:p>
    <w:p>
      <w:pPr>
        <w:pStyle w:val="BodyText"/>
        <w:spacing w:before="39"/>
      </w:pPr>
      <w:r>
        <w:rPr/>
        <mc:AlternateContent>
          <mc:Choice Requires="wps">
            <w:drawing>
              <wp:anchor distT="0" distB="0" distL="0" distR="0" allowOverlap="1" layoutInCell="1" locked="0" behindDoc="1" simplePos="0" relativeHeight="487612416">
                <wp:simplePos x="0" y="0"/>
                <wp:positionH relativeFrom="page">
                  <wp:posOffset>914400</wp:posOffset>
                </wp:positionH>
                <wp:positionV relativeFrom="paragraph">
                  <wp:posOffset>186284</wp:posOffset>
                </wp:positionV>
                <wp:extent cx="5724525" cy="1270"/>
                <wp:effectExtent l="0" t="0" r="0" b="0"/>
                <wp:wrapTopAndBottom/>
                <wp:docPr id="107" name="Graphic 107"/>
                <wp:cNvGraphicFramePr>
                  <a:graphicFrameLocks/>
                </wp:cNvGraphicFramePr>
                <a:graphic>
                  <a:graphicData uri="http://schemas.microsoft.com/office/word/2010/wordprocessingShape">
                    <wps:wsp>
                      <wps:cNvPr id="107" name="Graphic 107"/>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68055pt;width:450.75pt;height:.1pt;mso-position-horizontal-relative:page;mso-position-vertical-relative:paragraph;z-index:-15704064;mso-wrap-distance-left:0;mso-wrap-distance-right:0" id="docshape39" coordorigin="1440,293" coordsize="9015,0" path="m1440,293l10454,293e" filled="false" stroked="true" strokeweight="1pt" strokecolor="#000000">
                <v:path arrowok="t"/>
                <v:stroke dashstyle="solid"/>
                <w10:wrap type="topAndBottom"/>
              </v:shape>
            </w:pict>
          </mc:Fallback>
        </mc:AlternateContent>
      </w:r>
    </w:p>
    <w:p>
      <w:pPr>
        <w:pStyle w:val="BodyText"/>
        <w:spacing w:before="97"/>
      </w:pPr>
    </w:p>
    <w:p>
      <w:pPr>
        <w:pStyle w:val="BodyText"/>
        <w:tabs>
          <w:tab w:pos="705" w:val="left" w:leader="none"/>
        </w:tabs>
        <w:ind w:left="165"/>
      </w:pPr>
      <w:bookmarkStart w:name="_bookmark1324" w:id="1326"/>
      <w:bookmarkEnd w:id="1326"/>
      <w:r>
        <w:rPr/>
      </w:r>
      <w:hyperlink w:history="true" w:anchor="_bookmark1125">
        <w:r>
          <w:rPr>
            <w:color w:val="005DA1"/>
            <w:spacing w:val="-4"/>
            <w:position w:val="5"/>
            <w:sz w:val="14"/>
            <w:u w:val="single" w:color="005DA1"/>
          </w:rPr>
          <w:t>589</w:t>
        </w:r>
      </w:hyperlink>
      <w:r>
        <w:rPr>
          <w:spacing w:val="-4"/>
          <w:position w:val="5"/>
          <w:sz w:val="14"/>
        </w:rPr>
        <w:t>.</w:t>
      </w:r>
      <w:r>
        <w:rPr>
          <w:position w:val="5"/>
          <w:sz w:val="14"/>
        </w:rPr>
        <w:tab/>
      </w:r>
      <w:r>
        <w:rPr/>
        <w:t>Lücke (1967) 3 Adelaide L.Rev. </w:t>
      </w:r>
      <w:r>
        <w:rPr>
          <w:spacing w:val="-5"/>
        </w:rPr>
        <w:t>46.</w:t>
      </w:r>
    </w:p>
    <w:p>
      <w:pPr>
        <w:pStyle w:val="BodyText"/>
        <w:spacing w:before="9"/>
      </w:pPr>
    </w:p>
    <w:p>
      <w:pPr>
        <w:tabs>
          <w:tab w:pos="705" w:val="left" w:leader="none"/>
        </w:tabs>
        <w:spacing w:line="235" w:lineRule="auto" w:before="0"/>
        <w:ind w:left="705" w:right="168" w:hanging="541"/>
        <w:jc w:val="left"/>
        <w:rPr>
          <w:sz w:val="20"/>
        </w:rPr>
      </w:pPr>
      <w:bookmarkStart w:name="_bookmark1325" w:id="1327"/>
      <w:bookmarkEnd w:id="1327"/>
      <w:r>
        <w:rPr/>
      </w:r>
      <w:hyperlink w:history="true" w:anchor="_bookmark1126">
        <w:r>
          <w:rPr>
            <w:color w:val="005DA1"/>
            <w:spacing w:val="-4"/>
            <w:position w:val="5"/>
            <w:sz w:val="14"/>
            <w:u w:val="single" w:color="005DA1"/>
          </w:rPr>
          <w:t>590</w:t>
        </w:r>
      </w:hyperlink>
      <w:r>
        <w:rPr>
          <w:spacing w:val="-4"/>
          <w:position w:val="5"/>
          <w:sz w:val="14"/>
        </w:rPr>
        <w:t>.</w:t>
      </w:r>
      <w:r>
        <w:rPr>
          <w:position w:val="5"/>
          <w:sz w:val="14"/>
        </w:rPr>
        <w:tab/>
      </w:r>
      <w:r>
        <w:rPr>
          <w:sz w:val="20"/>
        </w:rPr>
        <w:t>Referred</w:t>
      </w:r>
      <w:r>
        <w:rPr>
          <w:spacing w:val="24"/>
          <w:sz w:val="20"/>
        </w:rPr>
        <w:t> </w:t>
      </w:r>
      <w:r>
        <w:rPr>
          <w:sz w:val="20"/>
        </w:rPr>
        <w:t>to</w:t>
      </w:r>
      <w:r>
        <w:rPr>
          <w:spacing w:val="24"/>
          <w:sz w:val="20"/>
        </w:rPr>
        <w:t> </w:t>
      </w:r>
      <w:r>
        <w:rPr>
          <w:sz w:val="20"/>
        </w:rPr>
        <w:t>with</w:t>
      </w:r>
      <w:r>
        <w:rPr>
          <w:spacing w:val="24"/>
          <w:sz w:val="20"/>
        </w:rPr>
        <w:t> </w:t>
      </w:r>
      <w:r>
        <w:rPr>
          <w:sz w:val="20"/>
        </w:rPr>
        <w:t>apparent</w:t>
      </w:r>
      <w:r>
        <w:rPr>
          <w:spacing w:val="24"/>
          <w:sz w:val="20"/>
        </w:rPr>
        <w:t> </w:t>
      </w:r>
      <w:r>
        <w:rPr>
          <w:sz w:val="20"/>
        </w:rPr>
        <w:t>approval</w:t>
      </w:r>
      <w:r>
        <w:rPr>
          <w:spacing w:val="24"/>
          <w:sz w:val="20"/>
        </w:rPr>
        <w:t> </w:t>
      </w:r>
      <w:r>
        <w:rPr>
          <w:sz w:val="20"/>
        </w:rPr>
        <w:t>in</w:t>
      </w:r>
      <w:r>
        <w:rPr>
          <w:spacing w:val="23"/>
          <w:sz w:val="20"/>
        </w:rPr>
        <w:t> </w:t>
      </w:r>
      <w:r>
        <w:rPr>
          <w:rFonts w:ascii="Arial"/>
          <w:i/>
          <w:sz w:val="20"/>
        </w:rPr>
        <w:t>Western</w:t>
      </w:r>
      <w:r>
        <w:rPr>
          <w:rFonts w:ascii="Arial"/>
          <w:i/>
          <w:spacing w:val="24"/>
          <w:sz w:val="20"/>
        </w:rPr>
        <w:t> </w:t>
      </w:r>
      <w:r>
        <w:rPr>
          <w:rFonts w:ascii="Arial"/>
          <w:i/>
          <w:sz w:val="20"/>
        </w:rPr>
        <w:t>Broadcasting</w:t>
      </w:r>
      <w:r>
        <w:rPr>
          <w:rFonts w:ascii="Arial"/>
          <w:i/>
          <w:spacing w:val="24"/>
          <w:sz w:val="20"/>
        </w:rPr>
        <w:t> </w:t>
      </w:r>
      <w:r>
        <w:rPr>
          <w:rFonts w:ascii="Arial"/>
          <w:i/>
          <w:sz w:val="20"/>
        </w:rPr>
        <w:t>Services</w:t>
      </w:r>
      <w:r>
        <w:rPr>
          <w:rFonts w:ascii="Arial"/>
          <w:i/>
          <w:spacing w:val="24"/>
          <w:sz w:val="20"/>
        </w:rPr>
        <w:t> </w:t>
      </w:r>
      <w:r>
        <w:rPr>
          <w:rFonts w:ascii="Arial"/>
          <w:i/>
          <w:sz w:val="20"/>
        </w:rPr>
        <w:t>v</w:t>
      </w:r>
      <w:r>
        <w:rPr>
          <w:rFonts w:ascii="Arial"/>
          <w:i/>
          <w:spacing w:val="24"/>
          <w:sz w:val="20"/>
        </w:rPr>
        <w:t> </w:t>
      </w:r>
      <w:r>
        <w:rPr>
          <w:rFonts w:ascii="Arial"/>
          <w:i/>
          <w:sz w:val="20"/>
        </w:rPr>
        <w:t>Seaga</w:t>
      </w:r>
      <w:r>
        <w:rPr>
          <w:rFonts w:ascii="Arial"/>
          <w:i/>
          <w:spacing w:val="24"/>
          <w:sz w:val="20"/>
        </w:rPr>
        <w:t> </w:t>
      </w:r>
      <w:r>
        <w:rPr>
          <w:rFonts w:ascii="Arial"/>
          <w:i/>
          <w:sz w:val="20"/>
        </w:rPr>
        <w:t>[2007]</w:t>
      </w:r>
      <w:r>
        <w:rPr>
          <w:rFonts w:ascii="Arial"/>
          <w:i/>
          <w:spacing w:val="24"/>
          <w:sz w:val="20"/>
        </w:rPr>
        <w:t> </w:t>
      </w:r>
      <w:r>
        <w:rPr>
          <w:rFonts w:ascii="Arial"/>
          <w:i/>
          <w:sz w:val="20"/>
        </w:rPr>
        <w:t>UKPC 19, [2007] E.M.L.R. 18 </w:t>
      </w:r>
      <w:r>
        <w:rPr>
          <w:sz w:val="20"/>
        </w:rPr>
        <w:t>at [19].</w:t>
      </w:r>
    </w:p>
    <w:p>
      <w:pPr>
        <w:pStyle w:val="BodyText"/>
        <w:spacing w:before="5"/>
      </w:pPr>
    </w:p>
    <w:p>
      <w:pPr>
        <w:tabs>
          <w:tab w:pos="705" w:val="left" w:leader="none"/>
        </w:tabs>
        <w:spacing w:before="0"/>
        <w:ind w:left="165" w:right="0" w:firstLine="0"/>
        <w:jc w:val="left"/>
        <w:rPr>
          <w:sz w:val="20"/>
        </w:rPr>
      </w:pPr>
      <w:bookmarkStart w:name="_bookmark1326" w:id="1328"/>
      <w:bookmarkEnd w:id="1328"/>
      <w:r>
        <w:rPr/>
      </w:r>
      <w:hyperlink w:history="true" w:anchor="_bookmark1127">
        <w:r>
          <w:rPr>
            <w:color w:val="005DA1"/>
            <w:spacing w:val="-4"/>
            <w:position w:val="5"/>
            <w:sz w:val="14"/>
            <w:u w:val="single" w:color="005DA1"/>
          </w:rPr>
          <w:t>591</w:t>
        </w:r>
      </w:hyperlink>
      <w:r>
        <w:rPr>
          <w:spacing w:val="-4"/>
          <w:position w:val="5"/>
          <w:sz w:val="14"/>
        </w:rPr>
        <w:t>.</w:t>
      </w:r>
      <w:r>
        <w:rPr>
          <w:position w:val="5"/>
          <w:sz w:val="14"/>
        </w:rPr>
        <w:tab/>
      </w:r>
      <w:r>
        <w:rPr>
          <w:rFonts w:ascii="Arial" w:hAnsi="Arial"/>
          <w:i/>
          <w:sz w:val="20"/>
        </w:rPr>
        <w:t>Harvey</w:t>
      </w:r>
      <w:r>
        <w:rPr>
          <w:rFonts w:ascii="Arial" w:hAnsi="Arial"/>
          <w:i/>
          <w:spacing w:val="-3"/>
          <w:sz w:val="20"/>
        </w:rPr>
        <w:t> </w:t>
      </w:r>
      <w:r>
        <w:rPr>
          <w:rFonts w:ascii="Arial" w:hAnsi="Arial"/>
          <w:i/>
          <w:sz w:val="20"/>
        </w:rPr>
        <w:t>v Pratt [1965] 1 W.L.R. 1025</w:t>
      </w:r>
      <w:r>
        <w:rPr>
          <w:sz w:val="20"/>
        </w:rPr>
        <w:t>; and see</w:t>
      </w:r>
      <w:r>
        <w:rPr>
          <w:spacing w:val="-1"/>
          <w:sz w:val="20"/>
        </w:rPr>
        <w:t> </w:t>
      </w:r>
      <w:r>
        <w:rPr>
          <w:rFonts w:ascii="Arial" w:hAnsi="Arial"/>
          <w:i/>
          <w:sz w:val="20"/>
        </w:rPr>
        <w:t>Re Day’s Will Trusts [1962] 1 W.L.R. </w:t>
      </w:r>
      <w:r>
        <w:rPr>
          <w:rFonts w:ascii="Arial" w:hAnsi="Arial"/>
          <w:i/>
          <w:spacing w:val="-2"/>
          <w:sz w:val="20"/>
        </w:rPr>
        <w:t>1419</w:t>
      </w:r>
      <w:r>
        <w:rPr>
          <w:spacing w:val="-2"/>
          <w:sz w:val="20"/>
        </w:rPr>
        <w:t>.</w:t>
      </w:r>
    </w:p>
    <w:p>
      <w:pPr>
        <w:pStyle w:val="BodyText"/>
        <w:spacing w:before="5"/>
      </w:pPr>
    </w:p>
    <w:p>
      <w:pPr>
        <w:tabs>
          <w:tab w:pos="705" w:val="left" w:leader="none"/>
        </w:tabs>
        <w:spacing w:line="227" w:lineRule="exact" w:before="0"/>
        <w:ind w:left="165" w:right="0" w:firstLine="0"/>
        <w:jc w:val="left"/>
        <w:rPr>
          <w:sz w:val="20"/>
        </w:rPr>
      </w:pPr>
      <w:bookmarkStart w:name="_bookmark1327" w:id="1329"/>
      <w:bookmarkEnd w:id="1329"/>
      <w:r>
        <w:rPr/>
      </w:r>
      <w:hyperlink w:history="true" w:anchor="_bookmark1128">
        <w:r>
          <w:rPr>
            <w:color w:val="005DA1"/>
            <w:spacing w:val="-4"/>
            <w:position w:val="5"/>
            <w:sz w:val="14"/>
            <w:u w:val="single" w:color="005DA1"/>
          </w:rPr>
          <w:t>592</w:t>
        </w:r>
      </w:hyperlink>
      <w:r>
        <w:rPr>
          <w:spacing w:val="-4"/>
          <w:position w:val="5"/>
          <w:sz w:val="14"/>
        </w:rPr>
        <w:t>.</w:t>
      </w:r>
      <w:r>
        <w:rPr>
          <w:position w:val="5"/>
          <w:sz w:val="14"/>
        </w:rPr>
        <w:tab/>
      </w:r>
      <w:r>
        <w:rPr>
          <w:rFonts w:ascii="Arial" w:hAnsi="Arial"/>
          <w:i/>
          <w:sz w:val="20"/>
        </w:rPr>
        <w:t>Cobbe</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Yeoman’s</w:t>
      </w:r>
      <w:r>
        <w:rPr>
          <w:rFonts w:ascii="Arial" w:hAnsi="Arial"/>
          <w:i/>
          <w:spacing w:val="16"/>
          <w:sz w:val="20"/>
        </w:rPr>
        <w:t> </w:t>
      </w:r>
      <w:r>
        <w:rPr>
          <w:rFonts w:ascii="Arial" w:hAnsi="Arial"/>
          <w:i/>
          <w:sz w:val="20"/>
        </w:rPr>
        <w:t>Row</w:t>
      </w:r>
      <w:r>
        <w:rPr>
          <w:rFonts w:ascii="Arial" w:hAnsi="Arial"/>
          <w:i/>
          <w:spacing w:val="16"/>
          <w:sz w:val="20"/>
        </w:rPr>
        <w:t> </w:t>
      </w:r>
      <w:r>
        <w:rPr>
          <w:rFonts w:ascii="Arial" w:hAnsi="Arial"/>
          <w:i/>
          <w:sz w:val="20"/>
        </w:rPr>
        <w:t>Management</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[2008]</w:t>
      </w:r>
      <w:r>
        <w:rPr>
          <w:rFonts w:ascii="Arial" w:hAnsi="Arial"/>
          <w:i/>
          <w:spacing w:val="16"/>
          <w:sz w:val="20"/>
        </w:rPr>
        <w:t> </w:t>
      </w:r>
      <w:r>
        <w:rPr>
          <w:rFonts w:ascii="Arial" w:hAnsi="Arial"/>
          <w:i/>
          <w:sz w:val="20"/>
        </w:rPr>
        <w:t>UKHL</w:t>
      </w:r>
      <w:r>
        <w:rPr>
          <w:rFonts w:ascii="Arial" w:hAnsi="Arial"/>
          <w:i/>
          <w:spacing w:val="16"/>
          <w:sz w:val="20"/>
        </w:rPr>
        <w:t> </w:t>
      </w:r>
      <w:r>
        <w:rPr>
          <w:rFonts w:ascii="Arial" w:hAnsi="Arial"/>
          <w:i/>
          <w:sz w:val="20"/>
        </w:rPr>
        <w:t>55,</w:t>
      </w:r>
      <w:r>
        <w:rPr>
          <w:rFonts w:ascii="Arial" w:hAnsi="Arial"/>
          <w:i/>
          <w:spacing w:val="16"/>
          <w:sz w:val="20"/>
        </w:rPr>
        <w:t> </w:t>
      </w:r>
      <w:r>
        <w:rPr>
          <w:rFonts w:ascii="Arial" w:hAnsi="Arial"/>
          <w:i/>
          <w:sz w:val="20"/>
        </w:rPr>
        <w:t>[2008]</w:t>
      </w:r>
      <w:r>
        <w:rPr>
          <w:rFonts w:ascii="Arial" w:hAnsi="Arial"/>
          <w:i/>
          <w:spacing w:val="16"/>
          <w:sz w:val="20"/>
        </w:rPr>
        <w:t> </w:t>
      </w:r>
      <w:r>
        <w:rPr>
          <w:rFonts w:ascii="Arial" w:hAnsi="Arial"/>
          <w:i/>
          <w:sz w:val="20"/>
        </w:rPr>
        <w:t>1</w:t>
      </w:r>
      <w:r>
        <w:rPr>
          <w:rFonts w:ascii="Arial" w:hAnsi="Arial"/>
          <w:i/>
          <w:spacing w:val="16"/>
          <w:sz w:val="20"/>
        </w:rPr>
        <w:t> </w:t>
      </w:r>
      <w:r>
        <w:rPr>
          <w:rFonts w:ascii="Arial" w:hAnsi="Arial"/>
          <w:i/>
          <w:sz w:val="20"/>
        </w:rPr>
        <w:t>W.L.R.</w:t>
      </w:r>
      <w:r>
        <w:rPr>
          <w:rFonts w:ascii="Arial" w:hAnsi="Arial"/>
          <w:i/>
          <w:spacing w:val="16"/>
          <w:sz w:val="20"/>
        </w:rPr>
        <w:t> </w:t>
      </w:r>
      <w:r>
        <w:rPr>
          <w:rFonts w:ascii="Arial" w:hAnsi="Arial"/>
          <w:i/>
          <w:sz w:val="20"/>
        </w:rPr>
        <w:t>1752</w:t>
      </w:r>
      <w:r>
        <w:rPr>
          <w:rFonts w:ascii="Arial" w:hAnsi="Arial"/>
          <w:i/>
          <w:spacing w:val="15"/>
          <w:sz w:val="20"/>
        </w:rPr>
        <w:t> </w:t>
      </w:r>
      <w:r>
        <w:rPr>
          <w:sz w:val="20"/>
        </w:rPr>
        <w:t>at</w:t>
      </w:r>
      <w:r>
        <w:rPr>
          <w:spacing w:val="16"/>
          <w:sz w:val="20"/>
        </w:rPr>
        <w:t> </w:t>
      </w:r>
      <w:r>
        <w:rPr>
          <w:sz w:val="20"/>
        </w:rPr>
        <w:t>[15];</w:t>
      </w:r>
      <w:r>
        <w:rPr>
          <w:spacing w:val="16"/>
          <w:sz w:val="20"/>
        </w:rPr>
        <w:t> </w:t>
      </w:r>
      <w:r>
        <w:rPr>
          <w:spacing w:val="-5"/>
          <w:sz w:val="20"/>
        </w:rPr>
        <w:t>see</w:t>
      </w:r>
    </w:p>
    <w:p>
      <w:pPr>
        <w:pStyle w:val="BodyText"/>
        <w:spacing w:line="227" w:lineRule="exact"/>
        <w:ind w:left="705"/>
      </w:pPr>
      <w:r>
        <w:rPr/>
        <w:t>also at [7], </w:t>
      </w:r>
      <w:r>
        <w:rPr>
          <w:spacing w:val="-2"/>
        </w:rPr>
        <w:t>[88].</w:t>
      </w:r>
    </w:p>
    <w:p>
      <w:pPr>
        <w:pStyle w:val="BodyText"/>
        <w:spacing w:before="9"/>
      </w:pPr>
    </w:p>
    <w:p>
      <w:pPr>
        <w:spacing w:line="235" w:lineRule="auto" w:before="0"/>
        <w:ind w:left="705" w:right="168" w:hanging="541"/>
        <w:jc w:val="both"/>
        <w:rPr>
          <w:sz w:val="20"/>
        </w:rPr>
      </w:pPr>
      <w:bookmarkStart w:name="_bookmark1328" w:id="1330"/>
      <w:bookmarkEnd w:id="1330"/>
      <w:r>
        <w:rPr/>
      </w:r>
      <w:hyperlink w:history="true" w:anchor="_bookmark1129">
        <w:r>
          <w:rPr>
            <w:color w:val="005DA1"/>
            <w:position w:val="5"/>
            <w:sz w:val="14"/>
            <w:u w:val="single" w:color="005DA1"/>
          </w:rPr>
          <w:t>593</w:t>
        </w:r>
      </w:hyperlink>
      <w:r>
        <w:rPr>
          <w:position w:val="5"/>
          <w:sz w:val="14"/>
        </w:rPr>
        <w:t>.</w:t>
      </w:r>
      <w:r>
        <w:rPr>
          <w:spacing w:val="40"/>
          <w:position w:val="5"/>
          <w:sz w:val="14"/>
        </w:rPr>
        <w:t>  </w:t>
      </w:r>
      <w:r>
        <w:rPr>
          <w:rFonts w:ascii="Arial"/>
          <w:i/>
          <w:sz w:val="20"/>
        </w:rPr>
        <w:t>Bushwall Properties Ltd v Vortex Properties [1976] 1 W.L.R. 591</w:t>
      </w:r>
      <w:r>
        <w:rPr>
          <w:sz w:val="20"/>
        </w:rPr>
        <w:t>; cf. </w:t>
      </w:r>
      <w:r>
        <w:rPr>
          <w:rFonts w:ascii="Arial"/>
          <w:i/>
          <w:sz w:val="20"/>
        </w:rPr>
        <w:t>Hillreed Land v Beautridge [1994]</w:t>
      </w:r>
      <w:r>
        <w:rPr>
          <w:rFonts w:ascii="Arial"/>
          <w:i/>
          <w:spacing w:val="5"/>
          <w:sz w:val="20"/>
        </w:rPr>
        <w:t> </w:t>
      </w:r>
      <w:r>
        <w:rPr>
          <w:rFonts w:ascii="Arial"/>
          <w:i/>
          <w:sz w:val="20"/>
        </w:rPr>
        <w:t>E.G.C.S.</w:t>
      </w:r>
      <w:r>
        <w:rPr>
          <w:rFonts w:ascii="Arial"/>
          <w:i/>
          <w:spacing w:val="6"/>
          <w:sz w:val="20"/>
        </w:rPr>
        <w:t> </w:t>
      </w:r>
      <w:r>
        <w:rPr>
          <w:rFonts w:ascii="Arial"/>
          <w:i/>
          <w:sz w:val="20"/>
        </w:rPr>
        <w:t>55</w:t>
      </w:r>
      <w:r>
        <w:rPr>
          <w:sz w:val="20"/>
        </w:rPr>
        <w:t>;</w:t>
      </w:r>
      <w:r>
        <w:rPr>
          <w:spacing w:val="6"/>
          <w:sz w:val="20"/>
        </w:rPr>
        <w:t> </w:t>
      </w:r>
      <w:r>
        <w:rPr>
          <w:rFonts w:ascii="Arial"/>
          <w:i/>
          <w:sz w:val="20"/>
        </w:rPr>
        <w:t>Avintar</w:t>
      </w:r>
      <w:r>
        <w:rPr>
          <w:rFonts w:ascii="Arial"/>
          <w:i/>
          <w:spacing w:val="6"/>
          <w:sz w:val="20"/>
        </w:rPr>
        <w:t> </w:t>
      </w:r>
      <w:r>
        <w:rPr>
          <w:rFonts w:ascii="Arial"/>
          <w:i/>
          <w:sz w:val="20"/>
        </w:rPr>
        <w:t>v</w:t>
      </w:r>
      <w:r>
        <w:rPr>
          <w:rFonts w:ascii="Arial"/>
          <w:i/>
          <w:spacing w:val="6"/>
          <w:sz w:val="20"/>
        </w:rPr>
        <w:t> </w:t>
      </w:r>
      <w:r>
        <w:rPr>
          <w:rFonts w:ascii="Arial"/>
          <w:i/>
          <w:sz w:val="20"/>
        </w:rPr>
        <w:t>Avill,</w:t>
      </w:r>
      <w:r>
        <w:rPr>
          <w:rFonts w:ascii="Arial"/>
          <w:i/>
          <w:spacing w:val="6"/>
          <w:sz w:val="20"/>
        </w:rPr>
        <w:t> </w:t>
      </w:r>
      <w:r>
        <w:rPr>
          <w:rFonts w:ascii="Arial"/>
          <w:i/>
          <w:sz w:val="20"/>
        </w:rPr>
        <w:t>1995</w:t>
      </w:r>
      <w:r>
        <w:rPr>
          <w:rFonts w:ascii="Arial"/>
          <w:i/>
          <w:spacing w:val="6"/>
          <w:sz w:val="20"/>
        </w:rPr>
        <w:t> </w:t>
      </w:r>
      <w:r>
        <w:rPr>
          <w:rFonts w:ascii="Arial"/>
          <w:i/>
          <w:sz w:val="20"/>
        </w:rPr>
        <w:t>S.C.L.R.</w:t>
      </w:r>
      <w:r>
        <w:rPr>
          <w:rFonts w:ascii="Arial"/>
          <w:i/>
          <w:spacing w:val="6"/>
          <w:sz w:val="20"/>
        </w:rPr>
        <w:t> </w:t>
      </w:r>
      <w:r>
        <w:rPr>
          <w:rFonts w:ascii="Arial"/>
          <w:i/>
          <w:sz w:val="20"/>
        </w:rPr>
        <w:t>1012</w:t>
      </w:r>
      <w:r>
        <w:rPr>
          <w:sz w:val="20"/>
        </w:rPr>
        <w:t>;</w:t>
      </w:r>
      <w:r>
        <w:rPr>
          <w:spacing w:val="6"/>
          <w:sz w:val="20"/>
        </w:rPr>
        <w:t> </w:t>
      </w:r>
      <w:r>
        <w:rPr>
          <w:rFonts w:ascii="Arial"/>
          <w:i/>
          <w:sz w:val="20"/>
        </w:rPr>
        <w:t>Hadley</w:t>
      </w:r>
      <w:r>
        <w:rPr>
          <w:rFonts w:ascii="Arial"/>
          <w:i/>
          <w:spacing w:val="6"/>
          <w:sz w:val="20"/>
        </w:rPr>
        <w:t> </w:t>
      </w:r>
      <w:r>
        <w:rPr>
          <w:rFonts w:ascii="Arial"/>
          <w:i/>
          <w:sz w:val="20"/>
        </w:rPr>
        <w:t>v</w:t>
      </w:r>
      <w:r>
        <w:rPr>
          <w:rFonts w:ascii="Arial"/>
          <w:i/>
          <w:spacing w:val="6"/>
          <w:sz w:val="20"/>
        </w:rPr>
        <w:t> </w:t>
      </w:r>
      <w:r>
        <w:rPr>
          <w:rFonts w:ascii="Arial"/>
          <w:i/>
          <w:sz w:val="20"/>
        </w:rPr>
        <w:t>Kemp</w:t>
      </w:r>
      <w:r>
        <w:rPr>
          <w:rFonts w:ascii="Arial"/>
          <w:i/>
          <w:spacing w:val="6"/>
          <w:sz w:val="20"/>
        </w:rPr>
        <w:t> </w:t>
      </w:r>
      <w:r>
        <w:rPr>
          <w:rFonts w:ascii="Arial"/>
          <w:i/>
          <w:sz w:val="20"/>
        </w:rPr>
        <w:t>[1999]</w:t>
      </w:r>
      <w:r>
        <w:rPr>
          <w:rFonts w:ascii="Arial"/>
          <w:i/>
          <w:spacing w:val="6"/>
          <w:sz w:val="20"/>
        </w:rPr>
        <w:t> </w:t>
      </w:r>
      <w:r>
        <w:rPr>
          <w:rFonts w:ascii="Arial"/>
          <w:i/>
          <w:sz w:val="20"/>
        </w:rPr>
        <w:t>E.M.L.R.</w:t>
      </w:r>
      <w:r>
        <w:rPr>
          <w:rFonts w:ascii="Arial"/>
          <w:i/>
          <w:spacing w:val="6"/>
          <w:sz w:val="20"/>
        </w:rPr>
        <w:t> </w:t>
      </w:r>
      <w:r>
        <w:rPr>
          <w:rFonts w:ascii="Arial"/>
          <w:i/>
          <w:sz w:val="20"/>
        </w:rPr>
        <w:t>589</w:t>
      </w:r>
      <w:r>
        <w:rPr>
          <w:rFonts w:ascii="Arial"/>
          <w:i/>
          <w:spacing w:val="5"/>
          <w:sz w:val="20"/>
        </w:rPr>
        <w:t> </w:t>
      </w:r>
      <w:r>
        <w:rPr>
          <w:spacing w:val="-5"/>
          <w:sz w:val="20"/>
        </w:rPr>
        <w:t>at</w:t>
      </w:r>
    </w:p>
    <w:p>
      <w:pPr>
        <w:spacing w:line="235" w:lineRule="auto" w:before="0"/>
        <w:ind w:left="705" w:right="167" w:firstLine="0"/>
        <w:jc w:val="both"/>
        <w:rPr>
          <w:sz w:val="20"/>
        </w:rPr>
      </w:pPr>
      <w:r>
        <w:rPr>
          <w:sz w:val="20"/>
        </w:rPr>
        <w:t>628; </w:t>
      </w:r>
      <w:r>
        <w:rPr>
          <w:rFonts w:ascii="Arial" w:hAnsi="Arial"/>
          <w:i/>
          <w:sz w:val="20"/>
        </w:rPr>
        <w:t>London &amp; Regional Development v TBI Plc [2002] EWCA Civ 355</w:t>
      </w:r>
      <w:r>
        <w:rPr>
          <w:sz w:val="20"/>
        </w:rPr>
        <w:t>; </w:t>
      </w:r>
      <w:r>
        <w:rPr>
          <w:rFonts w:ascii="Arial" w:hAnsi="Arial"/>
          <w:i/>
          <w:sz w:val="20"/>
        </w:rPr>
        <w:t>Spectra International Plc v Tiscali Ltd [2002] EWHC 2084 (Comm); [2002] All E.R. (D) 2009 (Oct)</w:t>
      </w:r>
      <w:r>
        <w:rPr>
          <w:sz w:val="20"/>
        </w:rPr>
        <w:t>; </w:t>
      </w:r>
      <w:r>
        <w:rPr>
          <w:rFonts w:ascii="Arial" w:hAnsi="Arial"/>
          <w:i/>
          <w:sz w:val="20"/>
        </w:rPr>
        <w:t>Morgan Grenfell Development v Arrows Autosport Ltd [2003] EWHC 333 (Ch); [2003] All E.R. (D) 417 </w:t>
      </w:r>
      <w:r>
        <w:rPr>
          <w:rFonts w:ascii="Arial" w:hAnsi="Arial"/>
          <w:i/>
          <w:sz w:val="20"/>
        </w:rPr>
        <w:t>(Feb)</w:t>
      </w:r>
      <w:r>
        <w:rPr>
          <w:sz w:val="20"/>
        </w:rPr>
        <w:t>; </w:t>
      </w:r>
      <w:r>
        <w:rPr>
          <w:rFonts w:ascii="Arial" w:hAnsi="Arial"/>
          <w:i/>
          <w:sz w:val="20"/>
        </w:rPr>
        <w:t>Jordan Grand Prix Ltd v Vodafone Group Plc [2003] EWHC 1956 (Comm); [2003] 2 All E.R. (Comm) 864</w:t>
      </w:r>
      <w:r>
        <w:rPr>
          <w:sz w:val="20"/>
        </w:rPr>
        <w:t>; </w:t>
      </w:r>
      <w:r>
        <w:rPr>
          <w:rFonts w:ascii="Arial" w:hAnsi="Arial"/>
          <w:i/>
          <w:sz w:val="20"/>
        </w:rPr>
        <w:t>Compagnie Nogar D’Importation et D’Exportation SA v Abacha [2003] EWCA Civ 1100; [2003] 2 All E.R. (Comm) 915</w:t>
      </w:r>
      <w:r>
        <w:rPr>
          <w:sz w:val="20"/>
        </w:rPr>
        <w:t>. It may sometimes be possible to resolve uncertainty as to the subject-matter of the contract by extrinsic evidence, as in </w:t>
      </w:r>
      <w:r>
        <w:rPr>
          <w:rFonts w:ascii="Arial" w:hAnsi="Arial"/>
          <w:i/>
          <w:sz w:val="20"/>
        </w:rPr>
        <w:t>Westville Properties Ltd v Dow Properties Ltd [2010] EWHC 30 (Ch), [2010] 2 P &amp; C.R. 19</w:t>
      </w:r>
      <w:r>
        <w:rPr>
          <w:sz w:val="20"/>
        </w:rPr>
        <w:t>.</w:t>
      </w:r>
    </w:p>
    <w:p>
      <w:pPr>
        <w:pStyle w:val="BodyText"/>
        <w:spacing w:before="3"/>
      </w:pPr>
    </w:p>
    <w:p>
      <w:pPr>
        <w:tabs>
          <w:tab w:pos="705" w:val="left" w:leader="none"/>
        </w:tabs>
        <w:spacing w:before="0"/>
        <w:ind w:left="165" w:right="0" w:firstLine="0"/>
        <w:jc w:val="left"/>
        <w:rPr>
          <w:sz w:val="20"/>
        </w:rPr>
      </w:pPr>
      <w:bookmarkStart w:name="_bookmark1329" w:id="1331"/>
      <w:bookmarkEnd w:id="1331"/>
      <w:r>
        <w:rPr/>
      </w:r>
      <w:hyperlink w:history="true" w:anchor="_bookmark1130">
        <w:r>
          <w:rPr>
            <w:color w:val="005DA1"/>
            <w:spacing w:val="-4"/>
            <w:position w:val="5"/>
            <w:sz w:val="14"/>
            <w:u w:val="single" w:color="005DA1"/>
          </w:rPr>
          <w:t>594</w:t>
        </w:r>
      </w:hyperlink>
      <w:r>
        <w:rPr>
          <w:spacing w:val="-4"/>
          <w:position w:val="5"/>
          <w:sz w:val="14"/>
        </w:rPr>
        <w:t>.</w:t>
      </w:r>
      <w:r>
        <w:rPr>
          <w:position w:val="5"/>
          <w:sz w:val="14"/>
        </w:rPr>
        <w:tab/>
      </w:r>
      <w:r>
        <w:rPr>
          <w:rFonts w:ascii="Arial"/>
          <w:i/>
          <w:sz w:val="20"/>
        </w:rPr>
        <w:t>Landmark Brickwork Ltd v Sutcliffe [2011] EWHC 1239</w:t>
      </w:r>
      <w:r>
        <w:rPr>
          <w:rFonts w:ascii="Arial"/>
          <w:i/>
          <w:spacing w:val="-1"/>
          <w:sz w:val="20"/>
        </w:rPr>
        <w:t> </w:t>
      </w:r>
      <w:r>
        <w:rPr>
          <w:sz w:val="20"/>
        </w:rPr>
        <w:t>at </w:t>
      </w:r>
      <w:r>
        <w:rPr>
          <w:spacing w:val="-2"/>
          <w:sz w:val="20"/>
        </w:rPr>
        <w:t>[39].</w:t>
      </w:r>
    </w:p>
    <w:p>
      <w:pPr>
        <w:pStyle w:val="BodyText"/>
        <w:spacing w:before="5"/>
      </w:pPr>
    </w:p>
    <w:p>
      <w:pPr>
        <w:tabs>
          <w:tab w:pos="705" w:val="left" w:leader="none"/>
        </w:tabs>
        <w:spacing w:before="0"/>
        <w:ind w:left="165" w:right="0" w:firstLine="0"/>
        <w:jc w:val="left"/>
        <w:rPr>
          <w:sz w:val="20"/>
        </w:rPr>
      </w:pPr>
      <w:bookmarkStart w:name="_bookmark1330" w:id="1332"/>
      <w:bookmarkEnd w:id="1332"/>
      <w:r>
        <w:rPr/>
      </w:r>
      <w:hyperlink w:history="true" w:anchor="_bookmark1131">
        <w:r>
          <w:rPr>
            <w:color w:val="005DA1"/>
            <w:spacing w:val="-4"/>
            <w:position w:val="5"/>
            <w:sz w:val="14"/>
            <w:u w:val="single" w:color="005DA1"/>
          </w:rPr>
          <w:t>595</w:t>
        </w:r>
      </w:hyperlink>
      <w:r>
        <w:rPr>
          <w:spacing w:val="-4"/>
          <w:position w:val="5"/>
          <w:sz w:val="14"/>
        </w:rPr>
        <w:t>.</w:t>
      </w:r>
      <w:r>
        <w:rPr>
          <w:position w:val="5"/>
          <w:sz w:val="14"/>
        </w:rPr>
        <w:tab/>
      </w:r>
      <w:r>
        <w:rPr>
          <w:rFonts w:ascii="Arial"/>
          <w:i/>
          <w:sz w:val="20"/>
        </w:rPr>
        <w:t>Bols Distilleries BV v Superior Yacht Services Ltd [2006] UKPC 45, [2007] 1 W.L.R. 12</w:t>
      </w:r>
      <w:r>
        <w:rPr>
          <w:rFonts w:ascii="Arial"/>
          <w:i/>
          <w:spacing w:val="-1"/>
          <w:sz w:val="20"/>
        </w:rPr>
        <w:t> </w:t>
      </w:r>
      <w:r>
        <w:rPr>
          <w:sz w:val="20"/>
        </w:rPr>
        <w:t>at </w:t>
      </w:r>
      <w:r>
        <w:rPr>
          <w:spacing w:val="-2"/>
          <w:sz w:val="20"/>
        </w:rPr>
        <w:t>[32].</w:t>
      </w:r>
    </w:p>
    <w:p>
      <w:pPr>
        <w:pStyle w:val="BodyText"/>
        <w:spacing w:before="8"/>
      </w:pPr>
    </w:p>
    <w:p>
      <w:pPr>
        <w:spacing w:line="235" w:lineRule="auto" w:before="1"/>
        <w:ind w:left="705" w:right="167" w:hanging="541"/>
        <w:jc w:val="both"/>
        <w:rPr>
          <w:sz w:val="20"/>
        </w:rPr>
      </w:pPr>
      <w:bookmarkStart w:name="_bookmark1331" w:id="1333"/>
      <w:bookmarkEnd w:id="1333"/>
      <w:r>
        <w:rPr/>
      </w:r>
      <w:hyperlink w:history="true" w:anchor="_bookmark1132">
        <w:r>
          <w:rPr>
            <w:color w:val="005DA1"/>
            <w:position w:val="5"/>
            <w:sz w:val="14"/>
            <w:u w:val="single" w:color="005DA1"/>
          </w:rPr>
          <w:t>596</w:t>
        </w:r>
      </w:hyperlink>
      <w:r>
        <w:rPr>
          <w:position w:val="5"/>
          <w:sz w:val="14"/>
        </w:rPr>
        <w:t>.</w:t>
      </w:r>
      <w:r>
        <w:rPr>
          <w:spacing w:val="80"/>
          <w:position w:val="5"/>
          <w:sz w:val="14"/>
        </w:rPr>
        <w:t>  </w:t>
      </w:r>
      <w:r>
        <w:rPr>
          <w:rFonts w:ascii="Arial" w:hAnsi="Arial"/>
          <w:i/>
          <w:sz w:val="20"/>
        </w:rPr>
        <w:t>Bols Distilleries BV v Superior Yacht Services Ltd [2006] UKPC 45 </w:t>
      </w:r>
      <w:r>
        <w:rPr>
          <w:sz w:val="20"/>
        </w:rPr>
        <w:t>at [35]. cf. </w:t>
      </w:r>
      <w:r>
        <w:rPr>
          <w:rFonts w:ascii="Arial" w:hAnsi="Arial"/>
          <w:i/>
          <w:sz w:val="20"/>
        </w:rPr>
        <w:t>Whittle Movers</w:t>
      </w:r>
      <w:r>
        <w:rPr>
          <w:rFonts w:ascii="Arial" w:hAnsi="Arial"/>
          <w:i/>
          <w:spacing w:val="40"/>
          <w:sz w:val="20"/>
        </w:rPr>
        <w:t> </w:t>
      </w:r>
      <w:r>
        <w:rPr>
          <w:rFonts w:ascii="Arial" w:hAnsi="Arial"/>
          <w:i/>
          <w:sz w:val="20"/>
        </w:rPr>
        <w:t>Ltd v Hollywood Express Ltd [2009] EWCA Civ 1189 </w:t>
      </w:r>
      <w:r>
        <w:rPr>
          <w:sz w:val="20"/>
        </w:rPr>
        <w:t>at [14] (no express contract as important terms were still being negotiated; nor, for reasons given in para.2-169 below could any </w:t>
      </w:r>
      <w:r>
        <w:rPr>
          <w:sz w:val="20"/>
        </w:rPr>
        <w:t>contract be implied); </w:t>
      </w:r>
      <w:r>
        <w:rPr>
          <w:rFonts w:ascii="Arial" w:hAnsi="Arial"/>
          <w:i/>
          <w:sz w:val="20"/>
        </w:rPr>
        <w:t>Haden Young Ltd v Laing O’Rourke Midlands Ltd [2008] EWHC 1016 (TCC) </w:t>
      </w:r>
      <w:r>
        <w:rPr>
          <w:sz w:val="20"/>
        </w:rPr>
        <w:t>at</w:t>
      </w:r>
      <w:r>
        <w:rPr>
          <w:spacing w:val="40"/>
          <w:sz w:val="20"/>
        </w:rPr>
        <w:t> </w:t>
      </w:r>
      <w:r>
        <w:rPr>
          <w:sz w:val="20"/>
        </w:rPr>
        <w:t>[87], [116] and [138] (no contract between the relevant parties as essential terms had not been agreed);</w:t>
      </w:r>
      <w:r>
        <w:rPr>
          <w:spacing w:val="26"/>
          <w:sz w:val="20"/>
        </w:rPr>
        <w:t> </w:t>
      </w:r>
      <w:r>
        <w:rPr>
          <w:rFonts w:ascii="Arial" w:hAnsi="Arial"/>
          <w:i/>
          <w:sz w:val="20"/>
        </w:rPr>
        <w:t>Barbudev</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Eurocom</w:t>
      </w:r>
      <w:r>
        <w:rPr>
          <w:rFonts w:ascii="Arial" w:hAnsi="Arial"/>
          <w:i/>
          <w:spacing w:val="28"/>
          <w:sz w:val="20"/>
        </w:rPr>
        <w:t> </w:t>
      </w:r>
      <w:r>
        <w:rPr>
          <w:rFonts w:ascii="Arial" w:hAnsi="Arial"/>
          <w:i/>
          <w:sz w:val="20"/>
        </w:rPr>
        <w:t>Cable</w:t>
      </w:r>
      <w:r>
        <w:rPr>
          <w:rFonts w:ascii="Arial" w:hAnsi="Arial"/>
          <w:i/>
          <w:spacing w:val="28"/>
          <w:sz w:val="20"/>
        </w:rPr>
        <w:t> </w:t>
      </w:r>
      <w:r>
        <w:rPr>
          <w:rFonts w:ascii="Arial" w:hAnsi="Arial"/>
          <w:i/>
          <w:sz w:val="20"/>
        </w:rPr>
        <w:t>Management</w:t>
      </w:r>
      <w:r>
        <w:rPr>
          <w:rFonts w:ascii="Arial" w:hAnsi="Arial"/>
          <w:i/>
          <w:spacing w:val="28"/>
          <w:sz w:val="20"/>
        </w:rPr>
        <w:t> </w:t>
      </w:r>
      <w:r>
        <w:rPr>
          <w:rFonts w:ascii="Arial" w:hAnsi="Arial"/>
          <w:i/>
          <w:sz w:val="20"/>
        </w:rPr>
        <w:t>Bulgaria</w:t>
      </w:r>
      <w:r>
        <w:rPr>
          <w:rFonts w:ascii="Arial" w:hAnsi="Arial"/>
          <w:i/>
          <w:spacing w:val="28"/>
          <w:sz w:val="20"/>
        </w:rPr>
        <w:t> </w:t>
      </w:r>
      <w:r>
        <w:rPr>
          <w:rFonts w:ascii="Arial" w:hAnsi="Arial"/>
          <w:i/>
          <w:sz w:val="20"/>
        </w:rPr>
        <w:t>EOOD</w:t>
      </w:r>
      <w:r>
        <w:rPr>
          <w:rFonts w:ascii="Arial" w:hAnsi="Arial"/>
          <w:i/>
          <w:spacing w:val="28"/>
          <w:sz w:val="20"/>
        </w:rPr>
        <w:t> </w:t>
      </w:r>
      <w:r>
        <w:rPr>
          <w:rFonts w:ascii="Arial" w:hAnsi="Arial"/>
          <w:i/>
          <w:sz w:val="20"/>
        </w:rPr>
        <w:t>[2012]</w:t>
      </w:r>
      <w:r>
        <w:rPr>
          <w:rFonts w:ascii="Arial" w:hAnsi="Arial"/>
          <w:i/>
          <w:spacing w:val="28"/>
          <w:sz w:val="20"/>
        </w:rPr>
        <w:t> </w:t>
      </w:r>
      <w:r>
        <w:rPr>
          <w:rFonts w:ascii="Arial" w:hAnsi="Arial"/>
          <w:i/>
          <w:sz w:val="20"/>
        </w:rPr>
        <w:t>EWCA</w:t>
      </w:r>
      <w:r>
        <w:rPr>
          <w:rFonts w:ascii="Arial" w:hAnsi="Arial"/>
          <w:i/>
          <w:spacing w:val="28"/>
          <w:sz w:val="20"/>
        </w:rPr>
        <w:t> </w:t>
      </w:r>
      <w:r>
        <w:rPr>
          <w:rFonts w:ascii="Arial" w:hAnsi="Arial"/>
          <w:i/>
          <w:sz w:val="20"/>
        </w:rPr>
        <w:t>Civ</w:t>
      </w:r>
      <w:r>
        <w:rPr>
          <w:rFonts w:ascii="Arial" w:hAnsi="Arial"/>
          <w:i/>
          <w:spacing w:val="28"/>
          <w:sz w:val="20"/>
        </w:rPr>
        <w:t> </w:t>
      </w:r>
      <w:r>
        <w:rPr>
          <w:rFonts w:ascii="Arial" w:hAnsi="Arial"/>
          <w:i/>
          <w:sz w:val="20"/>
        </w:rPr>
        <w:t>548</w:t>
      </w:r>
      <w:r>
        <w:rPr>
          <w:rFonts w:ascii="Arial" w:hAnsi="Arial"/>
          <w:i/>
          <w:spacing w:val="27"/>
          <w:sz w:val="20"/>
        </w:rPr>
        <w:t> </w:t>
      </w:r>
      <w:r>
        <w:rPr>
          <w:spacing w:val="-5"/>
          <w:sz w:val="20"/>
        </w:rPr>
        <w:t>at</w:t>
      </w:r>
    </w:p>
    <w:p>
      <w:pPr>
        <w:pStyle w:val="BodyText"/>
        <w:spacing w:line="224" w:lineRule="exact"/>
        <w:ind w:left="705"/>
        <w:jc w:val="both"/>
      </w:pPr>
      <w:r>
        <w:rPr/>
        <w:t>[52] (no enforceable contract where essential terms had not been </w:t>
      </w:r>
      <w:r>
        <w:rPr>
          <w:spacing w:val="-2"/>
        </w:rPr>
        <w:t>agreed).</w:t>
      </w:r>
    </w:p>
    <w:p>
      <w:pPr>
        <w:pStyle w:val="BodyText"/>
        <w:spacing w:before="81"/>
        <w:rPr>
          <w:sz w:val="14"/>
        </w:rPr>
      </w:pPr>
    </w:p>
    <w:p>
      <w:pPr>
        <w:spacing w:line="137" w:lineRule="exact" w:before="0"/>
        <w:ind w:left="165" w:right="0" w:firstLine="0"/>
        <w:jc w:val="left"/>
        <w:rPr>
          <w:sz w:val="14"/>
        </w:rPr>
      </w:pPr>
      <w:bookmarkStart w:name="_bookmark1332" w:id="1334"/>
      <w:bookmarkEnd w:id="1334"/>
      <w:r>
        <w:rPr/>
      </w:r>
      <w:hyperlink w:history="true" w:anchor="_bookmark1132">
        <w:r>
          <w:rPr>
            <w:color w:val="005DA1"/>
            <w:spacing w:val="-4"/>
            <w:sz w:val="14"/>
            <w:u w:val="single" w:color="005DA1"/>
          </w:rPr>
          <w:t>597</w:t>
        </w:r>
      </w:hyperlink>
      <w:r>
        <w:rPr>
          <w:spacing w:val="-4"/>
          <w:sz w:val="14"/>
        </w:rPr>
        <w:t>.</w:t>
      </w:r>
    </w:p>
    <w:p>
      <w:pPr>
        <w:spacing w:line="206" w:lineRule="exact" w:before="0"/>
        <w:ind w:left="875" w:right="0" w:firstLine="0"/>
        <w:jc w:val="left"/>
        <w:rPr>
          <w:sz w:val="20"/>
        </w:rPr>
      </w:pPr>
      <w:r>
        <w:rPr>
          <w:sz w:val="20"/>
        </w:rPr>
        <w:drawing>
          <wp:anchor distT="0" distB="0" distL="0" distR="0" allowOverlap="1" layoutInCell="1" locked="0" behindDoc="0" simplePos="0" relativeHeight="15753728">
            <wp:simplePos x="0" y="0"/>
            <wp:positionH relativeFrom="page">
              <wp:posOffset>1257846</wp:posOffset>
            </wp:positionH>
            <wp:positionV relativeFrom="paragraph">
              <wp:posOffset>12684</wp:posOffset>
            </wp:positionV>
            <wp:extent cx="107988" cy="107988"/>
            <wp:effectExtent l="0" t="0" r="0" b="0"/>
            <wp:wrapNone/>
            <wp:docPr id="108" name="Image 108"/>
            <wp:cNvGraphicFramePr>
              <a:graphicFrameLocks/>
            </wp:cNvGraphicFramePr>
            <a:graphic>
              <a:graphicData uri="http://schemas.openxmlformats.org/drawingml/2006/picture">
                <pic:pic>
                  <pic:nvPicPr>
                    <pic:cNvPr id="108" name="Image 108"/>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[2016] EWCA Civ </w:t>
      </w:r>
      <w:r>
        <w:rPr>
          <w:rFonts w:ascii="Arial"/>
          <w:i/>
          <w:spacing w:val="-4"/>
          <w:sz w:val="20"/>
        </w:rPr>
        <w:t>1106</w:t>
      </w:r>
      <w:r>
        <w:rPr>
          <w:spacing w:val="-4"/>
          <w:sz w:val="20"/>
        </w:rPr>
        <w:t>.</w:t>
      </w:r>
    </w:p>
    <w:p>
      <w:pPr>
        <w:spacing w:after="0" w:line="206" w:lineRule="exact"/>
        <w:jc w:val="left"/>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133">
        <w:r>
          <w:rPr>
            <w:color w:val="005DA1"/>
            <w:spacing w:val="-4"/>
            <w:sz w:val="14"/>
            <w:u w:val="single" w:color="005DA1"/>
          </w:rPr>
          <w:t>598</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54240">
            <wp:simplePos x="0" y="0"/>
            <wp:positionH relativeFrom="page">
              <wp:posOffset>1257846</wp:posOffset>
            </wp:positionH>
            <wp:positionV relativeFrom="paragraph">
              <wp:posOffset>28443</wp:posOffset>
            </wp:positionV>
            <wp:extent cx="107988" cy="107988"/>
            <wp:effectExtent l="0" t="0" r="0" b="0"/>
            <wp:wrapNone/>
            <wp:docPr id="109" name="Image 109"/>
            <wp:cNvGraphicFramePr>
              <a:graphicFrameLocks/>
            </wp:cNvGraphicFramePr>
            <a:graphic>
              <a:graphicData uri="http://schemas.openxmlformats.org/drawingml/2006/picture">
                <pic:pic>
                  <pic:nvPicPr>
                    <pic:cNvPr id="109" name="Image 10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[2016] EWCA Civ 1106</w:t>
      </w:r>
      <w:r>
        <w:rPr>
          <w:rFonts w:ascii="Arial" w:hAnsi="Arial"/>
          <w:i/>
          <w:spacing w:val="-1"/>
          <w:sz w:val="20"/>
        </w:rPr>
        <w:t> </w:t>
      </w:r>
      <w:r>
        <w:rPr>
          <w:sz w:val="20"/>
        </w:rPr>
        <w:t>at </w:t>
      </w:r>
      <w:r>
        <w:rPr>
          <w:spacing w:val="-2"/>
          <w:sz w:val="20"/>
        </w:rPr>
        <w:t>[21]–[24].</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33" w:id="1335"/>
      <w:bookmarkEnd w:id="1335"/>
      <w:r>
        <w:rPr/>
      </w:r>
      <w:hyperlink w:history="true" w:anchor="_bookmark1134">
        <w:r>
          <w:rPr>
            <w:color w:val="005DA1"/>
            <w:spacing w:val="-4"/>
            <w:sz w:val="14"/>
            <w:u w:val="single" w:color="005DA1"/>
          </w:rPr>
          <w:t>599</w:t>
        </w:r>
      </w:hyperlink>
      <w:r>
        <w:rPr>
          <w:spacing w:val="-4"/>
          <w:sz w:val="14"/>
        </w:rPr>
        <w:t>.</w:t>
      </w:r>
    </w:p>
    <w:p>
      <w:pPr>
        <w:spacing w:line="227" w:lineRule="exact" w:before="209"/>
        <w:ind w:left="335" w:right="0" w:firstLine="0"/>
        <w:jc w:val="left"/>
        <w:rPr>
          <w:rFonts w:ascii="Arial"/>
          <w:i/>
          <w:sz w:val="20"/>
        </w:rPr>
      </w:pPr>
      <w:r>
        <w:rPr/>
        <w:br w:type="column"/>
      </w:r>
      <w:r>
        <w:rPr>
          <w:rFonts w:ascii="Arial"/>
          <w:i/>
          <w:sz w:val="20"/>
        </w:rPr>
        <w:t>[2016]</w:t>
      </w:r>
      <w:r>
        <w:rPr>
          <w:rFonts w:ascii="Arial"/>
          <w:i/>
          <w:spacing w:val="17"/>
          <w:sz w:val="20"/>
        </w:rPr>
        <w:t> </w:t>
      </w:r>
      <w:r>
        <w:rPr>
          <w:rFonts w:ascii="Arial"/>
          <w:i/>
          <w:sz w:val="20"/>
        </w:rPr>
        <w:t>EWCA</w:t>
      </w:r>
      <w:r>
        <w:rPr>
          <w:rFonts w:ascii="Arial"/>
          <w:i/>
          <w:spacing w:val="17"/>
          <w:sz w:val="20"/>
        </w:rPr>
        <w:t> </w:t>
      </w:r>
      <w:r>
        <w:rPr>
          <w:rFonts w:ascii="Arial"/>
          <w:i/>
          <w:sz w:val="20"/>
        </w:rPr>
        <w:t>Civ</w:t>
      </w:r>
      <w:r>
        <w:rPr>
          <w:rFonts w:ascii="Arial"/>
          <w:i/>
          <w:spacing w:val="17"/>
          <w:sz w:val="20"/>
        </w:rPr>
        <w:t> </w:t>
      </w:r>
      <w:r>
        <w:rPr>
          <w:rFonts w:ascii="Arial"/>
          <w:i/>
          <w:sz w:val="20"/>
        </w:rPr>
        <w:t>1106</w:t>
      </w:r>
      <w:r>
        <w:rPr>
          <w:rFonts w:ascii="Arial"/>
          <w:i/>
          <w:spacing w:val="16"/>
          <w:sz w:val="20"/>
        </w:rPr>
        <w:t> </w:t>
      </w:r>
      <w:r>
        <w:rPr>
          <w:sz w:val="20"/>
        </w:rPr>
        <w:t>at</w:t>
      </w:r>
      <w:r>
        <w:rPr>
          <w:spacing w:val="17"/>
          <w:sz w:val="20"/>
        </w:rPr>
        <w:t> </w:t>
      </w:r>
      <w:r>
        <w:rPr>
          <w:sz w:val="20"/>
        </w:rPr>
        <w:t>[19],</w:t>
      </w:r>
      <w:r>
        <w:rPr>
          <w:spacing w:val="17"/>
          <w:sz w:val="20"/>
        </w:rPr>
        <w:t> </w:t>
      </w:r>
      <w:r>
        <w:rPr>
          <w:sz w:val="20"/>
        </w:rPr>
        <w:t>[32]</w:t>
      </w:r>
      <w:r>
        <w:rPr>
          <w:spacing w:val="17"/>
          <w:sz w:val="20"/>
        </w:rPr>
        <w:t> </w:t>
      </w:r>
      <w:r>
        <w:rPr>
          <w:sz w:val="20"/>
        </w:rPr>
        <w:t>citing</w:t>
      </w:r>
      <w:r>
        <w:rPr>
          <w:spacing w:val="16"/>
          <w:sz w:val="20"/>
        </w:rPr>
        <w:t> </w:t>
      </w:r>
      <w:r>
        <w:rPr>
          <w:rFonts w:ascii="Arial"/>
          <w:i/>
          <w:sz w:val="20"/>
        </w:rPr>
        <w:t>Luxor</w:t>
      </w:r>
      <w:r>
        <w:rPr>
          <w:rFonts w:ascii="Arial"/>
          <w:i/>
          <w:spacing w:val="17"/>
          <w:sz w:val="20"/>
        </w:rPr>
        <w:t> </w:t>
      </w:r>
      <w:r>
        <w:rPr>
          <w:rFonts w:ascii="Arial"/>
          <w:i/>
          <w:sz w:val="20"/>
        </w:rPr>
        <w:t>(Eastbourne)</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Cooper</w:t>
      </w:r>
      <w:r>
        <w:rPr>
          <w:rFonts w:ascii="Arial"/>
          <w:i/>
          <w:spacing w:val="17"/>
          <w:sz w:val="20"/>
        </w:rPr>
        <w:t> </w:t>
      </w:r>
      <w:r>
        <w:rPr>
          <w:rFonts w:ascii="Arial"/>
          <w:i/>
          <w:sz w:val="20"/>
        </w:rPr>
        <w:t>[1941]</w:t>
      </w:r>
      <w:r>
        <w:rPr>
          <w:rFonts w:ascii="Arial"/>
          <w:i/>
          <w:spacing w:val="17"/>
          <w:sz w:val="20"/>
        </w:rPr>
        <w:t> </w:t>
      </w:r>
      <w:r>
        <w:rPr>
          <w:rFonts w:ascii="Arial"/>
          <w:i/>
          <w:sz w:val="20"/>
        </w:rPr>
        <w:t>A.C.</w:t>
      </w:r>
      <w:r>
        <w:rPr>
          <w:rFonts w:ascii="Arial"/>
          <w:i/>
          <w:spacing w:val="17"/>
          <w:sz w:val="20"/>
        </w:rPr>
        <w:t> </w:t>
      </w:r>
      <w:r>
        <w:rPr>
          <w:rFonts w:ascii="Arial"/>
          <w:i/>
          <w:spacing w:val="-5"/>
          <w:sz w:val="20"/>
        </w:rPr>
        <w:t>108</w:t>
      </w:r>
    </w:p>
    <w:p>
      <w:pPr>
        <w:spacing w:line="227" w:lineRule="exact" w:before="0"/>
        <w:ind w:left="165" w:right="0" w:firstLine="0"/>
        <w:jc w:val="left"/>
        <w:rPr>
          <w:sz w:val="20"/>
        </w:rPr>
      </w:pPr>
      <w:r>
        <w:rPr>
          <w:sz w:val="20"/>
        </w:rPr>
        <w:drawing>
          <wp:anchor distT="0" distB="0" distL="0" distR="0" allowOverlap="1" layoutInCell="1" locked="0" behindDoc="0" simplePos="0" relativeHeight="15754752">
            <wp:simplePos x="0" y="0"/>
            <wp:positionH relativeFrom="page">
              <wp:posOffset>1257846</wp:posOffset>
            </wp:positionH>
            <wp:positionV relativeFrom="paragraph">
              <wp:posOffset>-116628</wp:posOffset>
            </wp:positionV>
            <wp:extent cx="107988" cy="107988"/>
            <wp:effectExtent l="0" t="0" r="0" b="0"/>
            <wp:wrapNone/>
            <wp:docPr id="110" name="Image 110"/>
            <wp:cNvGraphicFramePr>
              <a:graphicFrameLocks/>
            </wp:cNvGraphicFramePr>
            <a:graphic>
              <a:graphicData uri="http://schemas.openxmlformats.org/drawingml/2006/picture">
                <pic:pic>
                  <pic:nvPicPr>
                    <pic:cNvPr id="110" name="Image 110"/>
                    <pic:cNvPicPr/>
                  </pic:nvPicPr>
                  <pic:blipFill>
                    <a:blip r:embed="rId7" cstate="print"/>
                    <a:stretch>
                      <a:fillRect/>
                    </a:stretch>
                  </pic:blipFill>
                  <pic:spPr>
                    <a:xfrm>
                      <a:off x="0" y="0"/>
                      <a:ext cx="107988" cy="107988"/>
                    </a:xfrm>
                    <a:prstGeom prst="rect">
                      <a:avLst/>
                    </a:prstGeom>
                  </pic:spPr>
                </pic:pic>
              </a:graphicData>
            </a:graphic>
          </wp:anchor>
        </w:drawing>
      </w:r>
      <w:r>
        <w:rPr>
          <w:sz w:val="20"/>
        </w:rPr>
        <w:t>and</w:t>
      </w:r>
      <w:r>
        <w:rPr>
          <w:spacing w:val="-1"/>
          <w:sz w:val="20"/>
        </w:rPr>
        <w:t> </w:t>
      </w:r>
      <w:r>
        <w:rPr>
          <w:rFonts w:ascii="Arial" w:hAnsi="Arial"/>
          <w:i/>
          <w:sz w:val="20"/>
        </w:rPr>
        <w:t>Scancarriers A/S v Aotearoa International Ltd [1985] 2 Lloyd’s Rep. </w:t>
      </w:r>
      <w:r>
        <w:rPr>
          <w:rFonts w:ascii="Arial" w:hAnsi="Arial"/>
          <w:i/>
          <w:spacing w:val="-4"/>
          <w:sz w:val="20"/>
        </w:rPr>
        <w:t>419</w:t>
      </w:r>
      <w:r>
        <w:rPr>
          <w:spacing w:val="-4"/>
          <w:sz w:val="20"/>
        </w:rPr>
        <w:t>.</w:t>
      </w:r>
    </w:p>
    <w:p>
      <w:pPr>
        <w:spacing w:after="0" w:line="227" w:lineRule="exact"/>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334" w:id="1336"/>
      <w:bookmarkEnd w:id="1336"/>
      <w:r>
        <w:rPr/>
      </w:r>
      <w:hyperlink w:history="true" w:anchor="_bookmark1135">
        <w:r>
          <w:rPr>
            <w:color w:val="005DA1"/>
            <w:spacing w:val="-4"/>
            <w:sz w:val="14"/>
            <w:u w:val="single" w:color="005DA1"/>
          </w:rPr>
          <w:t>600</w:t>
        </w:r>
      </w:hyperlink>
      <w:r>
        <w:rPr>
          <w:spacing w:val="-4"/>
          <w:sz w:val="14"/>
        </w:rPr>
        <w:t>.</w:t>
      </w:r>
    </w:p>
    <w:p>
      <w:pPr>
        <w:spacing w:before="209"/>
        <w:ind w:left="335" w:right="0" w:firstLine="0"/>
        <w:jc w:val="left"/>
        <w:rPr>
          <w:sz w:val="20"/>
        </w:rPr>
      </w:pPr>
      <w:r>
        <w:rPr/>
        <w:br w:type="column"/>
      </w:r>
      <w:r>
        <w:rPr>
          <w:rFonts w:ascii="Arial"/>
          <w:i/>
          <w:sz w:val="20"/>
        </w:rPr>
        <w:t>[2017] EWHC 253 </w:t>
      </w:r>
      <w:r>
        <w:rPr>
          <w:rFonts w:ascii="Arial"/>
          <w:i/>
          <w:spacing w:val="-2"/>
          <w:sz w:val="20"/>
        </w:rPr>
        <w:t>(Comm)</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5264">
            <wp:simplePos x="0" y="0"/>
            <wp:positionH relativeFrom="page">
              <wp:posOffset>1257846</wp:posOffset>
            </wp:positionH>
            <wp:positionV relativeFrom="paragraph">
              <wp:posOffset>-210892</wp:posOffset>
            </wp:positionV>
            <wp:extent cx="107988" cy="107988"/>
            <wp:effectExtent l="0" t="0" r="0" b="0"/>
            <wp:wrapNone/>
            <wp:docPr id="111" name="Image 111"/>
            <wp:cNvGraphicFramePr>
              <a:graphicFrameLocks/>
            </wp:cNvGraphicFramePr>
            <a:graphic>
              <a:graphicData uri="http://schemas.openxmlformats.org/drawingml/2006/picture">
                <pic:pic>
                  <pic:nvPicPr>
                    <pic:cNvPr id="111" name="Image 111"/>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35" w:id="1337"/>
      <w:bookmarkEnd w:id="1337"/>
      <w:r>
        <w:rPr/>
      </w:r>
      <w:hyperlink w:history="true" w:anchor="_bookmark1136">
        <w:r>
          <w:rPr>
            <w:color w:val="005DA1"/>
            <w:spacing w:val="-4"/>
            <w:sz w:val="14"/>
            <w:u w:val="single" w:color="005DA1"/>
          </w:rPr>
          <w:t>601</w:t>
        </w:r>
      </w:hyperlink>
      <w:r>
        <w:rPr>
          <w:spacing w:val="-4"/>
          <w:sz w:val="14"/>
        </w:rPr>
        <w:t>.</w:t>
      </w:r>
    </w:p>
    <w:p>
      <w:pPr>
        <w:spacing w:before="209"/>
        <w:ind w:left="335" w:right="0" w:firstLine="0"/>
        <w:jc w:val="left"/>
        <w:rPr>
          <w:sz w:val="20"/>
        </w:rPr>
      </w:pPr>
      <w:r>
        <w:rPr/>
        <w:br w:type="column"/>
      </w:r>
      <w:r>
        <w:rPr>
          <w:rFonts w:ascii="Arial" w:hAnsi="Arial"/>
          <w:i/>
          <w:sz w:val="20"/>
        </w:rPr>
        <w:t>[2017] EWHC 253</w:t>
      </w:r>
      <w:r>
        <w:rPr>
          <w:rFonts w:ascii="Arial" w:hAnsi="Arial"/>
          <w:i/>
          <w:spacing w:val="-1"/>
          <w:sz w:val="20"/>
        </w:rPr>
        <w:t> </w:t>
      </w:r>
      <w:r>
        <w:rPr>
          <w:sz w:val="20"/>
        </w:rPr>
        <w:t>at </w:t>
      </w:r>
      <w:r>
        <w:rPr>
          <w:spacing w:val="-2"/>
          <w:sz w:val="20"/>
        </w:rPr>
        <w:t>[175]–[210].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pPr>
    </w:p>
    <w:p>
      <w:pPr>
        <w:tabs>
          <w:tab w:pos="705" w:val="left" w:leader="none"/>
        </w:tabs>
        <w:spacing w:line="235" w:lineRule="auto" w:before="0"/>
        <w:ind w:left="705" w:right="168" w:hanging="541"/>
        <w:jc w:val="left"/>
        <w:rPr>
          <w:sz w:val="20"/>
        </w:rPr>
      </w:pPr>
      <w:r>
        <w:rPr>
          <w:sz w:val="20"/>
        </w:rPr>
        <w:drawing>
          <wp:anchor distT="0" distB="0" distL="0" distR="0" allowOverlap="1" layoutInCell="1" locked="0" behindDoc="0" simplePos="0" relativeHeight="15755776">
            <wp:simplePos x="0" y="0"/>
            <wp:positionH relativeFrom="page">
              <wp:posOffset>1257846</wp:posOffset>
            </wp:positionH>
            <wp:positionV relativeFrom="paragraph">
              <wp:posOffset>-269287</wp:posOffset>
            </wp:positionV>
            <wp:extent cx="107988" cy="107988"/>
            <wp:effectExtent l="0" t="0" r="0" b="0"/>
            <wp:wrapNone/>
            <wp:docPr id="112" name="Image 112"/>
            <wp:cNvGraphicFramePr>
              <a:graphicFrameLocks/>
            </wp:cNvGraphicFramePr>
            <a:graphic>
              <a:graphicData uri="http://schemas.openxmlformats.org/drawingml/2006/picture">
                <pic:pic>
                  <pic:nvPicPr>
                    <pic:cNvPr id="112" name="Image 11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36" w:id="1338"/>
      <w:bookmarkEnd w:id="1338"/>
      <w:r>
        <w:rPr/>
      </w:r>
      <w:hyperlink w:history="true" w:anchor="_bookmark1137">
        <w:r>
          <w:rPr>
            <w:color w:val="005DA1"/>
            <w:spacing w:val="-4"/>
            <w:position w:val="5"/>
            <w:sz w:val="14"/>
            <w:u w:val="single" w:color="005DA1"/>
          </w:rPr>
          <w:t>602</w:t>
        </w:r>
      </w:hyperlink>
      <w:r>
        <w:rPr>
          <w:spacing w:val="-4"/>
          <w:position w:val="5"/>
          <w:sz w:val="14"/>
        </w:rPr>
        <w:t>.</w:t>
      </w:r>
      <w:r>
        <w:rPr>
          <w:position w:val="5"/>
          <w:sz w:val="14"/>
        </w:rPr>
        <w:tab/>
      </w:r>
      <w:r>
        <w:rPr>
          <w:rFonts w:ascii="Arial"/>
          <w:i/>
          <w:sz w:val="20"/>
        </w:rPr>
        <w:t>Electrosteel Castings Ltd v Scan-Trans Shipping &amp; Chartering Co [2002] EWHC 1993 (Comm); [2002] 2 All E.R. (Comm) 1064 </w:t>
      </w:r>
      <w:r>
        <w:rPr>
          <w:sz w:val="20"/>
        </w:rPr>
        <w:t>at [24].</w:t>
      </w:r>
    </w:p>
    <w:p>
      <w:pPr>
        <w:pStyle w:val="BodyText"/>
        <w:spacing w:before="9"/>
      </w:pPr>
    </w:p>
    <w:p>
      <w:pPr>
        <w:spacing w:line="235" w:lineRule="auto" w:before="1"/>
        <w:ind w:left="705" w:right="168" w:hanging="541"/>
        <w:jc w:val="both"/>
        <w:rPr>
          <w:sz w:val="20"/>
        </w:rPr>
      </w:pPr>
      <w:bookmarkStart w:name="_bookmark1337" w:id="1339"/>
      <w:bookmarkEnd w:id="1339"/>
      <w:r>
        <w:rPr/>
      </w:r>
      <w:hyperlink w:history="true" w:anchor="_bookmark1138">
        <w:r>
          <w:rPr>
            <w:color w:val="005DA1"/>
            <w:position w:val="5"/>
            <w:sz w:val="14"/>
            <w:u w:val="single" w:color="005DA1"/>
          </w:rPr>
          <w:t>603</w:t>
        </w:r>
      </w:hyperlink>
      <w:r>
        <w:rPr>
          <w:position w:val="5"/>
          <w:sz w:val="14"/>
        </w:rPr>
        <w:t>.</w:t>
      </w:r>
      <w:r>
        <w:rPr>
          <w:spacing w:val="40"/>
          <w:position w:val="5"/>
          <w:sz w:val="14"/>
        </w:rPr>
        <w:t>  </w:t>
      </w:r>
      <w:r>
        <w:rPr>
          <w:rFonts w:ascii="Arial" w:hAnsi="Arial"/>
          <w:i/>
          <w:sz w:val="20"/>
        </w:rPr>
        <w:t>First Energy (UK) Ltd v Hungarian International Bank Ltd [1993] 2 Lloyd’s Rep. 195, 205</w:t>
      </w:r>
      <w:r>
        <w:rPr>
          <w:sz w:val="20"/>
        </w:rPr>
        <w:t>; cf. </w:t>
      </w:r>
      <w:r>
        <w:rPr>
          <w:rFonts w:ascii="Arial" w:hAnsi="Arial"/>
          <w:i/>
          <w:sz w:val="20"/>
        </w:rPr>
        <w:t>de Jongh Weill v Mean Fiddler Holdings Ltd [2003] EWCA Civ 1058</w:t>
      </w:r>
      <w:r>
        <w:rPr>
          <w:sz w:val="20"/>
        </w:rPr>
        <w:t>; </w:t>
      </w:r>
      <w:r>
        <w:rPr>
          <w:rFonts w:ascii="Arial" w:hAnsi="Arial"/>
          <w:i/>
          <w:sz w:val="20"/>
        </w:rPr>
        <w:t>RTS Flexible Systems Ltd </w:t>
      </w:r>
      <w:r>
        <w:rPr>
          <w:rFonts w:ascii="Arial" w:hAnsi="Arial"/>
          <w:i/>
          <w:sz w:val="20"/>
        </w:rPr>
        <w:t>v Molkerei</w:t>
      </w:r>
      <w:r>
        <w:rPr>
          <w:rFonts w:ascii="Arial" w:hAnsi="Arial"/>
          <w:i/>
          <w:spacing w:val="1"/>
          <w:sz w:val="20"/>
        </w:rPr>
        <w:t> </w:t>
      </w:r>
      <w:r>
        <w:rPr>
          <w:rFonts w:ascii="Arial" w:hAnsi="Arial"/>
          <w:i/>
          <w:sz w:val="20"/>
        </w:rPr>
        <w:t>Alois</w:t>
      </w:r>
      <w:r>
        <w:rPr>
          <w:rFonts w:ascii="Arial" w:hAnsi="Arial"/>
          <w:i/>
          <w:spacing w:val="3"/>
          <w:sz w:val="20"/>
        </w:rPr>
        <w:t> </w:t>
      </w:r>
      <w:r>
        <w:rPr>
          <w:rFonts w:ascii="Arial" w:hAnsi="Arial"/>
          <w:i/>
          <w:sz w:val="20"/>
        </w:rPr>
        <w:t>Müller</w:t>
      </w:r>
      <w:r>
        <w:rPr>
          <w:rFonts w:ascii="Arial" w:hAnsi="Arial"/>
          <w:i/>
          <w:spacing w:val="3"/>
          <w:sz w:val="20"/>
        </w:rPr>
        <w:t> </w:t>
      </w:r>
      <w:r>
        <w:rPr>
          <w:rFonts w:ascii="Arial" w:hAnsi="Arial"/>
          <w:i/>
          <w:sz w:val="20"/>
        </w:rPr>
        <w:t>GmbH</w:t>
      </w:r>
      <w:r>
        <w:rPr>
          <w:rFonts w:ascii="Arial" w:hAnsi="Arial"/>
          <w:i/>
          <w:spacing w:val="3"/>
          <w:sz w:val="20"/>
        </w:rPr>
        <w:t> </w:t>
      </w:r>
      <w:r>
        <w:rPr>
          <w:rFonts w:ascii="Arial" w:hAnsi="Arial"/>
          <w:i/>
          <w:sz w:val="20"/>
        </w:rPr>
        <w:t>&amp;</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KG</w:t>
      </w:r>
      <w:r>
        <w:rPr>
          <w:rFonts w:ascii="Arial" w:hAnsi="Arial"/>
          <w:i/>
          <w:spacing w:val="3"/>
          <w:sz w:val="20"/>
        </w:rPr>
        <w:t> </w:t>
      </w:r>
      <w:r>
        <w:rPr>
          <w:rFonts w:ascii="Arial" w:hAnsi="Arial"/>
          <w:i/>
          <w:sz w:val="20"/>
        </w:rPr>
        <w:t>(UK</w:t>
      </w:r>
      <w:r>
        <w:rPr>
          <w:rFonts w:ascii="Arial" w:hAnsi="Arial"/>
          <w:i/>
          <w:spacing w:val="3"/>
          <w:sz w:val="20"/>
        </w:rPr>
        <w:t> </w:t>
      </w:r>
      <w:r>
        <w:rPr>
          <w:rFonts w:ascii="Arial" w:hAnsi="Arial"/>
          <w:i/>
          <w:sz w:val="20"/>
        </w:rPr>
        <w:t>Production)</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UKSC</w:t>
      </w:r>
      <w:r>
        <w:rPr>
          <w:rFonts w:ascii="Arial" w:hAnsi="Arial"/>
          <w:i/>
          <w:spacing w:val="3"/>
          <w:sz w:val="20"/>
        </w:rPr>
        <w:t> </w:t>
      </w:r>
      <w:r>
        <w:rPr>
          <w:rFonts w:ascii="Arial" w:hAnsi="Arial"/>
          <w:i/>
          <w:sz w:val="20"/>
        </w:rPr>
        <w:t>14,</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W.L.R.</w:t>
      </w:r>
      <w:r>
        <w:rPr>
          <w:rFonts w:ascii="Arial" w:hAnsi="Arial"/>
          <w:i/>
          <w:spacing w:val="3"/>
          <w:sz w:val="20"/>
        </w:rPr>
        <w:t> </w:t>
      </w:r>
      <w:r>
        <w:rPr>
          <w:rFonts w:ascii="Arial" w:hAnsi="Arial"/>
          <w:i/>
          <w:sz w:val="20"/>
        </w:rPr>
        <w:t>753</w:t>
      </w:r>
      <w:r>
        <w:rPr>
          <w:rFonts w:ascii="Arial" w:hAnsi="Arial"/>
          <w:i/>
          <w:spacing w:val="2"/>
          <w:sz w:val="20"/>
        </w:rPr>
        <w:t> </w:t>
      </w:r>
      <w:r>
        <w:rPr>
          <w:spacing w:val="-5"/>
          <w:sz w:val="20"/>
        </w:rPr>
        <w:t>at</w:t>
      </w:r>
    </w:p>
    <w:p>
      <w:pPr>
        <w:spacing w:line="223" w:lineRule="exact" w:before="0"/>
        <w:ind w:left="705" w:right="0" w:firstLine="0"/>
        <w:jc w:val="both"/>
        <w:rPr>
          <w:sz w:val="20"/>
        </w:rPr>
      </w:pPr>
      <w:r>
        <w:rPr>
          <w:sz w:val="20"/>
        </w:rPr>
        <w:t>[48];</w:t>
      </w:r>
      <w:r>
        <w:rPr>
          <w:spacing w:val="16"/>
          <w:sz w:val="20"/>
        </w:rPr>
        <w:t> </w:t>
      </w:r>
      <w:r>
        <w:rPr>
          <w:rFonts w:ascii="Arial"/>
          <w:i/>
          <w:sz w:val="20"/>
        </w:rPr>
        <w:t>Attrill</w:t>
      </w:r>
      <w:r>
        <w:rPr>
          <w:rFonts w:ascii="Arial"/>
          <w:i/>
          <w:spacing w:val="16"/>
          <w:sz w:val="20"/>
        </w:rPr>
        <w:t> </w:t>
      </w:r>
      <w:r>
        <w:rPr>
          <w:rFonts w:ascii="Arial"/>
          <w:i/>
          <w:sz w:val="20"/>
        </w:rPr>
        <w:t>v</w:t>
      </w:r>
      <w:r>
        <w:rPr>
          <w:rFonts w:ascii="Arial"/>
          <w:i/>
          <w:spacing w:val="16"/>
          <w:sz w:val="20"/>
        </w:rPr>
        <w:t> </w:t>
      </w:r>
      <w:r>
        <w:rPr>
          <w:rFonts w:ascii="Arial"/>
          <w:i/>
          <w:sz w:val="20"/>
        </w:rPr>
        <w:t>Dresdner</w:t>
      </w:r>
      <w:r>
        <w:rPr>
          <w:rFonts w:ascii="Arial"/>
          <w:i/>
          <w:spacing w:val="16"/>
          <w:sz w:val="20"/>
        </w:rPr>
        <w:t> </w:t>
      </w:r>
      <w:r>
        <w:rPr>
          <w:rFonts w:ascii="Arial"/>
          <w:i/>
          <w:sz w:val="20"/>
        </w:rPr>
        <w:t>Kleinwort</w:t>
      </w:r>
      <w:r>
        <w:rPr>
          <w:rFonts w:ascii="Arial"/>
          <w:i/>
          <w:spacing w:val="16"/>
          <w:sz w:val="20"/>
        </w:rPr>
        <w:t> </w:t>
      </w:r>
      <w:r>
        <w:rPr>
          <w:rFonts w:ascii="Arial"/>
          <w:i/>
          <w:sz w:val="20"/>
        </w:rPr>
        <w:t>Ltd</w:t>
      </w:r>
      <w:r>
        <w:rPr>
          <w:rFonts w:ascii="Arial"/>
          <w:i/>
          <w:spacing w:val="16"/>
          <w:sz w:val="20"/>
        </w:rPr>
        <w:t> </w:t>
      </w:r>
      <w:r>
        <w:rPr>
          <w:rFonts w:ascii="Arial"/>
          <w:i/>
          <w:sz w:val="20"/>
        </w:rPr>
        <w:t>[2011]</w:t>
      </w:r>
      <w:r>
        <w:rPr>
          <w:rFonts w:ascii="Arial"/>
          <w:i/>
          <w:spacing w:val="16"/>
          <w:sz w:val="20"/>
        </w:rPr>
        <w:t> </w:t>
      </w:r>
      <w:r>
        <w:rPr>
          <w:rFonts w:ascii="Arial"/>
          <w:i/>
          <w:sz w:val="20"/>
        </w:rPr>
        <w:t>EWCA</w:t>
      </w:r>
      <w:r>
        <w:rPr>
          <w:rFonts w:ascii="Arial"/>
          <w:i/>
          <w:spacing w:val="16"/>
          <w:sz w:val="20"/>
        </w:rPr>
        <w:t> </w:t>
      </w:r>
      <w:r>
        <w:rPr>
          <w:rFonts w:ascii="Arial"/>
          <w:i/>
          <w:sz w:val="20"/>
        </w:rPr>
        <w:t>Civ</w:t>
      </w:r>
      <w:r>
        <w:rPr>
          <w:rFonts w:ascii="Arial"/>
          <w:i/>
          <w:spacing w:val="16"/>
          <w:sz w:val="20"/>
        </w:rPr>
        <w:t> </w:t>
      </w:r>
      <w:r>
        <w:rPr>
          <w:rFonts w:ascii="Arial"/>
          <w:i/>
          <w:sz w:val="20"/>
        </w:rPr>
        <w:t>229,</w:t>
      </w:r>
      <w:r>
        <w:rPr>
          <w:rFonts w:ascii="Arial"/>
          <w:i/>
          <w:spacing w:val="16"/>
          <w:sz w:val="20"/>
        </w:rPr>
        <w:t> </w:t>
      </w:r>
      <w:r>
        <w:rPr>
          <w:rFonts w:ascii="Arial"/>
          <w:i/>
          <w:sz w:val="20"/>
        </w:rPr>
        <w:t>[2011]</w:t>
      </w:r>
      <w:r>
        <w:rPr>
          <w:rFonts w:ascii="Arial"/>
          <w:i/>
          <w:spacing w:val="16"/>
          <w:sz w:val="20"/>
        </w:rPr>
        <w:t> </w:t>
      </w:r>
      <w:r>
        <w:rPr>
          <w:rFonts w:ascii="Arial"/>
          <w:i/>
          <w:sz w:val="20"/>
        </w:rPr>
        <w:t>I.R.L.R.</w:t>
      </w:r>
      <w:r>
        <w:rPr>
          <w:rFonts w:ascii="Arial"/>
          <w:i/>
          <w:spacing w:val="16"/>
          <w:sz w:val="20"/>
        </w:rPr>
        <w:t> </w:t>
      </w:r>
      <w:r>
        <w:rPr>
          <w:rFonts w:ascii="Arial"/>
          <w:i/>
          <w:sz w:val="20"/>
        </w:rPr>
        <w:t>613</w:t>
      </w:r>
      <w:r>
        <w:rPr>
          <w:rFonts w:ascii="Arial"/>
          <w:i/>
          <w:spacing w:val="16"/>
          <w:sz w:val="20"/>
        </w:rPr>
        <w:t> </w:t>
      </w:r>
      <w:r>
        <w:rPr>
          <w:sz w:val="20"/>
        </w:rPr>
        <w:t>at</w:t>
      </w:r>
      <w:r>
        <w:rPr>
          <w:spacing w:val="16"/>
          <w:sz w:val="20"/>
        </w:rPr>
        <w:t> </w:t>
      </w:r>
      <w:r>
        <w:rPr>
          <w:sz w:val="20"/>
        </w:rPr>
        <w:t>[29]</w:t>
      </w:r>
      <w:r>
        <w:rPr>
          <w:spacing w:val="16"/>
          <w:sz w:val="20"/>
        </w:rPr>
        <w:t> </w:t>
      </w:r>
      <w:r>
        <w:rPr>
          <w:sz w:val="20"/>
        </w:rPr>
        <w:t>at</w:t>
      </w:r>
      <w:r>
        <w:rPr>
          <w:spacing w:val="16"/>
          <w:sz w:val="20"/>
        </w:rPr>
        <w:t> </w:t>
      </w:r>
      <w:r>
        <w:rPr>
          <w:spacing w:val="-2"/>
          <w:sz w:val="20"/>
        </w:rPr>
        <w:t>[28],</w:t>
      </w:r>
    </w:p>
    <w:p>
      <w:pPr>
        <w:pStyle w:val="BodyText"/>
        <w:spacing w:line="235" w:lineRule="auto" w:before="1"/>
        <w:ind w:left="705" w:right="167"/>
        <w:jc w:val="both"/>
      </w:pPr>
      <w:r>
        <w:rPr/>
        <w:t>[31]</w:t>
      </w:r>
      <w:r>
        <w:rPr>
          <w:spacing w:val="-1"/>
        </w:rPr>
        <w:t> </w:t>
      </w:r>
      <w:r>
        <w:rPr/>
        <w:t>(promise</w:t>
      </w:r>
      <w:r>
        <w:rPr>
          <w:spacing w:val="-1"/>
        </w:rPr>
        <w:t> </w:t>
      </w:r>
      <w:r>
        <w:rPr/>
        <w:t>by</w:t>
      </w:r>
      <w:r>
        <w:rPr>
          <w:spacing w:val="-1"/>
        </w:rPr>
        <w:t> </w:t>
      </w:r>
      <w:r>
        <w:rPr/>
        <w:t>employer</w:t>
      </w:r>
      <w:r>
        <w:rPr>
          <w:spacing w:val="-1"/>
        </w:rPr>
        <w:t> </w:t>
      </w:r>
      <w:r>
        <w:rPr/>
        <w:t>to</w:t>
      </w:r>
      <w:r>
        <w:rPr>
          <w:spacing w:val="-1"/>
        </w:rPr>
        <w:t> </w:t>
      </w:r>
      <w:r>
        <w:rPr/>
        <w:t>employees</w:t>
      </w:r>
      <w:r>
        <w:rPr>
          <w:spacing w:val="-1"/>
        </w:rPr>
        <w:t> </w:t>
      </w:r>
      <w:r>
        <w:rPr/>
        <w:t>to</w:t>
      </w:r>
      <w:r>
        <w:rPr>
          <w:spacing w:val="-1"/>
        </w:rPr>
        <w:t> </w:t>
      </w:r>
      <w:r>
        <w:rPr/>
        <w:t>establish</w:t>
      </w:r>
      <w:r>
        <w:rPr>
          <w:spacing w:val="-1"/>
        </w:rPr>
        <w:t> </w:t>
      </w:r>
      <w:r>
        <w:rPr/>
        <w:t>a</w:t>
      </w:r>
      <w:r>
        <w:rPr>
          <w:spacing w:val="-1"/>
        </w:rPr>
        <w:t> </w:t>
      </w:r>
      <w:r>
        <w:rPr/>
        <w:t>minimum</w:t>
      </w:r>
      <w:r>
        <w:rPr>
          <w:spacing w:val="-1"/>
        </w:rPr>
        <w:t> </w:t>
      </w:r>
      <w:r>
        <w:rPr/>
        <w:t>bonus</w:t>
      </w:r>
      <w:r>
        <w:rPr>
          <w:spacing w:val="-1"/>
        </w:rPr>
        <w:t> </w:t>
      </w:r>
      <w:r>
        <w:rPr/>
        <w:t>pool</w:t>
      </w:r>
      <w:r>
        <w:rPr>
          <w:spacing w:val="-1"/>
        </w:rPr>
        <w:t> </w:t>
      </w:r>
      <w:r>
        <w:rPr/>
        <w:t>held</w:t>
      </w:r>
      <w:r>
        <w:rPr>
          <w:spacing w:val="-1"/>
        </w:rPr>
        <w:t> </w:t>
      </w:r>
      <w:r>
        <w:rPr/>
        <w:t>legally</w:t>
      </w:r>
      <w:r>
        <w:rPr>
          <w:spacing w:val="-1"/>
        </w:rPr>
        <w:t> </w:t>
      </w:r>
      <w:r>
        <w:rPr/>
        <w:t>binding through an individual employee could not point to any specific amount payable to him out of the pool). On appeal in the </w:t>
      </w:r>
      <w:r>
        <w:rPr>
          <w:rFonts w:ascii="Arial" w:hAnsi="Arial"/>
          <w:i/>
        </w:rPr>
        <w:t>Attrill </w:t>
      </w:r>
      <w:r>
        <w:rPr/>
        <w:t>case, see </w:t>
      </w:r>
      <w:r>
        <w:rPr>
          <w:rFonts w:ascii="Arial" w:hAnsi="Arial"/>
          <w:i/>
        </w:rPr>
        <w:t>[2012] EWHC 1189 (QB)</w:t>
      </w:r>
      <w:r>
        <w:rPr/>
        <w:t>, the Court of Appeal affirming the decision, rejected the argument that the agreement was too uncertain to be enforced, </w:t>
      </w:r>
      <w:r>
        <w:rPr/>
        <w:t>even though “there were some loose ends”: </w:t>
      </w:r>
      <w:r>
        <w:rPr>
          <w:rFonts w:ascii="Arial" w:hAnsi="Arial"/>
          <w:i/>
        </w:rPr>
        <w:t>[2013] EWCA Civ 394 </w:t>
      </w:r>
      <w:r>
        <w:rPr/>
        <w:t>at [60]. See also </w:t>
      </w:r>
      <w:r>
        <w:rPr>
          <w:rFonts w:ascii="Arial" w:hAnsi="Arial"/>
          <w:i/>
        </w:rPr>
        <w:t>Proton Energy Group SA v Orten Lietuva [2013] EWHC 2872 (Comm), [2014] 1 Lloyd’s Rep. 100 </w:t>
      </w:r>
      <w:r>
        <w:rPr/>
        <w:t>at [39]: “This was a classic spot deal where the speed of the market requires that the parties agree the main terms and leave the details, some of which may be important, to be agreed later.” Accordingly,</w:t>
      </w:r>
      <w:r>
        <w:rPr>
          <w:spacing w:val="40"/>
        </w:rPr>
        <w:t> </w:t>
      </w:r>
      <w:r>
        <w:rPr/>
        <w:t>a contract was held to have been made as soon as each party regarded itself as committed to the other even though the agreement stated that “other contractual terms not indicated in the offer shall be discussed and mutually agreed between the parties upon contract negotiations”</w:t>
      </w:r>
      <w:r>
        <w:rPr>
          <w:spacing w:val="40"/>
        </w:rPr>
        <w:t> </w:t>
      </w:r>
      <w:r>
        <w:rPr/>
        <w:t>(at [17]).</w:t>
      </w:r>
    </w:p>
    <w:p>
      <w:pPr>
        <w:pStyle w:val="BodyText"/>
        <w:spacing w:before="5"/>
      </w:pPr>
    </w:p>
    <w:p>
      <w:pPr>
        <w:pStyle w:val="BodyText"/>
        <w:spacing w:line="235" w:lineRule="auto"/>
        <w:ind w:left="705" w:right="167" w:hanging="541"/>
        <w:jc w:val="both"/>
      </w:pPr>
      <w:bookmarkStart w:name="_bookmark1338" w:id="1340"/>
      <w:bookmarkEnd w:id="1340"/>
      <w:r>
        <w:rPr/>
      </w:r>
      <w:hyperlink w:history="true" w:anchor="_bookmark1139">
        <w:r>
          <w:rPr>
            <w:color w:val="005DA1"/>
            <w:position w:val="5"/>
            <w:sz w:val="14"/>
            <w:u w:val="single" w:color="005DA1"/>
          </w:rPr>
          <w:t>604</w:t>
        </w:r>
      </w:hyperlink>
      <w:r>
        <w:rPr>
          <w:position w:val="5"/>
          <w:sz w:val="14"/>
        </w:rPr>
        <w:t>.</w:t>
      </w:r>
      <w:r>
        <w:rPr>
          <w:spacing w:val="80"/>
          <w:position w:val="5"/>
          <w:sz w:val="14"/>
        </w:rPr>
        <w:t>  </w:t>
      </w:r>
      <w:r>
        <w:rPr/>
        <w:t>See</w:t>
      </w:r>
      <w:r>
        <w:rPr>
          <w:spacing w:val="40"/>
        </w:rPr>
        <w:t> </w:t>
      </w:r>
      <w:r>
        <w:rPr>
          <w:rFonts w:ascii="Arial" w:hAnsi="Arial"/>
          <w:i/>
        </w:rPr>
        <w:t>Bear</w:t>
      </w:r>
      <w:r>
        <w:rPr>
          <w:rFonts w:ascii="Arial" w:hAnsi="Arial"/>
          <w:i/>
          <w:spacing w:val="40"/>
        </w:rPr>
        <w:t> </w:t>
      </w:r>
      <w:r>
        <w:rPr>
          <w:rFonts w:ascii="Arial" w:hAnsi="Arial"/>
          <w:i/>
        </w:rPr>
        <w:t>Stearns</w:t>
      </w:r>
      <w:r>
        <w:rPr>
          <w:rFonts w:ascii="Arial" w:hAnsi="Arial"/>
          <w:i/>
          <w:spacing w:val="40"/>
        </w:rPr>
        <w:t> </w:t>
      </w:r>
      <w:r>
        <w:rPr>
          <w:rFonts w:ascii="Arial" w:hAnsi="Arial"/>
          <w:i/>
        </w:rPr>
        <w:t>Bank</w:t>
      </w:r>
      <w:r>
        <w:rPr>
          <w:rFonts w:ascii="Arial" w:hAnsi="Arial"/>
          <w:i/>
          <w:spacing w:val="40"/>
        </w:rPr>
        <w:t> </w:t>
      </w:r>
      <w:r>
        <w:rPr>
          <w:rFonts w:ascii="Arial" w:hAnsi="Arial"/>
          <w:i/>
        </w:rPr>
        <w:t>Plc</w:t>
      </w:r>
      <w:r>
        <w:rPr>
          <w:rFonts w:ascii="Arial" w:hAnsi="Arial"/>
          <w:i/>
          <w:spacing w:val="40"/>
        </w:rPr>
        <w:t> </w:t>
      </w:r>
      <w:r>
        <w:rPr>
          <w:rFonts w:ascii="Arial" w:hAnsi="Arial"/>
          <w:i/>
        </w:rPr>
        <w:t>v</w:t>
      </w:r>
      <w:r>
        <w:rPr>
          <w:rFonts w:ascii="Arial" w:hAnsi="Arial"/>
          <w:i/>
          <w:spacing w:val="40"/>
        </w:rPr>
        <w:t> </w:t>
      </w:r>
      <w:r>
        <w:rPr>
          <w:rFonts w:ascii="Arial" w:hAnsi="Arial"/>
          <w:i/>
        </w:rPr>
        <w:t>Forum</w:t>
      </w:r>
      <w:r>
        <w:rPr>
          <w:rFonts w:ascii="Arial" w:hAnsi="Arial"/>
          <w:i/>
          <w:spacing w:val="40"/>
        </w:rPr>
        <w:t> </w:t>
      </w:r>
      <w:r>
        <w:rPr>
          <w:rFonts w:ascii="Arial" w:hAnsi="Arial"/>
          <w:i/>
        </w:rPr>
        <w:t>Global</w:t>
      </w:r>
      <w:r>
        <w:rPr>
          <w:rFonts w:ascii="Arial" w:hAnsi="Arial"/>
          <w:i/>
          <w:spacing w:val="40"/>
        </w:rPr>
        <w:t> </w:t>
      </w:r>
      <w:r>
        <w:rPr>
          <w:rFonts w:ascii="Arial" w:hAnsi="Arial"/>
          <w:i/>
        </w:rPr>
        <w:t>Equity</w:t>
      </w:r>
      <w:r>
        <w:rPr>
          <w:rFonts w:ascii="Arial" w:hAnsi="Arial"/>
          <w:i/>
          <w:spacing w:val="40"/>
        </w:rPr>
        <w:t> </w:t>
      </w:r>
      <w:r>
        <w:rPr>
          <w:rFonts w:ascii="Arial" w:hAnsi="Arial"/>
          <w:i/>
        </w:rPr>
        <w:t>Ltd</w:t>
      </w:r>
      <w:r>
        <w:rPr>
          <w:rFonts w:ascii="Arial" w:hAnsi="Arial"/>
          <w:i/>
          <w:spacing w:val="40"/>
        </w:rPr>
        <w:t> </w:t>
      </w:r>
      <w:r>
        <w:rPr>
          <w:rFonts w:ascii="Arial" w:hAnsi="Arial"/>
          <w:i/>
        </w:rPr>
        <w:t>[2007]</w:t>
      </w:r>
      <w:r>
        <w:rPr>
          <w:rFonts w:ascii="Arial" w:hAnsi="Arial"/>
          <w:i/>
          <w:spacing w:val="40"/>
        </w:rPr>
        <w:t> </w:t>
      </w:r>
      <w:r>
        <w:rPr>
          <w:rFonts w:ascii="Arial" w:hAnsi="Arial"/>
          <w:i/>
        </w:rPr>
        <w:t>EWHC</w:t>
      </w:r>
      <w:r>
        <w:rPr>
          <w:rFonts w:ascii="Arial" w:hAnsi="Arial"/>
          <w:i/>
          <w:spacing w:val="39"/>
        </w:rPr>
        <w:t> </w:t>
      </w:r>
      <w:r>
        <w:rPr/>
        <w:t>(below,</w:t>
      </w:r>
      <w:r>
        <w:rPr>
          <w:spacing w:val="40"/>
        </w:rPr>
        <w:t> </w:t>
      </w:r>
      <w:r>
        <w:rPr/>
        <w:t>para.2-121), where the fact that no settlement date had been agreed did not prevent the conclusion of </w:t>
      </w:r>
      <w:r>
        <w:rPr/>
        <w:t>a contract</w:t>
      </w:r>
      <w:r>
        <w:rPr>
          <w:spacing w:val="-2"/>
        </w:rPr>
        <w:t> </w:t>
      </w:r>
      <w:r>
        <w:rPr/>
        <w:t>since,</w:t>
      </w:r>
      <w:r>
        <w:rPr>
          <w:spacing w:val="-2"/>
        </w:rPr>
        <w:t> </w:t>
      </w:r>
      <w:r>
        <w:rPr/>
        <w:t>in</w:t>
      </w:r>
      <w:r>
        <w:rPr>
          <w:spacing w:val="-2"/>
        </w:rPr>
        <w:t> </w:t>
      </w:r>
      <w:r>
        <w:rPr/>
        <w:t>the</w:t>
      </w:r>
      <w:r>
        <w:rPr>
          <w:spacing w:val="-2"/>
        </w:rPr>
        <w:t> </w:t>
      </w:r>
      <w:r>
        <w:rPr/>
        <w:t>absence</w:t>
      </w:r>
      <w:r>
        <w:rPr>
          <w:spacing w:val="-2"/>
        </w:rPr>
        <w:t> </w:t>
      </w:r>
      <w:r>
        <w:rPr/>
        <w:t>of</w:t>
      </w:r>
      <w:r>
        <w:rPr>
          <w:spacing w:val="-2"/>
        </w:rPr>
        <w:t> </w:t>
      </w:r>
      <w:r>
        <w:rPr/>
        <w:t>express</w:t>
      </w:r>
      <w:r>
        <w:rPr>
          <w:spacing w:val="-2"/>
        </w:rPr>
        <w:t> </w:t>
      </w:r>
      <w:r>
        <w:rPr/>
        <w:t>agreement</w:t>
      </w:r>
      <w:r>
        <w:rPr>
          <w:spacing w:val="-2"/>
        </w:rPr>
        <w:t> </w:t>
      </w:r>
      <w:r>
        <w:rPr/>
        <w:t>on</w:t>
      </w:r>
      <w:r>
        <w:rPr>
          <w:spacing w:val="-2"/>
        </w:rPr>
        <w:t> </w:t>
      </w:r>
      <w:r>
        <w:rPr/>
        <w:t>this</w:t>
      </w:r>
      <w:r>
        <w:rPr>
          <w:spacing w:val="-2"/>
        </w:rPr>
        <w:t> </w:t>
      </w:r>
      <w:r>
        <w:rPr/>
        <w:t>point,</w:t>
      </w:r>
      <w:r>
        <w:rPr>
          <w:spacing w:val="-2"/>
        </w:rPr>
        <w:t> </w:t>
      </w:r>
      <w:r>
        <w:rPr/>
        <w:t>there</w:t>
      </w:r>
      <w:r>
        <w:rPr>
          <w:spacing w:val="-2"/>
        </w:rPr>
        <w:t> </w:t>
      </w:r>
      <w:r>
        <w:rPr/>
        <w:t>was</w:t>
      </w:r>
      <w:r>
        <w:rPr>
          <w:spacing w:val="-2"/>
        </w:rPr>
        <w:t> </w:t>
      </w:r>
      <w:r>
        <w:rPr/>
        <w:t>“an</w:t>
      </w:r>
      <w:r>
        <w:rPr>
          <w:spacing w:val="-2"/>
        </w:rPr>
        <w:t> </w:t>
      </w:r>
      <w:r>
        <w:rPr/>
        <w:t>implied</w:t>
      </w:r>
      <w:r>
        <w:rPr>
          <w:spacing w:val="-2"/>
        </w:rPr>
        <w:t> </w:t>
      </w:r>
      <w:r>
        <w:rPr/>
        <w:t>term</w:t>
      </w:r>
      <w:r>
        <w:rPr>
          <w:spacing w:val="-2"/>
        </w:rPr>
        <w:t> </w:t>
      </w:r>
      <w:r>
        <w:rPr/>
        <w:t>of the agreement that the parties would execute it within a reasonable time” (at [164]; cf. at [169]).</w:t>
      </w:r>
    </w:p>
    <w:p>
      <w:pPr>
        <w:pStyle w:val="BodyText"/>
        <w:spacing w:before="9"/>
      </w:pPr>
    </w:p>
    <w:p>
      <w:pPr>
        <w:spacing w:line="235" w:lineRule="auto" w:before="0"/>
        <w:ind w:left="705" w:right="167" w:hanging="541"/>
        <w:jc w:val="both"/>
        <w:rPr>
          <w:sz w:val="20"/>
        </w:rPr>
      </w:pPr>
      <w:bookmarkStart w:name="_bookmark1339" w:id="1341"/>
      <w:bookmarkEnd w:id="1341"/>
      <w:r>
        <w:rPr/>
      </w:r>
      <w:hyperlink w:history="true" w:anchor="_bookmark1140">
        <w:r>
          <w:rPr>
            <w:color w:val="005DA1"/>
            <w:position w:val="5"/>
            <w:sz w:val="14"/>
            <w:u w:val="single" w:color="005DA1"/>
          </w:rPr>
          <w:t>605</w:t>
        </w:r>
      </w:hyperlink>
      <w:r>
        <w:rPr>
          <w:position w:val="5"/>
          <w:sz w:val="14"/>
        </w:rPr>
        <w:t>.</w:t>
      </w:r>
      <w:r>
        <w:rPr>
          <w:spacing w:val="40"/>
          <w:position w:val="5"/>
          <w:sz w:val="14"/>
        </w:rPr>
        <w:t>  </w:t>
      </w:r>
      <w:r>
        <w:rPr>
          <w:sz w:val="20"/>
        </w:rPr>
        <w:t>cf. at common law, </w:t>
      </w:r>
      <w:r>
        <w:rPr>
          <w:rFonts w:ascii="Arial" w:hAnsi="Arial"/>
          <w:i/>
          <w:sz w:val="20"/>
        </w:rPr>
        <w:t>Way v Latilla [1937] 3 All E.R. 759</w:t>
      </w:r>
      <w:r>
        <w:rPr>
          <w:sz w:val="20"/>
        </w:rPr>
        <w:t>; </w:t>
      </w:r>
      <w:r>
        <w:rPr>
          <w:rFonts w:ascii="Arial" w:hAnsi="Arial"/>
          <w:i/>
          <w:sz w:val="20"/>
        </w:rPr>
        <w:t>Furmans Electrical Contractors Ltd v Elecref Ltd [2009] EWCA Civ 170 </w:t>
      </w:r>
      <w:r>
        <w:rPr>
          <w:sz w:val="20"/>
        </w:rPr>
        <w:t>at [32], where the claim was described as “not strictly </w:t>
      </w:r>
      <w:r>
        <w:rPr>
          <w:sz w:val="20"/>
        </w:rPr>
        <w:t>a quantum meruit claim”, presumably because it arose </w:t>
      </w:r>
      <w:r>
        <w:rPr>
          <w:rFonts w:ascii="Arial" w:hAnsi="Arial"/>
          <w:i/>
          <w:sz w:val="20"/>
        </w:rPr>
        <w:t>under </w:t>
      </w:r>
      <w:r>
        <w:rPr>
          <w:sz w:val="20"/>
        </w:rPr>
        <w:t>a contract and not (as in the situations discussed at nn.591–593 below) in spite of the absence of one; and see, as to</w:t>
      </w:r>
      <w:r>
        <w:rPr>
          <w:spacing w:val="40"/>
          <w:sz w:val="20"/>
        </w:rPr>
        <w:t> </w:t>
      </w:r>
      <w:r>
        <w:rPr>
          <w:sz w:val="20"/>
        </w:rPr>
        <w:t>agents’ commissions, </w:t>
      </w:r>
      <w:r>
        <w:rPr>
          <w:rFonts w:ascii="Arial" w:hAnsi="Arial"/>
          <w:i/>
          <w:sz w:val="20"/>
        </w:rPr>
        <w:t>British Bank of Foreign Trade v Novinex [1949] 1 K.B. 623</w:t>
      </w:r>
      <w:r>
        <w:rPr>
          <w:sz w:val="20"/>
        </w:rPr>
        <w:t>; </w:t>
      </w:r>
      <w:r>
        <w:rPr>
          <w:rFonts w:ascii="Arial" w:hAnsi="Arial"/>
          <w:i/>
          <w:sz w:val="20"/>
        </w:rPr>
        <w:t>Powell v Braun [1954] 1 W.L.R. 401</w:t>
      </w:r>
      <w:r>
        <w:rPr>
          <w:sz w:val="20"/>
        </w:rPr>
        <w:t>.</w:t>
      </w:r>
    </w:p>
    <w:p>
      <w:pPr>
        <w:pStyle w:val="BodyText"/>
        <w:spacing w:before="7"/>
      </w:pPr>
    </w:p>
    <w:p>
      <w:pPr>
        <w:spacing w:line="235" w:lineRule="auto" w:before="1"/>
        <w:ind w:left="705" w:right="168" w:hanging="541"/>
        <w:jc w:val="both"/>
        <w:rPr>
          <w:rFonts w:ascii="Arial"/>
          <w:i/>
          <w:sz w:val="20"/>
        </w:rPr>
      </w:pPr>
      <w:bookmarkStart w:name="_bookmark1340" w:id="1342"/>
      <w:bookmarkEnd w:id="1342"/>
      <w:r>
        <w:rPr/>
      </w:r>
      <w:hyperlink w:history="true" w:anchor="_bookmark1141">
        <w:r>
          <w:rPr>
            <w:color w:val="005DA1"/>
            <w:position w:val="5"/>
            <w:sz w:val="14"/>
            <w:u w:val="single" w:color="005DA1"/>
          </w:rPr>
          <w:t>606</w:t>
        </w:r>
      </w:hyperlink>
      <w:r>
        <w:rPr>
          <w:position w:val="5"/>
          <w:sz w:val="14"/>
        </w:rPr>
        <w:t>.</w:t>
      </w:r>
      <w:r>
        <w:rPr>
          <w:spacing w:val="80"/>
          <w:position w:val="5"/>
          <w:sz w:val="14"/>
        </w:rPr>
        <w:t>  </w:t>
      </w:r>
      <w:r>
        <w:rPr>
          <w:sz w:val="20"/>
        </w:rPr>
        <w:t>e.g. </w:t>
      </w:r>
      <w:r>
        <w:rPr>
          <w:rFonts w:ascii="Arial"/>
          <w:i/>
          <w:sz w:val="20"/>
        </w:rPr>
        <w:t>May &amp; Butcher v R. [1934] 2 K.B. 17</w:t>
      </w:r>
      <w:r>
        <w:rPr>
          <w:sz w:val="20"/>
        </w:rPr>
        <w:t>, below, para.2-133; </w:t>
      </w:r>
      <w:r>
        <w:rPr>
          <w:rFonts w:ascii="Arial"/>
          <w:i/>
          <w:sz w:val="20"/>
        </w:rPr>
        <w:t>Courtney &amp; Fairbairn Ltd v </w:t>
      </w:r>
      <w:r>
        <w:rPr>
          <w:rFonts w:ascii="Arial"/>
          <w:i/>
          <w:sz w:val="20"/>
        </w:rPr>
        <w:t>Tolaini Bros</w:t>
      </w:r>
      <w:r>
        <w:rPr>
          <w:rFonts w:ascii="Arial"/>
          <w:i/>
          <w:spacing w:val="26"/>
          <w:sz w:val="20"/>
        </w:rPr>
        <w:t> </w:t>
      </w:r>
      <w:r>
        <w:rPr>
          <w:rFonts w:ascii="Arial"/>
          <w:i/>
          <w:sz w:val="20"/>
        </w:rPr>
        <w:t>(Hotels)</w:t>
      </w:r>
      <w:r>
        <w:rPr>
          <w:rFonts w:ascii="Arial"/>
          <w:i/>
          <w:spacing w:val="27"/>
          <w:sz w:val="20"/>
        </w:rPr>
        <w:t> </w:t>
      </w:r>
      <w:r>
        <w:rPr>
          <w:rFonts w:ascii="Arial"/>
          <w:i/>
          <w:sz w:val="20"/>
        </w:rPr>
        <w:t>Ltd</w:t>
      </w:r>
      <w:r>
        <w:rPr>
          <w:rFonts w:ascii="Arial"/>
          <w:i/>
          <w:spacing w:val="27"/>
          <w:sz w:val="20"/>
        </w:rPr>
        <w:t> </w:t>
      </w:r>
      <w:r>
        <w:rPr>
          <w:rFonts w:ascii="Arial"/>
          <w:i/>
          <w:sz w:val="20"/>
        </w:rPr>
        <w:t>[1975]</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297</w:t>
      </w:r>
      <w:r>
        <w:rPr>
          <w:sz w:val="20"/>
        </w:rPr>
        <w:t>;</w:t>
      </w:r>
      <w:r>
        <w:rPr>
          <w:spacing w:val="27"/>
          <w:sz w:val="20"/>
        </w:rPr>
        <w:t> </w:t>
      </w:r>
      <w:r>
        <w:rPr>
          <w:sz w:val="20"/>
        </w:rPr>
        <w:t>Dugdale</w:t>
      </w:r>
      <w:r>
        <w:rPr>
          <w:spacing w:val="27"/>
          <w:sz w:val="20"/>
        </w:rPr>
        <w:t> </w:t>
      </w:r>
      <w:r>
        <w:rPr>
          <w:sz w:val="20"/>
        </w:rPr>
        <w:t>and</w:t>
      </w:r>
      <w:r>
        <w:rPr>
          <w:spacing w:val="27"/>
          <w:sz w:val="20"/>
        </w:rPr>
        <w:t> </w:t>
      </w:r>
      <w:r>
        <w:rPr>
          <w:sz w:val="20"/>
        </w:rPr>
        <w:t>Lowe</w:t>
      </w:r>
      <w:r>
        <w:rPr>
          <w:spacing w:val="27"/>
          <w:sz w:val="20"/>
        </w:rPr>
        <w:t> </w:t>
      </w:r>
      <w:r>
        <w:rPr>
          <w:sz w:val="20"/>
        </w:rPr>
        <w:t>[1976]</w:t>
      </w:r>
      <w:r>
        <w:rPr>
          <w:spacing w:val="27"/>
          <w:sz w:val="20"/>
        </w:rPr>
        <w:t> </w:t>
      </w:r>
      <w:r>
        <w:rPr>
          <w:sz w:val="20"/>
        </w:rPr>
        <w:t>J.B.L.</w:t>
      </w:r>
      <w:r>
        <w:rPr>
          <w:spacing w:val="27"/>
          <w:sz w:val="20"/>
        </w:rPr>
        <w:t> </w:t>
      </w:r>
      <w:r>
        <w:rPr>
          <w:sz w:val="20"/>
        </w:rPr>
        <w:t>312;</w:t>
      </w:r>
      <w:r>
        <w:rPr>
          <w:spacing w:val="27"/>
          <w:sz w:val="20"/>
        </w:rPr>
        <w:t> </w:t>
      </w:r>
      <w:r>
        <w:rPr>
          <w:rFonts w:ascii="Arial"/>
          <w:i/>
          <w:sz w:val="20"/>
        </w:rPr>
        <w:t>Chamberlain</w:t>
      </w:r>
      <w:r>
        <w:rPr>
          <w:rFonts w:ascii="Arial"/>
          <w:i/>
          <w:spacing w:val="27"/>
          <w:sz w:val="20"/>
        </w:rPr>
        <w:t> </w:t>
      </w:r>
      <w:r>
        <w:rPr>
          <w:rFonts w:ascii="Arial"/>
          <w:i/>
          <w:spacing w:val="-10"/>
          <w:sz w:val="20"/>
        </w:rPr>
        <w:t>v</w:t>
      </w:r>
    </w:p>
    <w:p>
      <w:pPr>
        <w:spacing w:line="235" w:lineRule="auto" w:before="0"/>
        <w:ind w:left="705" w:right="168" w:firstLine="0"/>
        <w:jc w:val="both"/>
        <w:rPr>
          <w:sz w:val="20"/>
        </w:rPr>
      </w:pPr>
      <w:r>
        <w:rPr>
          <w:rFonts w:ascii="Arial" w:hAnsi="Arial"/>
          <w:i/>
          <w:sz w:val="20"/>
        </w:rPr>
        <w:t>Boodle &amp; King [1982] 1 W.L.R. 1443</w:t>
      </w:r>
      <w:r>
        <w:rPr>
          <w:sz w:val="20"/>
        </w:rPr>
        <w:t>; </w:t>
      </w:r>
      <w:r>
        <w:rPr>
          <w:rFonts w:ascii="Arial" w:hAnsi="Arial"/>
          <w:i/>
          <w:sz w:val="20"/>
        </w:rPr>
        <w:t>Pagnan SpA v Granaria BV [1986] 2 Lloyd’s Rep. </w:t>
      </w:r>
      <w:r>
        <w:rPr>
          <w:rFonts w:ascii="Arial" w:hAnsi="Arial"/>
          <w:i/>
          <w:sz w:val="20"/>
        </w:rPr>
        <w:t>547</w:t>
      </w:r>
      <w:r>
        <w:rPr>
          <w:sz w:val="20"/>
        </w:rPr>
        <w:t>; </w:t>
      </w:r>
      <w:r>
        <w:rPr>
          <w:rFonts w:ascii="Arial" w:hAnsi="Arial"/>
          <w:i/>
          <w:sz w:val="20"/>
        </w:rPr>
        <w:t>Russell Bros. (Paddington) Ltd v John Elliott Management Ltd (1995) 11 Const. L.J. 377</w:t>
      </w:r>
      <w:r>
        <w:rPr>
          <w:sz w:val="20"/>
        </w:rPr>
        <w:t>; </w:t>
      </w:r>
      <w:r>
        <w:rPr>
          <w:rFonts w:ascii="Arial" w:hAnsi="Arial"/>
          <w:i/>
          <w:sz w:val="20"/>
        </w:rPr>
        <w:t>Southwark LBC v Logan (1996) 8 Admin. L.R. 315</w:t>
      </w:r>
      <w:r>
        <w:rPr>
          <w:sz w:val="20"/>
        </w:rPr>
        <w:t>.</w:t>
      </w:r>
    </w:p>
    <w:p>
      <w:pPr>
        <w:pStyle w:val="BodyText"/>
        <w:spacing w:before="8"/>
      </w:pPr>
    </w:p>
    <w:p>
      <w:pPr>
        <w:spacing w:line="235" w:lineRule="auto" w:before="0"/>
        <w:ind w:left="705" w:right="167" w:hanging="541"/>
        <w:jc w:val="both"/>
        <w:rPr>
          <w:sz w:val="20"/>
        </w:rPr>
      </w:pPr>
      <w:bookmarkStart w:name="_bookmark1341" w:id="1343"/>
      <w:bookmarkEnd w:id="1343"/>
      <w:r>
        <w:rPr/>
      </w:r>
      <w:hyperlink w:history="true" w:anchor="_bookmark1142">
        <w:r>
          <w:rPr>
            <w:color w:val="005DA1"/>
            <w:position w:val="5"/>
            <w:sz w:val="14"/>
            <w:u w:val="single" w:color="005DA1"/>
          </w:rPr>
          <w:t>607</w:t>
        </w:r>
      </w:hyperlink>
      <w:r>
        <w:rPr>
          <w:position w:val="5"/>
          <w:sz w:val="14"/>
        </w:rPr>
        <w:t>.</w:t>
      </w:r>
      <w:r>
        <w:rPr>
          <w:spacing w:val="40"/>
          <w:position w:val="5"/>
          <w:sz w:val="14"/>
        </w:rPr>
        <w:t>  </w:t>
      </w:r>
      <w:r>
        <w:rPr>
          <w:sz w:val="20"/>
        </w:rPr>
        <w:t>Below, paras 2-218, 29-070 and 29-071. For the availability of a restitutionary remedy where no contract was concluded, see also </w:t>
      </w:r>
      <w:r>
        <w:rPr>
          <w:rFonts w:ascii="Arial"/>
          <w:i/>
          <w:sz w:val="20"/>
        </w:rPr>
        <w:t>Whittle Movers Ltd v Hollywood Express Ltd [2009] </w:t>
      </w:r>
      <w:r>
        <w:rPr>
          <w:rFonts w:ascii="Arial"/>
          <w:i/>
          <w:sz w:val="20"/>
        </w:rPr>
        <w:t>EWCA</w:t>
      </w:r>
      <w:r>
        <w:rPr>
          <w:rFonts w:ascii="Arial"/>
          <w:i/>
          <w:spacing w:val="40"/>
          <w:sz w:val="20"/>
        </w:rPr>
        <w:t> </w:t>
      </w:r>
      <w:r>
        <w:rPr>
          <w:rFonts w:ascii="Arial"/>
          <w:i/>
          <w:sz w:val="20"/>
        </w:rPr>
        <w:t>Civ 1189 </w:t>
      </w:r>
      <w:r>
        <w:rPr>
          <w:sz w:val="20"/>
        </w:rPr>
        <w:t>at [48] (where, for reasons given in paras 2-119 above and 2-123 and 2-169 below, the negotiations did not lead to the conclusion of a contract).</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6288">
            <wp:simplePos x="0" y="0"/>
            <wp:positionH relativeFrom="page">
              <wp:posOffset>1257846</wp:posOffset>
            </wp:positionH>
            <wp:positionV relativeFrom="paragraph">
              <wp:posOffset>160482</wp:posOffset>
            </wp:positionV>
            <wp:extent cx="107988" cy="107988"/>
            <wp:effectExtent l="0" t="0" r="0" b="0"/>
            <wp:wrapNone/>
            <wp:docPr id="113" name="Image 113"/>
            <wp:cNvGraphicFramePr>
              <a:graphicFrameLocks/>
            </wp:cNvGraphicFramePr>
            <a:graphic>
              <a:graphicData uri="http://schemas.openxmlformats.org/drawingml/2006/picture">
                <pic:pic>
                  <pic:nvPicPr>
                    <pic:cNvPr id="113" name="Image 113"/>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42" w:id="1344"/>
      <w:bookmarkEnd w:id="1344"/>
      <w:r>
        <w:rPr/>
      </w:r>
      <w:hyperlink w:history="true" w:anchor="_bookmark1143">
        <w:r>
          <w:rPr>
            <w:color w:val="005DA1"/>
            <w:spacing w:val="-4"/>
            <w:sz w:val="14"/>
            <w:u w:val="single" w:color="005DA1"/>
          </w:rPr>
          <w:t>608</w:t>
        </w:r>
      </w:hyperlink>
      <w:r>
        <w:rPr>
          <w:spacing w:val="-4"/>
          <w:sz w:val="14"/>
        </w:rPr>
        <w:t>.</w:t>
      </w:r>
    </w:p>
    <w:p>
      <w:pPr>
        <w:spacing w:line="235" w:lineRule="auto" w:before="212"/>
        <w:ind w:left="165" w:right="167" w:firstLine="170"/>
        <w:jc w:val="both"/>
        <w:rPr>
          <w:sz w:val="20"/>
        </w:rPr>
      </w:pPr>
      <w:r>
        <w:rPr/>
        <w:br w:type="column"/>
      </w:r>
      <w:r>
        <w:rPr>
          <w:rFonts w:ascii="Arial" w:hAnsi="Arial"/>
          <w:i/>
          <w:sz w:val="20"/>
        </w:rPr>
        <w:t>Cobbe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Yeoman’s</w:t>
      </w:r>
      <w:r>
        <w:rPr>
          <w:rFonts w:ascii="Arial" w:hAnsi="Arial"/>
          <w:i/>
          <w:spacing w:val="-2"/>
          <w:sz w:val="20"/>
        </w:rPr>
        <w:t> </w:t>
      </w:r>
      <w:r>
        <w:rPr>
          <w:rFonts w:ascii="Arial" w:hAnsi="Arial"/>
          <w:i/>
          <w:sz w:val="20"/>
        </w:rPr>
        <w:t>Row</w:t>
      </w:r>
      <w:r>
        <w:rPr>
          <w:rFonts w:ascii="Arial" w:hAnsi="Arial"/>
          <w:i/>
          <w:spacing w:val="-2"/>
          <w:sz w:val="20"/>
        </w:rPr>
        <w:t> </w:t>
      </w:r>
      <w:r>
        <w:rPr>
          <w:rFonts w:ascii="Arial" w:hAnsi="Arial"/>
          <w:i/>
          <w:sz w:val="20"/>
        </w:rPr>
        <w:t>Management</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UKHL</w:t>
      </w:r>
      <w:r>
        <w:rPr>
          <w:rFonts w:ascii="Arial" w:hAnsi="Arial"/>
          <w:i/>
          <w:spacing w:val="-2"/>
          <w:sz w:val="20"/>
        </w:rPr>
        <w:t> </w:t>
      </w:r>
      <w:r>
        <w:rPr>
          <w:rFonts w:ascii="Arial" w:hAnsi="Arial"/>
          <w:i/>
          <w:sz w:val="20"/>
        </w:rPr>
        <w:t>55,</w:t>
      </w:r>
      <w:r>
        <w:rPr>
          <w:rFonts w:ascii="Arial" w:hAnsi="Arial"/>
          <w:i/>
          <w:spacing w:val="-2"/>
          <w:sz w:val="20"/>
        </w:rPr>
        <w:t> </w:t>
      </w:r>
      <w:r>
        <w:rPr>
          <w:rFonts w:ascii="Arial" w:hAnsi="Arial"/>
          <w:i/>
          <w:sz w:val="20"/>
        </w:rPr>
        <w:t>[2008]</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1752</w:t>
      </w:r>
      <w:r>
        <w:rPr>
          <w:rFonts w:ascii="Arial" w:hAnsi="Arial"/>
          <w:i/>
          <w:spacing w:val="-3"/>
          <w:sz w:val="20"/>
        </w:rPr>
        <w:t> </w:t>
      </w:r>
      <w:r>
        <w:rPr>
          <w:sz w:val="20"/>
        </w:rPr>
        <w:t>at</w:t>
      </w:r>
      <w:r>
        <w:rPr>
          <w:spacing w:val="-2"/>
          <w:sz w:val="20"/>
        </w:rPr>
        <w:t> </w:t>
      </w:r>
      <w:r>
        <w:rPr>
          <w:sz w:val="20"/>
        </w:rPr>
        <w:t>[40]–[45], [93]. In </w:t>
      </w:r>
      <w:r>
        <w:rPr>
          <w:rFonts w:ascii="Arial" w:hAnsi="Arial"/>
          <w:i/>
          <w:sz w:val="20"/>
        </w:rPr>
        <w:t>Hughes v Pendragon Sabre Ltd (t/a Porche Centre Bolton) [2016] EWCA Civ 18 </w:t>
      </w:r>
      <w:r>
        <w:rPr>
          <w:sz w:val="20"/>
        </w:rPr>
        <w:t>the Court of Appeal held that a customer had entered into a binding contract with a car </w:t>
      </w:r>
      <w:r>
        <w:rPr>
          <w:sz w:val="20"/>
        </w:rPr>
        <w:t>dealership</w:t>
      </w:r>
      <w:r>
        <w:rPr>
          <w:spacing w:val="40"/>
          <w:sz w:val="20"/>
        </w:rPr>
        <w:t> </w:t>
      </w:r>
      <w:r>
        <w:rPr>
          <w:sz w:val="20"/>
        </w:rPr>
        <w:t>to buy a limited edition Porsche, even though the contract did not stipulate the price, specification</w:t>
      </w:r>
      <w:r>
        <w:rPr>
          <w:spacing w:val="-1"/>
          <w:sz w:val="20"/>
        </w:rPr>
        <w:t> </w:t>
      </w:r>
      <w:r>
        <w:rPr>
          <w:sz w:val="20"/>
        </w:rPr>
        <w:t>or</w:t>
      </w:r>
      <w:r>
        <w:rPr>
          <w:spacing w:val="-1"/>
          <w:sz w:val="20"/>
        </w:rPr>
        <w:t> </w:t>
      </w:r>
      <w:r>
        <w:rPr>
          <w:sz w:val="20"/>
        </w:rPr>
        <w:t>delivery</w:t>
      </w:r>
      <w:r>
        <w:rPr>
          <w:spacing w:val="-1"/>
          <w:sz w:val="20"/>
        </w:rPr>
        <w:t> </w:t>
      </w:r>
      <w:r>
        <w:rPr>
          <w:sz w:val="20"/>
        </w:rPr>
        <w:t>date</w:t>
      </w:r>
      <w:r>
        <w:rPr>
          <w:spacing w:val="-1"/>
          <w:sz w:val="20"/>
        </w:rPr>
        <w:t> </w:t>
      </w:r>
      <w:r>
        <w:rPr>
          <w:sz w:val="20"/>
        </w:rPr>
        <w:t>of</w:t>
      </w:r>
      <w:r>
        <w:rPr>
          <w:spacing w:val="-1"/>
          <w:sz w:val="20"/>
        </w:rPr>
        <w:t> </w:t>
      </w:r>
      <w:r>
        <w:rPr>
          <w:sz w:val="20"/>
        </w:rPr>
        <w:t>the</w:t>
      </w:r>
      <w:r>
        <w:rPr>
          <w:spacing w:val="-1"/>
          <w:sz w:val="20"/>
        </w:rPr>
        <w:t> </w:t>
      </w:r>
      <w:r>
        <w:rPr>
          <w:sz w:val="20"/>
        </w:rPr>
        <w:t>vehicle.</w:t>
      </w:r>
      <w:r>
        <w:rPr>
          <w:spacing w:val="-1"/>
          <w:sz w:val="20"/>
        </w:rPr>
        <w:t> </w:t>
      </w:r>
      <w:r>
        <w:rPr>
          <w:sz w:val="20"/>
        </w:rPr>
        <w:t>These</w:t>
      </w:r>
      <w:r>
        <w:rPr>
          <w:spacing w:val="-1"/>
          <w:sz w:val="20"/>
        </w:rPr>
        <w:t> </w:t>
      </w:r>
      <w:r>
        <w:rPr>
          <w:sz w:val="20"/>
        </w:rPr>
        <w:t>could</w:t>
      </w:r>
      <w:r>
        <w:rPr>
          <w:spacing w:val="-1"/>
          <w:sz w:val="20"/>
        </w:rPr>
        <w:t> </w:t>
      </w:r>
      <w:r>
        <w:rPr>
          <w:sz w:val="20"/>
        </w:rPr>
        <w:t>be</w:t>
      </w:r>
      <w:r>
        <w:rPr>
          <w:spacing w:val="-1"/>
          <w:sz w:val="20"/>
        </w:rPr>
        <w:t> </w:t>
      </w:r>
      <w:r>
        <w:rPr>
          <w:sz w:val="20"/>
        </w:rPr>
        <w:t>resolved</w:t>
      </w:r>
      <w:r>
        <w:rPr>
          <w:spacing w:val="-1"/>
          <w:sz w:val="20"/>
        </w:rPr>
        <w:t> </w:t>
      </w:r>
      <w:r>
        <w:rPr>
          <w:sz w:val="20"/>
        </w:rPr>
        <w:t>by</w:t>
      </w:r>
      <w:r>
        <w:rPr>
          <w:spacing w:val="-1"/>
          <w:sz w:val="20"/>
        </w:rPr>
        <w:t> </w:t>
      </w:r>
      <w:r>
        <w:rPr>
          <w:sz w:val="20"/>
        </w:rPr>
        <w:t>reference</w:t>
      </w:r>
      <w:r>
        <w:rPr>
          <w:spacing w:val="-1"/>
          <w:sz w:val="20"/>
        </w:rPr>
        <w:t> </w:t>
      </w:r>
      <w:r>
        <w:rPr>
          <w:sz w:val="20"/>
        </w:rPr>
        <w:t>to</w:t>
      </w:r>
      <w:r>
        <w:rPr>
          <w:spacing w:val="-1"/>
          <w:sz w:val="20"/>
        </w:rPr>
        <w:t> </w:t>
      </w:r>
      <w:r>
        <w:rPr>
          <w:sz w:val="20"/>
        </w:rPr>
        <w:t>the</w:t>
      </w:r>
      <w:r>
        <w:rPr>
          <w:spacing w:val="-1"/>
          <w:sz w:val="20"/>
        </w:rPr>
        <w:t> </w:t>
      </w:r>
      <w:r>
        <w:rPr>
          <w:sz w:val="20"/>
        </w:rPr>
        <w:t>Sale</w:t>
      </w:r>
      <w:r>
        <w:rPr>
          <w:spacing w:val="-1"/>
          <w:sz w:val="20"/>
        </w:rPr>
        <w:t> </w:t>
      </w:r>
      <w:r>
        <w:rPr>
          <w:sz w:val="20"/>
        </w:rPr>
        <w:t>of Goods Act 1979.</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line="235" w:lineRule="auto" w:before="170"/>
        <w:ind w:left="705" w:right="167" w:hanging="541"/>
        <w:jc w:val="both"/>
      </w:pPr>
      <w:hyperlink w:history="true" w:anchor="_bookmark1144">
        <w:r>
          <w:rPr>
            <w:color w:val="005DA1"/>
            <w:position w:val="5"/>
            <w:sz w:val="14"/>
            <w:u w:val="single" w:color="005DA1"/>
          </w:rPr>
          <w:t>609</w:t>
        </w:r>
      </w:hyperlink>
      <w:r>
        <w:rPr>
          <w:position w:val="5"/>
          <w:sz w:val="14"/>
        </w:rPr>
        <w:t>.</w:t>
      </w:r>
      <w:r>
        <w:rPr>
          <w:spacing w:val="80"/>
          <w:position w:val="5"/>
          <w:sz w:val="14"/>
        </w:rPr>
        <w:t>  </w:t>
      </w:r>
      <w:r>
        <w:rPr/>
        <w:t>For</w:t>
      </w:r>
      <w:r>
        <w:rPr>
          <w:spacing w:val="-1"/>
        </w:rPr>
        <w:t> </w:t>
      </w:r>
      <w:r>
        <w:rPr/>
        <w:t>the</w:t>
      </w:r>
      <w:r>
        <w:rPr>
          <w:spacing w:val="-1"/>
        </w:rPr>
        <w:t> </w:t>
      </w:r>
      <w:r>
        <w:rPr/>
        <w:t>distinction</w:t>
      </w:r>
      <w:r>
        <w:rPr>
          <w:spacing w:val="-1"/>
        </w:rPr>
        <w:t> </w:t>
      </w:r>
      <w:r>
        <w:rPr/>
        <w:t>between</w:t>
      </w:r>
      <w:r>
        <w:rPr>
          <w:spacing w:val="-1"/>
        </w:rPr>
        <w:t> </w:t>
      </w:r>
      <w:r>
        <w:rPr/>
        <w:t>cases</w:t>
      </w:r>
      <w:r>
        <w:rPr>
          <w:spacing w:val="-1"/>
        </w:rPr>
        <w:t> </w:t>
      </w:r>
      <w:r>
        <w:rPr/>
        <w:t>in</w:t>
      </w:r>
      <w:r>
        <w:rPr>
          <w:spacing w:val="-1"/>
        </w:rPr>
        <w:t> </w:t>
      </w:r>
      <w:r>
        <w:rPr/>
        <w:t>which</w:t>
      </w:r>
      <w:r>
        <w:rPr>
          <w:spacing w:val="-1"/>
        </w:rPr>
        <w:t> </w:t>
      </w:r>
      <w:r>
        <w:rPr/>
        <w:t>a</w:t>
      </w:r>
      <w:r>
        <w:rPr>
          <w:spacing w:val="-1"/>
        </w:rPr>
        <w:t> </w:t>
      </w:r>
      <w:r>
        <w:rPr/>
        <w:t>claim</w:t>
      </w:r>
      <w:r>
        <w:rPr>
          <w:spacing w:val="-1"/>
        </w:rPr>
        <w:t> </w:t>
      </w:r>
      <w:r>
        <w:rPr/>
        <w:t>for</w:t>
      </w:r>
      <w:r>
        <w:rPr>
          <w:spacing w:val="-1"/>
        </w:rPr>
        <w:t> </w:t>
      </w:r>
      <w:r>
        <w:rPr/>
        <w:t>a</w:t>
      </w:r>
      <w:r>
        <w:rPr>
          <w:spacing w:val="-1"/>
        </w:rPr>
        <w:t> </w:t>
      </w:r>
      <w:r>
        <w:rPr/>
        <w:t>reasonable</w:t>
      </w:r>
      <w:r>
        <w:rPr>
          <w:spacing w:val="-1"/>
        </w:rPr>
        <w:t> </w:t>
      </w:r>
      <w:r>
        <w:rPr/>
        <w:t>sum</w:t>
      </w:r>
      <w:r>
        <w:rPr>
          <w:spacing w:val="-1"/>
        </w:rPr>
        <w:t> </w:t>
      </w:r>
      <w:r>
        <w:rPr/>
        <w:t>arises</w:t>
      </w:r>
      <w:r>
        <w:rPr>
          <w:spacing w:val="-2"/>
        </w:rPr>
        <w:t> </w:t>
      </w:r>
      <w:r>
        <w:rPr>
          <w:rFonts w:ascii="Arial" w:hAnsi="Arial"/>
          <w:i/>
        </w:rPr>
        <w:t>under</w:t>
      </w:r>
      <w:r>
        <w:rPr>
          <w:rFonts w:ascii="Arial" w:hAnsi="Arial"/>
          <w:i/>
          <w:spacing w:val="-1"/>
        </w:rPr>
        <w:t> </w:t>
      </w:r>
      <w:r>
        <w:rPr/>
        <w:t>a</w:t>
      </w:r>
      <w:r>
        <w:rPr>
          <w:spacing w:val="-1"/>
        </w:rPr>
        <w:t> </w:t>
      </w:r>
      <w:r>
        <w:rPr/>
        <w:t>contract in spite of failure to agree on details and cases in which such a claim arises on restitutionary principles in spite of the fact that</w:t>
      </w:r>
      <w:r>
        <w:rPr>
          <w:spacing w:val="-1"/>
        </w:rPr>
        <w:t> </w:t>
      </w:r>
      <w:r>
        <w:rPr>
          <w:rFonts w:ascii="Arial" w:hAnsi="Arial"/>
          <w:i/>
        </w:rPr>
        <w:t>no </w:t>
      </w:r>
      <w:r>
        <w:rPr/>
        <w:t>contract was formed because of the parties’ failure to </w:t>
      </w:r>
      <w:r>
        <w:rPr/>
        <w:t>reach a sufficient measure of agreement, see </w:t>
      </w:r>
      <w:r>
        <w:rPr>
          <w:rFonts w:ascii="Arial" w:hAnsi="Arial"/>
          <w:i/>
        </w:rPr>
        <w:t>Benourad v Compass Group Plc [2010] EWHC 1182 (QB) </w:t>
      </w:r>
      <w:r>
        <w:rPr/>
        <w:t>at [106(g) to (l)]. In that case, Beatson J. concluded that, while in principle such a restitutionary claim might be available, there was no evidence on which he could determine its amount (see at [132], [134] and [135]). Contrast </w:t>
      </w:r>
      <w:r>
        <w:rPr>
          <w:rFonts w:ascii="Arial" w:hAnsi="Arial"/>
          <w:i/>
        </w:rPr>
        <w:t>Haden Young v Laing O’Rourke Midlands Ltd [2008] EWHC 1016 (TCC)</w:t>
      </w:r>
      <w:r>
        <w:rPr/>
        <w:t>, allowing a restitutionary claim of the kind here described where</w:t>
      </w:r>
      <w:r>
        <w:rPr>
          <w:spacing w:val="40"/>
        </w:rPr>
        <w:t> </w:t>
      </w:r>
      <w:r>
        <w:rPr/>
        <w:t>work had been done in anticipation of a contract which, for reasons given in paras 2-119 above and 2-123 below, never came into existence.</w:t>
      </w:r>
    </w:p>
    <w:p>
      <w:pPr>
        <w:pStyle w:val="BodyText"/>
        <w:spacing w:before="2"/>
      </w:pPr>
    </w:p>
    <w:p>
      <w:pPr>
        <w:tabs>
          <w:tab w:pos="705" w:val="left" w:leader="none"/>
        </w:tabs>
        <w:spacing w:before="1"/>
        <w:ind w:left="165" w:right="0" w:firstLine="0"/>
        <w:jc w:val="left"/>
        <w:rPr>
          <w:sz w:val="20"/>
        </w:rPr>
      </w:pPr>
      <w:bookmarkStart w:name="_bookmark1343" w:id="1345"/>
      <w:bookmarkEnd w:id="1345"/>
      <w:r>
        <w:rPr/>
      </w:r>
      <w:hyperlink w:history="true" w:anchor="_bookmark1145">
        <w:r>
          <w:rPr>
            <w:color w:val="005DA1"/>
            <w:spacing w:val="-4"/>
            <w:position w:val="5"/>
            <w:sz w:val="14"/>
            <w:u w:val="single" w:color="005DA1"/>
          </w:rPr>
          <w:t>610</w:t>
        </w:r>
      </w:hyperlink>
      <w:r>
        <w:rPr>
          <w:spacing w:val="-4"/>
          <w:position w:val="5"/>
          <w:sz w:val="14"/>
        </w:rPr>
        <w:t>.</w:t>
      </w:r>
      <w:r>
        <w:rPr>
          <w:position w:val="5"/>
          <w:sz w:val="14"/>
        </w:rPr>
        <w:tab/>
      </w:r>
      <w:r>
        <w:rPr>
          <w:rFonts w:ascii="Arial"/>
          <w:i/>
          <w:sz w:val="20"/>
        </w:rPr>
        <w:t>B.S.C. v Cleveland Bridge &amp; Engineering Co Ltd [1984] 1 All E.R. </w:t>
      </w:r>
      <w:r>
        <w:rPr>
          <w:rFonts w:ascii="Arial"/>
          <w:i/>
          <w:spacing w:val="-4"/>
          <w:sz w:val="20"/>
        </w:rPr>
        <w:t>504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44" w:id="1346"/>
      <w:bookmarkEnd w:id="1346"/>
      <w:r>
        <w:rPr/>
      </w:r>
      <w:hyperlink w:history="true" w:anchor="_bookmark1146">
        <w:r>
          <w:rPr>
            <w:color w:val="005DA1"/>
            <w:spacing w:val="-4"/>
            <w:position w:val="5"/>
            <w:sz w:val="14"/>
            <w:u w:val="single" w:color="005DA1"/>
          </w:rPr>
          <w:t>611</w:t>
        </w:r>
      </w:hyperlink>
      <w:r>
        <w:rPr>
          <w:spacing w:val="-4"/>
          <w:position w:val="5"/>
          <w:sz w:val="14"/>
        </w:rPr>
        <w:t>.</w:t>
      </w:r>
      <w:r>
        <w:rPr>
          <w:position w:val="5"/>
          <w:sz w:val="14"/>
        </w:rPr>
        <w:tab/>
      </w:r>
      <w:r>
        <w:rPr>
          <w:rFonts w:ascii="Arial"/>
          <w:i/>
          <w:sz w:val="20"/>
        </w:rPr>
        <w:t>[1916]</w:t>
      </w:r>
      <w:r>
        <w:rPr>
          <w:rFonts w:ascii="Arial"/>
          <w:i/>
          <w:spacing w:val="-1"/>
          <w:sz w:val="20"/>
        </w:rPr>
        <w:t> </w:t>
      </w:r>
      <w:r>
        <w:rPr>
          <w:rFonts w:ascii="Arial"/>
          <w:i/>
          <w:sz w:val="20"/>
        </w:rPr>
        <w:t>2 Ch. 187</w:t>
      </w:r>
      <w:r>
        <w:rPr>
          <w:sz w:val="20"/>
        </w:rPr>
        <w:t>; cf. </w:t>
      </w:r>
      <w:r>
        <w:rPr>
          <w:rFonts w:ascii="Arial"/>
          <w:i/>
          <w:sz w:val="20"/>
        </w:rPr>
        <w:t>Elias v George Sahely &amp; Co (Barbados) Ltd [1982] 3 All E.R. </w:t>
      </w:r>
      <w:r>
        <w:rPr>
          <w:rFonts w:ascii="Arial"/>
          <w:i/>
          <w:spacing w:val="-4"/>
          <w:sz w:val="20"/>
        </w:rPr>
        <w:t>801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45" w:id="1347"/>
      <w:bookmarkEnd w:id="1347"/>
      <w:r>
        <w:rPr/>
      </w:r>
      <w:hyperlink w:history="true" w:anchor="_bookmark1147">
        <w:r>
          <w:rPr>
            <w:color w:val="005DA1"/>
            <w:spacing w:val="-4"/>
            <w:position w:val="5"/>
            <w:sz w:val="14"/>
            <w:u w:val="single" w:color="005DA1"/>
          </w:rPr>
          <w:t>612</w:t>
        </w:r>
      </w:hyperlink>
      <w:r>
        <w:rPr>
          <w:spacing w:val="-4"/>
          <w:position w:val="5"/>
          <w:sz w:val="14"/>
        </w:rPr>
        <w:t>.</w:t>
      </w:r>
      <w:r>
        <w:rPr>
          <w:position w:val="5"/>
          <w:sz w:val="14"/>
        </w:rPr>
        <w:tab/>
      </w:r>
      <w:r>
        <w:rPr>
          <w:sz w:val="20"/>
        </w:rPr>
        <w:t>cf.</w:t>
      </w:r>
      <w:r>
        <w:rPr>
          <w:spacing w:val="-2"/>
          <w:sz w:val="20"/>
        </w:rPr>
        <w:t> </w:t>
      </w:r>
      <w:r>
        <w:rPr>
          <w:rFonts w:ascii="Arial"/>
          <w:i/>
          <w:sz w:val="20"/>
        </w:rPr>
        <w:t>Storer v Manchester City Council [1974] 1 W.L.R. </w:t>
      </w:r>
      <w:r>
        <w:rPr>
          <w:rFonts w:ascii="Arial"/>
          <w:i/>
          <w:spacing w:val="-2"/>
          <w:sz w:val="20"/>
        </w:rPr>
        <w:t>1403</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346" w:id="1348"/>
      <w:bookmarkEnd w:id="1348"/>
      <w:r>
        <w:rPr/>
      </w:r>
      <w:hyperlink w:history="true" w:anchor="_bookmark1148">
        <w:r>
          <w:rPr>
            <w:color w:val="005DA1"/>
            <w:spacing w:val="-4"/>
            <w:position w:val="5"/>
            <w:sz w:val="14"/>
            <w:u w:val="single" w:color="005DA1"/>
          </w:rPr>
          <w:t>613</w:t>
        </w:r>
      </w:hyperlink>
      <w:r>
        <w:rPr>
          <w:spacing w:val="-4"/>
          <w:position w:val="5"/>
          <w:sz w:val="14"/>
        </w:rPr>
        <w:t>.</w:t>
      </w:r>
      <w:r>
        <w:rPr>
          <w:position w:val="5"/>
          <w:sz w:val="14"/>
        </w:rPr>
        <w:tab/>
      </w:r>
      <w:r>
        <w:rPr>
          <w:rFonts w:ascii="Arial" w:hAnsi="Arial"/>
          <w:i/>
          <w:sz w:val="20"/>
        </w:rPr>
        <w:t>Pagnan SpA v Feed Products Ltd [1987] 2 Lloyd’s Rep. </w:t>
      </w:r>
      <w:r>
        <w:rPr>
          <w:rFonts w:ascii="Arial" w:hAnsi="Arial"/>
          <w:i/>
          <w:spacing w:val="-4"/>
          <w:sz w:val="20"/>
        </w:rPr>
        <w:t>601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47" w:id="1349"/>
      <w:bookmarkEnd w:id="1349"/>
      <w:r>
        <w:rPr/>
      </w:r>
      <w:hyperlink w:history="true" w:anchor="_bookmark1149">
        <w:r>
          <w:rPr>
            <w:color w:val="005DA1"/>
            <w:spacing w:val="-4"/>
            <w:position w:val="5"/>
            <w:sz w:val="14"/>
            <w:u w:val="single" w:color="005DA1"/>
          </w:rPr>
          <w:t>614</w:t>
        </w:r>
      </w:hyperlink>
      <w:r>
        <w:rPr>
          <w:spacing w:val="-4"/>
          <w:position w:val="5"/>
          <w:sz w:val="14"/>
        </w:rPr>
        <w:t>.</w:t>
      </w:r>
      <w:r>
        <w:rPr>
          <w:position w:val="5"/>
          <w:sz w:val="14"/>
        </w:rPr>
        <w:tab/>
      </w:r>
      <w:r>
        <w:rPr>
          <w:rFonts w:ascii="Arial" w:hAnsi="Arial"/>
          <w:i/>
          <w:sz w:val="20"/>
        </w:rPr>
        <w:t>Pagnan SpA v Feed Products Ltd [1987] 2 Lloyd’s Rep. 601</w:t>
      </w:r>
      <w:r>
        <w:rPr>
          <w:rFonts w:ascii="Arial" w:hAnsi="Arial"/>
          <w:i/>
          <w:spacing w:val="-1"/>
          <w:sz w:val="20"/>
        </w:rPr>
        <w:t> </w:t>
      </w:r>
      <w:r>
        <w:rPr>
          <w:sz w:val="20"/>
        </w:rPr>
        <w:t>at </w:t>
      </w:r>
      <w:r>
        <w:rPr>
          <w:spacing w:val="-4"/>
          <w:sz w:val="20"/>
        </w:rPr>
        <w:t>611.</w:t>
      </w:r>
    </w:p>
    <w:p>
      <w:pPr>
        <w:pStyle w:val="BodyText"/>
        <w:spacing w:before="5"/>
      </w:pPr>
    </w:p>
    <w:p>
      <w:pPr>
        <w:pStyle w:val="BodyText"/>
        <w:tabs>
          <w:tab w:pos="705" w:val="left" w:leader="none"/>
        </w:tabs>
        <w:ind w:left="165"/>
      </w:pPr>
      <w:bookmarkStart w:name="_bookmark1348" w:id="1350"/>
      <w:bookmarkEnd w:id="1350"/>
      <w:r>
        <w:rPr/>
      </w:r>
      <w:hyperlink w:history="true" w:anchor="_bookmark1150">
        <w:r>
          <w:rPr>
            <w:color w:val="005DA1"/>
            <w:spacing w:val="-4"/>
            <w:position w:val="5"/>
            <w:sz w:val="14"/>
            <w:u w:val="single" w:color="005DA1"/>
          </w:rPr>
          <w:t>615</w:t>
        </w:r>
      </w:hyperlink>
      <w:r>
        <w:rPr>
          <w:spacing w:val="-4"/>
          <w:position w:val="5"/>
          <w:sz w:val="14"/>
        </w:rPr>
        <w:t>.</w:t>
      </w:r>
      <w:r>
        <w:rPr>
          <w:position w:val="5"/>
          <w:sz w:val="14"/>
        </w:rPr>
        <w:tab/>
      </w:r>
      <w:r>
        <w:rPr/>
        <w:t>cf. below, para.2-</w:t>
      </w:r>
      <w:r>
        <w:rPr>
          <w:spacing w:val="-4"/>
        </w:rPr>
        <w:t>150.</w:t>
      </w:r>
    </w:p>
    <w:p>
      <w:pPr>
        <w:pStyle w:val="BodyText"/>
        <w:spacing w:before="8"/>
      </w:pPr>
    </w:p>
    <w:p>
      <w:pPr>
        <w:spacing w:line="235" w:lineRule="auto" w:before="1"/>
        <w:ind w:left="705" w:right="167" w:hanging="541"/>
        <w:jc w:val="both"/>
        <w:rPr>
          <w:sz w:val="20"/>
        </w:rPr>
      </w:pPr>
      <w:bookmarkStart w:name="_bookmark1349" w:id="1351"/>
      <w:bookmarkEnd w:id="1351"/>
      <w:r>
        <w:rPr/>
      </w:r>
      <w:hyperlink w:history="true" w:anchor="_bookmark1151">
        <w:r>
          <w:rPr>
            <w:color w:val="005DA1"/>
            <w:position w:val="5"/>
            <w:sz w:val="14"/>
            <w:u w:val="single" w:color="005DA1"/>
          </w:rPr>
          <w:t>616</w:t>
        </w:r>
      </w:hyperlink>
      <w:r>
        <w:rPr>
          <w:position w:val="5"/>
          <w:sz w:val="14"/>
        </w:rPr>
        <w:t>.</w:t>
      </w:r>
      <w:r>
        <w:rPr>
          <w:spacing w:val="80"/>
          <w:position w:val="5"/>
          <w:sz w:val="14"/>
        </w:rPr>
        <w:t>  </w:t>
      </w:r>
      <w:r>
        <w:rPr>
          <w:rFonts w:ascii="Arial" w:hAnsi="Arial"/>
          <w:i/>
          <w:sz w:val="20"/>
        </w:rPr>
        <w:t>RTS</w:t>
      </w:r>
      <w:r>
        <w:rPr>
          <w:rFonts w:ascii="Arial" w:hAnsi="Arial"/>
          <w:i/>
          <w:spacing w:val="36"/>
          <w:sz w:val="20"/>
        </w:rPr>
        <w:t> </w:t>
      </w:r>
      <w:r>
        <w:rPr>
          <w:rFonts w:ascii="Arial" w:hAnsi="Arial"/>
          <w:i/>
          <w:sz w:val="20"/>
        </w:rPr>
        <w:t>Flexible</w:t>
      </w:r>
      <w:r>
        <w:rPr>
          <w:rFonts w:ascii="Arial" w:hAnsi="Arial"/>
          <w:i/>
          <w:spacing w:val="36"/>
          <w:sz w:val="20"/>
        </w:rPr>
        <w:t> </w:t>
      </w:r>
      <w:r>
        <w:rPr>
          <w:rFonts w:ascii="Arial" w:hAnsi="Arial"/>
          <w:i/>
          <w:sz w:val="20"/>
        </w:rPr>
        <w:t>Systems</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Molkerei</w:t>
      </w:r>
      <w:r>
        <w:rPr>
          <w:rFonts w:ascii="Arial" w:hAnsi="Arial"/>
          <w:i/>
          <w:spacing w:val="36"/>
          <w:sz w:val="20"/>
        </w:rPr>
        <w:t> </w:t>
      </w:r>
      <w:r>
        <w:rPr>
          <w:rFonts w:ascii="Arial" w:hAnsi="Arial"/>
          <w:i/>
          <w:sz w:val="20"/>
        </w:rPr>
        <w:t>Alois</w:t>
      </w:r>
      <w:r>
        <w:rPr>
          <w:rFonts w:ascii="Arial" w:hAnsi="Arial"/>
          <w:i/>
          <w:spacing w:val="36"/>
          <w:sz w:val="20"/>
        </w:rPr>
        <w:t> </w:t>
      </w:r>
      <w:r>
        <w:rPr>
          <w:rFonts w:ascii="Arial" w:hAnsi="Arial"/>
          <w:i/>
          <w:sz w:val="20"/>
        </w:rPr>
        <w:t>Müller</w:t>
      </w:r>
      <w:r>
        <w:rPr>
          <w:rFonts w:ascii="Arial" w:hAnsi="Arial"/>
          <w:i/>
          <w:spacing w:val="36"/>
          <w:sz w:val="20"/>
        </w:rPr>
        <w:t> </w:t>
      </w:r>
      <w:r>
        <w:rPr>
          <w:rFonts w:ascii="Arial" w:hAnsi="Arial"/>
          <w:i/>
          <w:sz w:val="20"/>
        </w:rPr>
        <w:t>GmbH</w:t>
      </w:r>
      <w:r>
        <w:rPr>
          <w:rFonts w:ascii="Arial" w:hAnsi="Arial"/>
          <w:i/>
          <w:spacing w:val="36"/>
          <w:sz w:val="20"/>
        </w:rPr>
        <w:t> </w:t>
      </w:r>
      <w:r>
        <w:rPr>
          <w:rFonts w:ascii="Arial" w:hAnsi="Arial"/>
          <w:i/>
          <w:sz w:val="20"/>
        </w:rPr>
        <w:t>&amp;</w:t>
      </w:r>
      <w:r>
        <w:rPr>
          <w:rFonts w:ascii="Arial" w:hAnsi="Arial"/>
          <w:i/>
          <w:spacing w:val="36"/>
          <w:sz w:val="20"/>
        </w:rPr>
        <w:t> </w:t>
      </w:r>
      <w:r>
        <w:rPr>
          <w:rFonts w:ascii="Arial" w:hAnsi="Arial"/>
          <w:i/>
          <w:sz w:val="20"/>
        </w:rPr>
        <w:t>Co</w:t>
      </w:r>
      <w:r>
        <w:rPr>
          <w:rFonts w:ascii="Arial" w:hAnsi="Arial"/>
          <w:i/>
          <w:spacing w:val="36"/>
          <w:sz w:val="20"/>
        </w:rPr>
        <w:t> </w:t>
      </w:r>
      <w:r>
        <w:rPr>
          <w:rFonts w:ascii="Arial" w:hAnsi="Arial"/>
          <w:i/>
          <w:sz w:val="20"/>
        </w:rPr>
        <w:t>KG</w:t>
      </w:r>
      <w:r>
        <w:rPr>
          <w:rFonts w:ascii="Arial" w:hAnsi="Arial"/>
          <w:i/>
          <w:spacing w:val="36"/>
          <w:sz w:val="20"/>
        </w:rPr>
        <w:t> </w:t>
      </w:r>
      <w:r>
        <w:rPr>
          <w:rFonts w:ascii="Arial" w:hAnsi="Arial"/>
          <w:i/>
          <w:sz w:val="20"/>
        </w:rPr>
        <w:t>(UK</w:t>
      </w:r>
      <w:r>
        <w:rPr>
          <w:rFonts w:ascii="Arial" w:hAnsi="Arial"/>
          <w:i/>
          <w:spacing w:val="36"/>
          <w:sz w:val="20"/>
        </w:rPr>
        <w:t> </w:t>
      </w:r>
      <w:r>
        <w:rPr>
          <w:rFonts w:ascii="Arial" w:hAnsi="Arial"/>
          <w:i/>
          <w:sz w:val="20"/>
        </w:rPr>
        <w:t>Production)</w:t>
      </w:r>
      <w:r>
        <w:rPr>
          <w:rFonts w:ascii="Arial" w:hAnsi="Arial"/>
          <w:i/>
          <w:spacing w:val="36"/>
          <w:sz w:val="20"/>
        </w:rPr>
        <w:t> </w:t>
      </w:r>
      <w:r>
        <w:rPr>
          <w:rFonts w:ascii="Arial" w:hAnsi="Arial"/>
          <w:i/>
          <w:sz w:val="20"/>
        </w:rPr>
        <w:t>[2010] UKSC 14, [2010] 1 W.L.R. 753 </w:t>
      </w:r>
      <w:r>
        <w:rPr>
          <w:sz w:val="20"/>
        </w:rPr>
        <w:t>(before [70]); and at [61]. And see </w:t>
      </w:r>
      <w:r>
        <w:rPr>
          <w:rFonts w:ascii="Arial" w:hAnsi="Arial"/>
          <w:i/>
          <w:sz w:val="20"/>
        </w:rPr>
        <w:t>Malcolm Charles Contracts Ltd v Crispin [2014] EWHC 3898 </w:t>
      </w:r>
      <w:r>
        <w:rPr>
          <w:sz w:val="20"/>
        </w:rPr>
        <w:t>at [55]–[59], [67]–[74]; </w:t>
      </w:r>
      <w:r>
        <w:rPr>
          <w:rFonts w:ascii="Arial" w:hAnsi="Arial"/>
          <w:i/>
          <w:sz w:val="20"/>
        </w:rPr>
        <w:t>Bieber v Teathers Ltd (In Liquidation) [2014] EWHC 4205 </w:t>
      </w:r>
      <w:r>
        <w:rPr>
          <w:sz w:val="20"/>
        </w:rPr>
        <w:t>at [50]–[58].</w:t>
      </w:r>
    </w:p>
    <w:p>
      <w:pPr>
        <w:pStyle w:val="BodyText"/>
        <w:spacing w:before="4"/>
      </w:pPr>
    </w:p>
    <w:p>
      <w:pPr>
        <w:tabs>
          <w:tab w:pos="705" w:val="left" w:leader="none"/>
        </w:tabs>
        <w:spacing w:before="0"/>
        <w:ind w:left="165" w:right="0" w:firstLine="0"/>
        <w:jc w:val="left"/>
        <w:rPr>
          <w:sz w:val="20"/>
        </w:rPr>
      </w:pPr>
      <w:bookmarkStart w:name="_bookmark1350" w:id="1352"/>
      <w:bookmarkEnd w:id="1352"/>
      <w:r>
        <w:rPr/>
      </w:r>
      <w:hyperlink w:history="true" w:anchor="_bookmark1151">
        <w:r>
          <w:rPr>
            <w:color w:val="005DA1"/>
            <w:spacing w:val="-4"/>
            <w:position w:val="5"/>
            <w:sz w:val="14"/>
            <w:u w:val="single" w:color="005DA1"/>
          </w:rPr>
          <w:t>617</w:t>
        </w:r>
      </w:hyperlink>
      <w:r>
        <w:rPr>
          <w:spacing w:val="-4"/>
          <w:position w:val="5"/>
          <w:sz w:val="14"/>
        </w:rPr>
        <w:t>.</w:t>
      </w:r>
      <w:r>
        <w:rPr>
          <w:position w:val="5"/>
          <w:sz w:val="14"/>
        </w:rPr>
        <w:tab/>
      </w:r>
      <w:r>
        <w:rPr>
          <w:sz w:val="20"/>
        </w:rPr>
        <w:t>At </w:t>
      </w:r>
      <w:r>
        <w:rPr>
          <w:spacing w:val="-2"/>
          <w:sz w:val="20"/>
        </w:rPr>
        <w:t>[85].</w:t>
      </w:r>
    </w:p>
    <w:p>
      <w:pPr>
        <w:pStyle w:val="BodyText"/>
        <w:spacing w:before="9"/>
      </w:pPr>
    </w:p>
    <w:p>
      <w:pPr>
        <w:pStyle w:val="BodyText"/>
        <w:spacing w:line="235" w:lineRule="auto"/>
        <w:ind w:left="705" w:right="167" w:hanging="541"/>
        <w:jc w:val="both"/>
      </w:pPr>
      <w:bookmarkStart w:name="_bookmark1351" w:id="1353"/>
      <w:bookmarkEnd w:id="1353"/>
      <w:r>
        <w:rPr/>
      </w:r>
      <w:hyperlink w:history="true" w:anchor="_bookmark1152">
        <w:r>
          <w:rPr>
            <w:color w:val="005DA1"/>
            <w:position w:val="5"/>
            <w:sz w:val="14"/>
            <w:u w:val="single" w:color="005DA1"/>
          </w:rPr>
          <w:t>618</w:t>
        </w:r>
      </w:hyperlink>
      <w:r>
        <w:rPr>
          <w:position w:val="5"/>
          <w:sz w:val="14"/>
        </w:rPr>
        <w:t>.</w:t>
      </w:r>
      <w:r>
        <w:rPr>
          <w:spacing w:val="80"/>
          <w:w w:val="150"/>
          <w:position w:val="5"/>
          <w:sz w:val="14"/>
        </w:rPr>
        <w:t> </w:t>
      </w:r>
      <w:r>
        <w:rPr/>
        <w:t>The further argument that no contract had come into existence because a requirement for </w:t>
      </w:r>
      <w:r>
        <w:rPr/>
        <w:t>the execution of formal contractual documents had not been complied with was also rejected: see below, para.2-123.</w:t>
      </w:r>
    </w:p>
    <w:p>
      <w:pPr>
        <w:pStyle w:val="BodyText"/>
        <w:spacing w:before="9"/>
      </w:pPr>
    </w:p>
    <w:p>
      <w:pPr>
        <w:tabs>
          <w:tab w:pos="705" w:val="left" w:leader="none"/>
        </w:tabs>
        <w:spacing w:line="235" w:lineRule="auto" w:before="0"/>
        <w:ind w:left="705" w:right="168" w:hanging="541"/>
        <w:jc w:val="left"/>
        <w:rPr>
          <w:sz w:val="20"/>
        </w:rPr>
      </w:pPr>
      <w:bookmarkStart w:name="_bookmark1352" w:id="1354"/>
      <w:bookmarkEnd w:id="1354"/>
      <w:r>
        <w:rPr/>
      </w:r>
      <w:hyperlink w:history="true" w:anchor="_bookmark1152">
        <w:r>
          <w:rPr>
            <w:color w:val="005DA1"/>
            <w:spacing w:val="-4"/>
            <w:position w:val="5"/>
            <w:sz w:val="14"/>
            <w:u w:val="single" w:color="005DA1"/>
          </w:rPr>
          <w:t>619</w:t>
        </w:r>
      </w:hyperlink>
      <w:r>
        <w:rPr>
          <w:spacing w:val="-4"/>
          <w:position w:val="5"/>
          <w:sz w:val="14"/>
        </w:rPr>
        <w:t>.</w:t>
      </w:r>
      <w:r>
        <w:rPr>
          <w:position w:val="5"/>
          <w:sz w:val="14"/>
        </w:rPr>
        <w:tab/>
      </w:r>
      <w:r>
        <w:rPr>
          <w:rFonts w:ascii="Arial"/>
          <w:i/>
          <w:sz w:val="20"/>
        </w:rPr>
        <w:t>RTS </w:t>
      </w:r>
      <w:r>
        <w:rPr>
          <w:sz w:val="20"/>
        </w:rPr>
        <w:t>case, above n.600, at [61]; </w:t>
      </w:r>
      <w:r>
        <w:rPr>
          <w:rFonts w:ascii="Arial"/>
          <w:i/>
          <w:sz w:val="20"/>
        </w:rPr>
        <w:t>Benourad v Compass Group Plc [2010] EWHC 1882 (QB) </w:t>
      </w:r>
      <w:r>
        <w:rPr>
          <w:sz w:val="20"/>
        </w:rPr>
        <w:t>at</w:t>
      </w:r>
      <w:r>
        <w:rPr>
          <w:spacing w:val="40"/>
          <w:sz w:val="20"/>
        </w:rPr>
        <w:t> </w:t>
      </w:r>
      <w:r>
        <w:rPr>
          <w:spacing w:val="-2"/>
          <w:sz w:val="20"/>
        </w:rPr>
        <w:t>[106(f)].</w:t>
      </w:r>
    </w:p>
    <w:p>
      <w:pPr>
        <w:pStyle w:val="BodyText"/>
        <w:spacing w:before="5"/>
      </w:pPr>
    </w:p>
    <w:p>
      <w:pPr>
        <w:tabs>
          <w:tab w:pos="705" w:val="left" w:leader="none"/>
        </w:tabs>
        <w:spacing w:before="1"/>
        <w:ind w:left="165" w:right="0" w:firstLine="0"/>
        <w:jc w:val="left"/>
        <w:rPr>
          <w:sz w:val="20"/>
        </w:rPr>
      </w:pPr>
      <w:bookmarkStart w:name="_bookmark1353" w:id="1355"/>
      <w:bookmarkEnd w:id="1355"/>
      <w:r>
        <w:rPr/>
      </w:r>
      <w:hyperlink w:history="true" w:anchor="_bookmark1153">
        <w:r>
          <w:rPr>
            <w:color w:val="005DA1"/>
            <w:spacing w:val="-4"/>
            <w:position w:val="5"/>
            <w:sz w:val="14"/>
            <w:u w:val="single" w:color="005DA1"/>
          </w:rPr>
          <w:t>620</w:t>
        </w:r>
      </w:hyperlink>
      <w:r>
        <w:rPr>
          <w:spacing w:val="-4"/>
          <w:position w:val="5"/>
          <w:sz w:val="14"/>
        </w:rPr>
        <w:t>.</w:t>
      </w:r>
      <w:r>
        <w:rPr>
          <w:position w:val="5"/>
          <w:sz w:val="14"/>
        </w:rPr>
        <w:tab/>
      </w:r>
      <w:r>
        <w:rPr>
          <w:rFonts w:ascii="Arial"/>
          <w:i/>
          <w:sz w:val="20"/>
        </w:rPr>
        <w:t>Bear</w:t>
      </w:r>
      <w:r>
        <w:rPr>
          <w:rFonts w:ascii="Arial"/>
          <w:i/>
          <w:spacing w:val="-2"/>
          <w:sz w:val="20"/>
        </w:rPr>
        <w:t> </w:t>
      </w:r>
      <w:r>
        <w:rPr>
          <w:rFonts w:ascii="Arial"/>
          <w:i/>
          <w:sz w:val="20"/>
        </w:rPr>
        <w:t>Stearns Bank Plc v Forum Global Equity Ltd [2007] EWHC </w:t>
      </w:r>
      <w:r>
        <w:rPr>
          <w:rFonts w:ascii="Arial"/>
          <w:i/>
          <w:spacing w:val="-2"/>
          <w:sz w:val="20"/>
        </w:rPr>
        <w:t>1576</w:t>
      </w:r>
      <w:r>
        <w:rPr>
          <w:spacing w:val="-2"/>
          <w:sz w:val="20"/>
        </w:rPr>
        <w:t>.</w:t>
      </w:r>
    </w:p>
    <w:p>
      <w:pPr>
        <w:pStyle w:val="BodyText"/>
        <w:spacing w:before="4"/>
      </w:pPr>
    </w:p>
    <w:p>
      <w:pPr>
        <w:tabs>
          <w:tab w:pos="705" w:val="left" w:leader="none"/>
        </w:tabs>
        <w:spacing w:before="1"/>
        <w:ind w:left="165" w:right="0" w:firstLine="0"/>
        <w:jc w:val="left"/>
        <w:rPr>
          <w:sz w:val="20"/>
        </w:rPr>
      </w:pPr>
      <w:bookmarkStart w:name="_bookmark1354" w:id="1356"/>
      <w:bookmarkEnd w:id="1356"/>
      <w:r>
        <w:rPr/>
      </w:r>
      <w:hyperlink w:history="true" w:anchor="_bookmark1154">
        <w:r>
          <w:rPr>
            <w:color w:val="005DA1"/>
            <w:spacing w:val="-4"/>
            <w:position w:val="5"/>
            <w:sz w:val="14"/>
            <w:u w:val="single" w:color="005DA1"/>
          </w:rPr>
          <w:t>621</w:t>
        </w:r>
      </w:hyperlink>
      <w:r>
        <w:rPr>
          <w:spacing w:val="-4"/>
          <w:position w:val="5"/>
          <w:sz w:val="14"/>
        </w:rPr>
        <w:t>.</w:t>
      </w:r>
      <w:r>
        <w:rPr>
          <w:position w:val="5"/>
          <w:sz w:val="14"/>
        </w:rPr>
        <w:tab/>
      </w:r>
      <w:r>
        <w:rPr>
          <w:sz w:val="20"/>
        </w:rPr>
        <w:t>Below, para.2-</w:t>
      </w:r>
      <w:r>
        <w:rPr>
          <w:spacing w:val="-4"/>
          <w:sz w:val="20"/>
        </w:rPr>
        <w:t>147.</w:t>
      </w:r>
    </w:p>
    <w:p>
      <w:pPr>
        <w:pStyle w:val="BodyText"/>
        <w:spacing w:before="8"/>
      </w:pPr>
    </w:p>
    <w:p>
      <w:pPr>
        <w:tabs>
          <w:tab w:pos="705" w:val="left" w:leader="none"/>
        </w:tabs>
        <w:spacing w:line="235" w:lineRule="auto" w:before="0"/>
        <w:ind w:left="705" w:right="167" w:hanging="541"/>
        <w:jc w:val="left"/>
        <w:rPr>
          <w:rFonts w:ascii="Arial" w:hAnsi="Arial"/>
          <w:i/>
          <w:sz w:val="20"/>
        </w:rPr>
      </w:pPr>
      <w:bookmarkStart w:name="_bookmark1355" w:id="1357"/>
      <w:bookmarkEnd w:id="1357"/>
      <w:r>
        <w:rPr/>
      </w:r>
      <w:hyperlink w:history="true" w:anchor="_bookmark1155">
        <w:r>
          <w:rPr>
            <w:color w:val="005DA1"/>
            <w:spacing w:val="-4"/>
            <w:position w:val="5"/>
            <w:sz w:val="14"/>
            <w:u w:val="single" w:color="005DA1"/>
          </w:rPr>
          <w:t>622</w:t>
        </w:r>
      </w:hyperlink>
      <w:r>
        <w:rPr>
          <w:spacing w:val="-4"/>
          <w:position w:val="5"/>
          <w:sz w:val="14"/>
        </w:rPr>
        <w:t>.</w:t>
      </w:r>
      <w:r>
        <w:rPr>
          <w:position w:val="5"/>
          <w:sz w:val="14"/>
        </w:rPr>
        <w:tab/>
      </w:r>
      <w:r>
        <w:rPr>
          <w:rFonts w:ascii="Arial" w:hAnsi="Arial"/>
          <w:i/>
          <w:sz w:val="20"/>
        </w:rPr>
        <w:t>Mamidoil-Jetoil</w:t>
      </w:r>
      <w:r>
        <w:rPr>
          <w:rFonts w:ascii="Arial" w:hAnsi="Arial"/>
          <w:i/>
          <w:spacing w:val="25"/>
          <w:sz w:val="20"/>
        </w:rPr>
        <w:t> </w:t>
      </w:r>
      <w:r>
        <w:rPr>
          <w:rFonts w:ascii="Arial" w:hAnsi="Arial"/>
          <w:i/>
          <w:sz w:val="20"/>
        </w:rPr>
        <w:t>Arab</w:t>
      </w:r>
      <w:r>
        <w:rPr>
          <w:rFonts w:ascii="Arial" w:hAnsi="Arial"/>
          <w:i/>
          <w:spacing w:val="25"/>
          <w:sz w:val="20"/>
        </w:rPr>
        <w:t> </w:t>
      </w:r>
      <w:r>
        <w:rPr>
          <w:rFonts w:ascii="Arial" w:hAnsi="Arial"/>
          <w:i/>
          <w:sz w:val="20"/>
        </w:rPr>
        <w:t>Petroleum</w:t>
      </w:r>
      <w:r>
        <w:rPr>
          <w:rFonts w:ascii="Arial" w:hAnsi="Arial"/>
          <w:i/>
          <w:spacing w:val="25"/>
          <w:sz w:val="20"/>
        </w:rPr>
        <w:t> </w:t>
      </w:r>
      <w:r>
        <w:rPr>
          <w:rFonts w:ascii="Arial" w:hAnsi="Arial"/>
          <w:i/>
          <w:sz w:val="20"/>
        </w:rPr>
        <w:t>Co</w:t>
      </w:r>
      <w:r>
        <w:rPr>
          <w:rFonts w:ascii="Arial" w:hAnsi="Arial"/>
          <w:i/>
          <w:spacing w:val="25"/>
          <w:sz w:val="20"/>
        </w:rPr>
        <w:t> </w:t>
      </w:r>
      <w:r>
        <w:rPr>
          <w:rFonts w:ascii="Arial" w:hAnsi="Arial"/>
          <w:i/>
          <w:sz w:val="20"/>
        </w:rPr>
        <w:t>SA</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Okta</w:t>
      </w:r>
      <w:r>
        <w:rPr>
          <w:rFonts w:ascii="Arial" w:hAnsi="Arial"/>
          <w:i/>
          <w:spacing w:val="25"/>
          <w:sz w:val="20"/>
        </w:rPr>
        <w:t> </w:t>
      </w:r>
      <w:r>
        <w:rPr>
          <w:rFonts w:ascii="Arial" w:hAnsi="Arial"/>
          <w:i/>
          <w:sz w:val="20"/>
        </w:rPr>
        <w:t>Crude</w:t>
      </w:r>
      <w:r>
        <w:rPr>
          <w:rFonts w:ascii="Arial" w:hAnsi="Arial"/>
          <w:i/>
          <w:spacing w:val="25"/>
          <w:sz w:val="20"/>
        </w:rPr>
        <w:t> </w:t>
      </w:r>
      <w:r>
        <w:rPr>
          <w:rFonts w:ascii="Arial" w:hAnsi="Arial"/>
          <w:i/>
          <w:sz w:val="20"/>
        </w:rPr>
        <w:t>Oil</w:t>
      </w:r>
      <w:r>
        <w:rPr>
          <w:rFonts w:ascii="Arial" w:hAnsi="Arial"/>
          <w:i/>
          <w:spacing w:val="25"/>
          <w:sz w:val="20"/>
        </w:rPr>
        <w:t> </w:t>
      </w:r>
      <w:r>
        <w:rPr>
          <w:rFonts w:ascii="Arial" w:hAnsi="Arial"/>
          <w:i/>
          <w:sz w:val="20"/>
        </w:rPr>
        <w:t>Refinery</w:t>
      </w:r>
      <w:r>
        <w:rPr>
          <w:rFonts w:ascii="Arial" w:hAnsi="Arial"/>
          <w:i/>
          <w:spacing w:val="25"/>
          <w:sz w:val="20"/>
        </w:rPr>
        <w:t> </w:t>
      </w:r>
      <w:r>
        <w:rPr>
          <w:rFonts w:ascii="Arial" w:hAnsi="Arial"/>
          <w:i/>
          <w:sz w:val="20"/>
        </w:rPr>
        <w:t>AD</w:t>
      </w:r>
      <w:r>
        <w:rPr>
          <w:rFonts w:ascii="Arial" w:hAnsi="Arial"/>
          <w:i/>
          <w:spacing w:val="25"/>
          <w:sz w:val="20"/>
        </w:rPr>
        <w:t> </w:t>
      </w:r>
      <w:r>
        <w:rPr>
          <w:rFonts w:ascii="Arial" w:hAnsi="Arial"/>
          <w:i/>
          <w:sz w:val="20"/>
        </w:rPr>
        <w:t>[2001]</w:t>
      </w:r>
      <w:r>
        <w:rPr>
          <w:rFonts w:ascii="Arial" w:hAnsi="Arial"/>
          <w:i/>
          <w:spacing w:val="25"/>
          <w:sz w:val="20"/>
        </w:rPr>
        <w:t> </w:t>
      </w:r>
      <w:r>
        <w:rPr>
          <w:rFonts w:ascii="Arial" w:hAnsi="Arial"/>
          <w:i/>
          <w:sz w:val="20"/>
        </w:rPr>
        <w:t>EWCA</w:t>
      </w:r>
      <w:r>
        <w:rPr>
          <w:rFonts w:ascii="Arial" w:hAnsi="Arial"/>
          <w:i/>
          <w:spacing w:val="25"/>
          <w:sz w:val="20"/>
        </w:rPr>
        <w:t> </w:t>
      </w:r>
      <w:r>
        <w:rPr>
          <w:rFonts w:ascii="Arial" w:hAnsi="Arial"/>
          <w:i/>
          <w:sz w:val="20"/>
        </w:rPr>
        <w:t>Civ</w:t>
      </w:r>
      <w:r>
        <w:rPr>
          <w:rFonts w:ascii="Arial" w:hAnsi="Arial"/>
          <w:i/>
          <w:spacing w:val="25"/>
          <w:sz w:val="20"/>
        </w:rPr>
        <w:t> </w:t>
      </w:r>
      <w:r>
        <w:rPr>
          <w:rFonts w:ascii="Arial" w:hAnsi="Arial"/>
          <w:i/>
          <w:sz w:val="20"/>
        </w:rPr>
        <w:t>406 [2001]</w:t>
      </w:r>
      <w:r>
        <w:rPr>
          <w:rFonts w:ascii="Arial" w:hAnsi="Arial"/>
          <w:i/>
          <w:spacing w:val="34"/>
          <w:sz w:val="20"/>
        </w:rPr>
        <w:t> </w:t>
      </w:r>
      <w:r>
        <w:rPr>
          <w:rFonts w:ascii="Arial" w:hAnsi="Arial"/>
          <w:i/>
          <w:sz w:val="20"/>
        </w:rPr>
        <w:t>2</w:t>
      </w:r>
      <w:r>
        <w:rPr>
          <w:rFonts w:ascii="Arial" w:hAnsi="Arial"/>
          <w:i/>
          <w:spacing w:val="35"/>
          <w:sz w:val="20"/>
        </w:rPr>
        <w:t> </w:t>
      </w:r>
      <w:r>
        <w:rPr>
          <w:rFonts w:ascii="Arial" w:hAnsi="Arial"/>
          <w:i/>
          <w:sz w:val="20"/>
        </w:rPr>
        <w:t>Lloyd’s</w:t>
      </w:r>
      <w:r>
        <w:rPr>
          <w:rFonts w:ascii="Arial" w:hAnsi="Arial"/>
          <w:i/>
          <w:spacing w:val="35"/>
          <w:sz w:val="20"/>
        </w:rPr>
        <w:t> </w:t>
      </w:r>
      <w:r>
        <w:rPr>
          <w:rFonts w:ascii="Arial" w:hAnsi="Arial"/>
          <w:i/>
          <w:sz w:val="20"/>
        </w:rPr>
        <w:t>Rep.</w:t>
      </w:r>
      <w:r>
        <w:rPr>
          <w:rFonts w:ascii="Arial" w:hAnsi="Arial"/>
          <w:i/>
          <w:spacing w:val="35"/>
          <w:sz w:val="20"/>
        </w:rPr>
        <w:t> </w:t>
      </w:r>
      <w:r>
        <w:rPr>
          <w:rFonts w:ascii="Arial" w:hAnsi="Arial"/>
          <w:i/>
          <w:sz w:val="20"/>
        </w:rPr>
        <w:t>76</w:t>
      </w:r>
      <w:r>
        <w:rPr>
          <w:sz w:val="20"/>
        </w:rPr>
        <w:t>;</w:t>
      </w:r>
      <w:r>
        <w:rPr>
          <w:spacing w:val="35"/>
          <w:sz w:val="20"/>
        </w:rPr>
        <w:t> </w:t>
      </w:r>
      <w:r>
        <w:rPr>
          <w:sz w:val="20"/>
        </w:rPr>
        <w:t>for</w:t>
      </w:r>
      <w:r>
        <w:rPr>
          <w:spacing w:val="35"/>
          <w:sz w:val="20"/>
        </w:rPr>
        <w:t> </w:t>
      </w:r>
      <w:r>
        <w:rPr>
          <w:sz w:val="20"/>
        </w:rPr>
        <w:t>further</w:t>
      </w:r>
      <w:r>
        <w:rPr>
          <w:spacing w:val="35"/>
          <w:sz w:val="20"/>
        </w:rPr>
        <w:t> </w:t>
      </w:r>
      <w:r>
        <w:rPr>
          <w:sz w:val="20"/>
        </w:rPr>
        <w:t>proceedings</w:t>
      </w:r>
      <w:r>
        <w:rPr>
          <w:spacing w:val="35"/>
          <w:sz w:val="20"/>
        </w:rPr>
        <w:t> </w:t>
      </w:r>
      <w:r>
        <w:rPr>
          <w:sz w:val="20"/>
        </w:rPr>
        <w:t>in</w:t>
      </w:r>
      <w:r>
        <w:rPr>
          <w:spacing w:val="35"/>
          <w:sz w:val="20"/>
        </w:rPr>
        <w:t> </w:t>
      </w:r>
      <w:r>
        <w:rPr>
          <w:sz w:val="20"/>
        </w:rPr>
        <w:t>this</w:t>
      </w:r>
      <w:r>
        <w:rPr>
          <w:spacing w:val="35"/>
          <w:sz w:val="20"/>
        </w:rPr>
        <w:t> </w:t>
      </w:r>
      <w:r>
        <w:rPr>
          <w:sz w:val="20"/>
        </w:rPr>
        <w:t>case,</w:t>
      </w:r>
      <w:r>
        <w:rPr>
          <w:spacing w:val="35"/>
          <w:sz w:val="20"/>
        </w:rPr>
        <w:t> </w:t>
      </w:r>
      <w:r>
        <w:rPr>
          <w:sz w:val="20"/>
        </w:rPr>
        <w:t>see</w:t>
      </w:r>
      <w:r>
        <w:rPr>
          <w:spacing w:val="34"/>
          <w:sz w:val="20"/>
        </w:rPr>
        <w:t> </w:t>
      </w:r>
      <w:r>
        <w:rPr>
          <w:rFonts w:ascii="Arial" w:hAnsi="Arial"/>
          <w:i/>
          <w:sz w:val="20"/>
        </w:rPr>
        <w:t>[2003]</w:t>
      </w:r>
      <w:r>
        <w:rPr>
          <w:rFonts w:ascii="Arial" w:hAnsi="Arial"/>
          <w:i/>
          <w:spacing w:val="35"/>
          <w:sz w:val="20"/>
        </w:rPr>
        <w:t> </w:t>
      </w:r>
      <w:r>
        <w:rPr>
          <w:rFonts w:ascii="Arial" w:hAnsi="Arial"/>
          <w:i/>
          <w:sz w:val="20"/>
        </w:rPr>
        <w:t>EWCA</w:t>
      </w:r>
      <w:r>
        <w:rPr>
          <w:rFonts w:ascii="Arial" w:hAnsi="Arial"/>
          <w:i/>
          <w:spacing w:val="35"/>
          <w:sz w:val="20"/>
        </w:rPr>
        <w:t> </w:t>
      </w:r>
      <w:r>
        <w:rPr>
          <w:rFonts w:ascii="Arial" w:hAnsi="Arial"/>
          <w:i/>
          <w:sz w:val="20"/>
        </w:rPr>
        <w:t>Civ</w:t>
      </w:r>
      <w:r>
        <w:rPr>
          <w:rFonts w:ascii="Arial" w:hAnsi="Arial"/>
          <w:i/>
          <w:spacing w:val="35"/>
          <w:sz w:val="20"/>
        </w:rPr>
        <w:t> </w:t>
      </w:r>
      <w:r>
        <w:rPr>
          <w:rFonts w:ascii="Arial" w:hAnsi="Arial"/>
          <w:i/>
          <w:spacing w:val="-2"/>
          <w:sz w:val="20"/>
        </w:rPr>
        <w:t>1031,</w:t>
      </w:r>
    </w:p>
    <w:p>
      <w:pPr>
        <w:spacing w:line="235" w:lineRule="auto" w:before="0"/>
        <w:ind w:left="705" w:right="168" w:firstLine="0"/>
        <w:jc w:val="both"/>
        <w:rPr>
          <w:sz w:val="20"/>
        </w:rPr>
      </w:pPr>
      <w:r>
        <w:rPr>
          <w:rFonts w:ascii="Arial" w:hAnsi="Arial"/>
          <w:i/>
          <w:sz w:val="20"/>
        </w:rPr>
        <w:t>[2003] 2 All E.R. (Comm) 640</w:t>
      </w:r>
      <w:r>
        <w:rPr>
          <w:sz w:val="20"/>
        </w:rPr>
        <w:t>, below, para.2-137. cf. </w:t>
      </w:r>
      <w:r>
        <w:rPr>
          <w:rFonts w:ascii="Arial" w:hAnsi="Arial"/>
          <w:i/>
          <w:sz w:val="20"/>
        </w:rPr>
        <w:t>Scammell v Dicker [2005] EWCA </w:t>
      </w:r>
      <w:r>
        <w:rPr>
          <w:rFonts w:ascii="Arial" w:hAnsi="Arial"/>
          <w:i/>
          <w:sz w:val="20"/>
        </w:rPr>
        <w:t>405, [2005] 3 All E.R. 838 </w:t>
      </w:r>
      <w:r>
        <w:rPr>
          <w:sz w:val="20"/>
        </w:rPr>
        <w:t>at [40] per Rix L.J. (“The world is full of perfectly sound contracts which require further agreement for the purpose of their implementation”).</w:t>
      </w:r>
    </w:p>
    <w:p>
      <w:pPr>
        <w:pStyle w:val="BodyText"/>
        <w:spacing w:before="8"/>
      </w:pPr>
    </w:p>
    <w:p>
      <w:pPr>
        <w:spacing w:line="235" w:lineRule="auto" w:before="1"/>
        <w:ind w:left="705" w:right="168" w:hanging="541"/>
        <w:jc w:val="both"/>
        <w:rPr>
          <w:sz w:val="20"/>
        </w:rPr>
      </w:pPr>
      <w:bookmarkStart w:name="_bookmark1356" w:id="1358"/>
      <w:bookmarkEnd w:id="1358"/>
      <w:r>
        <w:rPr/>
      </w:r>
      <w:hyperlink w:history="true" w:anchor="_bookmark1156">
        <w:r>
          <w:rPr>
            <w:color w:val="005DA1"/>
            <w:position w:val="5"/>
            <w:sz w:val="14"/>
            <w:u w:val="single" w:color="005DA1"/>
          </w:rPr>
          <w:t>623</w:t>
        </w:r>
      </w:hyperlink>
      <w:r>
        <w:rPr>
          <w:position w:val="5"/>
          <w:sz w:val="14"/>
        </w:rPr>
        <w:t>.</w:t>
      </w:r>
      <w:r>
        <w:rPr>
          <w:spacing w:val="40"/>
          <w:position w:val="5"/>
          <w:sz w:val="14"/>
        </w:rPr>
        <w:t>  </w:t>
      </w:r>
      <w:r>
        <w:rPr>
          <w:rFonts w:ascii="Arial" w:hAnsi="Arial"/>
          <w:i/>
          <w:sz w:val="20"/>
        </w:rPr>
        <w:t>Durham Tees Valley Airport Ltd v Bmibaby Ltd [2010] EWCA Civ 485, [2011] 1 Lloyd’s Rep. 68</w:t>
      </w:r>
      <w:r>
        <w:rPr>
          <w:sz w:val="20"/>
        </w:rPr>
        <w:t>. </w:t>
      </w:r>
      <w:r>
        <w:rPr>
          <w:rFonts w:ascii="Arial" w:hAnsi="Arial"/>
          <w:i/>
          <w:sz w:val="20"/>
        </w:rPr>
        <w:t>Jet2.com Ltd v Blackpool Airport Ltd [2012] EWCA Civ 417 </w:t>
      </w:r>
      <w:r>
        <w:rPr>
          <w:sz w:val="20"/>
        </w:rPr>
        <w:t>(below para.2-145 n.778) could </w:t>
      </w:r>
      <w:r>
        <w:rPr>
          <w:sz w:val="20"/>
        </w:rPr>
        <w:t>be regarded as a further illustration of the principle discussed in the present paragraph.</w:t>
      </w:r>
    </w:p>
    <w:p>
      <w:pPr>
        <w:pStyle w:val="BodyText"/>
        <w:spacing w:before="8"/>
      </w:pPr>
    </w:p>
    <w:p>
      <w:pPr>
        <w:spacing w:line="235" w:lineRule="auto" w:before="0"/>
        <w:ind w:left="705" w:right="167" w:hanging="541"/>
        <w:jc w:val="both"/>
        <w:rPr>
          <w:sz w:val="20"/>
        </w:rPr>
      </w:pPr>
      <w:bookmarkStart w:name="_bookmark1357" w:id="1359"/>
      <w:bookmarkEnd w:id="1359"/>
      <w:r>
        <w:rPr/>
      </w:r>
      <w:hyperlink w:history="true" w:anchor="_bookmark1157">
        <w:r>
          <w:rPr>
            <w:color w:val="005DA1"/>
            <w:position w:val="5"/>
            <w:sz w:val="14"/>
            <w:u w:val="single" w:color="005DA1"/>
          </w:rPr>
          <w:t>624</w:t>
        </w:r>
      </w:hyperlink>
      <w:r>
        <w:rPr>
          <w:position w:val="5"/>
          <w:sz w:val="14"/>
        </w:rPr>
        <w:t>.</w:t>
      </w:r>
      <w:r>
        <w:rPr>
          <w:spacing w:val="80"/>
          <w:w w:val="150"/>
          <w:position w:val="5"/>
          <w:sz w:val="14"/>
        </w:rPr>
        <w:t> </w:t>
      </w:r>
      <w:r>
        <w:rPr>
          <w:sz w:val="20"/>
        </w:rPr>
        <w:t>The mere fact that a document about the terms of which the parties had negotiated </w:t>
      </w:r>
      <w:r>
        <w:rPr>
          <w:sz w:val="20"/>
        </w:rPr>
        <w:t>contained spaces for their signatures does not amount to a stipulation for its execution by signature:</w:t>
      </w:r>
      <w:r>
        <w:rPr>
          <w:spacing w:val="40"/>
          <w:sz w:val="20"/>
        </w:rPr>
        <w:t> </w:t>
      </w:r>
      <w:r>
        <w:rPr>
          <w:rFonts w:ascii="Arial"/>
          <w:i/>
          <w:sz w:val="20"/>
        </w:rPr>
        <w:t>Maple Leaf Volatility Master Fund v Rouvroy [2009] EWCA 1334, [2010] 2 All E.R. (Comm) </w:t>
      </w:r>
      <w:r>
        <w:rPr>
          <w:rFonts w:ascii="Arial"/>
          <w:i/>
          <w:spacing w:val="-4"/>
          <w:sz w:val="20"/>
        </w:rPr>
        <w:t>788</w:t>
      </w:r>
      <w:r>
        <w:rPr>
          <w:spacing w:val="-4"/>
          <w:sz w:val="20"/>
        </w:rPr>
        <w:t>.</w:t>
      </w:r>
    </w:p>
    <w:p>
      <w:pPr>
        <w:pStyle w:val="BodyText"/>
        <w:spacing w:before="5"/>
      </w:pPr>
    </w:p>
    <w:p>
      <w:pPr>
        <w:tabs>
          <w:tab w:pos="705" w:val="left" w:leader="none"/>
        </w:tabs>
        <w:spacing w:before="1"/>
        <w:ind w:left="165" w:right="0" w:firstLine="0"/>
        <w:jc w:val="left"/>
        <w:rPr>
          <w:sz w:val="20"/>
        </w:rPr>
      </w:pPr>
      <w:bookmarkStart w:name="_bookmark1358" w:id="1360"/>
      <w:bookmarkEnd w:id="1360"/>
      <w:r>
        <w:rPr/>
      </w:r>
      <w:hyperlink w:history="true" w:anchor="_bookmark1158">
        <w:r>
          <w:rPr>
            <w:color w:val="005DA1"/>
            <w:spacing w:val="-4"/>
            <w:position w:val="5"/>
            <w:sz w:val="14"/>
            <w:u w:val="single" w:color="005DA1"/>
          </w:rPr>
          <w:t>625</w:t>
        </w:r>
      </w:hyperlink>
      <w:r>
        <w:rPr>
          <w:spacing w:val="-4"/>
          <w:position w:val="5"/>
          <w:sz w:val="14"/>
        </w:rPr>
        <w:t>.</w:t>
      </w:r>
      <w:r>
        <w:rPr>
          <w:position w:val="5"/>
          <w:sz w:val="14"/>
        </w:rPr>
        <w:tab/>
      </w:r>
      <w:r>
        <w:rPr>
          <w:rFonts w:ascii="Arial" w:hAnsi="Arial"/>
          <w:i/>
          <w:sz w:val="20"/>
        </w:rPr>
        <w:t>Von</w:t>
      </w:r>
      <w:r>
        <w:rPr>
          <w:rFonts w:ascii="Arial" w:hAnsi="Arial"/>
          <w:i/>
          <w:spacing w:val="-2"/>
          <w:sz w:val="20"/>
        </w:rPr>
        <w:t> </w:t>
      </w:r>
      <w:r>
        <w:rPr>
          <w:rFonts w:ascii="Arial" w:hAnsi="Arial"/>
          <w:i/>
          <w:sz w:val="20"/>
        </w:rPr>
        <w:t>Hatzfeldt-Wildenburg v Alexander [1912] 1 Ch. 284, </w:t>
      </w:r>
      <w:r>
        <w:rPr>
          <w:rFonts w:ascii="Arial" w:hAnsi="Arial"/>
          <w:i/>
          <w:spacing w:val="-2"/>
          <w:sz w:val="20"/>
        </w:rPr>
        <w:t>288–289</w:t>
      </w:r>
      <w:r>
        <w:rPr>
          <w:spacing w:val="-2"/>
          <w:sz w:val="20"/>
        </w:rPr>
        <w:t>.</w:t>
      </w:r>
    </w:p>
    <w:p>
      <w:pPr>
        <w:pStyle w:val="BodyText"/>
        <w:spacing w:before="8"/>
      </w:pPr>
    </w:p>
    <w:p>
      <w:pPr>
        <w:spacing w:line="235" w:lineRule="auto" w:before="0"/>
        <w:ind w:left="705" w:right="168" w:hanging="541"/>
        <w:jc w:val="both"/>
        <w:rPr>
          <w:rFonts w:ascii="Arial" w:hAnsi="Arial"/>
          <w:i/>
          <w:sz w:val="20"/>
        </w:rPr>
      </w:pPr>
      <w:bookmarkStart w:name="_bookmark1359" w:id="1361"/>
      <w:bookmarkEnd w:id="1361"/>
      <w:r>
        <w:rPr/>
      </w:r>
      <w:hyperlink w:history="true" w:anchor="_bookmark1159">
        <w:r>
          <w:rPr>
            <w:color w:val="005DA1"/>
            <w:position w:val="5"/>
            <w:sz w:val="14"/>
            <w:u w:val="single" w:color="005DA1"/>
          </w:rPr>
          <w:t>626</w:t>
        </w:r>
      </w:hyperlink>
      <w:r>
        <w:rPr>
          <w:position w:val="5"/>
          <w:sz w:val="14"/>
        </w:rPr>
        <w:t>.</w:t>
      </w:r>
      <w:r>
        <w:rPr>
          <w:spacing w:val="80"/>
          <w:w w:val="150"/>
          <w:position w:val="5"/>
          <w:sz w:val="14"/>
        </w:rPr>
        <w:t> </w:t>
      </w:r>
      <w:r>
        <w:rPr>
          <w:rFonts w:ascii="Arial" w:hAnsi="Arial"/>
          <w:i/>
          <w:sz w:val="20"/>
        </w:rPr>
        <w:t>B.S.C. v Cleveland Bridge &amp; Engineering Co Ltd [1984] 1 All E.R. 504</w:t>
      </w:r>
      <w:r>
        <w:rPr>
          <w:sz w:val="20"/>
        </w:rPr>
        <w:t>; </w:t>
      </w:r>
      <w:r>
        <w:rPr>
          <w:rFonts w:ascii="Arial" w:hAnsi="Arial"/>
          <w:i/>
          <w:sz w:val="20"/>
        </w:rPr>
        <w:t>Manatee Towing Co </w:t>
      </w:r>
      <w:r>
        <w:rPr>
          <w:rFonts w:ascii="Arial" w:hAnsi="Arial"/>
          <w:i/>
          <w:sz w:val="20"/>
        </w:rPr>
        <w:t>v Oceanbulk Maritime SA (The Bay Ridge) [1999] 2 All E.R. (Comm) 306 </w:t>
      </w:r>
      <w:r>
        <w:rPr>
          <w:sz w:val="20"/>
        </w:rPr>
        <w:t>at 329 (“no intention to create</w:t>
      </w:r>
      <w:r>
        <w:rPr>
          <w:spacing w:val="23"/>
          <w:sz w:val="20"/>
        </w:rPr>
        <w:t> </w:t>
      </w:r>
      <w:r>
        <w:rPr>
          <w:sz w:val="20"/>
        </w:rPr>
        <w:t>legal</w:t>
      </w:r>
      <w:r>
        <w:rPr>
          <w:spacing w:val="23"/>
          <w:sz w:val="20"/>
        </w:rPr>
        <w:t> </w:t>
      </w:r>
      <w:r>
        <w:rPr>
          <w:sz w:val="20"/>
        </w:rPr>
        <w:t>relations”);</w:t>
      </w:r>
      <w:r>
        <w:rPr>
          <w:spacing w:val="23"/>
          <w:sz w:val="20"/>
        </w:rPr>
        <w:t> </w:t>
      </w:r>
      <w:r>
        <w:rPr>
          <w:rFonts w:ascii="Arial" w:hAnsi="Arial"/>
          <w:i/>
          <w:sz w:val="20"/>
        </w:rPr>
        <w:t>Eurodata</w:t>
      </w:r>
      <w:r>
        <w:rPr>
          <w:rFonts w:ascii="Arial" w:hAnsi="Arial"/>
          <w:i/>
          <w:spacing w:val="23"/>
          <w:sz w:val="20"/>
        </w:rPr>
        <w:t> </w:t>
      </w:r>
      <w:r>
        <w:rPr>
          <w:rFonts w:ascii="Arial" w:hAnsi="Arial"/>
          <w:i/>
          <w:sz w:val="20"/>
        </w:rPr>
        <w:t>Systems</w:t>
      </w:r>
      <w:r>
        <w:rPr>
          <w:rFonts w:ascii="Arial" w:hAnsi="Arial"/>
          <w:i/>
          <w:spacing w:val="23"/>
          <w:sz w:val="20"/>
        </w:rPr>
        <w:t> </w:t>
      </w:r>
      <w:r>
        <w:rPr>
          <w:rFonts w:ascii="Arial" w:hAnsi="Arial"/>
          <w:i/>
          <w:sz w:val="20"/>
        </w:rPr>
        <w:t>Plc</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Michael</w:t>
      </w:r>
      <w:r>
        <w:rPr>
          <w:rFonts w:ascii="Arial" w:hAnsi="Arial"/>
          <w:i/>
          <w:spacing w:val="23"/>
          <w:sz w:val="20"/>
        </w:rPr>
        <w:t> </w:t>
      </w:r>
      <w:r>
        <w:rPr>
          <w:rFonts w:ascii="Arial" w:hAnsi="Arial"/>
          <w:i/>
          <w:sz w:val="20"/>
        </w:rPr>
        <w:t>Gershon</w:t>
      </w:r>
      <w:r>
        <w:rPr>
          <w:rFonts w:ascii="Arial" w:hAnsi="Arial"/>
          <w:i/>
          <w:spacing w:val="23"/>
          <w:sz w:val="20"/>
        </w:rPr>
        <w:t> </w:t>
      </w:r>
      <w:r>
        <w:rPr>
          <w:rFonts w:ascii="Arial" w:hAnsi="Arial"/>
          <w:i/>
          <w:sz w:val="20"/>
        </w:rPr>
        <w:t>Plc,</w:t>
      </w:r>
      <w:r>
        <w:rPr>
          <w:rFonts w:ascii="Arial" w:hAnsi="Arial"/>
          <w:i/>
          <w:spacing w:val="23"/>
          <w:sz w:val="20"/>
        </w:rPr>
        <w:t> </w:t>
      </w:r>
      <w:r>
        <w:rPr>
          <w:rFonts w:ascii="Arial" w:hAnsi="Arial"/>
          <w:i/>
          <w:sz w:val="20"/>
        </w:rPr>
        <w:t>The</w:t>
      </w:r>
      <w:r>
        <w:rPr>
          <w:rFonts w:ascii="Arial" w:hAnsi="Arial"/>
          <w:i/>
          <w:spacing w:val="23"/>
          <w:sz w:val="20"/>
        </w:rPr>
        <w:t> </w:t>
      </w:r>
      <w:r>
        <w:rPr>
          <w:rFonts w:ascii="Arial" w:hAnsi="Arial"/>
          <w:i/>
          <w:sz w:val="20"/>
        </w:rPr>
        <w:t>Times,</w:t>
      </w:r>
      <w:r>
        <w:rPr>
          <w:rFonts w:ascii="Arial" w:hAnsi="Arial"/>
          <w:i/>
          <w:spacing w:val="23"/>
          <w:sz w:val="20"/>
        </w:rPr>
        <w:t> </w:t>
      </w:r>
      <w:r>
        <w:rPr>
          <w:rFonts w:ascii="Arial" w:hAnsi="Arial"/>
          <w:i/>
          <w:sz w:val="20"/>
        </w:rPr>
        <w:t>March</w:t>
      </w:r>
      <w:r>
        <w:rPr>
          <w:rFonts w:ascii="Arial" w:hAnsi="Arial"/>
          <w:i/>
          <w:spacing w:val="23"/>
          <w:sz w:val="20"/>
        </w:rPr>
        <w:t> </w:t>
      </w:r>
      <w:r>
        <w:rPr>
          <w:rFonts w:ascii="Arial" w:hAnsi="Arial"/>
          <w:i/>
          <w:spacing w:val="-5"/>
          <w:sz w:val="20"/>
        </w:rPr>
        <w:t>25,</w:t>
      </w:r>
    </w:p>
    <w:p>
      <w:pPr>
        <w:spacing w:after="0" w:line="235" w:lineRule="auto"/>
        <w:jc w:val="both"/>
        <w:rPr>
          <w:rFonts w:ascii="Arial" w:hAns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2003</w:t>
      </w:r>
      <w:r>
        <w:rPr>
          <w:sz w:val="20"/>
        </w:rPr>
        <w:t>; </w:t>
      </w:r>
      <w:r>
        <w:rPr>
          <w:rFonts w:ascii="Arial" w:hAnsi="Arial"/>
          <w:i/>
          <w:sz w:val="20"/>
        </w:rPr>
        <w:t>Emcor Drake &amp; Scull Ltd v Sir Robert McAlpine Ltd [2004] EWCA Civ 1733, 98 Con. </w:t>
      </w:r>
      <w:r>
        <w:rPr>
          <w:rFonts w:ascii="Arial" w:hAnsi="Arial"/>
          <w:i/>
          <w:sz w:val="20"/>
        </w:rPr>
        <w:t>L.R. 1</w:t>
      </w:r>
      <w:r>
        <w:rPr>
          <w:sz w:val="20"/>
        </w:rPr>
        <w:t>; </w:t>
      </w:r>
      <w:r>
        <w:rPr>
          <w:rFonts w:ascii="Arial" w:hAnsi="Arial"/>
          <w:i/>
          <w:sz w:val="20"/>
        </w:rPr>
        <w:t>Haden Young Ltd v O’Rourke Midlands Ltd [2008] EWHC 1016 (TCC) </w:t>
      </w:r>
      <w:r>
        <w:rPr>
          <w:sz w:val="20"/>
        </w:rPr>
        <w:t>at [115]; </w:t>
      </w:r>
      <w:r>
        <w:rPr>
          <w:rFonts w:ascii="Arial" w:hAnsi="Arial"/>
          <w:i/>
          <w:sz w:val="20"/>
        </w:rPr>
        <w:t>J D Cleverly Ltd v Family Finance Ltd [2010] EWCA Civ 1477, [2011] R.T.R. 22</w:t>
      </w:r>
      <w:r>
        <w:rPr>
          <w:sz w:val="20"/>
        </w:rPr>
        <w:t>; cf. the wording of the “Total Price</w:t>
      </w:r>
      <w:r>
        <w:rPr>
          <w:spacing w:val="-1"/>
          <w:sz w:val="20"/>
        </w:rPr>
        <w:t> </w:t>
      </w:r>
      <w:r>
        <w:rPr>
          <w:sz w:val="20"/>
        </w:rPr>
        <w:t>Box”</w:t>
      </w:r>
      <w:r>
        <w:rPr>
          <w:spacing w:val="-1"/>
          <w:sz w:val="20"/>
        </w:rPr>
        <w:t> </w:t>
      </w:r>
      <w:r>
        <w:rPr>
          <w:sz w:val="20"/>
        </w:rPr>
        <w:t>in</w:t>
      </w:r>
      <w:r>
        <w:rPr>
          <w:spacing w:val="-2"/>
          <w:sz w:val="20"/>
        </w:rPr>
        <w:t> </w:t>
      </w:r>
      <w:r>
        <w:rPr>
          <w:rFonts w:ascii="Arial" w:hAnsi="Arial"/>
          <w:i/>
          <w:sz w:val="20"/>
        </w:rPr>
        <w:t>Smith</w:t>
      </w:r>
      <w:r>
        <w:rPr>
          <w:rFonts w:ascii="Arial" w:hAnsi="Arial"/>
          <w:i/>
          <w:spacing w:val="-1"/>
          <w:sz w:val="20"/>
        </w:rPr>
        <w:t> </w:t>
      </w:r>
      <w:r>
        <w:rPr>
          <w:rFonts w:ascii="Arial" w:hAnsi="Arial"/>
          <w:i/>
          <w:sz w:val="20"/>
        </w:rPr>
        <w:t>Glaziers</w:t>
      </w:r>
      <w:r>
        <w:rPr>
          <w:rFonts w:ascii="Arial" w:hAnsi="Arial"/>
          <w:i/>
          <w:spacing w:val="-1"/>
          <w:sz w:val="20"/>
        </w:rPr>
        <w:t> </w:t>
      </w:r>
      <w:r>
        <w:rPr>
          <w:rFonts w:ascii="Arial" w:hAnsi="Arial"/>
          <w:i/>
          <w:sz w:val="20"/>
        </w:rPr>
        <w:t>(Dunfermline)</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Customs</w:t>
      </w:r>
      <w:r>
        <w:rPr>
          <w:rFonts w:ascii="Arial" w:hAnsi="Arial"/>
          <w:i/>
          <w:spacing w:val="-1"/>
          <w:sz w:val="20"/>
        </w:rPr>
        <w:t> </w:t>
      </w:r>
      <w:r>
        <w:rPr>
          <w:rFonts w:ascii="Arial" w:hAnsi="Arial"/>
          <w:i/>
          <w:sz w:val="20"/>
        </w:rPr>
        <w:t>&amp;</w:t>
      </w:r>
      <w:r>
        <w:rPr>
          <w:rFonts w:ascii="Arial" w:hAnsi="Arial"/>
          <w:i/>
          <w:spacing w:val="-1"/>
          <w:sz w:val="20"/>
        </w:rPr>
        <w:t> </w:t>
      </w:r>
      <w:r>
        <w:rPr>
          <w:rFonts w:ascii="Arial" w:hAnsi="Arial"/>
          <w:i/>
          <w:sz w:val="20"/>
        </w:rPr>
        <w:t>Excise</w:t>
      </w:r>
      <w:r>
        <w:rPr>
          <w:rFonts w:ascii="Arial" w:hAnsi="Arial"/>
          <w:i/>
          <w:spacing w:val="-1"/>
          <w:sz w:val="20"/>
        </w:rPr>
        <w:t> </w:t>
      </w:r>
      <w:r>
        <w:rPr>
          <w:rFonts w:ascii="Arial" w:hAnsi="Arial"/>
          <w:i/>
          <w:sz w:val="20"/>
        </w:rPr>
        <w:t>Commissioners</w:t>
      </w:r>
      <w:r>
        <w:rPr>
          <w:rFonts w:ascii="Arial" w:hAnsi="Arial"/>
          <w:i/>
          <w:spacing w:val="-1"/>
          <w:sz w:val="20"/>
        </w:rPr>
        <w:t> </w:t>
      </w:r>
      <w:r>
        <w:rPr>
          <w:rFonts w:ascii="Arial" w:hAnsi="Arial"/>
          <w:i/>
          <w:sz w:val="20"/>
        </w:rPr>
        <w:t>[2003]</w:t>
      </w:r>
      <w:r>
        <w:rPr>
          <w:rFonts w:ascii="Arial" w:hAnsi="Arial"/>
          <w:i/>
          <w:spacing w:val="-1"/>
          <w:sz w:val="20"/>
        </w:rPr>
        <w:t> </w:t>
      </w:r>
      <w:r>
        <w:rPr>
          <w:rFonts w:ascii="Arial" w:hAnsi="Arial"/>
          <w:i/>
          <w:sz w:val="20"/>
        </w:rPr>
        <w:t>UKHL</w:t>
      </w:r>
      <w:r>
        <w:rPr>
          <w:rFonts w:ascii="Arial" w:hAnsi="Arial"/>
          <w:i/>
          <w:spacing w:val="-1"/>
          <w:sz w:val="20"/>
        </w:rPr>
        <w:t> </w:t>
      </w:r>
      <w:r>
        <w:rPr>
          <w:rFonts w:ascii="Arial" w:hAnsi="Arial"/>
          <w:i/>
          <w:sz w:val="20"/>
        </w:rPr>
        <w:t>7, [2003] 1 W.L.R. 656</w:t>
      </w:r>
      <w:r>
        <w:rPr>
          <w:sz w:val="20"/>
        </w:rPr>
        <w:t>.</w:t>
      </w:r>
    </w:p>
    <w:p>
      <w:pPr>
        <w:pStyle w:val="BodyText"/>
        <w:spacing w:before="8"/>
      </w:pPr>
    </w:p>
    <w:p>
      <w:pPr>
        <w:spacing w:line="235" w:lineRule="auto" w:before="0"/>
        <w:ind w:left="705" w:right="167" w:hanging="541"/>
        <w:jc w:val="both"/>
        <w:rPr>
          <w:sz w:val="20"/>
        </w:rPr>
      </w:pPr>
      <w:bookmarkStart w:name="_bookmark1360" w:id="1362"/>
      <w:bookmarkEnd w:id="1362"/>
      <w:r>
        <w:rPr/>
      </w:r>
      <w:hyperlink w:history="true" w:anchor="_bookmark1160">
        <w:r>
          <w:rPr>
            <w:color w:val="005DA1"/>
            <w:position w:val="5"/>
            <w:sz w:val="14"/>
            <w:u w:val="single" w:color="005DA1"/>
          </w:rPr>
          <w:t>627</w:t>
        </w:r>
      </w:hyperlink>
      <w:r>
        <w:rPr>
          <w:position w:val="5"/>
          <w:sz w:val="14"/>
        </w:rPr>
        <w:t>.</w:t>
      </w:r>
      <w:r>
        <w:rPr>
          <w:spacing w:val="80"/>
          <w:position w:val="5"/>
          <w:sz w:val="14"/>
        </w:rPr>
        <w:t>  </w:t>
      </w:r>
      <w:r>
        <w:rPr>
          <w:rFonts w:ascii="Arial" w:hAnsi="Arial"/>
          <w:i/>
          <w:sz w:val="20"/>
        </w:rPr>
        <w:t>Okura &amp; Co Ltd v Navara Shipping Corp SA [1982] 2 Lloyd’s Rep. 537</w:t>
      </w:r>
      <w:r>
        <w:rPr>
          <w:sz w:val="20"/>
        </w:rPr>
        <w:t>; cf. </w:t>
      </w:r>
      <w:r>
        <w:rPr>
          <w:rFonts w:ascii="Arial" w:hAnsi="Arial"/>
          <w:i/>
          <w:sz w:val="20"/>
        </w:rPr>
        <w:t>R. v Sevenoaks </w:t>
      </w:r>
      <w:r>
        <w:rPr>
          <w:rFonts w:ascii="Arial" w:hAnsi="Arial"/>
          <w:i/>
          <w:sz w:val="20"/>
        </w:rPr>
        <w:t>DC Ex p. Terry [1985] 3 All E.R. 226</w:t>
      </w:r>
      <w:r>
        <w:rPr>
          <w:sz w:val="20"/>
        </w:rPr>
        <w:t>; </w:t>
      </w:r>
      <w:r>
        <w:rPr>
          <w:rFonts w:ascii="Arial" w:hAnsi="Arial"/>
          <w:i/>
          <w:sz w:val="20"/>
        </w:rPr>
        <w:t>Samos Shipping Enterprises Ltd v Eckhart &amp; Co KG (The Nissos Samos) [1985] 1 Lloyd’s Rep. 378</w:t>
      </w:r>
      <w:r>
        <w:rPr>
          <w:sz w:val="20"/>
        </w:rPr>
        <w:t>; </w:t>
      </w:r>
      <w:r>
        <w:rPr>
          <w:rFonts w:ascii="Arial" w:hAnsi="Arial"/>
          <w:i/>
          <w:sz w:val="20"/>
        </w:rPr>
        <w:t>Hofflinghouse &amp; Co Ltd v C. Trade SA (The Intra Transporter) [1985] 2 Lloyd’s Rep. 159, 163; affirmed [1986] 2 Lloyd’s Rep. 132</w:t>
      </w:r>
      <w:r>
        <w:rPr>
          <w:sz w:val="20"/>
        </w:rPr>
        <w:t>; Debattista [1985] L.M.C.L.Q. 241; </w:t>
      </w:r>
      <w:r>
        <w:rPr>
          <w:rFonts w:ascii="Arial" w:hAnsi="Arial"/>
          <w:i/>
          <w:sz w:val="20"/>
        </w:rPr>
        <w:t>Star Steamship Society v Beogradska Plovidba (The Junior K.) [1988] 2 Lloyd’s Rep. 583</w:t>
      </w:r>
      <w:r>
        <w:rPr>
          <w:sz w:val="20"/>
        </w:rPr>
        <w:t>; Debattista [1988] L.M.C.L.Q. 441; </w:t>
      </w:r>
      <w:r>
        <w:rPr>
          <w:rFonts w:ascii="Arial" w:hAnsi="Arial"/>
          <w:i/>
          <w:sz w:val="20"/>
        </w:rPr>
        <w:t>Atlantic Marine Transport Corp v Coscol Petroleum Corp (The Pina) [1992] 2 Lloyd’s Rep. 103, 107</w:t>
      </w:r>
      <w:r>
        <w:rPr>
          <w:sz w:val="20"/>
        </w:rPr>
        <w:t>; </w:t>
      </w:r>
      <w:r>
        <w:rPr>
          <w:rFonts w:ascii="Arial" w:hAnsi="Arial"/>
          <w:i/>
          <w:sz w:val="20"/>
        </w:rPr>
        <w:t>New England Reinsurance Corp v Messaghios Insurance Co SA [1992] 2 Lloyd’s Rep. 251</w:t>
      </w:r>
      <w:r>
        <w:rPr>
          <w:sz w:val="20"/>
        </w:rPr>
        <w:t>; </w:t>
      </w:r>
      <w:r>
        <w:rPr>
          <w:rFonts w:ascii="Arial" w:hAnsi="Arial"/>
          <w:i/>
          <w:sz w:val="20"/>
        </w:rPr>
        <w:t>CPC Consolidated Pool Carriers GmbH v CTM Cia Transmediterranea SA (The CPC Gallia) [1994] 1 Lloyd’s Rep. 68</w:t>
      </w:r>
      <w:r>
        <w:rPr>
          <w:sz w:val="20"/>
        </w:rPr>
        <w:t>; </w:t>
      </w:r>
      <w:r>
        <w:rPr>
          <w:rFonts w:ascii="Arial" w:hAnsi="Arial"/>
          <w:i/>
          <w:sz w:val="20"/>
        </w:rPr>
        <w:t>Ignazio Messina &amp; Co v Polskie Linie Oceaniczne [1995] 2 Lloyd’s Rep. 566</w:t>
      </w:r>
      <w:r>
        <w:rPr>
          <w:sz w:val="20"/>
        </w:rPr>
        <w:t>; </w:t>
      </w:r>
      <w:r>
        <w:rPr>
          <w:rFonts w:ascii="Arial" w:hAnsi="Arial"/>
          <w:i/>
          <w:sz w:val="20"/>
        </w:rPr>
        <w:t>Drake Scull Engineering Ltd v Higgs &amp; Hill (Northern) Ltd (1995) 11 Const. L.J. 214</w:t>
      </w:r>
      <w:r>
        <w:rPr>
          <w:sz w:val="20"/>
        </w:rPr>
        <w:t>; </w:t>
      </w:r>
      <w:r>
        <w:rPr>
          <w:rFonts w:ascii="Arial" w:hAnsi="Arial"/>
          <w:i/>
          <w:sz w:val="20"/>
        </w:rPr>
        <w:t>Regalian Properties Plc v London Dockland Development Corp [1995] 1 W.L.R. 212</w:t>
      </w:r>
      <w:r>
        <w:rPr>
          <w:sz w:val="20"/>
        </w:rPr>
        <w:t>; </w:t>
      </w:r>
      <w:r>
        <w:rPr>
          <w:rFonts w:ascii="Arial" w:hAnsi="Arial"/>
          <w:i/>
          <w:sz w:val="20"/>
        </w:rPr>
        <w:t>Enfield LBC v Arajah [1995] E.G.C.S. 164</w:t>
      </w:r>
      <w:r>
        <w:rPr>
          <w:sz w:val="20"/>
        </w:rPr>
        <w:t>; </w:t>
      </w:r>
      <w:r>
        <w:rPr>
          <w:rFonts w:ascii="Arial" w:hAnsi="Arial"/>
          <w:i/>
          <w:sz w:val="20"/>
        </w:rPr>
        <w:t>Galliard Homes Ltd v Jarvis Interiors Ltd [2000] C.L.C. 411</w:t>
      </w:r>
      <w:r>
        <w:rPr>
          <w:sz w:val="20"/>
        </w:rPr>
        <w:t>; </w:t>
      </w:r>
      <w:r>
        <w:rPr>
          <w:rFonts w:ascii="Arial" w:hAnsi="Arial"/>
          <w:i/>
          <w:sz w:val="20"/>
        </w:rPr>
        <w:t>Britvic Soft Drinks Ltd v Messer UK Ltd [2001] 1 Lloyd’s Rep. 20 at [64]; affirmed on other grounds [2002] EWCA Civ 548, [2002] 2 All E.R. (Comm) 321</w:t>
      </w:r>
      <w:r>
        <w:rPr>
          <w:sz w:val="20"/>
        </w:rPr>
        <w:t>; </w:t>
      </w:r>
      <w:r>
        <w:rPr>
          <w:rFonts w:ascii="Arial" w:hAnsi="Arial"/>
          <w:i/>
          <w:sz w:val="20"/>
        </w:rPr>
        <w:t>Sun Life Assurance Co of Canada v CX Reinsurance Co Ltd [2003] 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283</w:t>
      </w:r>
      <w:r>
        <w:rPr>
          <w:sz w:val="20"/>
        </w:rPr>
        <w:t>;</w:t>
      </w:r>
      <w:r>
        <w:rPr>
          <w:spacing w:val="-2"/>
          <w:sz w:val="20"/>
        </w:rPr>
        <w:t> </w:t>
      </w:r>
      <w:r>
        <w:rPr>
          <w:rFonts w:ascii="Arial" w:hAnsi="Arial"/>
          <w:i/>
          <w:sz w:val="20"/>
        </w:rPr>
        <w:t>Thoreson</w:t>
      </w:r>
      <w:r>
        <w:rPr>
          <w:rFonts w:ascii="Arial" w:hAnsi="Arial"/>
          <w:i/>
          <w:spacing w:val="-2"/>
          <w:sz w:val="20"/>
        </w:rPr>
        <w:t> </w:t>
      </w:r>
      <w:r>
        <w:rPr>
          <w:rFonts w:ascii="Arial" w:hAnsi="Arial"/>
          <w:i/>
          <w:sz w:val="20"/>
        </w:rPr>
        <w:t>&amp;</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(Bangkok)</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Fathom</w:t>
      </w:r>
      <w:r>
        <w:rPr>
          <w:rFonts w:ascii="Arial" w:hAnsi="Arial"/>
          <w:i/>
          <w:spacing w:val="-2"/>
          <w:sz w:val="20"/>
        </w:rPr>
        <w:t> </w:t>
      </w:r>
      <w:r>
        <w:rPr>
          <w:rFonts w:ascii="Arial" w:hAnsi="Arial"/>
          <w:i/>
          <w:sz w:val="20"/>
        </w:rPr>
        <w:t>Marine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[2004]</w:t>
      </w:r>
      <w:r>
        <w:rPr>
          <w:rFonts w:ascii="Arial" w:hAnsi="Arial"/>
          <w:i/>
          <w:spacing w:val="-2"/>
          <w:sz w:val="20"/>
        </w:rPr>
        <w:t> </w:t>
      </w:r>
      <w:r>
        <w:rPr>
          <w:rFonts w:ascii="Arial" w:hAnsi="Arial"/>
          <w:i/>
          <w:sz w:val="20"/>
        </w:rPr>
        <w:t>EWHC</w:t>
      </w:r>
      <w:r>
        <w:rPr>
          <w:rFonts w:ascii="Arial" w:hAnsi="Arial"/>
          <w:i/>
          <w:spacing w:val="-2"/>
          <w:sz w:val="20"/>
        </w:rPr>
        <w:t> </w:t>
      </w:r>
      <w:r>
        <w:rPr>
          <w:rFonts w:ascii="Arial" w:hAnsi="Arial"/>
          <w:i/>
          <w:sz w:val="20"/>
        </w:rPr>
        <w:t>167</w:t>
      </w:r>
      <w:r>
        <w:rPr>
          <w:rFonts w:ascii="Arial" w:hAnsi="Arial"/>
          <w:i/>
          <w:spacing w:val="-2"/>
          <w:sz w:val="20"/>
        </w:rPr>
        <w:t> </w:t>
      </w:r>
      <w:r>
        <w:rPr>
          <w:rFonts w:ascii="Arial" w:hAnsi="Arial"/>
          <w:i/>
          <w:sz w:val="20"/>
        </w:rPr>
        <w:t>(Comm), [2004] 1 All E.R. (Comm) 935 </w:t>
      </w:r>
      <w:r>
        <w:rPr>
          <w:sz w:val="20"/>
        </w:rPr>
        <w:t>(agreement for sale of ship “sub details” not a binding contract); </w:t>
      </w:r>
      <w:r>
        <w:rPr>
          <w:rFonts w:ascii="Arial" w:hAnsi="Arial"/>
          <w:i/>
          <w:sz w:val="20"/>
        </w:rPr>
        <w:t>Petromec Inc v Petroleo Brasileiro SA Petrobas [2005] EWCA Civ 891, [2006] 1 Lloyd’s Rep. 121 </w:t>
      </w:r>
      <w:r>
        <w:rPr>
          <w:sz w:val="20"/>
        </w:rPr>
        <w:t>at [74]–[77] (MOA to be governed by later Transaction Documents not a binding contract; for further proceedings, see </w:t>
      </w:r>
      <w:r>
        <w:rPr>
          <w:rFonts w:ascii="Arial" w:hAnsi="Arial"/>
          <w:i/>
          <w:sz w:val="20"/>
        </w:rPr>
        <w:t>[2006] EWHC 1443 (Comm), [2007] 1 Lloyd’s Rep. 629</w:t>
      </w:r>
      <w:r>
        <w:rPr>
          <w:sz w:val="20"/>
        </w:rPr>
        <w:t>); </w:t>
      </w:r>
      <w:r>
        <w:rPr>
          <w:rFonts w:ascii="Arial" w:hAnsi="Arial"/>
          <w:i/>
          <w:sz w:val="20"/>
        </w:rPr>
        <w:t>Oceonografia</w:t>
      </w:r>
      <w:r>
        <w:rPr>
          <w:rFonts w:ascii="Arial" w:hAnsi="Arial"/>
          <w:i/>
          <w:spacing w:val="-1"/>
          <w:sz w:val="20"/>
        </w:rPr>
        <w:t> </w:t>
      </w:r>
      <w:r>
        <w:rPr>
          <w:rFonts w:ascii="Arial" w:hAnsi="Arial"/>
          <w:i/>
          <w:sz w:val="20"/>
        </w:rPr>
        <w:t>SA</w:t>
      </w:r>
      <w:r>
        <w:rPr>
          <w:rFonts w:ascii="Arial" w:hAnsi="Arial"/>
          <w:i/>
          <w:spacing w:val="-1"/>
          <w:sz w:val="20"/>
        </w:rPr>
        <w:t> </w:t>
      </w:r>
      <w:r>
        <w:rPr>
          <w:rFonts w:ascii="Arial" w:hAnsi="Arial"/>
          <w:i/>
          <w:sz w:val="20"/>
        </w:rPr>
        <w:t>de</w:t>
      </w:r>
      <w:r>
        <w:rPr>
          <w:rFonts w:ascii="Arial" w:hAnsi="Arial"/>
          <w:i/>
          <w:spacing w:val="-1"/>
          <w:sz w:val="20"/>
        </w:rPr>
        <w:t> </w:t>
      </w:r>
      <w:r>
        <w:rPr>
          <w:rFonts w:ascii="Arial" w:hAnsi="Arial"/>
          <w:i/>
          <w:sz w:val="20"/>
        </w:rPr>
        <w:t>CV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DSND</w:t>
      </w:r>
      <w:r>
        <w:rPr>
          <w:rFonts w:ascii="Arial" w:hAnsi="Arial"/>
          <w:i/>
          <w:spacing w:val="-1"/>
          <w:sz w:val="20"/>
        </w:rPr>
        <w:t> </w:t>
      </w:r>
      <w:r>
        <w:rPr>
          <w:rFonts w:ascii="Arial" w:hAnsi="Arial"/>
          <w:i/>
          <w:sz w:val="20"/>
        </w:rPr>
        <w:t>Subsea</w:t>
      </w:r>
      <w:r>
        <w:rPr>
          <w:rFonts w:ascii="Arial" w:hAnsi="Arial"/>
          <w:i/>
          <w:spacing w:val="-1"/>
          <w:sz w:val="20"/>
        </w:rPr>
        <w:t> </w:t>
      </w:r>
      <w:r>
        <w:rPr>
          <w:rFonts w:ascii="Arial" w:hAnsi="Arial"/>
          <w:i/>
          <w:sz w:val="20"/>
        </w:rPr>
        <w:t>AS</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Botnica)</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1300</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[2007] 1</w:t>
      </w:r>
      <w:r>
        <w:rPr>
          <w:rFonts w:ascii="Arial" w:hAnsi="Arial"/>
          <w:i/>
          <w:spacing w:val="-3"/>
          <w:sz w:val="20"/>
        </w:rPr>
        <w:t> </w:t>
      </w:r>
      <w:r>
        <w:rPr>
          <w:rFonts w:ascii="Arial" w:hAnsi="Arial"/>
          <w:i/>
          <w:sz w:val="20"/>
        </w:rPr>
        <w:t>All</w:t>
      </w:r>
      <w:r>
        <w:rPr>
          <w:rFonts w:ascii="Arial" w:hAnsi="Arial"/>
          <w:i/>
          <w:spacing w:val="-3"/>
          <w:sz w:val="20"/>
        </w:rPr>
        <w:t> </w:t>
      </w:r>
      <w:r>
        <w:rPr>
          <w:rFonts w:ascii="Arial" w:hAnsi="Arial"/>
          <w:i/>
          <w:sz w:val="20"/>
        </w:rPr>
        <w:t>E.R.</w:t>
      </w:r>
      <w:r>
        <w:rPr>
          <w:rFonts w:ascii="Arial" w:hAnsi="Arial"/>
          <w:i/>
          <w:spacing w:val="-3"/>
          <w:sz w:val="20"/>
        </w:rPr>
        <w:t> </w:t>
      </w:r>
      <w:r>
        <w:rPr>
          <w:rFonts w:ascii="Arial" w:hAnsi="Arial"/>
          <w:i/>
          <w:sz w:val="20"/>
        </w:rPr>
        <w:t>(Comm)</w:t>
      </w:r>
      <w:r>
        <w:rPr>
          <w:rFonts w:ascii="Arial" w:hAnsi="Arial"/>
          <w:i/>
          <w:spacing w:val="-3"/>
          <w:sz w:val="20"/>
        </w:rPr>
        <w:t> </w:t>
      </w:r>
      <w:r>
        <w:rPr>
          <w:rFonts w:ascii="Arial" w:hAnsi="Arial"/>
          <w:i/>
          <w:sz w:val="20"/>
        </w:rPr>
        <w:t>28</w:t>
      </w:r>
      <w:r>
        <w:rPr>
          <w:rFonts w:ascii="Arial" w:hAnsi="Arial"/>
          <w:i/>
          <w:spacing w:val="-3"/>
          <w:sz w:val="20"/>
        </w:rPr>
        <w:t> </w:t>
      </w:r>
      <w:r>
        <w:rPr>
          <w:sz w:val="20"/>
        </w:rPr>
        <w:t>(charter</w:t>
      </w:r>
      <w:r>
        <w:rPr>
          <w:spacing w:val="-3"/>
          <w:sz w:val="20"/>
        </w:rPr>
        <w:t> </w:t>
      </w:r>
      <w:r>
        <w:rPr>
          <w:sz w:val="20"/>
        </w:rPr>
        <w:t>“subject</w:t>
      </w:r>
      <w:r>
        <w:rPr>
          <w:spacing w:val="-3"/>
          <w:sz w:val="20"/>
        </w:rPr>
        <w:t> </w:t>
      </w:r>
      <w:r>
        <w:rPr>
          <w:sz w:val="20"/>
        </w:rPr>
        <w:t>to</w:t>
      </w:r>
      <w:r>
        <w:rPr>
          <w:spacing w:val="-3"/>
          <w:sz w:val="20"/>
        </w:rPr>
        <w:t> </w:t>
      </w:r>
      <w:r>
        <w:rPr>
          <w:sz w:val="20"/>
        </w:rPr>
        <w:t>the</w:t>
      </w:r>
      <w:r>
        <w:rPr>
          <w:spacing w:val="-3"/>
          <w:sz w:val="20"/>
        </w:rPr>
        <w:t> </w:t>
      </w:r>
      <w:r>
        <w:rPr>
          <w:sz w:val="20"/>
        </w:rPr>
        <w:t>signing</w:t>
      </w:r>
      <w:r>
        <w:rPr>
          <w:spacing w:val="-3"/>
          <w:sz w:val="20"/>
        </w:rPr>
        <w:t> </w:t>
      </w:r>
      <w:r>
        <w:rPr>
          <w:sz w:val="20"/>
        </w:rPr>
        <w:t>of</w:t>
      </w:r>
      <w:r>
        <w:rPr>
          <w:spacing w:val="-3"/>
          <w:sz w:val="20"/>
        </w:rPr>
        <w:t> </w:t>
      </w:r>
      <w:r>
        <w:rPr>
          <w:sz w:val="20"/>
        </w:rPr>
        <w:t>mutually</w:t>
      </w:r>
      <w:r>
        <w:rPr>
          <w:spacing w:val="-3"/>
          <w:sz w:val="20"/>
        </w:rPr>
        <w:t> </w:t>
      </w:r>
      <w:r>
        <w:rPr>
          <w:sz w:val="20"/>
        </w:rPr>
        <w:t>agreeable</w:t>
      </w:r>
      <w:r>
        <w:rPr>
          <w:spacing w:val="-3"/>
          <w:sz w:val="20"/>
        </w:rPr>
        <w:t> </w:t>
      </w:r>
      <w:r>
        <w:rPr>
          <w:sz w:val="20"/>
        </w:rPr>
        <w:t>terms</w:t>
      </w:r>
      <w:r>
        <w:rPr>
          <w:spacing w:val="-3"/>
          <w:sz w:val="20"/>
        </w:rPr>
        <w:t> </w:t>
      </w:r>
      <w:r>
        <w:rPr>
          <w:sz w:val="20"/>
        </w:rPr>
        <w:t>and</w:t>
      </w:r>
      <w:r>
        <w:rPr>
          <w:spacing w:val="-3"/>
          <w:sz w:val="20"/>
        </w:rPr>
        <w:t> </w:t>
      </w:r>
      <w:r>
        <w:rPr>
          <w:sz w:val="20"/>
        </w:rPr>
        <w:t>condition” not a binding contract); </w:t>
      </w:r>
      <w:r>
        <w:rPr>
          <w:rFonts w:ascii="Arial" w:hAnsi="Arial"/>
          <w:i/>
          <w:sz w:val="20"/>
        </w:rPr>
        <w:t>Service Power Asia Pacific Pty Ltd v Service Power Business Solutions Ltd [2009] EWCH 179 (Ch), [2010] 1 All E.R. (Comm) 238 </w:t>
      </w:r>
      <w:r>
        <w:rPr>
          <w:sz w:val="20"/>
        </w:rPr>
        <w:t>at [20] (stipulation for outcome of negotiations</w:t>
      </w:r>
      <w:r>
        <w:rPr>
          <w:spacing w:val="-2"/>
          <w:sz w:val="20"/>
        </w:rPr>
        <w:t> </w:t>
      </w:r>
      <w:r>
        <w:rPr>
          <w:sz w:val="20"/>
        </w:rPr>
        <w:t>to</w:t>
      </w:r>
      <w:r>
        <w:rPr>
          <w:spacing w:val="-2"/>
          <w:sz w:val="20"/>
        </w:rPr>
        <w:t> </w:t>
      </w:r>
      <w:r>
        <w:rPr>
          <w:sz w:val="20"/>
        </w:rPr>
        <w:t>be</w:t>
      </w:r>
      <w:r>
        <w:rPr>
          <w:spacing w:val="-2"/>
          <w:sz w:val="20"/>
        </w:rPr>
        <w:t> </w:t>
      </w:r>
      <w:r>
        <w:rPr>
          <w:sz w:val="20"/>
        </w:rPr>
        <w:t>reduced</w:t>
      </w:r>
      <w:r>
        <w:rPr>
          <w:spacing w:val="-2"/>
          <w:sz w:val="20"/>
        </w:rPr>
        <w:t> </w:t>
      </w:r>
      <w:r>
        <w:rPr>
          <w:sz w:val="20"/>
        </w:rPr>
        <w:t>to</w:t>
      </w:r>
      <w:r>
        <w:rPr>
          <w:spacing w:val="-2"/>
          <w:sz w:val="20"/>
        </w:rPr>
        <w:t> </w:t>
      </w:r>
      <w:r>
        <w:rPr>
          <w:sz w:val="20"/>
        </w:rPr>
        <w:t>writing</w:t>
      </w:r>
      <w:r>
        <w:rPr>
          <w:spacing w:val="-2"/>
          <w:sz w:val="20"/>
        </w:rPr>
        <w:t> </w:t>
      </w:r>
      <w:r>
        <w:rPr>
          <w:sz w:val="20"/>
        </w:rPr>
        <w:t>containing</w:t>
      </w:r>
      <w:r>
        <w:rPr>
          <w:spacing w:val="-2"/>
          <w:sz w:val="20"/>
        </w:rPr>
        <w:t> </w:t>
      </w:r>
      <w:r>
        <w:rPr>
          <w:sz w:val="20"/>
        </w:rPr>
        <w:t>detailed</w:t>
      </w:r>
      <w:r>
        <w:rPr>
          <w:spacing w:val="-2"/>
          <w:sz w:val="20"/>
        </w:rPr>
        <w:t> </w:t>
      </w:r>
      <w:r>
        <w:rPr>
          <w:sz w:val="20"/>
        </w:rPr>
        <w:t>terms);</w:t>
      </w:r>
      <w:r>
        <w:rPr>
          <w:spacing w:val="-3"/>
          <w:sz w:val="20"/>
        </w:rPr>
        <w:t> </w:t>
      </w:r>
      <w:r>
        <w:rPr>
          <w:rFonts w:ascii="Arial" w:hAnsi="Arial"/>
          <w:i/>
          <w:sz w:val="20"/>
        </w:rPr>
        <w:t>Whittle</w:t>
      </w:r>
      <w:r>
        <w:rPr>
          <w:rFonts w:ascii="Arial" w:hAnsi="Arial"/>
          <w:i/>
          <w:spacing w:val="-2"/>
          <w:sz w:val="20"/>
        </w:rPr>
        <w:t> </w:t>
      </w:r>
      <w:r>
        <w:rPr>
          <w:rFonts w:ascii="Arial" w:hAnsi="Arial"/>
          <w:i/>
          <w:sz w:val="20"/>
        </w:rPr>
        <w:t>Movers</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Hollywood Express Ltd [2009] EWCA Civ 1189 </w:t>
      </w:r>
      <w:r>
        <w:rPr>
          <w:sz w:val="20"/>
        </w:rPr>
        <w:t>(tender process “subject to contract” and contemplating execution of formal contract); </w:t>
      </w:r>
      <w:r>
        <w:rPr>
          <w:rFonts w:ascii="Arial" w:hAnsi="Arial"/>
          <w:i/>
          <w:sz w:val="20"/>
        </w:rPr>
        <w:t>Benourad v Compass Group Plc [2010] EWHC 1882 </w:t>
      </w:r>
      <w:r>
        <w:rPr>
          <w:sz w:val="20"/>
        </w:rPr>
        <w:t>at [110] (draft providing that it would become effective from signature); cf. </w:t>
      </w:r>
      <w:r>
        <w:rPr>
          <w:rFonts w:ascii="Arial" w:hAnsi="Arial"/>
          <w:i/>
          <w:sz w:val="20"/>
        </w:rPr>
        <w:t>Prudential Assurance Co Ltd</w:t>
      </w:r>
      <w:r>
        <w:rPr>
          <w:rFonts w:ascii="Arial" w:hAnsi="Arial"/>
          <w:i/>
          <w:spacing w:val="40"/>
          <w:sz w:val="20"/>
        </w:rPr>
        <w:t> </w:t>
      </w:r>
      <w:r>
        <w:rPr>
          <w:rFonts w:ascii="Arial" w:hAnsi="Arial"/>
          <w:i/>
          <w:sz w:val="20"/>
        </w:rPr>
        <w:t>v Mount Eden Land Co Ltd [1997] 1 E.G.L.R. 37 </w:t>
      </w:r>
      <w:r>
        <w:rPr>
          <w:sz w:val="20"/>
        </w:rPr>
        <w:t>(consent to alterations given by landlord “subject to licence” held effective as the consent was a unilateral act, so that no question of agreement arose). For a borderline case, see </w:t>
      </w:r>
      <w:r>
        <w:rPr>
          <w:rFonts w:ascii="Arial" w:hAnsi="Arial"/>
          <w:i/>
          <w:sz w:val="20"/>
        </w:rPr>
        <w:t>Grant v Bragg [2009] EWCA Civ 1228, [2010] 1 All E.R. (Comm) 1166</w:t>
      </w:r>
      <w:r>
        <w:rPr>
          <w:sz w:val="20"/>
        </w:rPr>
        <w:t>, where Lord Neuberger concluded that, “contrary to … [his] initial impression”, there was to be no contract before formal signature of the draft (at [32]). The sentence (in the 30th edition of this book) ending with what is now n.611 is cited with apparent approval in </w:t>
      </w:r>
      <w:r>
        <w:rPr>
          <w:rFonts w:ascii="Arial" w:hAnsi="Arial"/>
          <w:i/>
          <w:sz w:val="20"/>
        </w:rPr>
        <w:t>Investec Bank (UK) Ltd v Zulman [2010] EWCA Civ 536 </w:t>
      </w:r>
      <w:r>
        <w:rPr>
          <w:sz w:val="20"/>
        </w:rPr>
        <w:t>at [16], where failure to execute a formal document negatived contractual intention even though the words “subject to contract” (below, para.2-125), or words to the same effect, were not used; see also </w:t>
      </w:r>
      <w:r>
        <w:rPr>
          <w:rFonts w:ascii="Arial" w:hAnsi="Arial"/>
          <w:i/>
          <w:sz w:val="20"/>
        </w:rPr>
        <w:t>Benourad v Compass Group Plc [2010] EWHC 1882 (QB) </w:t>
      </w:r>
      <w:r>
        <w:rPr>
          <w:sz w:val="20"/>
        </w:rPr>
        <w:t>at [106(a)]; </w:t>
      </w:r>
      <w:r>
        <w:rPr>
          <w:rFonts w:ascii="Arial" w:hAnsi="Arial"/>
          <w:i/>
          <w:sz w:val="20"/>
        </w:rPr>
        <w:t>Datasat Communications Ltd v Swindon Town Football Club Ltd [2009] EWHC 859 (Comm) </w:t>
      </w:r>
      <w:r>
        <w:rPr>
          <w:sz w:val="20"/>
        </w:rPr>
        <w:t>at [87].</w:t>
      </w:r>
    </w:p>
    <w:p>
      <w:pPr>
        <w:spacing w:line="235" w:lineRule="auto" w:before="225"/>
        <w:ind w:left="705" w:right="167" w:hanging="541"/>
        <w:jc w:val="both"/>
        <w:rPr>
          <w:sz w:val="20"/>
        </w:rPr>
      </w:pPr>
      <w:bookmarkStart w:name="_bookmark1361" w:id="1363"/>
      <w:bookmarkEnd w:id="1363"/>
      <w:r>
        <w:rPr/>
      </w:r>
      <w:hyperlink w:history="true" w:anchor="_bookmark1161">
        <w:r>
          <w:rPr>
            <w:color w:val="005DA1"/>
            <w:position w:val="5"/>
            <w:sz w:val="14"/>
            <w:u w:val="single" w:color="005DA1"/>
          </w:rPr>
          <w:t>628</w:t>
        </w:r>
      </w:hyperlink>
      <w:r>
        <w:rPr>
          <w:position w:val="5"/>
          <w:sz w:val="14"/>
        </w:rPr>
        <w:t>.</w:t>
      </w:r>
      <w:r>
        <w:rPr>
          <w:spacing w:val="80"/>
          <w:w w:val="150"/>
          <w:position w:val="5"/>
          <w:sz w:val="14"/>
        </w:rPr>
        <w:t> </w:t>
      </w:r>
      <w:r>
        <w:rPr>
          <w:rFonts w:ascii="Arial"/>
          <w:i/>
          <w:sz w:val="20"/>
        </w:rPr>
        <w:t>Cheverny Consulting Ltd v Whitehead Mann Ltd [2006] EWCA Civ 1303; [2007] 1 All </w:t>
      </w:r>
      <w:r>
        <w:rPr>
          <w:rFonts w:ascii="Arial"/>
          <w:i/>
          <w:sz w:val="20"/>
        </w:rPr>
        <w:t>E.R. (Comm) 124 </w:t>
      </w:r>
      <w:r>
        <w:rPr>
          <w:sz w:val="20"/>
        </w:rPr>
        <w:t>at [45], per Sir Andrew Morritt C; the above statement was accepted at [81] by Carnwath L.J., who dissented in the result.</w:t>
      </w:r>
    </w:p>
    <w:p>
      <w:pPr>
        <w:pStyle w:val="BodyText"/>
        <w:spacing w:before="9"/>
      </w:pPr>
    </w:p>
    <w:p>
      <w:pPr>
        <w:spacing w:line="235" w:lineRule="auto" w:before="0"/>
        <w:ind w:left="705" w:right="167" w:hanging="541"/>
        <w:jc w:val="both"/>
        <w:rPr>
          <w:sz w:val="20"/>
        </w:rPr>
      </w:pPr>
      <w:bookmarkStart w:name="_bookmark1362" w:id="1364"/>
      <w:bookmarkEnd w:id="1364"/>
      <w:r>
        <w:rPr/>
      </w:r>
      <w:hyperlink w:history="true" w:anchor="_bookmark1162">
        <w:r>
          <w:rPr>
            <w:color w:val="005DA1"/>
            <w:position w:val="5"/>
            <w:sz w:val="14"/>
            <w:u w:val="single" w:color="005DA1"/>
          </w:rPr>
          <w:t>629</w:t>
        </w:r>
      </w:hyperlink>
      <w:r>
        <w:rPr>
          <w:position w:val="5"/>
          <w:sz w:val="14"/>
        </w:rPr>
        <w:t>.</w:t>
      </w:r>
      <w:r>
        <w:rPr>
          <w:spacing w:val="80"/>
          <w:position w:val="5"/>
          <w:sz w:val="14"/>
        </w:rPr>
        <w:t>  </w:t>
      </w:r>
      <w:r>
        <w:rPr>
          <w:rFonts w:ascii="Arial" w:hAnsi="Arial"/>
          <w:i/>
          <w:sz w:val="20"/>
        </w:rPr>
        <w:t>Cheverny Consulting Ltd v Whitehead Mann Ltd [2006] EWCA Civ 1303 </w:t>
      </w:r>
      <w:r>
        <w:rPr>
          <w:sz w:val="20"/>
        </w:rPr>
        <w:t>at [45]; cf. </w:t>
      </w:r>
      <w:r>
        <w:rPr>
          <w:rFonts w:ascii="Arial" w:hAnsi="Arial"/>
          <w:i/>
          <w:sz w:val="20"/>
        </w:rPr>
        <w:t>Crossco No.4 Unlimited v Jolan Ltd, Note [2011] EWCA Civ 1619, [2012] 2 All E.R. 754 </w:t>
      </w:r>
      <w:r>
        <w:rPr>
          <w:sz w:val="20"/>
        </w:rPr>
        <w:t>at [106], </w:t>
      </w:r>
      <w:r>
        <w:rPr>
          <w:sz w:val="20"/>
        </w:rPr>
        <w:t>where similar reasoning was said at [108] to be “fatal to the claim to a constructive trust”, even though there was </w:t>
      </w:r>
      <w:r>
        <w:rPr>
          <w:rFonts w:ascii="Arial" w:hAnsi="Arial"/>
          <w:i/>
          <w:sz w:val="20"/>
        </w:rPr>
        <w:t>no </w:t>
      </w:r>
      <w:r>
        <w:rPr>
          <w:sz w:val="20"/>
        </w:rPr>
        <w:t>stipulation for the execution of a formal document.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56800">
            <wp:simplePos x="0" y="0"/>
            <wp:positionH relativeFrom="page">
              <wp:posOffset>1257846</wp:posOffset>
            </wp:positionH>
            <wp:positionV relativeFrom="paragraph">
              <wp:posOffset>160273</wp:posOffset>
            </wp:positionV>
            <wp:extent cx="107988" cy="107988"/>
            <wp:effectExtent l="0" t="0" r="0" b="0"/>
            <wp:wrapNone/>
            <wp:docPr id="114" name="Image 114"/>
            <wp:cNvGraphicFramePr>
              <a:graphicFrameLocks/>
            </wp:cNvGraphicFramePr>
            <a:graphic>
              <a:graphicData uri="http://schemas.openxmlformats.org/drawingml/2006/picture">
                <pic:pic>
                  <pic:nvPicPr>
                    <pic:cNvPr id="114" name="Image 11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63" w:id="1365"/>
      <w:bookmarkEnd w:id="1365"/>
      <w:r>
        <w:rPr/>
      </w:r>
      <w:hyperlink w:history="true" w:anchor="_bookmark1163">
        <w:r>
          <w:rPr>
            <w:color w:val="005DA1"/>
            <w:spacing w:val="-4"/>
            <w:sz w:val="14"/>
            <w:u w:val="single" w:color="005DA1"/>
          </w:rPr>
          <w:t>630</w:t>
        </w:r>
      </w:hyperlink>
      <w:r>
        <w:rPr>
          <w:spacing w:val="-4"/>
          <w:sz w:val="14"/>
        </w:rPr>
        <w:t>.</w:t>
      </w:r>
    </w:p>
    <w:p>
      <w:pPr>
        <w:spacing w:line="235" w:lineRule="auto" w:before="212"/>
        <w:ind w:left="165" w:right="167" w:firstLine="170"/>
        <w:jc w:val="both"/>
        <w:rPr>
          <w:rFonts w:ascii="Arial" w:hAnsi="Arial"/>
          <w:i/>
          <w:sz w:val="20"/>
        </w:rPr>
      </w:pPr>
      <w:r>
        <w:rPr/>
        <w:br w:type="column"/>
      </w:r>
      <w:r>
        <w:rPr>
          <w:rFonts w:ascii="Arial" w:hAnsi="Arial"/>
          <w:i/>
          <w:sz w:val="20"/>
        </w:rPr>
        <w:t>Rossiter v Miller (1878) 3 App. Cas. 1124 </w:t>
      </w:r>
      <w:r>
        <w:rPr>
          <w:sz w:val="20"/>
        </w:rPr>
        <w:t>(below, para.2-130); </w:t>
      </w:r>
      <w:r>
        <w:rPr>
          <w:rFonts w:ascii="Arial" w:hAnsi="Arial"/>
          <w:i/>
          <w:sz w:val="20"/>
        </w:rPr>
        <w:t>Filby v Hounsell [1896] 2 Ch. 737</w:t>
      </w:r>
      <w:r>
        <w:rPr>
          <w:sz w:val="20"/>
        </w:rPr>
        <w:t>; </w:t>
      </w:r>
      <w:r>
        <w:rPr>
          <w:rFonts w:ascii="Arial" w:hAnsi="Arial"/>
          <w:i/>
          <w:sz w:val="20"/>
        </w:rPr>
        <w:t>Branca v Cobarro [1947] K.B. 854 </w:t>
      </w:r>
      <w:r>
        <w:rPr>
          <w:sz w:val="20"/>
        </w:rPr>
        <w:t>(below, para.2-130); </w:t>
      </w:r>
      <w:r>
        <w:rPr>
          <w:rFonts w:ascii="Arial" w:hAnsi="Arial"/>
          <w:i/>
          <w:sz w:val="20"/>
        </w:rPr>
        <w:t>E.R. Ives Investments Ltd v </w:t>
      </w:r>
      <w:r>
        <w:rPr>
          <w:rFonts w:ascii="Arial" w:hAnsi="Arial"/>
          <w:i/>
          <w:sz w:val="20"/>
        </w:rPr>
        <w:t>High [1967] 2 Q.B. 379</w:t>
      </w:r>
      <w:r>
        <w:rPr>
          <w:sz w:val="20"/>
        </w:rPr>
        <w:t>; </w:t>
      </w:r>
      <w:r>
        <w:rPr>
          <w:rFonts w:ascii="Arial" w:hAnsi="Arial"/>
          <w:i/>
          <w:sz w:val="20"/>
        </w:rPr>
        <w:t>Elias v George Sahely &amp; Co (Barbados) Ltd [1982] 3 All E.R. 801</w:t>
      </w:r>
      <w:r>
        <w:rPr>
          <w:sz w:val="20"/>
        </w:rPr>
        <w:t>; </w:t>
      </w:r>
      <w:r>
        <w:rPr>
          <w:rFonts w:ascii="Arial" w:hAnsi="Arial"/>
          <w:i/>
          <w:sz w:val="20"/>
        </w:rPr>
        <w:t>Damon Cie Naviera SA v Hapag-Lloyd International SA (The Blankenstein) [1985] 1 W.L.R. 435</w:t>
      </w:r>
      <w:r>
        <w:rPr>
          <w:sz w:val="20"/>
        </w:rPr>
        <w:t>;</w:t>
      </w:r>
      <w:r>
        <w:rPr>
          <w:spacing w:val="40"/>
          <w:sz w:val="20"/>
        </w:rPr>
        <w:t> </w:t>
      </w:r>
      <w:r>
        <w:rPr>
          <w:rFonts w:ascii="Arial" w:hAnsi="Arial"/>
          <w:i/>
          <w:sz w:val="20"/>
        </w:rPr>
        <w:t>Clipper Maritime Ltd v Shirlstar Container Transport Ltd (The Anemone) [1987] 1 Lloyd’s Rep. 547</w:t>
      </w:r>
      <w:r>
        <w:rPr>
          <w:sz w:val="20"/>
        </w:rPr>
        <w:t>;</w:t>
      </w:r>
      <w:r>
        <w:rPr>
          <w:spacing w:val="44"/>
          <w:sz w:val="20"/>
        </w:rPr>
        <w:t> </w:t>
      </w:r>
      <w:r>
        <w:rPr>
          <w:rFonts w:ascii="Arial" w:hAnsi="Arial"/>
          <w:i/>
          <w:sz w:val="20"/>
        </w:rPr>
        <w:t>Malcolm</w:t>
      </w:r>
      <w:r>
        <w:rPr>
          <w:rFonts w:ascii="Arial" w:hAnsi="Arial"/>
          <w:i/>
          <w:spacing w:val="45"/>
          <w:sz w:val="20"/>
        </w:rPr>
        <w:t> </w:t>
      </w:r>
      <w:r>
        <w:rPr>
          <w:rFonts w:ascii="Arial" w:hAnsi="Arial"/>
          <w:i/>
          <w:sz w:val="20"/>
        </w:rPr>
        <w:t>v</w:t>
      </w:r>
      <w:r>
        <w:rPr>
          <w:rFonts w:ascii="Arial" w:hAnsi="Arial"/>
          <w:i/>
          <w:spacing w:val="45"/>
          <w:sz w:val="20"/>
        </w:rPr>
        <w:t> </w:t>
      </w:r>
      <w:r>
        <w:rPr>
          <w:rFonts w:ascii="Arial" w:hAnsi="Arial"/>
          <w:i/>
          <w:sz w:val="20"/>
        </w:rPr>
        <w:t>Chancellor,</w:t>
      </w:r>
      <w:r>
        <w:rPr>
          <w:rFonts w:ascii="Arial" w:hAnsi="Arial"/>
          <w:i/>
          <w:spacing w:val="45"/>
          <w:sz w:val="20"/>
        </w:rPr>
        <w:t> </w:t>
      </w:r>
      <w:r>
        <w:rPr>
          <w:rFonts w:ascii="Arial" w:hAnsi="Arial"/>
          <w:i/>
          <w:sz w:val="20"/>
        </w:rPr>
        <w:t>Masters</w:t>
      </w:r>
      <w:r>
        <w:rPr>
          <w:rFonts w:ascii="Arial" w:hAnsi="Arial"/>
          <w:i/>
          <w:spacing w:val="45"/>
          <w:sz w:val="20"/>
        </w:rPr>
        <w:t> </w:t>
      </w:r>
      <w:r>
        <w:rPr>
          <w:rFonts w:ascii="Arial" w:hAnsi="Arial"/>
          <w:i/>
          <w:sz w:val="20"/>
        </w:rPr>
        <w:t>and</w:t>
      </w:r>
      <w:r>
        <w:rPr>
          <w:rFonts w:ascii="Arial" w:hAnsi="Arial"/>
          <w:i/>
          <w:spacing w:val="45"/>
          <w:sz w:val="20"/>
        </w:rPr>
        <w:t> </w:t>
      </w:r>
      <w:r>
        <w:rPr>
          <w:rFonts w:ascii="Arial" w:hAnsi="Arial"/>
          <w:i/>
          <w:sz w:val="20"/>
        </w:rPr>
        <w:t>Scholars</w:t>
      </w:r>
      <w:r>
        <w:rPr>
          <w:rFonts w:ascii="Arial" w:hAnsi="Arial"/>
          <w:i/>
          <w:spacing w:val="45"/>
          <w:sz w:val="20"/>
        </w:rPr>
        <w:t> </w:t>
      </w:r>
      <w:r>
        <w:rPr>
          <w:rFonts w:ascii="Arial" w:hAnsi="Arial"/>
          <w:i/>
          <w:sz w:val="20"/>
        </w:rPr>
        <w:t>of</w:t>
      </w:r>
      <w:r>
        <w:rPr>
          <w:rFonts w:ascii="Arial" w:hAnsi="Arial"/>
          <w:i/>
          <w:spacing w:val="45"/>
          <w:sz w:val="20"/>
        </w:rPr>
        <w:t> </w:t>
      </w:r>
      <w:r>
        <w:rPr>
          <w:rFonts w:ascii="Arial" w:hAnsi="Arial"/>
          <w:i/>
          <w:sz w:val="20"/>
        </w:rPr>
        <w:t>the</w:t>
      </w:r>
      <w:r>
        <w:rPr>
          <w:rFonts w:ascii="Arial" w:hAnsi="Arial"/>
          <w:i/>
          <w:spacing w:val="45"/>
          <w:sz w:val="20"/>
        </w:rPr>
        <w:t> </w:t>
      </w:r>
      <w:r>
        <w:rPr>
          <w:rFonts w:ascii="Arial" w:hAnsi="Arial"/>
          <w:i/>
          <w:sz w:val="20"/>
        </w:rPr>
        <w:t>University</w:t>
      </w:r>
      <w:r>
        <w:rPr>
          <w:rFonts w:ascii="Arial" w:hAnsi="Arial"/>
          <w:i/>
          <w:spacing w:val="45"/>
          <w:sz w:val="20"/>
        </w:rPr>
        <w:t> </w:t>
      </w:r>
      <w:r>
        <w:rPr>
          <w:rFonts w:ascii="Arial" w:hAnsi="Arial"/>
          <w:i/>
          <w:sz w:val="20"/>
        </w:rPr>
        <w:t>of</w:t>
      </w:r>
      <w:r>
        <w:rPr>
          <w:rFonts w:ascii="Arial" w:hAnsi="Arial"/>
          <w:i/>
          <w:spacing w:val="45"/>
          <w:sz w:val="20"/>
        </w:rPr>
        <w:t> </w:t>
      </w:r>
      <w:r>
        <w:rPr>
          <w:rFonts w:ascii="Arial" w:hAnsi="Arial"/>
          <w:i/>
          <w:sz w:val="20"/>
        </w:rPr>
        <w:t>Oxford,</w:t>
      </w:r>
      <w:r>
        <w:rPr>
          <w:rFonts w:ascii="Arial" w:hAnsi="Arial"/>
          <w:i/>
          <w:spacing w:val="45"/>
          <w:sz w:val="20"/>
        </w:rPr>
        <w:t> </w:t>
      </w:r>
      <w:r>
        <w:rPr>
          <w:rFonts w:ascii="Arial" w:hAnsi="Arial"/>
          <w:i/>
          <w:sz w:val="20"/>
        </w:rPr>
        <w:t>The</w:t>
      </w:r>
      <w:r>
        <w:rPr>
          <w:rFonts w:ascii="Arial" w:hAnsi="Arial"/>
          <w:i/>
          <w:spacing w:val="45"/>
          <w:sz w:val="20"/>
        </w:rPr>
        <w:t> </w:t>
      </w:r>
      <w:r>
        <w:rPr>
          <w:rFonts w:ascii="Arial" w:hAnsi="Arial"/>
          <w:i/>
          <w:spacing w:val="-2"/>
          <w:sz w:val="20"/>
        </w:rPr>
        <w:t>Times,</w:t>
      </w:r>
    </w:p>
    <w:p>
      <w:pPr>
        <w:spacing w:after="0" w:line="235" w:lineRule="auto"/>
        <w:jc w:val="both"/>
        <w:rPr>
          <w:rFonts w:ascii="Arial" w:hAnsi="Arial"/>
          <w:i/>
          <w:sz w:val="20"/>
        </w:rPr>
        <w:sectPr>
          <w:type w:val="continuous"/>
          <w:pgSz w:w="11900" w:h="16840"/>
          <w:pgMar w:header="971" w:footer="0" w:top="1300" w:bottom="280" w:left="1275" w:right="1275"/>
          <w:cols w:num="2" w:equalWidth="0">
            <w:col w:w="478" w:space="63"/>
            <w:col w:w="8809"/>
          </w:cols>
        </w:sectPr>
      </w:pPr>
    </w:p>
    <w:p>
      <w:pPr>
        <w:spacing w:line="235" w:lineRule="auto" w:before="110"/>
        <w:ind w:left="705" w:right="167" w:firstLine="0"/>
        <w:jc w:val="both"/>
        <w:rPr>
          <w:sz w:val="20"/>
        </w:rPr>
      </w:pPr>
      <w:r>
        <w:rPr>
          <w:rFonts w:ascii="Arial" w:hAnsi="Arial"/>
          <w:i/>
          <w:sz w:val="20"/>
        </w:rPr>
        <w:t>December 19, 1990</w:t>
      </w:r>
      <w:r>
        <w:rPr>
          <w:sz w:val="20"/>
        </w:rPr>
        <w:t>; </w:t>
      </w:r>
      <w:r>
        <w:rPr>
          <w:rFonts w:ascii="Arial" w:hAnsi="Arial"/>
          <w:i/>
          <w:sz w:val="20"/>
        </w:rPr>
        <w:t>Ateni Maritime Corp v Great Marine Ltd (The Great Marine) (No.2) [1990]</w:t>
      </w:r>
      <w:r>
        <w:rPr>
          <w:rFonts w:ascii="Arial" w:hAnsi="Arial"/>
          <w:i/>
          <w:spacing w:val="40"/>
          <w:sz w:val="20"/>
        </w:rPr>
        <w:t> </w:t>
      </w:r>
      <w:r>
        <w:rPr>
          <w:rFonts w:ascii="Arial" w:hAnsi="Arial"/>
          <w:i/>
          <w:sz w:val="20"/>
        </w:rPr>
        <w:t>2 Lloyd’s Rep. 250</w:t>
      </w:r>
      <w:r>
        <w:rPr>
          <w:sz w:val="20"/>
        </w:rPr>
        <w:t>; affirmed (without reference to this point) </w:t>
      </w:r>
      <w:r>
        <w:rPr>
          <w:rFonts w:ascii="Arial" w:hAnsi="Arial"/>
          <w:i/>
          <w:sz w:val="20"/>
        </w:rPr>
        <w:t>[1991] 1 Lloyd’s Rep. 421</w:t>
      </w:r>
      <w:r>
        <w:rPr>
          <w:sz w:val="20"/>
        </w:rPr>
        <w:t>; </w:t>
      </w:r>
      <w:r>
        <w:rPr>
          <w:rFonts w:ascii="Arial" w:hAnsi="Arial"/>
          <w:i/>
          <w:sz w:val="20"/>
        </w:rPr>
        <w:t>Jayaar Impex Ltd v Toaken Group Ltd [1996] 2 Lloyd’s Rep. 437</w:t>
      </w:r>
      <w:r>
        <w:rPr>
          <w:sz w:val="20"/>
        </w:rPr>
        <w:t>; </w:t>
      </w:r>
      <w:r>
        <w:rPr>
          <w:rFonts w:ascii="Arial" w:hAnsi="Arial"/>
          <w:i/>
          <w:sz w:val="20"/>
        </w:rPr>
        <w:t>The Kurnia Dewi</w:t>
      </w:r>
      <w:r>
        <w:rPr>
          <w:sz w:val="20"/>
        </w:rPr>
        <w:t>, below n.615, at 559; </w:t>
      </w:r>
      <w:r>
        <w:rPr>
          <w:rFonts w:ascii="Arial" w:hAnsi="Arial"/>
          <w:i/>
          <w:sz w:val="20"/>
        </w:rPr>
        <w:t>Harvey Shopfitters Ltd v ADI Ltd [2004] EWCA Civ 1752, [2004] 2 All E.R. 982</w:t>
      </w:r>
      <w:r>
        <w:rPr>
          <w:sz w:val="20"/>
        </w:rPr>
        <w:t>; </w:t>
      </w:r>
      <w:r>
        <w:rPr>
          <w:rFonts w:ascii="Arial" w:hAnsi="Arial"/>
          <w:i/>
          <w:sz w:val="20"/>
        </w:rPr>
        <w:t>Bryen </w:t>
      </w:r>
      <w:r>
        <w:rPr>
          <w:rFonts w:ascii="Arial" w:hAnsi="Arial"/>
          <w:i/>
          <w:sz w:val="20"/>
        </w:rPr>
        <w:t>&amp; Langley Ltd v Boston [2005] EWCA Civ 973, [2005] B.L.R. 508</w:t>
      </w:r>
      <w:r>
        <w:rPr>
          <w:sz w:val="20"/>
        </w:rPr>
        <w:t>; </w:t>
      </w:r>
      <w:r>
        <w:rPr>
          <w:rFonts w:ascii="Arial" w:hAnsi="Arial"/>
          <w:i/>
          <w:sz w:val="20"/>
        </w:rPr>
        <w:t>Fitzpatrick Contractors Ltd v Tyco Fire and Integrated Solutions (UK) Ltd [2008] EWHC 1301 (TCC), 119 Con. L.R. 155 </w:t>
      </w:r>
      <w:r>
        <w:rPr>
          <w:sz w:val="20"/>
        </w:rPr>
        <w:t>at [55], [56]; </w:t>
      </w:r>
      <w:r>
        <w:rPr>
          <w:rFonts w:ascii="Arial" w:hAnsi="Arial"/>
          <w:i/>
          <w:sz w:val="20"/>
        </w:rPr>
        <w:t>Whitney v Monster Worldwide Ltd [2010] EWCA Civ 1312, [2011] Pens. L.R. 1</w:t>
      </w:r>
      <w:r>
        <w:rPr>
          <w:sz w:val="20"/>
        </w:rPr>
        <w:t>; </w:t>
      </w:r>
      <w:r>
        <w:rPr>
          <w:rFonts w:ascii="Arial" w:hAnsi="Arial"/>
          <w:i/>
          <w:sz w:val="20"/>
        </w:rPr>
        <w:t>Immingham Storage Co Ltd v Clear Plc [2011] EWCA Civ 89</w:t>
      </w:r>
      <w:r>
        <w:rPr>
          <w:sz w:val="20"/>
        </w:rPr>
        <w:t>; </w:t>
      </w:r>
      <w:r>
        <w:rPr>
          <w:rFonts w:ascii="Arial" w:hAnsi="Arial"/>
          <w:i/>
          <w:sz w:val="20"/>
        </w:rPr>
        <w:t>Tryggingarfelagio Foroyar P/F v CPT Empresas Maritimas SA (The Athena) [2011] EWHC 589 (Admlty) </w:t>
      </w:r>
      <w:r>
        <w:rPr>
          <w:sz w:val="20"/>
        </w:rPr>
        <w:t>at [45]; </w:t>
      </w:r>
      <w:r>
        <w:rPr>
          <w:rFonts w:ascii="Arial" w:hAnsi="Arial"/>
          <w:i/>
          <w:sz w:val="20"/>
        </w:rPr>
        <w:t>Air Studios (Lyndhurst)</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Lombard</w:t>
      </w:r>
      <w:r>
        <w:rPr>
          <w:rFonts w:ascii="Arial" w:hAnsi="Arial"/>
          <w:i/>
          <w:spacing w:val="-1"/>
          <w:sz w:val="20"/>
        </w:rPr>
        <w:t> </w:t>
      </w:r>
      <w:r>
        <w:rPr>
          <w:rFonts w:ascii="Arial" w:hAnsi="Arial"/>
          <w:i/>
          <w:sz w:val="20"/>
        </w:rPr>
        <w:t>North</w:t>
      </w:r>
      <w:r>
        <w:rPr>
          <w:rFonts w:ascii="Arial" w:hAnsi="Arial"/>
          <w:i/>
          <w:spacing w:val="-1"/>
          <w:sz w:val="20"/>
        </w:rPr>
        <w:t> </w:t>
      </w:r>
      <w:r>
        <w:rPr>
          <w:rFonts w:ascii="Arial" w:hAnsi="Arial"/>
          <w:i/>
          <w:sz w:val="20"/>
        </w:rPr>
        <w:t>Central</w:t>
      </w:r>
      <w:r>
        <w:rPr>
          <w:rFonts w:ascii="Arial" w:hAnsi="Arial"/>
          <w:i/>
          <w:spacing w:val="-1"/>
          <w:sz w:val="20"/>
        </w:rPr>
        <w:t> </w:t>
      </w:r>
      <w:r>
        <w:rPr>
          <w:rFonts w:ascii="Arial" w:hAnsi="Arial"/>
          <w:i/>
          <w:sz w:val="20"/>
        </w:rPr>
        <w:t>Plc</w:t>
      </w:r>
      <w:r>
        <w:rPr>
          <w:rFonts w:ascii="Arial" w:hAnsi="Arial"/>
          <w:i/>
          <w:spacing w:val="-1"/>
          <w:sz w:val="20"/>
        </w:rPr>
        <w:t> </w:t>
      </w:r>
      <w:r>
        <w:rPr>
          <w:rFonts w:ascii="Arial" w:hAnsi="Arial"/>
          <w:i/>
          <w:sz w:val="20"/>
        </w:rPr>
        <w:t>[2012]</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3162</w:t>
      </w:r>
      <w:r>
        <w:rPr>
          <w:rFonts w:ascii="Arial" w:hAnsi="Arial"/>
          <w:i/>
          <w:spacing w:val="-1"/>
          <w:sz w:val="20"/>
        </w:rPr>
        <w:t> </w:t>
      </w:r>
      <w:r>
        <w:rPr>
          <w:rFonts w:ascii="Arial" w:hAnsi="Arial"/>
          <w:i/>
          <w:sz w:val="20"/>
        </w:rPr>
        <w:t>(QB),</w:t>
      </w:r>
      <w:r>
        <w:rPr>
          <w:rFonts w:ascii="Arial" w:hAnsi="Arial"/>
          <w:i/>
          <w:spacing w:val="-1"/>
          <w:sz w:val="20"/>
        </w:rPr>
        <w:t> </w:t>
      </w:r>
      <w:r>
        <w:rPr>
          <w:rFonts w:ascii="Arial" w:hAnsi="Arial"/>
          <w:i/>
          <w:sz w:val="20"/>
        </w:rPr>
        <w:t>[2013]</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63 </w:t>
      </w:r>
      <w:r>
        <w:rPr>
          <w:sz w:val="20"/>
        </w:rPr>
        <w:t>at [70]; and </w:t>
      </w:r>
      <w:r>
        <w:rPr>
          <w:rFonts w:ascii="Arial" w:hAnsi="Arial"/>
          <w:i/>
          <w:sz w:val="20"/>
        </w:rPr>
        <w:t>Golden Ocean Group Ltd v Salgaocar Mining Industries PVT Ltd [2012] EWCA Civ 265, [2012] 1 Lloyd’s Rep. 542 </w:t>
      </w:r>
      <w:r>
        <w:rPr>
          <w:sz w:val="20"/>
        </w:rPr>
        <w:t>at [30], where the actual decision turned on the question</w:t>
      </w:r>
      <w:r>
        <w:rPr>
          <w:spacing w:val="40"/>
          <w:sz w:val="20"/>
        </w:rPr>
        <w:t> </w:t>
      </w:r>
      <w:r>
        <w:rPr>
          <w:sz w:val="20"/>
        </w:rPr>
        <w:t>whether the formal requirement of signature imposed by Statute of Frauds 1677 s.4 had been satisfied; cf. </w:t>
      </w:r>
      <w:r>
        <w:rPr>
          <w:rFonts w:ascii="Arial" w:hAnsi="Arial"/>
          <w:i/>
          <w:sz w:val="20"/>
        </w:rPr>
        <w:t>Crowden v Aldridge [1993] 1 W.L.R. 433</w:t>
      </w:r>
      <w:r>
        <w:rPr>
          <w:sz w:val="20"/>
        </w:rPr>
        <w:t>, applying the same principle to a document which was not a contract but a direction by beneficiaries to executors. </w:t>
      </w:r>
      <w:r>
        <w:rPr>
          <w:rFonts w:ascii="Arial" w:hAnsi="Arial"/>
          <w:i/>
          <w:sz w:val="20"/>
        </w:rPr>
        <w:t>Crabbe v Townsend [2016] EWHC 2450 (Ch)</w:t>
      </w:r>
      <w:r>
        <w:rPr>
          <w:sz w:val="20"/>
        </w:rPr>
        <w:t>, where the contemplated additional documents were “matters of machinery only, whose contents are sufficiently defined by the terms of the 2006 Letter and which were intended to give effect to an existing agreement, not to create one”, and </w:t>
      </w:r>
      <w:r>
        <w:rPr>
          <w:rFonts w:ascii="Arial" w:hAnsi="Arial"/>
          <w:i/>
          <w:sz w:val="20"/>
        </w:rPr>
        <w:t>Ely v Robson [2016] EWCA Civ 774</w:t>
      </w:r>
      <w:r>
        <w:rPr>
          <w:sz w:val="20"/>
        </w:rPr>
        <w:t>, where separating cohabitees had orally agreed their respective beneficial interests in the family home, recorded it a letter, and had acted in reliance upon it; the anticipated formal written agreement was merely the “mechanics necessary to achieve their stated objectives”.</w:t>
      </w:r>
    </w:p>
    <w:p>
      <w:pPr>
        <w:pStyle w:val="BodyText"/>
        <w:spacing w:before="2"/>
      </w:pPr>
    </w:p>
    <w:p>
      <w:pPr>
        <w:spacing w:line="235" w:lineRule="auto" w:before="0"/>
        <w:ind w:left="705" w:right="167" w:hanging="541"/>
        <w:jc w:val="both"/>
        <w:rPr>
          <w:sz w:val="20"/>
        </w:rPr>
      </w:pPr>
      <w:bookmarkStart w:name="_bookmark1364" w:id="1366"/>
      <w:bookmarkEnd w:id="1366"/>
      <w:r>
        <w:rPr/>
      </w:r>
      <w:hyperlink w:history="true" w:anchor="_bookmark1164">
        <w:r>
          <w:rPr>
            <w:color w:val="005DA1"/>
            <w:position w:val="5"/>
            <w:sz w:val="14"/>
            <w:u w:val="single" w:color="005DA1"/>
          </w:rPr>
          <w:t>631</w:t>
        </w:r>
      </w:hyperlink>
      <w:r>
        <w:rPr>
          <w:position w:val="5"/>
          <w:sz w:val="14"/>
        </w:rPr>
        <w:t>.</w:t>
      </w:r>
      <w:r>
        <w:rPr>
          <w:spacing w:val="80"/>
          <w:w w:val="150"/>
          <w:position w:val="5"/>
          <w:sz w:val="14"/>
        </w:rPr>
        <w:t> </w:t>
      </w:r>
      <w:r>
        <w:rPr>
          <w:rFonts w:ascii="Arial" w:hAnsi="Arial"/>
          <w:i/>
          <w:sz w:val="20"/>
        </w:rPr>
        <w:t>Smit International Singapore Pte Ltd v Kurnia Dewi Shipping SA (The Kurnia Dewi) [1997] 1 Lloyd’s Rep. 553</w:t>
      </w:r>
      <w:r>
        <w:rPr>
          <w:sz w:val="20"/>
        </w:rPr>
        <w:t>; </w:t>
      </w:r>
      <w:r>
        <w:rPr>
          <w:rFonts w:ascii="Arial" w:hAnsi="Arial"/>
          <w:i/>
          <w:sz w:val="20"/>
        </w:rPr>
        <w:t>Galliard Homes Ltd v Jarvis Interiors Ltd [2000] C.L.C. 411</w:t>
      </w:r>
      <w:r>
        <w:rPr>
          <w:sz w:val="20"/>
        </w:rPr>
        <w:t>, where an incomplete agreement expressly provided for a reasonable remuneration to be paid in </w:t>
      </w:r>
      <w:r>
        <w:rPr>
          <w:sz w:val="20"/>
        </w:rPr>
        <w:t>the events which happened. The “third possibility” described in the text above (para.2-116 in the 30th edition of this book) is referred to with apparent approval by Beatson J. in </w:t>
      </w:r>
      <w:r>
        <w:rPr>
          <w:rFonts w:ascii="Arial" w:hAnsi="Arial"/>
          <w:i/>
          <w:sz w:val="20"/>
        </w:rPr>
        <w:t>Benourad v Compass Group Plc [2010] EWHC 1882 (QB) </w:t>
      </w:r>
      <w:r>
        <w:rPr>
          <w:sz w:val="20"/>
        </w:rPr>
        <w:t>at [106(f)]. For the possible availability of a restitutionary remedy where </w:t>
      </w:r>
      <w:r>
        <w:rPr>
          <w:rFonts w:ascii="Arial" w:hAnsi="Arial"/>
          <w:i/>
          <w:sz w:val="20"/>
        </w:rPr>
        <w:t>no </w:t>
      </w:r>
      <w:r>
        <w:rPr>
          <w:sz w:val="20"/>
        </w:rPr>
        <w:t>contract was concluded, see above, para.2-120; on the facts of the </w:t>
      </w:r>
      <w:r>
        <w:rPr>
          <w:rFonts w:ascii="Arial" w:hAnsi="Arial"/>
          <w:i/>
          <w:sz w:val="20"/>
        </w:rPr>
        <w:t>Benourad </w:t>
      </w:r>
      <w:r>
        <w:rPr>
          <w:sz w:val="20"/>
        </w:rPr>
        <w:t>case, no such remedy was available: see above, para.2-120 n.593.</w:t>
      </w:r>
    </w:p>
    <w:p>
      <w:pPr>
        <w:pStyle w:val="BodyText"/>
        <w:spacing w:before="7"/>
      </w:pPr>
    </w:p>
    <w:p>
      <w:pPr>
        <w:spacing w:line="235" w:lineRule="auto" w:before="0"/>
        <w:ind w:left="705" w:right="167" w:hanging="541"/>
        <w:jc w:val="both"/>
        <w:rPr>
          <w:sz w:val="20"/>
        </w:rPr>
      </w:pPr>
      <w:bookmarkStart w:name="_bookmark1365" w:id="1367"/>
      <w:bookmarkEnd w:id="1367"/>
      <w:r>
        <w:rPr/>
      </w:r>
      <w:hyperlink w:history="true" w:anchor="_bookmark1165">
        <w:r>
          <w:rPr>
            <w:color w:val="005DA1"/>
            <w:position w:val="5"/>
            <w:sz w:val="14"/>
            <w:u w:val="single" w:color="005DA1"/>
          </w:rPr>
          <w:t>632</w:t>
        </w:r>
      </w:hyperlink>
      <w:r>
        <w:rPr>
          <w:position w:val="5"/>
          <w:sz w:val="14"/>
        </w:rPr>
        <w:t>.</w:t>
      </w:r>
      <w:r>
        <w:rPr>
          <w:spacing w:val="80"/>
          <w:w w:val="150"/>
          <w:position w:val="5"/>
          <w:sz w:val="14"/>
        </w:rPr>
        <w:t> </w:t>
      </w:r>
      <w:r>
        <w:rPr>
          <w:rFonts w:ascii="Arial" w:hAnsi="Arial"/>
          <w:i/>
          <w:sz w:val="20"/>
        </w:rPr>
        <w:t>Cheverney Consulting Ltd v Whitehead Mann Ltd [2006] EWCA Civ 1303, [2007] 1 All E.R. (Comm) 124 </w:t>
      </w:r>
      <w:r>
        <w:rPr>
          <w:sz w:val="20"/>
        </w:rPr>
        <w:t>at [46]; </w:t>
      </w:r>
      <w:r>
        <w:rPr>
          <w:rFonts w:ascii="Arial" w:hAnsi="Arial"/>
          <w:i/>
          <w:sz w:val="20"/>
        </w:rPr>
        <w:t>Benourad v Compass Group Plc [2010] EWHC 1882 </w:t>
      </w:r>
      <w:r>
        <w:rPr>
          <w:sz w:val="20"/>
        </w:rPr>
        <w:t>at [106(b)]. These dicta</w:t>
      </w:r>
      <w:r>
        <w:rPr>
          <w:spacing w:val="-3"/>
          <w:sz w:val="20"/>
        </w:rPr>
        <w:t> </w:t>
      </w:r>
      <w:r>
        <w:rPr>
          <w:sz w:val="20"/>
        </w:rPr>
        <w:t>envisage</w:t>
      </w:r>
      <w:r>
        <w:rPr>
          <w:spacing w:val="-3"/>
          <w:sz w:val="20"/>
        </w:rPr>
        <w:t> </w:t>
      </w:r>
      <w:r>
        <w:rPr>
          <w:sz w:val="20"/>
        </w:rPr>
        <w:t>that</w:t>
      </w:r>
      <w:r>
        <w:rPr>
          <w:spacing w:val="-3"/>
          <w:sz w:val="20"/>
        </w:rPr>
        <w:t> </w:t>
      </w:r>
      <w:r>
        <w:rPr>
          <w:sz w:val="20"/>
        </w:rPr>
        <w:t>the</w:t>
      </w:r>
      <w:r>
        <w:rPr>
          <w:spacing w:val="-3"/>
          <w:sz w:val="20"/>
        </w:rPr>
        <w:t> </w:t>
      </w:r>
      <w:r>
        <w:rPr>
          <w:sz w:val="20"/>
        </w:rPr>
        <w:t>non-executing</w:t>
      </w:r>
      <w:r>
        <w:rPr>
          <w:spacing w:val="-3"/>
          <w:sz w:val="20"/>
        </w:rPr>
        <w:t> </w:t>
      </w:r>
      <w:r>
        <w:rPr>
          <w:sz w:val="20"/>
        </w:rPr>
        <w:t>party</w:t>
      </w:r>
      <w:r>
        <w:rPr>
          <w:spacing w:val="-3"/>
          <w:sz w:val="20"/>
        </w:rPr>
        <w:t> </w:t>
      </w:r>
      <w:r>
        <w:rPr>
          <w:sz w:val="20"/>
        </w:rPr>
        <w:t>may</w:t>
      </w:r>
      <w:r>
        <w:rPr>
          <w:spacing w:val="-3"/>
          <w:sz w:val="20"/>
        </w:rPr>
        <w:t> </w:t>
      </w:r>
      <w:r>
        <w:rPr>
          <w:sz w:val="20"/>
        </w:rPr>
        <w:t>be</w:t>
      </w:r>
      <w:r>
        <w:rPr>
          <w:spacing w:val="-4"/>
          <w:sz w:val="20"/>
        </w:rPr>
        <w:t> </w:t>
      </w:r>
      <w:r>
        <w:rPr>
          <w:rFonts w:ascii="Arial" w:hAnsi="Arial"/>
          <w:i/>
          <w:sz w:val="20"/>
        </w:rPr>
        <w:t>bound</w:t>
      </w:r>
      <w:r>
        <w:rPr>
          <w:rFonts w:ascii="Arial" w:hAnsi="Arial"/>
          <w:i/>
          <w:spacing w:val="-3"/>
          <w:sz w:val="20"/>
        </w:rPr>
        <w:t> </w:t>
      </w:r>
      <w:r>
        <w:rPr>
          <w:sz w:val="20"/>
        </w:rPr>
        <w:t>by</w:t>
      </w:r>
      <w:r>
        <w:rPr>
          <w:spacing w:val="-3"/>
          <w:sz w:val="20"/>
        </w:rPr>
        <w:t> </w:t>
      </w:r>
      <w:r>
        <w:rPr>
          <w:sz w:val="20"/>
        </w:rPr>
        <w:t>the</w:t>
      </w:r>
      <w:r>
        <w:rPr>
          <w:spacing w:val="-3"/>
          <w:sz w:val="20"/>
        </w:rPr>
        <w:t> </w:t>
      </w:r>
      <w:r>
        <w:rPr>
          <w:sz w:val="20"/>
        </w:rPr>
        <w:t>“estoppel”.</w:t>
      </w:r>
      <w:r>
        <w:rPr>
          <w:spacing w:val="-3"/>
          <w:sz w:val="20"/>
        </w:rPr>
        <w:t> </w:t>
      </w:r>
      <w:r>
        <w:rPr>
          <w:rFonts w:ascii="Arial" w:hAnsi="Arial"/>
          <w:i/>
          <w:sz w:val="20"/>
        </w:rPr>
        <w:t>The</w:t>
      </w:r>
      <w:r>
        <w:rPr>
          <w:rFonts w:ascii="Arial" w:hAnsi="Arial"/>
          <w:i/>
          <w:spacing w:val="-3"/>
          <w:sz w:val="20"/>
        </w:rPr>
        <w:t> </w:t>
      </w:r>
      <w:r>
        <w:rPr>
          <w:rFonts w:ascii="Arial" w:hAnsi="Arial"/>
          <w:i/>
          <w:sz w:val="20"/>
        </w:rPr>
        <w:t>Botnica</w:t>
      </w:r>
      <w:r>
        <w:rPr>
          <w:rFonts w:ascii="Arial" w:hAnsi="Arial"/>
          <w:i/>
          <w:spacing w:val="-3"/>
          <w:sz w:val="20"/>
        </w:rPr>
        <w:t> </w:t>
      </w:r>
      <w:r>
        <w:rPr>
          <w:rFonts w:ascii="Arial" w:hAnsi="Arial"/>
          <w:i/>
          <w:sz w:val="20"/>
        </w:rPr>
        <w:t>[2006] EWHC 1300 (Comm), [2007] 1 All E.R. (Comm) 28 </w:t>
      </w:r>
      <w:r>
        <w:rPr>
          <w:sz w:val="20"/>
        </w:rPr>
        <w:t>envisages the further possibility that the non-executing party may, by “waiver” or “a kind of election” (at [90]) </w:t>
      </w:r>
      <w:r>
        <w:rPr>
          <w:rFonts w:ascii="Arial" w:hAnsi="Arial"/>
          <w:i/>
          <w:sz w:val="20"/>
        </w:rPr>
        <w:t>acquire rights </w:t>
      </w:r>
      <w:r>
        <w:rPr>
          <w:sz w:val="20"/>
        </w:rPr>
        <w:t>under the unexecuted document. For this possibility, see further para.4-082 below.</w:t>
      </w:r>
    </w:p>
    <w:p>
      <w:pPr>
        <w:pStyle w:val="BodyText"/>
        <w:spacing w:before="7"/>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57312">
            <wp:simplePos x="0" y="0"/>
            <wp:positionH relativeFrom="page">
              <wp:posOffset>1257846</wp:posOffset>
            </wp:positionH>
            <wp:positionV relativeFrom="paragraph">
              <wp:posOffset>160726</wp:posOffset>
            </wp:positionV>
            <wp:extent cx="107988" cy="107988"/>
            <wp:effectExtent l="0" t="0" r="0" b="0"/>
            <wp:wrapNone/>
            <wp:docPr id="115" name="Image 115"/>
            <wp:cNvGraphicFramePr>
              <a:graphicFrameLocks/>
            </wp:cNvGraphicFramePr>
            <a:graphic>
              <a:graphicData uri="http://schemas.openxmlformats.org/drawingml/2006/picture">
                <pic:pic>
                  <pic:nvPicPr>
                    <pic:cNvPr id="115" name="Image 115"/>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66" w:id="1368"/>
      <w:bookmarkEnd w:id="1368"/>
      <w:r>
        <w:rPr/>
      </w:r>
      <w:hyperlink w:history="true" w:anchor="_bookmark1166">
        <w:r>
          <w:rPr>
            <w:color w:val="005DA1"/>
            <w:spacing w:val="-4"/>
            <w:sz w:val="14"/>
            <w:u w:val="single" w:color="005DA1"/>
          </w:rPr>
          <w:t>633</w:t>
        </w:r>
      </w:hyperlink>
      <w:r>
        <w:rPr>
          <w:spacing w:val="-4"/>
          <w:sz w:val="14"/>
        </w:rPr>
        <w:t>.</w:t>
      </w:r>
    </w:p>
    <w:p>
      <w:pPr>
        <w:spacing w:line="235" w:lineRule="auto" w:before="213"/>
        <w:ind w:left="165" w:right="167" w:firstLine="170"/>
        <w:jc w:val="both"/>
        <w:rPr>
          <w:sz w:val="20"/>
        </w:rPr>
      </w:pPr>
      <w:r>
        <w:rPr/>
        <w:br w:type="column"/>
      </w:r>
      <w:r>
        <w:rPr>
          <w:rFonts w:ascii="Arial" w:hAnsi="Arial"/>
          <w:i/>
          <w:sz w:val="20"/>
        </w:rPr>
        <w:t>RTS Flexible Systems Ltd v Molkerei Alois Müller GmbH &amp; Co KG (UK Production) </w:t>
      </w:r>
      <w:r>
        <w:rPr>
          <w:rFonts w:ascii="Arial" w:hAnsi="Arial"/>
          <w:i/>
          <w:sz w:val="20"/>
        </w:rPr>
        <w:t>[2010] UKSC</w:t>
      </w:r>
      <w:r>
        <w:rPr>
          <w:rFonts w:ascii="Arial" w:hAnsi="Arial"/>
          <w:i/>
          <w:spacing w:val="19"/>
          <w:sz w:val="20"/>
        </w:rPr>
        <w:t> </w:t>
      </w:r>
      <w:r>
        <w:rPr>
          <w:rFonts w:ascii="Arial" w:hAnsi="Arial"/>
          <w:i/>
          <w:sz w:val="20"/>
        </w:rPr>
        <w:t>14,</w:t>
      </w:r>
      <w:r>
        <w:rPr>
          <w:rFonts w:ascii="Arial" w:hAnsi="Arial"/>
          <w:i/>
          <w:spacing w:val="19"/>
          <w:sz w:val="20"/>
        </w:rPr>
        <w:t> </w:t>
      </w:r>
      <w:r>
        <w:rPr>
          <w:rFonts w:ascii="Arial" w:hAnsi="Arial"/>
          <w:i/>
          <w:sz w:val="20"/>
        </w:rPr>
        <w:t>[2010]</w:t>
      </w:r>
      <w:r>
        <w:rPr>
          <w:rFonts w:ascii="Arial" w:hAnsi="Arial"/>
          <w:i/>
          <w:spacing w:val="19"/>
          <w:sz w:val="20"/>
        </w:rPr>
        <w:t> </w:t>
      </w:r>
      <w:r>
        <w:rPr>
          <w:rFonts w:ascii="Arial" w:hAnsi="Arial"/>
          <w:i/>
          <w:sz w:val="20"/>
        </w:rPr>
        <w:t>1</w:t>
      </w:r>
      <w:r>
        <w:rPr>
          <w:rFonts w:ascii="Arial" w:hAnsi="Arial"/>
          <w:i/>
          <w:spacing w:val="19"/>
          <w:sz w:val="20"/>
        </w:rPr>
        <w:t> </w:t>
      </w:r>
      <w:r>
        <w:rPr>
          <w:rFonts w:ascii="Arial" w:hAnsi="Arial"/>
          <w:i/>
          <w:sz w:val="20"/>
        </w:rPr>
        <w:t>W.L.R.</w:t>
      </w:r>
      <w:r>
        <w:rPr>
          <w:rFonts w:ascii="Arial" w:hAnsi="Arial"/>
          <w:i/>
          <w:spacing w:val="19"/>
          <w:sz w:val="20"/>
        </w:rPr>
        <w:t> </w:t>
      </w:r>
      <w:r>
        <w:rPr>
          <w:rFonts w:ascii="Arial" w:hAnsi="Arial"/>
          <w:i/>
          <w:sz w:val="20"/>
        </w:rPr>
        <w:t>753</w:t>
      </w:r>
      <w:r>
        <w:rPr>
          <w:rFonts w:ascii="Arial" w:hAnsi="Arial"/>
          <w:i/>
          <w:spacing w:val="19"/>
          <w:sz w:val="20"/>
        </w:rPr>
        <w:t> </w:t>
      </w:r>
      <w:r>
        <w:rPr>
          <w:sz w:val="20"/>
        </w:rPr>
        <w:t>at</w:t>
      </w:r>
      <w:r>
        <w:rPr>
          <w:spacing w:val="19"/>
          <w:sz w:val="20"/>
        </w:rPr>
        <w:t> </w:t>
      </w:r>
      <w:r>
        <w:rPr>
          <w:sz w:val="20"/>
        </w:rPr>
        <w:t>[86];</w:t>
      </w:r>
      <w:r>
        <w:rPr>
          <w:spacing w:val="19"/>
          <w:sz w:val="20"/>
        </w:rPr>
        <w:t> </w:t>
      </w:r>
      <w:r>
        <w:rPr>
          <w:sz w:val="20"/>
        </w:rPr>
        <w:t>for</w:t>
      </w:r>
      <w:r>
        <w:rPr>
          <w:spacing w:val="19"/>
          <w:sz w:val="20"/>
        </w:rPr>
        <w:t> </w:t>
      </w:r>
      <w:r>
        <w:rPr>
          <w:sz w:val="20"/>
        </w:rPr>
        <w:t>the</w:t>
      </w:r>
      <w:r>
        <w:rPr>
          <w:spacing w:val="19"/>
          <w:sz w:val="20"/>
        </w:rPr>
        <w:t> </w:t>
      </w:r>
      <w:r>
        <w:rPr>
          <w:sz w:val="20"/>
        </w:rPr>
        <w:t>facts</w:t>
      </w:r>
      <w:r>
        <w:rPr>
          <w:spacing w:val="19"/>
          <w:sz w:val="20"/>
        </w:rPr>
        <w:t> </w:t>
      </w:r>
      <w:r>
        <w:rPr>
          <w:sz w:val="20"/>
        </w:rPr>
        <w:t>of</w:t>
      </w:r>
      <w:r>
        <w:rPr>
          <w:spacing w:val="19"/>
          <w:sz w:val="20"/>
        </w:rPr>
        <w:t> </w:t>
      </w:r>
      <w:r>
        <w:rPr>
          <w:sz w:val="20"/>
        </w:rPr>
        <w:t>this</w:t>
      </w:r>
      <w:r>
        <w:rPr>
          <w:spacing w:val="19"/>
          <w:sz w:val="20"/>
        </w:rPr>
        <w:t> </w:t>
      </w:r>
      <w:r>
        <w:rPr>
          <w:sz w:val="20"/>
        </w:rPr>
        <w:t>case,</w:t>
      </w:r>
      <w:r>
        <w:rPr>
          <w:spacing w:val="19"/>
          <w:sz w:val="20"/>
        </w:rPr>
        <w:t> </w:t>
      </w:r>
      <w:r>
        <w:rPr>
          <w:sz w:val="20"/>
        </w:rPr>
        <w:t>see</w:t>
      </w:r>
      <w:r>
        <w:rPr>
          <w:spacing w:val="19"/>
          <w:sz w:val="20"/>
        </w:rPr>
        <w:t> </w:t>
      </w:r>
      <w:r>
        <w:rPr>
          <w:sz w:val="20"/>
        </w:rPr>
        <w:t>below</w:t>
      </w:r>
      <w:r>
        <w:rPr>
          <w:spacing w:val="19"/>
          <w:sz w:val="20"/>
        </w:rPr>
        <w:t> </w:t>
      </w:r>
      <w:r>
        <w:rPr>
          <w:sz w:val="20"/>
        </w:rPr>
        <w:t>paras</w:t>
      </w:r>
      <w:r>
        <w:rPr>
          <w:spacing w:val="19"/>
          <w:sz w:val="20"/>
        </w:rPr>
        <w:t> </w:t>
      </w:r>
      <w:r>
        <w:rPr>
          <w:sz w:val="20"/>
        </w:rPr>
        <w:t>2-123</w:t>
      </w:r>
      <w:r>
        <w:rPr>
          <w:spacing w:val="19"/>
          <w:sz w:val="20"/>
        </w:rPr>
        <w:t> </w:t>
      </w:r>
      <w:r>
        <w:rPr>
          <w:sz w:val="20"/>
        </w:rPr>
        <w:t>and 2-131; </w:t>
      </w:r>
      <w:r>
        <w:rPr>
          <w:rFonts w:ascii="Arial" w:hAnsi="Arial"/>
          <w:i/>
          <w:sz w:val="20"/>
        </w:rPr>
        <w:t>Reveille Independent LLC v Anotech International (UK) Ltd [2016] EWCA Civ 443</w:t>
      </w:r>
      <w:r>
        <w:rPr>
          <w:sz w:val="20"/>
        </w:rPr>
        <w:t>,</w:t>
      </w:r>
      <w:r>
        <w:rPr>
          <w:spacing w:val="40"/>
          <w:sz w:val="20"/>
        </w:rPr>
        <w:t> </w:t>
      </w:r>
      <w:r>
        <w:rPr>
          <w:sz w:val="20"/>
        </w:rPr>
        <w:t>where the respondent had clearly and unequivocally represented by its conduct that it was bound by the deal memorandum and had waived the requirement to sign; contrast </w:t>
      </w:r>
      <w:r>
        <w:rPr>
          <w:rFonts w:ascii="Arial" w:hAnsi="Arial"/>
          <w:i/>
          <w:sz w:val="20"/>
        </w:rPr>
        <w:t>J D Cleverly Ltd v Family Finance Ltd [2010] EWCA Civ 1477, [2011] R.T.R. 22</w:t>
      </w:r>
      <w:r>
        <w:rPr>
          <w:sz w:val="20"/>
        </w:rPr>
        <w:t>, when there was no conduct from which a waiver could be inferred (at [26]).</w:t>
      </w:r>
    </w:p>
    <w:p>
      <w:pPr>
        <w:spacing w:after="0" w:line="235" w:lineRule="auto"/>
        <w:jc w:val="both"/>
        <w:rPr>
          <w:sz w:val="20"/>
        </w:rPr>
        <w:sectPr>
          <w:type w:val="continuous"/>
          <w:pgSz w:w="11900" w:h="16840"/>
          <w:pgMar w:header="971" w:footer="0" w:top="1300" w:bottom="280" w:left="1275" w:right="1275"/>
          <w:cols w:num="2" w:equalWidth="0">
            <w:col w:w="478" w:space="63"/>
            <w:col w:w="8809"/>
          </w:cols>
        </w:sectPr>
      </w:pPr>
    </w:p>
    <w:p>
      <w:pPr>
        <w:pStyle w:val="BodyText"/>
        <w:spacing w:before="7"/>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bookmarkStart w:name="_bookmark1367" w:id="1369"/>
      <w:bookmarkEnd w:id="1369"/>
      <w:r>
        <w:rPr/>
      </w:r>
      <w:hyperlink w:history="true" w:anchor="_bookmark1167">
        <w:r>
          <w:rPr>
            <w:color w:val="005DA1"/>
            <w:spacing w:val="-4"/>
            <w:sz w:val="14"/>
            <w:u w:val="single" w:color="005DA1"/>
          </w:rPr>
          <w:t>634</w:t>
        </w:r>
      </w:hyperlink>
      <w:r>
        <w:rPr>
          <w:spacing w:val="-4"/>
          <w:sz w:val="14"/>
        </w:rPr>
        <w:t>.</w:t>
      </w:r>
    </w:p>
    <w:p>
      <w:pPr>
        <w:spacing w:before="208"/>
        <w:ind w:left="335" w:right="0" w:firstLine="0"/>
        <w:jc w:val="left"/>
        <w:rPr>
          <w:sz w:val="20"/>
        </w:rPr>
      </w:pPr>
      <w:r>
        <w:rPr/>
        <w:br w:type="column"/>
      </w:r>
      <w:r>
        <w:rPr>
          <w:rFonts w:ascii="Arial"/>
          <w:i/>
          <w:sz w:val="20"/>
        </w:rPr>
        <w:t>Matchmove</w:t>
      </w:r>
      <w:r>
        <w:rPr>
          <w:rFonts w:ascii="Arial"/>
          <w:i/>
          <w:spacing w:val="-1"/>
          <w:sz w:val="20"/>
        </w:rPr>
        <w:t> </w:t>
      </w:r>
      <w:r>
        <w:rPr>
          <w:rFonts w:ascii="Arial"/>
          <w:i/>
          <w:sz w:val="20"/>
        </w:rPr>
        <w:t>Ltd v Dowding [2016] EWCA Civ 1233</w:t>
      </w:r>
      <w:r>
        <w:rPr>
          <w:sz w:val="20"/>
        </w:rPr>
        <w:t>; see below, paras 4-142 and 5-</w:t>
      </w:r>
      <w:r>
        <w:rPr>
          <w:spacing w:val="-4"/>
          <w:sz w:val="20"/>
        </w:rPr>
        <w:t>040.</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sz w:val="20"/>
        </w:rPr>
      </w:pPr>
      <w:r>
        <w:rPr>
          <w:sz w:val="20"/>
        </w:rPr>
        <w:drawing>
          <wp:anchor distT="0" distB="0" distL="0" distR="0" allowOverlap="1" layoutInCell="1" locked="0" behindDoc="0" simplePos="0" relativeHeight="15757824">
            <wp:simplePos x="0" y="0"/>
            <wp:positionH relativeFrom="page">
              <wp:posOffset>1257846</wp:posOffset>
            </wp:positionH>
            <wp:positionV relativeFrom="paragraph">
              <wp:posOffset>-269559</wp:posOffset>
            </wp:positionV>
            <wp:extent cx="107988" cy="107988"/>
            <wp:effectExtent l="0" t="0" r="0" b="0"/>
            <wp:wrapNone/>
            <wp:docPr id="116" name="Image 116"/>
            <wp:cNvGraphicFramePr>
              <a:graphicFrameLocks/>
            </wp:cNvGraphicFramePr>
            <a:graphic>
              <a:graphicData uri="http://schemas.openxmlformats.org/drawingml/2006/picture">
                <pic:pic>
                  <pic:nvPicPr>
                    <pic:cNvPr id="116" name="Image 116"/>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368" w:id="1370"/>
      <w:bookmarkEnd w:id="1370"/>
      <w:r>
        <w:rPr/>
      </w:r>
      <w:hyperlink w:history="true" w:anchor="_bookmark1168">
        <w:r>
          <w:rPr>
            <w:color w:val="005DA1"/>
            <w:position w:val="5"/>
            <w:sz w:val="14"/>
            <w:u w:val="single" w:color="005DA1"/>
          </w:rPr>
          <w:t>635</w:t>
        </w:r>
      </w:hyperlink>
      <w:r>
        <w:rPr>
          <w:position w:val="5"/>
          <w:sz w:val="14"/>
        </w:rPr>
        <w:t>.</w:t>
      </w:r>
      <w:r>
        <w:rPr>
          <w:spacing w:val="40"/>
          <w:position w:val="5"/>
          <w:sz w:val="14"/>
        </w:rPr>
        <w:t>  </w:t>
      </w:r>
      <w:r>
        <w:rPr>
          <w:rFonts w:ascii="Arial" w:hAnsi="Arial"/>
          <w:i/>
          <w:sz w:val="20"/>
        </w:rPr>
        <w:t>Banner Homes Group Plc v Luff Developments Ltd [2000] Ch. 372</w:t>
      </w:r>
      <w:r>
        <w:rPr>
          <w:sz w:val="20"/>
        </w:rPr>
        <w:t>; contrast </w:t>
      </w:r>
      <w:r>
        <w:rPr>
          <w:rFonts w:ascii="Arial" w:hAnsi="Arial"/>
          <w:i/>
          <w:sz w:val="20"/>
        </w:rPr>
        <w:t>London &amp; Regional Investments Ltd v TBI Plc [2000] EWCA Civ 355</w:t>
      </w:r>
      <w:r>
        <w:rPr>
          <w:sz w:val="20"/>
        </w:rPr>
        <w:t>, where the joint venture agreement was expressly “subject to contract” (below, para.2-125), thus reserving a right to withdraw. </w:t>
      </w:r>
      <w:r>
        <w:rPr>
          <w:sz w:val="20"/>
        </w:rPr>
        <w:t>In </w:t>
      </w:r>
      <w:r>
        <w:rPr>
          <w:rFonts w:ascii="Arial" w:hAnsi="Arial"/>
          <w:i/>
          <w:sz w:val="20"/>
        </w:rPr>
        <w:t>Crossco No.4 Unlimited v Jolan Ltd Note [2011] EWCA Civ 1619, [2012] 2 All E.R. 754 </w:t>
      </w:r>
      <w:r>
        <w:rPr>
          <w:sz w:val="20"/>
        </w:rPr>
        <w:t>Arden and Mcfarlane L.JJ. took the view that the decision in the </w:t>
      </w:r>
      <w:r>
        <w:rPr>
          <w:rFonts w:ascii="Arial" w:hAnsi="Arial"/>
          <w:i/>
          <w:sz w:val="20"/>
        </w:rPr>
        <w:t>Banner Homes </w:t>
      </w:r>
      <w:r>
        <w:rPr>
          <w:sz w:val="20"/>
        </w:rPr>
        <w:t>case was based on constructive trust (at [129], [119], [124]) while Etherton L.J. took the view that it rested on</w:t>
      </w:r>
      <w:r>
        <w:rPr>
          <w:spacing w:val="40"/>
          <w:sz w:val="20"/>
        </w:rPr>
        <w:t> </w:t>
      </w:r>
      <w:r>
        <w:rPr>
          <w:sz w:val="20"/>
        </w:rPr>
        <w:t>breach of fiduciary duty (at [88], [93]). This difference of judicial opinion did not affect the outcome of the </w:t>
      </w:r>
      <w:r>
        <w:rPr>
          <w:rFonts w:ascii="Arial" w:hAnsi="Arial"/>
          <w:i/>
          <w:sz w:val="20"/>
        </w:rPr>
        <w:t>Crossco </w:t>
      </w:r>
      <w:r>
        <w:rPr>
          <w:sz w:val="20"/>
        </w:rPr>
        <w:t>case and further discussion of it is beyond the scope of this chapter.</w:t>
      </w:r>
    </w:p>
    <w:p>
      <w:pPr>
        <w:pStyle w:val="BodyText"/>
        <w:spacing w:before="7"/>
      </w:pPr>
    </w:p>
    <w:p>
      <w:pPr>
        <w:tabs>
          <w:tab w:pos="705" w:val="left" w:leader="none"/>
        </w:tabs>
        <w:spacing w:line="235" w:lineRule="auto" w:before="0"/>
        <w:ind w:left="705" w:right="168" w:hanging="541"/>
        <w:jc w:val="left"/>
        <w:rPr>
          <w:sz w:val="20"/>
        </w:rPr>
      </w:pPr>
      <w:bookmarkStart w:name="_bookmark1369" w:id="1371"/>
      <w:bookmarkEnd w:id="1371"/>
      <w:r>
        <w:rPr/>
      </w:r>
      <w:hyperlink w:history="true" w:anchor="_bookmark1169">
        <w:r>
          <w:rPr>
            <w:color w:val="005DA1"/>
            <w:spacing w:val="-4"/>
            <w:position w:val="5"/>
            <w:sz w:val="14"/>
            <w:u w:val="single" w:color="005DA1"/>
          </w:rPr>
          <w:t>636</w:t>
        </w:r>
      </w:hyperlink>
      <w:r>
        <w:rPr>
          <w:spacing w:val="-4"/>
          <w:position w:val="5"/>
          <w:sz w:val="14"/>
        </w:rPr>
        <w:t>.</w:t>
      </w:r>
      <w:r>
        <w:rPr>
          <w:position w:val="5"/>
          <w:sz w:val="14"/>
        </w:rPr>
        <w:tab/>
      </w:r>
      <w:r>
        <w:rPr>
          <w:rFonts w:ascii="Arial"/>
          <w:i/>
          <w:sz w:val="20"/>
        </w:rPr>
        <w:t>Ionides v Pacific Insurance Co (1871) L.R. 6 Q.B. 674, 684</w:t>
      </w:r>
      <w:r>
        <w:rPr>
          <w:sz w:val="20"/>
        </w:rPr>
        <w:t>; </w:t>
      </w:r>
      <w:r>
        <w:rPr>
          <w:rFonts w:ascii="Arial"/>
          <w:i/>
          <w:sz w:val="20"/>
        </w:rPr>
        <w:t>Cory v Patton (1872) L.R. 7 Q.B.</w:t>
      </w:r>
      <w:r>
        <w:rPr>
          <w:rFonts w:ascii="Arial"/>
          <w:i/>
          <w:spacing w:val="40"/>
          <w:sz w:val="20"/>
        </w:rPr>
        <w:t> </w:t>
      </w:r>
      <w:r>
        <w:rPr>
          <w:rFonts w:ascii="Arial"/>
          <w:i/>
          <w:sz w:val="20"/>
        </w:rPr>
        <w:t>304</w:t>
      </w:r>
      <w:r>
        <w:rPr>
          <w:sz w:val="20"/>
        </w:rPr>
        <w:t>;</w:t>
      </w:r>
      <w:r>
        <w:rPr>
          <w:spacing w:val="55"/>
          <w:sz w:val="20"/>
        </w:rPr>
        <w:t> </w:t>
      </w:r>
      <w:r>
        <w:rPr>
          <w:rFonts w:ascii="Arial"/>
          <w:i/>
          <w:sz w:val="20"/>
        </w:rPr>
        <w:t>General</w:t>
      </w:r>
      <w:r>
        <w:rPr>
          <w:rFonts w:ascii="Arial"/>
          <w:i/>
          <w:spacing w:val="55"/>
          <w:sz w:val="20"/>
        </w:rPr>
        <w:t> </w:t>
      </w:r>
      <w:r>
        <w:rPr>
          <w:rFonts w:ascii="Arial"/>
          <w:i/>
          <w:sz w:val="20"/>
        </w:rPr>
        <w:t>Reinsurance</w:t>
      </w:r>
      <w:r>
        <w:rPr>
          <w:rFonts w:ascii="Arial"/>
          <w:i/>
          <w:spacing w:val="56"/>
          <w:sz w:val="20"/>
        </w:rPr>
        <w:t> </w:t>
      </w:r>
      <w:r>
        <w:rPr>
          <w:rFonts w:ascii="Arial"/>
          <w:i/>
          <w:sz w:val="20"/>
        </w:rPr>
        <w:t>Corp</w:t>
      </w:r>
      <w:r>
        <w:rPr>
          <w:rFonts w:ascii="Arial"/>
          <w:i/>
          <w:spacing w:val="55"/>
          <w:sz w:val="20"/>
        </w:rPr>
        <w:t> </w:t>
      </w:r>
      <w:r>
        <w:rPr>
          <w:rFonts w:ascii="Arial"/>
          <w:i/>
          <w:sz w:val="20"/>
        </w:rPr>
        <w:t>v</w:t>
      </w:r>
      <w:r>
        <w:rPr>
          <w:rFonts w:ascii="Arial"/>
          <w:i/>
          <w:spacing w:val="56"/>
          <w:sz w:val="20"/>
        </w:rPr>
        <w:t> </w:t>
      </w:r>
      <w:r>
        <w:rPr>
          <w:rFonts w:ascii="Arial"/>
          <w:i/>
          <w:sz w:val="20"/>
        </w:rPr>
        <w:t>Forsakringsaktiebolaget</w:t>
      </w:r>
      <w:r>
        <w:rPr>
          <w:rFonts w:ascii="Arial"/>
          <w:i/>
          <w:spacing w:val="55"/>
          <w:sz w:val="20"/>
        </w:rPr>
        <w:t> </w:t>
      </w:r>
      <w:r>
        <w:rPr>
          <w:rFonts w:ascii="Arial"/>
          <w:i/>
          <w:sz w:val="20"/>
        </w:rPr>
        <w:t>Fennia</w:t>
      </w:r>
      <w:r>
        <w:rPr>
          <w:rFonts w:ascii="Arial"/>
          <w:i/>
          <w:spacing w:val="56"/>
          <w:sz w:val="20"/>
        </w:rPr>
        <w:t> </w:t>
      </w:r>
      <w:r>
        <w:rPr>
          <w:rFonts w:ascii="Arial"/>
          <w:i/>
          <w:sz w:val="20"/>
        </w:rPr>
        <w:t>Patria</w:t>
      </w:r>
      <w:r>
        <w:rPr>
          <w:rFonts w:ascii="Arial"/>
          <w:i/>
          <w:spacing w:val="55"/>
          <w:sz w:val="20"/>
        </w:rPr>
        <w:t> </w:t>
      </w:r>
      <w:r>
        <w:rPr>
          <w:rFonts w:ascii="Arial"/>
          <w:i/>
          <w:sz w:val="20"/>
        </w:rPr>
        <w:t>[1983]</w:t>
      </w:r>
      <w:r>
        <w:rPr>
          <w:rFonts w:ascii="Arial"/>
          <w:i/>
          <w:spacing w:val="56"/>
          <w:sz w:val="20"/>
        </w:rPr>
        <w:t> </w:t>
      </w:r>
      <w:r>
        <w:rPr>
          <w:rFonts w:ascii="Arial"/>
          <w:i/>
          <w:sz w:val="20"/>
        </w:rPr>
        <w:t>Q.B.</w:t>
      </w:r>
      <w:r>
        <w:rPr>
          <w:rFonts w:ascii="Arial"/>
          <w:i/>
          <w:spacing w:val="55"/>
          <w:sz w:val="20"/>
        </w:rPr>
        <w:t> </w:t>
      </w:r>
      <w:r>
        <w:rPr>
          <w:rFonts w:ascii="Arial"/>
          <w:i/>
          <w:spacing w:val="-4"/>
          <w:sz w:val="20"/>
        </w:rPr>
        <w:t>856</w:t>
      </w:r>
      <w:r>
        <w:rPr>
          <w:spacing w:val="-4"/>
          <w:sz w:val="20"/>
        </w:rPr>
        <w:t>;</w:t>
      </w:r>
    </w:p>
    <w:p>
      <w:pPr>
        <w:spacing w:after="0" w:line="235" w:lineRule="auto"/>
        <w:jc w:val="left"/>
        <w:rPr>
          <w:sz w:val="20"/>
        </w:rPr>
        <w:sectPr>
          <w:type w:val="continuous"/>
          <w:pgSz w:w="11900" w:h="16840"/>
          <w:pgMar w:header="971" w:footer="0" w:top="1300" w:bottom="280" w:left="1275" w:right="1275"/>
        </w:sectPr>
      </w:pPr>
    </w:p>
    <w:p>
      <w:pPr>
        <w:spacing w:line="235" w:lineRule="auto" w:before="110"/>
        <w:ind w:left="705" w:right="0" w:firstLine="0"/>
        <w:jc w:val="left"/>
        <w:rPr>
          <w:rFonts w:ascii="Arial" w:hAnsi="Arial"/>
          <w:i/>
          <w:sz w:val="20"/>
        </w:rPr>
      </w:pPr>
      <w:r>
        <w:rPr>
          <w:rFonts w:ascii="Arial" w:hAnsi="Arial"/>
          <w:i/>
          <w:sz w:val="20"/>
        </w:rPr>
        <w:t>Hadenfayre Ltd v British National Insurance Soc. Ltd [1984] 2 Lloyd’s Rep. 393</w:t>
      </w:r>
      <w:r>
        <w:rPr>
          <w:sz w:val="20"/>
        </w:rPr>
        <w:t>; </w:t>
      </w:r>
      <w:r>
        <w:rPr>
          <w:rFonts w:ascii="Arial" w:hAnsi="Arial"/>
          <w:i/>
          <w:sz w:val="20"/>
        </w:rPr>
        <w:t>G.A.F.L.A.C. </w:t>
      </w:r>
      <w:r>
        <w:rPr>
          <w:rFonts w:ascii="Arial" w:hAnsi="Arial"/>
          <w:i/>
          <w:sz w:val="20"/>
        </w:rPr>
        <w:t>v Tanter</w:t>
      </w:r>
      <w:r>
        <w:rPr>
          <w:rFonts w:ascii="Arial" w:hAnsi="Arial"/>
          <w:i/>
          <w:spacing w:val="8"/>
          <w:sz w:val="20"/>
        </w:rPr>
        <w:t> </w:t>
      </w:r>
      <w:r>
        <w:rPr>
          <w:rFonts w:ascii="Arial" w:hAnsi="Arial"/>
          <w:i/>
          <w:sz w:val="20"/>
        </w:rPr>
        <w:t>(The</w:t>
      </w:r>
      <w:r>
        <w:rPr>
          <w:rFonts w:ascii="Arial" w:hAnsi="Arial"/>
          <w:i/>
          <w:spacing w:val="8"/>
          <w:sz w:val="20"/>
        </w:rPr>
        <w:t> </w:t>
      </w:r>
      <w:r>
        <w:rPr>
          <w:rFonts w:ascii="Arial" w:hAnsi="Arial"/>
          <w:i/>
          <w:sz w:val="20"/>
        </w:rPr>
        <w:t>Zephyr)</w:t>
      </w:r>
      <w:r>
        <w:rPr>
          <w:rFonts w:ascii="Arial" w:hAnsi="Arial"/>
          <w:i/>
          <w:spacing w:val="8"/>
          <w:sz w:val="20"/>
        </w:rPr>
        <w:t> </w:t>
      </w:r>
      <w:r>
        <w:rPr>
          <w:rFonts w:ascii="Arial" w:hAnsi="Arial"/>
          <w:i/>
          <w:sz w:val="20"/>
        </w:rPr>
        <w:t>[1984]</w:t>
      </w:r>
      <w:r>
        <w:rPr>
          <w:rFonts w:ascii="Arial" w:hAnsi="Arial"/>
          <w:i/>
          <w:spacing w:val="8"/>
          <w:sz w:val="20"/>
        </w:rPr>
        <w:t> </w:t>
      </w:r>
      <w:r>
        <w:rPr>
          <w:rFonts w:ascii="Arial" w:hAnsi="Arial"/>
          <w:i/>
          <w:sz w:val="20"/>
        </w:rPr>
        <w:t>1</w:t>
      </w:r>
      <w:r>
        <w:rPr>
          <w:rFonts w:ascii="Arial" w:hAnsi="Arial"/>
          <w:i/>
          <w:spacing w:val="8"/>
          <w:sz w:val="20"/>
        </w:rPr>
        <w:t> </w:t>
      </w:r>
      <w:r>
        <w:rPr>
          <w:rFonts w:ascii="Arial" w:hAnsi="Arial"/>
          <w:i/>
          <w:sz w:val="20"/>
        </w:rPr>
        <w:t>Lloyd’s</w:t>
      </w:r>
      <w:r>
        <w:rPr>
          <w:rFonts w:ascii="Arial" w:hAnsi="Arial"/>
          <w:i/>
          <w:spacing w:val="8"/>
          <w:sz w:val="20"/>
        </w:rPr>
        <w:t> </w:t>
      </w:r>
      <w:r>
        <w:rPr>
          <w:rFonts w:ascii="Arial" w:hAnsi="Arial"/>
          <w:i/>
          <w:sz w:val="20"/>
        </w:rPr>
        <w:t>Rep.</w:t>
      </w:r>
      <w:r>
        <w:rPr>
          <w:rFonts w:ascii="Arial" w:hAnsi="Arial"/>
          <w:i/>
          <w:spacing w:val="8"/>
          <w:sz w:val="20"/>
        </w:rPr>
        <w:t> </w:t>
      </w:r>
      <w:r>
        <w:rPr>
          <w:rFonts w:ascii="Arial" w:hAnsi="Arial"/>
          <w:i/>
          <w:sz w:val="20"/>
        </w:rPr>
        <w:t>56,</w:t>
      </w:r>
      <w:r>
        <w:rPr>
          <w:rFonts w:ascii="Arial" w:hAnsi="Arial"/>
          <w:i/>
          <w:spacing w:val="8"/>
          <w:sz w:val="20"/>
        </w:rPr>
        <w:t> </w:t>
      </w:r>
      <w:r>
        <w:rPr>
          <w:rFonts w:ascii="Arial" w:hAnsi="Arial"/>
          <w:i/>
          <w:sz w:val="20"/>
        </w:rPr>
        <w:t>69–70;</w:t>
      </w:r>
      <w:r>
        <w:rPr>
          <w:rFonts w:ascii="Arial" w:hAnsi="Arial"/>
          <w:i/>
          <w:spacing w:val="8"/>
          <w:sz w:val="20"/>
        </w:rPr>
        <w:t> </w:t>
      </w:r>
      <w:r>
        <w:rPr>
          <w:rFonts w:ascii="Arial" w:hAnsi="Arial"/>
          <w:i/>
          <w:sz w:val="20"/>
        </w:rPr>
        <w:t>reversed</w:t>
      </w:r>
      <w:r>
        <w:rPr>
          <w:rFonts w:ascii="Arial" w:hAnsi="Arial"/>
          <w:i/>
          <w:spacing w:val="8"/>
          <w:sz w:val="20"/>
        </w:rPr>
        <w:t> </w:t>
      </w:r>
      <w:r>
        <w:rPr>
          <w:rFonts w:ascii="Arial" w:hAnsi="Arial"/>
          <w:i/>
          <w:sz w:val="20"/>
        </w:rPr>
        <w:t>in</w:t>
      </w:r>
      <w:r>
        <w:rPr>
          <w:rFonts w:ascii="Arial" w:hAnsi="Arial"/>
          <w:i/>
          <w:spacing w:val="8"/>
          <w:sz w:val="20"/>
        </w:rPr>
        <w:t> </w:t>
      </w:r>
      <w:r>
        <w:rPr>
          <w:rFonts w:ascii="Arial" w:hAnsi="Arial"/>
          <w:i/>
          <w:sz w:val="20"/>
        </w:rPr>
        <w:t>part</w:t>
      </w:r>
      <w:r>
        <w:rPr>
          <w:rFonts w:ascii="Arial" w:hAnsi="Arial"/>
          <w:i/>
          <w:spacing w:val="8"/>
          <w:sz w:val="20"/>
        </w:rPr>
        <w:t> </w:t>
      </w:r>
      <w:r>
        <w:rPr>
          <w:rFonts w:ascii="Arial" w:hAnsi="Arial"/>
          <w:i/>
          <w:sz w:val="20"/>
        </w:rPr>
        <w:t>on</w:t>
      </w:r>
      <w:r>
        <w:rPr>
          <w:rFonts w:ascii="Arial" w:hAnsi="Arial"/>
          <w:i/>
          <w:spacing w:val="8"/>
          <w:sz w:val="20"/>
        </w:rPr>
        <w:t> </w:t>
      </w:r>
      <w:r>
        <w:rPr>
          <w:rFonts w:ascii="Arial" w:hAnsi="Arial"/>
          <w:i/>
          <w:sz w:val="20"/>
        </w:rPr>
        <w:t>other</w:t>
      </w:r>
      <w:r>
        <w:rPr>
          <w:rFonts w:ascii="Arial" w:hAnsi="Arial"/>
          <w:i/>
          <w:spacing w:val="8"/>
          <w:sz w:val="20"/>
        </w:rPr>
        <w:t> </w:t>
      </w:r>
      <w:r>
        <w:rPr>
          <w:rFonts w:ascii="Arial" w:hAnsi="Arial"/>
          <w:i/>
          <w:sz w:val="20"/>
        </w:rPr>
        <w:t>grounds</w:t>
      </w:r>
      <w:r>
        <w:rPr>
          <w:rFonts w:ascii="Arial" w:hAnsi="Arial"/>
          <w:i/>
          <w:spacing w:val="8"/>
          <w:sz w:val="20"/>
        </w:rPr>
        <w:t> </w:t>
      </w:r>
      <w:r>
        <w:rPr>
          <w:rFonts w:ascii="Arial" w:hAnsi="Arial"/>
          <w:i/>
          <w:spacing w:val="-2"/>
          <w:sz w:val="20"/>
        </w:rPr>
        <w:t>[1985]</w:t>
      </w:r>
    </w:p>
    <w:p>
      <w:pPr>
        <w:spacing w:line="235" w:lineRule="auto" w:before="0"/>
        <w:ind w:left="705" w:right="165" w:firstLine="0"/>
        <w:jc w:val="left"/>
        <w:rPr>
          <w:rFonts w:ascii="Arial" w:hAnsi="Arial"/>
          <w:i/>
          <w:sz w:val="20"/>
        </w:rPr>
      </w:pPr>
      <w:r>
        <w:rPr>
          <w:rFonts w:ascii="Arial" w:hAnsi="Arial"/>
          <w:i/>
          <w:sz w:val="20"/>
        </w:rPr>
        <w:t>2</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529</w:t>
      </w:r>
      <w:r>
        <w:rPr>
          <w:sz w:val="20"/>
        </w:rPr>
        <w:t>;</w:t>
      </w:r>
      <w:r>
        <w:rPr>
          <w:spacing w:val="16"/>
          <w:sz w:val="20"/>
        </w:rPr>
        <w:t> </w:t>
      </w:r>
      <w:r>
        <w:rPr>
          <w:rFonts w:ascii="Arial" w:hAnsi="Arial"/>
          <w:i/>
          <w:sz w:val="20"/>
        </w:rPr>
        <w:t>Youell</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Bland</w:t>
      </w:r>
      <w:r>
        <w:rPr>
          <w:rFonts w:ascii="Arial" w:hAnsi="Arial"/>
          <w:i/>
          <w:spacing w:val="16"/>
          <w:sz w:val="20"/>
        </w:rPr>
        <w:t> </w:t>
      </w:r>
      <w:r>
        <w:rPr>
          <w:rFonts w:ascii="Arial" w:hAnsi="Arial"/>
          <w:i/>
          <w:sz w:val="20"/>
        </w:rPr>
        <w:t>Welch</w:t>
      </w:r>
      <w:r>
        <w:rPr>
          <w:rFonts w:ascii="Arial" w:hAnsi="Arial"/>
          <w:i/>
          <w:spacing w:val="16"/>
          <w:sz w:val="20"/>
        </w:rPr>
        <w:t> </w:t>
      </w:r>
      <w:r>
        <w:rPr>
          <w:rFonts w:ascii="Arial" w:hAnsi="Arial"/>
          <w:i/>
          <w:sz w:val="20"/>
        </w:rPr>
        <w:t>&amp;</w:t>
      </w:r>
      <w:r>
        <w:rPr>
          <w:rFonts w:ascii="Arial" w:hAnsi="Arial"/>
          <w:i/>
          <w:spacing w:val="16"/>
          <w:sz w:val="20"/>
        </w:rPr>
        <w:t> </w:t>
      </w:r>
      <w:r>
        <w:rPr>
          <w:rFonts w:ascii="Arial" w:hAnsi="Arial"/>
          <w:i/>
          <w:sz w:val="20"/>
        </w:rPr>
        <w:t>Co</w:t>
      </w:r>
      <w:r>
        <w:rPr>
          <w:rFonts w:ascii="Arial" w:hAnsi="Arial"/>
          <w:i/>
          <w:spacing w:val="16"/>
          <w:sz w:val="20"/>
        </w:rPr>
        <w:t> </w:t>
      </w:r>
      <w:r>
        <w:rPr>
          <w:rFonts w:ascii="Arial" w:hAnsi="Arial"/>
          <w:i/>
          <w:sz w:val="20"/>
        </w:rPr>
        <w:t>Ltd</w:t>
      </w:r>
      <w:r>
        <w:rPr>
          <w:rFonts w:ascii="Arial" w:hAnsi="Arial"/>
          <w:i/>
          <w:spacing w:val="16"/>
          <w:sz w:val="20"/>
        </w:rPr>
        <w:t> </w:t>
      </w:r>
      <w:r>
        <w:rPr>
          <w:rFonts w:ascii="Arial" w:hAnsi="Arial"/>
          <w:i/>
          <w:sz w:val="20"/>
        </w:rPr>
        <w:t>[1992]</w:t>
      </w:r>
      <w:r>
        <w:rPr>
          <w:rFonts w:ascii="Arial" w:hAnsi="Arial"/>
          <w:i/>
          <w:spacing w:val="16"/>
          <w:sz w:val="20"/>
        </w:rPr>
        <w:t> </w:t>
      </w:r>
      <w:r>
        <w:rPr>
          <w:rFonts w:ascii="Arial" w:hAnsi="Arial"/>
          <w:i/>
          <w:sz w:val="20"/>
        </w:rPr>
        <w:t>2</w:t>
      </w:r>
      <w:r>
        <w:rPr>
          <w:rFonts w:ascii="Arial" w:hAnsi="Arial"/>
          <w:i/>
          <w:spacing w:val="16"/>
          <w:sz w:val="20"/>
        </w:rPr>
        <w:t> </w:t>
      </w:r>
      <w:r>
        <w:rPr>
          <w:rFonts w:ascii="Arial" w:hAnsi="Arial"/>
          <w:i/>
          <w:sz w:val="20"/>
        </w:rPr>
        <w:t>Lloyd’s</w:t>
      </w:r>
      <w:r>
        <w:rPr>
          <w:rFonts w:ascii="Arial" w:hAnsi="Arial"/>
          <w:i/>
          <w:spacing w:val="16"/>
          <w:sz w:val="20"/>
        </w:rPr>
        <w:t> </w:t>
      </w:r>
      <w:r>
        <w:rPr>
          <w:rFonts w:ascii="Arial" w:hAnsi="Arial"/>
          <w:i/>
          <w:sz w:val="20"/>
        </w:rPr>
        <w:t>Rep.</w:t>
      </w:r>
      <w:r>
        <w:rPr>
          <w:rFonts w:ascii="Arial" w:hAnsi="Arial"/>
          <w:i/>
          <w:spacing w:val="16"/>
          <w:sz w:val="20"/>
        </w:rPr>
        <w:t> </w:t>
      </w:r>
      <w:r>
        <w:rPr>
          <w:rFonts w:ascii="Arial" w:hAnsi="Arial"/>
          <w:i/>
          <w:sz w:val="20"/>
        </w:rPr>
        <w:t>127,</w:t>
      </w:r>
      <w:r>
        <w:rPr>
          <w:rFonts w:ascii="Arial" w:hAnsi="Arial"/>
          <w:i/>
          <w:spacing w:val="16"/>
          <w:sz w:val="20"/>
        </w:rPr>
        <w:t> </w:t>
      </w:r>
      <w:r>
        <w:rPr>
          <w:rFonts w:ascii="Arial" w:hAnsi="Arial"/>
          <w:i/>
          <w:sz w:val="20"/>
        </w:rPr>
        <w:t>140–141</w:t>
      </w:r>
      <w:r>
        <w:rPr>
          <w:sz w:val="20"/>
        </w:rPr>
        <w:t>;</w:t>
      </w:r>
      <w:r>
        <w:rPr>
          <w:spacing w:val="16"/>
          <w:sz w:val="20"/>
        </w:rPr>
        <w:t> </w:t>
      </w:r>
      <w:r>
        <w:rPr>
          <w:rFonts w:ascii="Arial" w:hAnsi="Arial"/>
          <w:i/>
          <w:sz w:val="20"/>
        </w:rPr>
        <w:t>HIH Casualty</w:t>
      </w:r>
      <w:r>
        <w:rPr>
          <w:rFonts w:ascii="Arial" w:hAnsi="Arial"/>
          <w:i/>
          <w:spacing w:val="9"/>
          <w:sz w:val="20"/>
        </w:rPr>
        <w:t> </w:t>
      </w:r>
      <w:r>
        <w:rPr>
          <w:rFonts w:ascii="Arial" w:hAnsi="Arial"/>
          <w:i/>
          <w:sz w:val="20"/>
        </w:rPr>
        <w:t>&amp;</w:t>
      </w:r>
      <w:r>
        <w:rPr>
          <w:rFonts w:ascii="Arial" w:hAnsi="Arial"/>
          <w:i/>
          <w:spacing w:val="9"/>
          <w:sz w:val="20"/>
        </w:rPr>
        <w:t> </w:t>
      </w:r>
      <w:r>
        <w:rPr>
          <w:rFonts w:ascii="Arial" w:hAnsi="Arial"/>
          <w:i/>
          <w:sz w:val="20"/>
        </w:rPr>
        <w:t>General</w:t>
      </w:r>
      <w:r>
        <w:rPr>
          <w:rFonts w:ascii="Arial" w:hAnsi="Arial"/>
          <w:i/>
          <w:spacing w:val="9"/>
          <w:sz w:val="20"/>
        </w:rPr>
        <w:t> </w:t>
      </w:r>
      <w:r>
        <w:rPr>
          <w:rFonts w:ascii="Arial" w:hAnsi="Arial"/>
          <w:i/>
          <w:sz w:val="20"/>
        </w:rPr>
        <w:t>Insurance</w:t>
      </w:r>
      <w:r>
        <w:rPr>
          <w:rFonts w:ascii="Arial" w:hAnsi="Arial"/>
          <w:i/>
          <w:spacing w:val="9"/>
          <w:sz w:val="20"/>
        </w:rPr>
        <w:t> </w:t>
      </w:r>
      <w:r>
        <w:rPr>
          <w:rFonts w:ascii="Arial" w:hAnsi="Arial"/>
          <w:i/>
          <w:sz w:val="20"/>
        </w:rPr>
        <w:t>v</w:t>
      </w:r>
      <w:r>
        <w:rPr>
          <w:rFonts w:ascii="Arial" w:hAnsi="Arial"/>
          <w:i/>
          <w:spacing w:val="9"/>
          <w:sz w:val="20"/>
        </w:rPr>
        <w:t> </w:t>
      </w:r>
      <w:r>
        <w:rPr>
          <w:rFonts w:ascii="Arial" w:hAnsi="Arial"/>
          <w:i/>
          <w:sz w:val="20"/>
        </w:rPr>
        <w:t>New</w:t>
      </w:r>
      <w:r>
        <w:rPr>
          <w:rFonts w:ascii="Arial" w:hAnsi="Arial"/>
          <w:i/>
          <w:spacing w:val="9"/>
          <w:sz w:val="20"/>
        </w:rPr>
        <w:t> </w:t>
      </w:r>
      <w:r>
        <w:rPr>
          <w:rFonts w:ascii="Arial" w:hAnsi="Arial"/>
          <w:i/>
          <w:sz w:val="20"/>
        </w:rPr>
        <w:t>Hampshire</w:t>
      </w:r>
      <w:r>
        <w:rPr>
          <w:rFonts w:ascii="Arial" w:hAnsi="Arial"/>
          <w:i/>
          <w:spacing w:val="9"/>
          <w:sz w:val="20"/>
        </w:rPr>
        <w:t> </w:t>
      </w:r>
      <w:r>
        <w:rPr>
          <w:rFonts w:ascii="Arial" w:hAnsi="Arial"/>
          <w:i/>
          <w:sz w:val="20"/>
        </w:rPr>
        <w:t>Insurance</w:t>
      </w:r>
      <w:r>
        <w:rPr>
          <w:rFonts w:ascii="Arial" w:hAnsi="Arial"/>
          <w:i/>
          <w:spacing w:val="9"/>
          <w:sz w:val="20"/>
        </w:rPr>
        <w:t> </w:t>
      </w:r>
      <w:r>
        <w:rPr>
          <w:rFonts w:ascii="Arial" w:hAnsi="Arial"/>
          <w:i/>
          <w:sz w:val="20"/>
        </w:rPr>
        <w:t>[2001]</w:t>
      </w:r>
      <w:r>
        <w:rPr>
          <w:rFonts w:ascii="Arial" w:hAnsi="Arial"/>
          <w:i/>
          <w:spacing w:val="9"/>
          <w:sz w:val="20"/>
        </w:rPr>
        <w:t> </w:t>
      </w:r>
      <w:r>
        <w:rPr>
          <w:rFonts w:ascii="Arial" w:hAnsi="Arial"/>
          <w:i/>
          <w:sz w:val="20"/>
        </w:rPr>
        <w:t>EWCA</w:t>
      </w:r>
      <w:r>
        <w:rPr>
          <w:rFonts w:ascii="Arial" w:hAnsi="Arial"/>
          <w:i/>
          <w:spacing w:val="9"/>
          <w:sz w:val="20"/>
        </w:rPr>
        <w:t> </w:t>
      </w:r>
      <w:r>
        <w:rPr>
          <w:rFonts w:ascii="Arial" w:hAnsi="Arial"/>
          <w:i/>
          <w:sz w:val="20"/>
        </w:rPr>
        <w:t>Civ</w:t>
      </w:r>
      <w:r>
        <w:rPr>
          <w:rFonts w:ascii="Arial" w:hAnsi="Arial"/>
          <w:i/>
          <w:spacing w:val="9"/>
          <w:sz w:val="20"/>
        </w:rPr>
        <w:t> </w:t>
      </w:r>
      <w:r>
        <w:rPr>
          <w:rFonts w:ascii="Arial" w:hAnsi="Arial"/>
          <w:i/>
          <w:sz w:val="20"/>
        </w:rPr>
        <w:t>735;</w:t>
      </w:r>
      <w:r>
        <w:rPr>
          <w:rFonts w:ascii="Arial" w:hAnsi="Arial"/>
          <w:i/>
          <w:spacing w:val="9"/>
          <w:sz w:val="20"/>
        </w:rPr>
        <w:t> </w:t>
      </w:r>
      <w:r>
        <w:rPr>
          <w:rFonts w:ascii="Arial" w:hAnsi="Arial"/>
          <w:i/>
          <w:sz w:val="20"/>
        </w:rPr>
        <w:t>[2001]</w:t>
      </w:r>
      <w:r>
        <w:rPr>
          <w:rFonts w:ascii="Arial" w:hAnsi="Arial"/>
          <w:i/>
          <w:spacing w:val="9"/>
          <w:sz w:val="20"/>
        </w:rPr>
        <w:t> </w:t>
      </w:r>
      <w:r>
        <w:rPr>
          <w:rFonts w:ascii="Arial" w:hAnsi="Arial"/>
          <w:i/>
          <w:sz w:val="20"/>
        </w:rPr>
        <w:t>2</w:t>
      </w:r>
      <w:r>
        <w:rPr>
          <w:rFonts w:ascii="Arial" w:hAnsi="Arial"/>
          <w:i/>
          <w:spacing w:val="9"/>
          <w:sz w:val="20"/>
        </w:rPr>
        <w:t> </w:t>
      </w:r>
      <w:r>
        <w:rPr>
          <w:rFonts w:ascii="Arial" w:hAnsi="Arial"/>
          <w:i/>
          <w:spacing w:val="-5"/>
          <w:sz w:val="20"/>
        </w:rPr>
        <w:t>Al</w:t>
      </w:r>
      <w:r>
        <w:rPr>
          <w:rFonts w:ascii="Arial" w:hAnsi="Arial"/>
          <w:i/>
          <w:spacing w:val="-5"/>
          <w:sz w:val="20"/>
        </w:rPr>
        <w:t>l</w:t>
      </w:r>
    </w:p>
    <w:p>
      <w:pPr>
        <w:spacing w:line="235" w:lineRule="auto" w:before="0"/>
        <w:ind w:left="705" w:right="167" w:firstLine="0"/>
        <w:jc w:val="both"/>
        <w:rPr>
          <w:sz w:val="20"/>
        </w:rPr>
      </w:pPr>
      <w:r>
        <w:rPr>
          <w:rFonts w:ascii="Arial" w:hAnsi="Arial"/>
          <w:i/>
          <w:sz w:val="20"/>
        </w:rPr>
        <w:t>E.R. (Comm) 39 </w:t>
      </w:r>
      <w:r>
        <w:rPr>
          <w:sz w:val="20"/>
        </w:rPr>
        <w:t>at [86], [87]. Under an “open cover” arrangement, it is not the initialling of the slip but the declaration of the insured, which creates the obligation of the insurer: </w:t>
      </w:r>
      <w:r>
        <w:rPr>
          <w:rFonts w:ascii="Arial" w:hAnsi="Arial"/>
          <w:i/>
          <w:sz w:val="20"/>
        </w:rPr>
        <w:t>Citadel Insurance Co v Atlantic Union Insurance Co [1985] 2 Lloyd’s Rep. 543</w:t>
      </w:r>
      <w:r>
        <w:rPr>
          <w:sz w:val="20"/>
        </w:rPr>
        <w:t>.</w:t>
      </w:r>
    </w:p>
    <w:p>
      <w:pPr>
        <w:pStyle w:val="BodyText"/>
        <w:spacing w:before="4"/>
      </w:pPr>
    </w:p>
    <w:p>
      <w:pPr>
        <w:pStyle w:val="BodyText"/>
        <w:tabs>
          <w:tab w:pos="705" w:val="left" w:leader="none"/>
        </w:tabs>
        <w:ind w:left="165"/>
      </w:pPr>
      <w:bookmarkStart w:name="_bookmark1370" w:id="1372"/>
      <w:bookmarkEnd w:id="1372"/>
      <w:r>
        <w:rPr/>
      </w:r>
      <w:hyperlink w:history="true" w:anchor="_bookmark1170">
        <w:r>
          <w:rPr>
            <w:color w:val="005DA1"/>
            <w:spacing w:val="-4"/>
            <w:position w:val="5"/>
            <w:sz w:val="14"/>
            <w:u w:val="single" w:color="005DA1"/>
          </w:rPr>
          <w:t>637</w:t>
        </w:r>
      </w:hyperlink>
      <w:r>
        <w:rPr>
          <w:spacing w:val="-4"/>
          <w:position w:val="5"/>
          <w:sz w:val="14"/>
        </w:rPr>
        <w:t>.</w:t>
      </w:r>
      <w:r>
        <w:rPr>
          <w:position w:val="5"/>
          <w:sz w:val="14"/>
        </w:rPr>
        <w:tab/>
      </w:r>
      <w:r>
        <w:rPr/>
        <w:t>See Marine Insurance Act 1906 ss.22, 23 and </w:t>
      </w:r>
      <w:r>
        <w:rPr>
          <w:spacing w:val="-5"/>
        </w:rPr>
        <w:t>24.</w:t>
      </w:r>
    </w:p>
    <w:p>
      <w:pPr>
        <w:pStyle w:val="BodyText"/>
        <w:spacing w:before="8"/>
      </w:pPr>
    </w:p>
    <w:p>
      <w:pPr>
        <w:tabs>
          <w:tab w:pos="705" w:val="left" w:leader="none"/>
        </w:tabs>
        <w:spacing w:line="235" w:lineRule="auto" w:before="1"/>
        <w:ind w:left="705" w:right="168" w:hanging="541"/>
        <w:jc w:val="left"/>
        <w:rPr>
          <w:rFonts w:ascii="Arial" w:hAnsi="Arial"/>
          <w:i/>
          <w:sz w:val="20"/>
        </w:rPr>
      </w:pPr>
      <w:bookmarkStart w:name="_bookmark1371" w:id="1373"/>
      <w:bookmarkEnd w:id="1373"/>
      <w:r>
        <w:rPr/>
      </w:r>
      <w:hyperlink w:history="true" w:anchor="_bookmark1171">
        <w:r>
          <w:rPr>
            <w:color w:val="005DA1"/>
            <w:spacing w:val="-4"/>
            <w:position w:val="5"/>
            <w:sz w:val="14"/>
            <w:u w:val="single" w:color="005DA1"/>
          </w:rPr>
          <w:t>638</w:t>
        </w:r>
      </w:hyperlink>
      <w:r>
        <w:rPr>
          <w:spacing w:val="-4"/>
          <w:position w:val="5"/>
          <w:sz w:val="14"/>
        </w:rPr>
        <w:t>.</w:t>
      </w:r>
      <w:r>
        <w:rPr>
          <w:position w:val="5"/>
          <w:sz w:val="14"/>
        </w:rPr>
        <w:tab/>
      </w:r>
      <w:r>
        <w:rPr>
          <w:sz w:val="20"/>
        </w:rPr>
        <w:t>Not</w:t>
      </w:r>
      <w:r>
        <w:rPr>
          <w:spacing w:val="-1"/>
          <w:sz w:val="20"/>
        </w:rPr>
        <w:t> </w:t>
      </w:r>
      <w:r>
        <w:rPr>
          <w:sz w:val="20"/>
        </w:rPr>
        <w:t>always:</w:t>
      </w:r>
      <w:r>
        <w:rPr>
          <w:spacing w:val="-1"/>
          <w:sz w:val="20"/>
        </w:rPr>
        <w:t> </w:t>
      </w:r>
      <w:r>
        <w:rPr>
          <w:sz w:val="20"/>
        </w:rPr>
        <w:t>see</w:t>
      </w:r>
      <w:r>
        <w:rPr>
          <w:spacing w:val="-1"/>
          <w:sz w:val="20"/>
        </w:rPr>
        <w:t> </w:t>
      </w:r>
      <w:r>
        <w:rPr>
          <w:rFonts w:ascii="Arial" w:hAnsi="Arial"/>
          <w:i/>
          <w:sz w:val="20"/>
        </w:rPr>
        <w:t>Storer</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Manchester</w:t>
      </w:r>
      <w:r>
        <w:rPr>
          <w:rFonts w:ascii="Arial" w:hAnsi="Arial"/>
          <w:i/>
          <w:spacing w:val="-1"/>
          <w:sz w:val="20"/>
        </w:rPr>
        <w:t> </w:t>
      </w:r>
      <w:r>
        <w:rPr>
          <w:rFonts w:ascii="Arial" w:hAnsi="Arial"/>
          <w:i/>
          <w:sz w:val="20"/>
        </w:rPr>
        <w:t>City</w:t>
      </w:r>
      <w:r>
        <w:rPr>
          <w:rFonts w:ascii="Arial" w:hAnsi="Arial"/>
          <w:i/>
          <w:spacing w:val="-1"/>
          <w:sz w:val="20"/>
        </w:rPr>
        <w:t> </w:t>
      </w:r>
      <w:r>
        <w:rPr>
          <w:rFonts w:ascii="Arial" w:hAnsi="Arial"/>
          <w:i/>
          <w:sz w:val="20"/>
        </w:rPr>
        <w:t>Council</w:t>
      </w:r>
      <w:r>
        <w:rPr>
          <w:rFonts w:ascii="Arial" w:hAnsi="Arial"/>
          <w:i/>
          <w:spacing w:val="-1"/>
          <w:sz w:val="20"/>
        </w:rPr>
        <w:t> </w:t>
      </w:r>
      <w:r>
        <w:rPr>
          <w:rFonts w:ascii="Arial" w:hAnsi="Arial"/>
          <w:i/>
          <w:sz w:val="20"/>
        </w:rPr>
        <w:t>[1974]</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w:t>
      </w:r>
      <w:r>
        <w:rPr>
          <w:rFonts w:ascii="Arial" w:hAnsi="Arial"/>
          <w:i/>
          <w:spacing w:val="-1"/>
          <w:sz w:val="20"/>
        </w:rPr>
        <w:t> </w:t>
      </w:r>
      <w:r>
        <w:rPr>
          <w:rFonts w:ascii="Arial" w:hAnsi="Arial"/>
          <w:i/>
          <w:sz w:val="20"/>
        </w:rPr>
        <w:t>1403</w:t>
      </w:r>
      <w:r>
        <w:rPr>
          <w:sz w:val="20"/>
        </w:rPr>
        <w:t>;</w:t>
      </w:r>
      <w:r>
        <w:rPr>
          <w:spacing w:val="-1"/>
          <w:sz w:val="20"/>
        </w:rPr>
        <w:t> </w:t>
      </w:r>
      <w:r>
        <w:rPr>
          <w:rFonts w:ascii="Arial" w:hAnsi="Arial"/>
          <w:i/>
          <w:sz w:val="20"/>
        </w:rPr>
        <w:t>Tweddell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Henderson [1975]</w:t>
      </w:r>
      <w:r>
        <w:rPr>
          <w:rFonts w:ascii="Arial" w:hAnsi="Arial"/>
          <w:i/>
          <w:spacing w:val="6"/>
          <w:sz w:val="20"/>
        </w:rPr>
        <w:t> </w:t>
      </w:r>
      <w:r>
        <w:rPr>
          <w:rFonts w:ascii="Arial" w:hAnsi="Arial"/>
          <w:i/>
          <w:sz w:val="20"/>
        </w:rPr>
        <w:t>1</w:t>
      </w:r>
      <w:r>
        <w:rPr>
          <w:rFonts w:ascii="Arial" w:hAnsi="Arial"/>
          <w:i/>
          <w:spacing w:val="7"/>
          <w:sz w:val="20"/>
        </w:rPr>
        <w:t> </w:t>
      </w:r>
      <w:r>
        <w:rPr>
          <w:rFonts w:ascii="Arial" w:hAnsi="Arial"/>
          <w:i/>
          <w:sz w:val="20"/>
        </w:rPr>
        <w:t>W.L.R.</w:t>
      </w:r>
      <w:r>
        <w:rPr>
          <w:rFonts w:ascii="Arial" w:hAnsi="Arial"/>
          <w:i/>
          <w:spacing w:val="7"/>
          <w:sz w:val="20"/>
        </w:rPr>
        <w:t> </w:t>
      </w:r>
      <w:r>
        <w:rPr>
          <w:rFonts w:ascii="Arial" w:hAnsi="Arial"/>
          <w:i/>
          <w:sz w:val="20"/>
        </w:rPr>
        <w:t>1496,</w:t>
      </w:r>
      <w:r>
        <w:rPr>
          <w:rFonts w:ascii="Arial" w:hAnsi="Arial"/>
          <w:i/>
          <w:spacing w:val="7"/>
          <w:sz w:val="20"/>
        </w:rPr>
        <w:t> </w:t>
      </w:r>
      <w:r>
        <w:rPr>
          <w:rFonts w:ascii="Arial" w:hAnsi="Arial"/>
          <w:i/>
          <w:sz w:val="20"/>
        </w:rPr>
        <w:t>1501–1502</w:t>
      </w:r>
      <w:r>
        <w:rPr>
          <w:sz w:val="20"/>
        </w:rPr>
        <w:t>;</w:t>
      </w:r>
      <w:r>
        <w:rPr>
          <w:spacing w:val="7"/>
          <w:sz w:val="20"/>
        </w:rPr>
        <w:t> </w:t>
      </w:r>
      <w:r>
        <w:rPr>
          <w:rFonts w:ascii="Arial" w:hAnsi="Arial"/>
          <w:i/>
          <w:sz w:val="20"/>
        </w:rPr>
        <w:t>Elias</w:t>
      </w:r>
      <w:r>
        <w:rPr>
          <w:rFonts w:ascii="Arial" w:hAnsi="Arial"/>
          <w:i/>
          <w:spacing w:val="7"/>
          <w:sz w:val="20"/>
        </w:rPr>
        <w:t> </w:t>
      </w:r>
      <w:r>
        <w:rPr>
          <w:rFonts w:ascii="Arial" w:hAnsi="Arial"/>
          <w:i/>
          <w:sz w:val="20"/>
        </w:rPr>
        <w:t>v</w:t>
      </w:r>
      <w:r>
        <w:rPr>
          <w:rFonts w:ascii="Arial" w:hAnsi="Arial"/>
          <w:i/>
          <w:spacing w:val="7"/>
          <w:sz w:val="20"/>
        </w:rPr>
        <w:t> </w:t>
      </w:r>
      <w:r>
        <w:rPr>
          <w:rFonts w:ascii="Arial" w:hAnsi="Arial"/>
          <w:i/>
          <w:sz w:val="20"/>
        </w:rPr>
        <w:t>Group</w:t>
      </w:r>
      <w:r>
        <w:rPr>
          <w:rFonts w:ascii="Arial" w:hAnsi="Arial"/>
          <w:i/>
          <w:spacing w:val="7"/>
          <w:sz w:val="20"/>
        </w:rPr>
        <w:t> </w:t>
      </w:r>
      <w:r>
        <w:rPr>
          <w:rFonts w:ascii="Arial" w:hAnsi="Arial"/>
          <w:i/>
          <w:sz w:val="20"/>
        </w:rPr>
        <w:t>Sahely</w:t>
      </w:r>
      <w:r>
        <w:rPr>
          <w:rFonts w:ascii="Arial" w:hAnsi="Arial"/>
          <w:i/>
          <w:spacing w:val="7"/>
          <w:sz w:val="20"/>
        </w:rPr>
        <w:t> </w:t>
      </w:r>
      <w:r>
        <w:rPr>
          <w:rFonts w:ascii="Arial" w:hAnsi="Arial"/>
          <w:i/>
          <w:sz w:val="20"/>
        </w:rPr>
        <w:t>&amp;</w:t>
      </w:r>
      <w:r>
        <w:rPr>
          <w:rFonts w:ascii="Arial" w:hAnsi="Arial"/>
          <w:i/>
          <w:spacing w:val="7"/>
          <w:sz w:val="20"/>
        </w:rPr>
        <w:t> </w:t>
      </w:r>
      <w:r>
        <w:rPr>
          <w:rFonts w:ascii="Arial" w:hAnsi="Arial"/>
          <w:i/>
          <w:sz w:val="20"/>
        </w:rPr>
        <w:t>Co</w:t>
      </w:r>
      <w:r>
        <w:rPr>
          <w:rFonts w:ascii="Arial" w:hAnsi="Arial"/>
          <w:i/>
          <w:spacing w:val="7"/>
          <w:sz w:val="20"/>
        </w:rPr>
        <w:t> </w:t>
      </w:r>
      <w:r>
        <w:rPr>
          <w:rFonts w:ascii="Arial" w:hAnsi="Arial"/>
          <w:i/>
          <w:sz w:val="20"/>
        </w:rPr>
        <w:t>(Barbados)</w:t>
      </w:r>
      <w:r>
        <w:rPr>
          <w:rFonts w:ascii="Arial" w:hAnsi="Arial"/>
          <w:i/>
          <w:spacing w:val="7"/>
          <w:sz w:val="20"/>
        </w:rPr>
        <w:t> </w:t>
      </w:r>
      <w:r>
        <w:rPr>
          <w:rFonts w:ascii="Arial" w:hAnsi="Arial"/>
          <w:i/>
          <w:sz w:val="20"/>
        </w:rPr>
        <w:t>Ltd</w:t>
      </w:r>
      <w:r>
        <w:rPr>
          <w:rFonts w:ascii="Arial" w:hAnsi="Arial"/>
          <w:i/>
          <w:spacing w:val="7"/>
          <w:sz w:val="20"/>
        </w:rPr>
        <w:t> </w:t>
      </w:r>
      <w:r>
        <w:rPr>
          <w:rFonts w:ascii="Arial" w:hAnsi="Arial"/>
          <w:i/>
          <w:sz w:val="20"/>
        </w:rPr>
        <w:t>[1982]</w:t>
      </w:r>
      <w:r>
        <w:rPr>
          <w:rFonts w:ascii="Arial" w:hAnsi="Arial"/>
          <w:i/>
          <w:spacing w:val="7"/>
          <w:sz w:val="20"/>
        </w:rPr>
        <w:t> </w:t>
      </w:r>
      <w:r>
        <w:rPr>
          <w:rFonts w:ascii="Arial" w:hAnsi="Arial"/>
          <w:i/>
          <w:sz w:val="20"/>
        </w:rPr>
        <w:t>3</w:t>
      </w:r>
      <w:r>
        <w:rPr>
          <w:rFonts w:ascii="Arial" w:hAnsi="Arial"/>
          <w:i/>
          <w:spacing w:val="7"/>
          <w:sz w:val="20"/>
        </w:rPr>
        <w:t> </w:t>
      </w:r>
      <w:r>
        <w:rPr>
          <w:rFonts w:ascii="Arial" w:hAnsi="Arial"/>
          <w:i/>
          <w:sz w:val="20"/>
        </w:rPr>
        <w:t>All</w:t>
      </w:r>
      <w:r>
        <w:rPr>
          <w:rFonts w:ascii="Arial" w:hAnsi="Arial"/>
          <w:i/>
          <w:spacing w:val="7"/>
          <w:sz w:val="20"/>
        </w:rPr>
        <w:t> </w:t>
      </w:r>
      <w:r>
        <w:rPr>
          <w:rFonts w:ascii="Arial" w:hAnsi="Arial"/>
          <w:i/>
          <w:spacing w:val="-4"/>
          <w:sz w:val="20"/>
        </w:rPr>
        <w:t>E.R.</w:t>
      </w:r>
    </w:p>
    <w:p>
      <w:pPr>
        <w:spacing w:line="225" w:lineRule="exact" w:before="0"/>
        <w:ind w:left="705" w:right="0" w:firstLine="0"/>
        <w:jc w:val="left"/>
        <w:rPr>
          <w:sz w:val="20"/>
        </w:rPr>
      </w:pPr>
      <w:r>
        <w:rPr>
          <w:rFonts w:ascii="Arial"/>
          <w:i/>
          <w:spacing w:val="-4"/>
          <w:sz w:val="20"/>
        </w:rPr>
        <w:t>801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372" w:id="1374"/>
      <w:bookmarkEnd w:id="1374"/>
      <w:r>
        <w:rPr/>
      </w:r>
      <w:hyperlink w:history="true" w:anchor="_bookmark1172">
        <w:r>
          <w:rPr>
            <w:color w:val="005DA1"/>
            <w:spacing w:val="-4"/>
            <w:position w:val="5"/>
            <w:sz w:val="14"/>
            <w:u w:val="single" w:color="005DA1"/>
          </w:rPr>
          <w:t>639</w:t>
        </w:r>
      </w:hyperlink>
      <w:r>
        <w:rPr>
          <w:spacing w:val="-4"/>
          <w:position w:val="5"/>
          <w:sz w:val="14"/>
        </w:rPr>
        <w:t>.</w:t>
      </w:r>
      <w:r>
        <w:rPr>
          <w:position w:val="5"/>
          <w:sz w:val="14"/>
        </w:rPr>
        <w:tab/>
      </w:r>
      <w:r>
        <w:rPr>
          <w:sz w:val="20"/>
        </w:rPr>
        <w:t>See below at </w:t>
      </w:r>
      <w:r>
        <w:rPr>
          <w:spacing w:val="-2"/>
          <w:sz w:val="20"/>
        </w:rPr>
        <w:t>n.636.</w:t>
      </w:r>
    </w:p>
    <w:p>
      <w:pPr>
        <w:pStyle w:val="BodyText"/>
        <w:spacing w:before="5"/>
      </w:pPr>
    </w:p>
    <w:p>
      <w:pPr>
        <w:tabs>
          <w:tab w:pos="705" w:val="left" w:leader="none"/>
        </w:tabs>
        <w:spacing w:before="0"/>
        <w:ind w:left="165" w:right="0" w:firstLine="0"/>
        <w:jc w:val="left"/>
        <w:rPr>
          <w:sz w:val="20"/>
        </w:rPr>
      </w:pPr>
      <w:bookmarkStart w:name="_bookmark1373" w:id="1375"/>
      <w:bookmarkEnd w:id="1375"/>
      <w:r>
        <w:rPr/>
      </w:r>
      <w:hyperlink w:history="true" w:anchor="_bookmark1173">
        <w:r>
          <w:rPr>
            <w:color w:val="005DA1"/>
            <w:spacing w:val="-4"/>
            <w:position w:val="5"/>
            <w:sz w:val="14"/>
            <w:u w:val="single" w:color="005DA1"/>
          </w:rPr>
          <w:t>640</w:t>
        </w:r>
      </w:hyperlink>
      <w:r>
        <w:rPr>
          <w:spacing w:val="-4"/>
          <w:position w:val="5"/>
          <w:sz w:val="14"/>
        </w:rPr>
        <w:t>.</w:t>
      </w:r>
      <w:r>
        <w:rPr>
          <w:position w:val="5"/>
          <w:sz w:val="14"/>
        </w:rPr>
        <w:tab/>
      </w:r>
      <w:r>
        <w:rPr>
          <w:rFonts w:ascii="Arial" w:hAnsi="Arial"/>
          <w:i/>
          <w:sz w:val="20"/>
        </w:rPr>
        <w:t>(1877)</w:t>
      </w:r>
      <w:r>
        <w:rPr>
          <w:rFonts w:ascii="Arial" w:hAnsi="Arial"/>
          <w:i/>
          <w:spacing w:val="-1"/>
          <w:sz w:val="20"/>
        </w:rPr>
        <w:t> </w:t>
      </w:r>
      <w:r>
        <w:rPr>
          <w:rFonts w:ascii="Arial" w:hAnsi="Arial"/>
          <w:i/>
          <w:sz w:val="20"/>
        </w:rPr>
        <w:t>7 Ch. D. 29</w:t>
      </w:r>
      <w:r>
        <w:rPr>
          <w:sz w:val="20"/>
        </w:rPr>
        <w:t>. See also</w:t>
      </w:r>
      <w:r>
        <w:rPr>
          <w:spacing w:val="-1"/>
          <w:sz w:val="20"/>
        </w:rPr>
        <w:t> </w:t>
      </w:r>
      <w:r>
        <w:rPr>
          <w:rFonts w:ascii="Arial" w:hAnsi="Arial"/>
          <w:i/>
          <w:sz w:val="20"/>
        </w:rPr>
        <w:t>Santa Fé Land Co v Forestal Land Co (1910) 26 T.L.R. </w:t>
      </w:r>
      <w:r>
        <w:rPr>
          <w:rFonts w:ascii="Arial" w:hAnsi="Arial"/>
          <w:i/>
          <w:spacing w:val="-4"/>
          <w:sz w:val="20"/>
        </w:rPr>
        <w:t>534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374" w:id="1376"/>
      <w:bookmarkEnd w:id="1376"/>
      <w:r>
        <w:rPr/>
      </w:r>
      <w:hyperlink w:history="true" w:anchor="_bookmark1174">
        <w:r>
          <w:rPr>
            <w:color w:val="005DA1"/>
            <w:spacing w:val="-4"/>
            <w:position w:val="5"/>
            <w:sz w:val="14"/>
            <w:u w:val="single" w:color="005DA1"/>
          </w:rPr>
          <w:t>641</w:t>
        </w:r>
      </w:hyperlink>
      <w:r>
        <w:rPr>
          <w:spacing w:val="-4"/>
          <w:position w:val="5"/>
          <w:sz w:val="14"/>
        </w:rPr>
        <w:t>.</w:t>
      </w:r>
      <w:r>
        <w:rPr>
          <w:position w:val="5"/>
          <w:sz w:val="14"/>
        </w:rPr>
        <w:tab/>
      </w:r>
      <w:r>
        <w:rPr>
          <w:rFonts w:ascii="Arial"/>
          <w:i/>
          <w:sz w:val="20"/>
        </w:rPr>
        <w:t>(1877) 7 Ch. D. 29, </w:t>
      </w:r>
      <w:r>
        <w:rPr>
          <w:rFonts w:ascii="Arial"/>
          <w:i/>
          <w:spacing w:val="-5"/>
          <w:sz w:val="20"/>
        </w:rPr>
        <w:t>32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375" w:id="1377"/>
      <w:bookmarkEnd w:id="1377"/>
      <w:r>
        <w:rPr/>
      </w:r>
      <w:hyperlink w:history="true" w:anchor="_bookmark1175">
        <w:r>
          <w:rPr>
            <w:color w:val="005DA1"/>
            <w:spacing w:val="-4"/>
            <w:position w:val="5"/>
            <w:sz w:val="14"/>
            <w:u w:val="single" w:color="005DA1"/>
          </w:rPr>
          <w:t>642</w:t>
        </w:r>
      </w:hyperlink>
      <w:r>
        <w:rPr>
          <w:spacing w:val="-4"/>
          <w:position w:val="5"/>
          <w:sz w:val="14"/>
        </w:rPr>
        <w:t>.</w:t>
      </w:r>
      <w:r>
        <w:rPr>
          <w:position w:val="5"/>
          <w:sz w:val="14"/>
        </w:rPr>
        <w:tab/>
      </w:r>
      <w:r>
        <w:rPr>
          <w:rFonts w:ascii="Arial"/>
          <w:i/>
          <w:sz w:val="20"/>
        </w:rPr>
        <w:t>Chillingworth v Esche [1924] 1 Ch. </w:t>
      </w:r>
      <w:r>
        <w:rPr>
          <w:rFonts w:ascii="Arial"/>
          <w:i/>
          <w:spacing w:val="-5"/>
          <w:sz w:val="20"/>
        </w:rPr>
        <w:t>97</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376" w:id="1378"/>
      <w:bookmarkEnd w:id="1378"/>
      <w:r>
        <w:rPr/>
      </w:r>
      <w:hyperlink w:history="true" w:anchor="_bookmark1176">
        <w:r>
          <w:rPr>
            <w:color w:val="005DA1"/>
            <w:spacing w:val="-4"/>
            <w:position w:val="5"/>
            <w:sz w:val="14"/>
            <w:u w:val="single" w:color="005DA1"/>
          </w:rPr>
          <w:t>643</w:t>
        </w:r>
      </w:hyperlink>
      <w:r>
        <w:rPr>
          <w:spacing w:val="-4"/>
          <w:position w:val="5"/>
          <w:sz w:val="14"/>
        </w:rPr>
        <w:t>.</w:t>
      </w:r>
      <w:r>
        <w:rPr>
          <w:position w:val="5"/>
          <w:sz w:val="14"/>
        </w:rPr>
        <w:tab/>
      </w:r>
      <w:r>
        <w:rPr>
          <w:rFonts w:ascii="Arial"/>
          <w:i/>
          <w:sz w:val="20"/>
        </w:rPr>
        <w:t>Lockett v Norman-Wright [1925] Ch. </w:t>
      </w:r>
      <w:r>
        <w:rPr>
          <w:rFonts w:ascii="Arial"/>
          <w:i/>
          <w:spacing w:val="-5"/>
          <w:sz w:val="20"/>
        </w:rPr>
        <w:t>56</w:t>
      </w:r>
      <w:r>
        <w:rPr>
          <w:spacing w:val="-5"/>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377" w:id="1379"/>
      <w:bookmarkEnd w:id="1379"/>
      <w:r>
        <w:rPr/>
      </w:r>
      <w:hyperlink w:history="true" w:anchor="_bookmark1177">
        <w:r>
          <w:rPr>
            <w:color w:val="005DA1"/>
            <w:spacing w:val="-4"/>
            <w:position w:val="5"/>
            <w:sz w:val="14"/>
            <w:u w:val="single" w:color="005DA1"/>
          </w:rPr>
          <w:t>644</w:t>
        </w:r>
      </w:hyperlink>
      <w:r>
        <w:rPr>
          <w:spacing w:val="-4"/>
          <w:position w:val="5"/>
          <w:sz w:val="14"/>
        </w:rPr>
        <w:t>.</w:t>
      </w:r>
      <w:r>
        <w:rPr>
          <w:position w:val="5"/>
          <w:sz w:val="14"/>
        </w:rPr>
        <w:tab/>
      </w:r>
      <w:r>
        <w:rPr>
          <w:rFonts w:ascii="Arial"/>
          <w:i/>
          <w:sz w:val="20"/>
        </w:rPr>
        <w:t>Raingold</w:t>
      </w:r>
      <w:r>
        <w:rPr>
          <w:rFonts w:ascii="Arial"/>
          <w:i/>
          <w:spacing w:val="39"/>
          <w:sz w:val="20"/>
        </w:rPr>
        <w:t> </w:t>
      </w:r>
      <w:r>
        <w:rPr>
          <w:rFonts w:ascii="Arial"/>
          <w:i/>
          <w:sz w:val="20"/>
        </w:rPr>
        <w:t>v</w:t>
      </w:r>
      <w:r>
        <w:rPr>
          <w:rFonts w:ascii="Arial"/>
          <w:i/>
          <w:spacing w:val="39"/>
          <w:sz w:val="20"/>
        </w:rPr>
        <w:t> </w:t>
      </w:r>
      <w:r>
        <w:rPr>
          <w:rFonts w:ascii="Arial"/>
          <w:i/>
          <w:sz w:val="20"/>
        </w:rPr>
        <w:t>Bromley</w:t>
      </w:r>
      <w:r>
        <w:rPr>
          <w:rFonts w:ascii="Arial"/>
          <w:i/>
          <w:spacing w:val="39"/>
          <w:sz w:val="20"/>
        </w:rPr>
        <w:t> </w:t>
      </w:r>
      <w:r>
        <w:rPr>
          <w:rFonts w:ascii="Arial"/>
          <w:i/>
          <w:sz w:val="20"/>
        </w:rPr>
        <w:t>[1931]</w:t>
      </w:r>
      <w:r>
        <w:rPr>
          <w:rFonts w:ascii="Arial"/>
          <w:i/>
          <w:spacing w:val="39"/>
          <w:sz w:val="20"/>
        </w:rPr>
        <w:t> </w:t>
      </w:r>
      <w:r>
        <w:rPr>
          <w:rFonts w:ascii="Arial"/>
          <w:i/>
          <w:sz w:val="20"/>
        </w:rPr>
        <w:t>2</w:t>
      </w:r>
      <w:r>
        <w:rPr>
          <w:rFonts w:ascii="Arial"/>
          <w:i/>
          <w:spacing w:val="39"/>
          <w:sz w:val="20"/>
        </w:rPr>
        <w:t> </w:t>
      </w:r>
      <w:r>
        <w:rPr>
          <w:rFonts w:ascii="Arial"/>
          <w:i/>
          <w:sz w:val="20"/>
        </w:rPr>
        <w:t>Ch.</w:t>
      </w:r>
      <w:r>
        <w:rPr>
          <w:rFonts w:ascii="Arial"/>
          <w:i/>
          <w:spacing w:val="39"/>
          <w:sz w:val="20"/>
        </w:rPr>
        <w:t> </w:t>
      </w:r>
      <w:r>
        <w:rPr>
          <w:rFonts w:ascii="Arial"/>
          <w:i/>
          <w:sz w:val="20"/>
        </w:rPr>
        <w:t>307</w:t>
      </w:r>
      <w:r>
        <w:rPr>
          <w:sz w:val="20"/>
        </w:rPr>
        <w:t>.</w:t>
      </w:r>
      <w:r>
        <w:rPr>
          <w:spacing w:val="39"/>
          <w:sz w:val="20"/>
        </w:rPr>
        <w:t> </w:t>
      </w:r>
      <w:r>
        <w:rPr>
          <w:sz w:val="20"/>
        </w:rPr>
        <w:t>See</w:t>
      </w:r>
      <w:r>
        <w:rPr>
          <w:spacing w:val="39"/>
          <w:sz w:val="20"/>
        </w:rPr>
        <w:t> </w:t>
      </w:r>
      <w:r>
        <w:rPr>
          <w:sz w:val="20"/>
        </w:rPr>
        <w:t>also</w:t>
      </w:r>
      <w:r>
        <w:rPr>
          <w:spacing w:val="39"/>
          <w:sz w:val="20"/>
        </w:rPr>
        <w:t> </w:t>
      </w:r>
      <w:r>
        <w:rPr>
          <w:rFonts w:ascii="Arial"/>
          <w:i/>
          <w:sz w:val="20"/>
        </w:rPr>
        <w:t>Berry</w:t>
      </w:r>
      <w:r>
        <w:rPr>
          <w:rFonts w:ascii="Arial"/>
          <w:i/>
          <w:spacing w:val="39"/>
          <w:sz w:val="20"/>
        </w:rPr>
        <w:t> </w:t>
      </w:r>
      <w:r>
        <w:rPr>
          <w:rFonts w:ascii="Arial"/>
          <w:i/>
          <w:sz w:val="20"/>
        </w:rPr>
        <w:t>Ltd</w:t>
      </w:r>
      <w:r>
        <w:rPr>
          <w:rFonts w:ascii="Arial"/>
          <w:i/>
          <w:spacing w:val="39"/>
          <w:sz w:val="20"/>
        </w:rPr>
        <w:t> </w:t>
      </w:r>
      <w:r>
        <w:rPr>
          <w:rFonts w:ascii="Arial"/>
          <w:i/>
          <w:sz w:val="20"/>
        </w:rPr>
        <w:t>v</w:t>
      </w:r>
      <w:r>
        <w:rPr>
          <w:rFonts w:ascii="Arial"/>
          <w:i/>
          <w:spacing w:val="39"/>
          <w:sz w:val="20"/>
        </w:rPr>
        <w:t> </w:t>
      </w:r>
      <w:r>
        <w:rPr>
          <w:rFonts w:ascii="Arial"/>
          <w:i/>
          <w:sz w:val="20"/>
        </w:rPr>
        <w:t>Brighton</w:t>
      </w:r>
      <w:r>
        <w:rPr>
          <w:rFonts w:ascii="Arial"/>
          <w:i/>
          <w:spacing w:val="39"/>
          <w:sz w:val="20"/>
        </w:rPr>
        <w:t> </w:t>
      </w:r>
      <w:r>
        <w:rPr>
          <w:rFonts w:ascii="Arial"/>
          <w:i/>
          <w:sz w:val="20"/>
        </w:rPr>
        <w:t>and</w:t>
      </w:r>
      <w:r>
        <w:rPr>
          <w:rFonts w:ascii="Arial"/>
          <w:i/>
          <w:spacing w:val="39"/>
          <w:sz w:val="20"/>
        </w:rPr>
        <w:t> </w:t>
      </w:r>
      <w:r>
        <w:rPr>
          <w:rFonts w:ascii="Arial"/>
          <w:i/>
          <w:sz w:val="20"/>
        </w:rPr>
        <w:t>Sussex</w:t>
      </w:r>
      <w:r>
        <w:rPr>
          <w:rFonts w:ascii="Arial"/>
          <w:i/>
          <w:spacing w:val="39"/>
          <w:sz w:val="20"/>
        </w:rPr>
        <w:t> </w:t>
      </w:r>
      <w:r>
        <w:rPr>
          <w:rFonts w:ascii="Arial"/>
          <w:i/>
          <w:sz w:val="20"/>
        </w:rPr>
        <w:t>Building Society [1939] 3 All E.R. 217</w:t>
      </w:r>
      <w:r>
        <w:rPr>
          <w:sz w:val="20"/>
        </w:rPr>
        <w:t>.</w:t>
      </w:r>
    </w:p>
    <w:p>
      <w:pPr>
        <w:pStyle w:val="BodyText"/>
        <w:spacing w:before="5"/>
      </w:pPr>
    </w:p>
    <w:p>
      <w:pPr>
        <w:tabs>
          <w:tab w:pos="705" w:val="left" w:leader="none"/>
        </w:tabs>
        <w:spacing w:before="0"/>
        <w:ind w:left="165" w:right="0" w:firstLine="0"/>
        <w:jc w:val="left"/>
        <w:rPr>
          <w:sz w:val="20"/>
        </w:rPr>
      </w:pPr>
      <w:bookmarkStart w:name="_bookmark1378" w:id="1380"/>
      <w:bookmarkEnd w:id="1380"/>
      <w:r>
        <w:rPr/>
      </w:r>
      <w:hyperlink w:history="true" w:anchor="_bookmark1178">
        <w:r>
          <w:rPr>
            <w:color w:val="005DA1"/>
            <w:spacing w:val="-4"/>
            <w:position w:val="5"/>
            <w:sz w:val="14"/>
            <w:u w:val="single" w:color="005DA1"/>
          </w:rPr>
          <w:t>645</w:t>
        </w:r>
      </w:hyperlink>
      <w:r>
        <w:rPr>
          <w:spacing w:val="-4"/>
          <w:position w:val="5"/>
          <w:sz w:val="14"/>
        </w:rPr>
        <w:t>.</w:t>
      </w:r>
      <w:r>
        <w:rPr>
          <w:position w:val="5"/>
          <w:sz w:val="14"/>
        </w:rPr>
        <w:tab/>
      </w:r>
      <w:r>
        <w:rPr>
          <w:rFonts w:ascii="Arial"/>
          <w:i/>
          <w:sz w:val="20"/>
        </w:rPr>
        <w:t>Riley v Troll [1953] 1 All E.R. </w:t>
      </w:r>
      <w:r>
        <w:rPr>
          <w:rFonts w:ascii="Arial"/>
          <w:i/>
          <w:spacing w:val="-4"/>
          <w:sz w:val="20"/>
        </w:rPr>
        <w:t>966</w:t>
      </w:r>
      <w:r>
        <w:rPr>
          <w:spacing w:val="-4"/>
          <w:sz w:val="20"/>
        </w:rPr>
        <w:t>.</w:t>
      </w:r>
    </w:p>
    <w:p>
      <w:pPr>
        <w:pStyle w:val="BodyText"/>
        <w:spacing w:before="9"/>
      </w:pPr>
    </w:p>
    <w:p>
      <w:pPr>
        <w:spacing w:line="235" w:lineRule="auto" w:before="0"/>
        <w:ind w:left="705" w:right="168" w:hanging="541"/>
        <w:jc w:val="both"/>
        <w:rPr>
          <w:rFonts w:ascii="Arial" w:hAnsi="Arial"/>
          <w:i/>
          <w:sz w:val="20"/>
        </w:rPr>
      </w:pPr>
      <w:bookmarkStart w:name="_bookmark1379" w:id="1381"/>
      <w:bookmarkEnd w:id="1381"/>
      <w:r>
        <w:rPr/>
      </w:r>
      <w:hyperlink w:history="true" w:anchor="_bookmark1179">
        <w:r>
          <w:rPr>
            <w:color w:val="005DA1"/>
            <w:position w:val="5"/>
            <w:sz w:val="14"/>
            <w:u w:val="single" w:color="005DA1"/>
          </w:rPr>
          <w:t>646</w:t>
        </w:r>
      </w:hyperlink>
      <w:r>
        <w:rPr>
          <w:position w:val="5"/>
          <w:sz w:val="14"/>
        </w:rPr>
        <w:t>.</w:t>
      </w:r>
      <w:r>
        <w:rPr>
          <w:spacing w:val="80"/>
          <w:position w:val="5"/>
          <w:sz w:val="14"/>
        </w:rPr>
        <w:t>  </w:t>
      </w:r>
      <w:r>
        <w:rPr>
          <w:sz w:val="20"/>
        </w:rPr>
        <w:t>See also </w:t>
      </w:r>
      <w:r>
        <w:rPr>
          <w:rFonts w:ascii="Arial" w:hAnsi="Arial"/>
          <w:i/>
          <w:sz w:val="20"/>
        </w:rPr>
        <w:t>Kingston-upon-Hull (Governors) v Petch (1854) 10 Ex. 610</w:t>
      </w:r>
      <w:r>
        <w:rPr>
          <w:sz w:val="20"/>
        </w:rPr>
        <w:t>; </w:t>
      </w:r>
      <w:r>
        <w:rPr>
          <w:rFonts w:ascii="Arial" w:hAnsi="Arial"/>
          <w:i/>
          <w:sz w:val="20"/>
        </w:rPr>
        <w:t>Chinnock v </w:t>
      </w:r>
      <w:r>
        <w:rPr>
          <w:rFonts w:ascii="Arial" w:hAnsi="Arial"/>
          <w:i/>
          <w:sz w:val="20"/>
        </w:rPr>
        <w:t>Marchioness</w:t>
      </w:r>
      <w:r>
        <w:rPr>
          <w:rFonts w:ascii="Arial" w:hAnsi="Arial"/>
          <w:i/>
          <w:spacing w:val="40"/>
          <w:sz w:val="20"/>
        </w:rPr>
        <w:t> </w:t>
      </w:r>
      <w:r>
        <w:rPr>
          <w:rFonts w:ascii="Arial" w:hAnsi="Arial"/>
          <w:i/>
          <w:sz w:val="20"/>
        </w:rPr>
        <w:t>of</w:t>
      </w:r>
      <w:r>
        <w:rPr>
          <w:rFonts w:ascii="Arial" w:hAnsi="Arial"/>
          <w:i/>
          <w:spacing w:val="44"/>
          <w:sz w:val="20"/>
        </w:rPr>
        <w:t> </w:t>
      </w:r>
      <w:r>
        <w:rPr>
          <w:rFonts w:ascii="Arial" w:hAnsi="Arial"/>
          <w:i/>
          <w:sz w:val="20"/>
        </w:rPr>
        <w:t>Ely</w:t>
      </w:r>
      <w:r>
        <w:rPr>
          <w:rFonts w:ascii="Arial" w:hAnsi="Arial"/>
          <w:i/>
          <w:spacing w:val="45"/>
          <w:sz w:val="20"/>
        </w:rPr>
        <w:t> </w:t>
      </w:r>
      <w:r>
        <w:rPr>
          <w:rFonts w:ascii="Arial" w:hAnsi="Arial"/>
          <w:i/>
          <w:sz w:val="20"/>
        </w:rPr>
        <w:t>(1865)</w:t>
      </w:r>
      <w:r>
        <w:rPr>
          <w:rFonts w:ascii="Arial" w:hAnsi="Arial"/>
          <w:i/>
          <w:spacing w:val="45"/>
          <w:sz w:val="20"/>
        </w:rPr>
        <w:t> </w:t>
      </w:r>
      <w:r>
        <w:rPr>
          <w:rFonts w:ascii="Arial" w:hAnsi="Arial"/>
          <w:i/>
          <w:sz w:val="20"/>
        </w:rPr>
        <w:t>4</w:t>
      </w:r>
      <w:r>
        <w:rPr>
          <w:rFonts w:ascii="Arial" w:hAnsi="Arial"/>
          <w:i/>
          <w:spacing w:val="45"/>
          <w:sz w:val="20"/>
        </w:rPr>
        <w:t> </w:t>
      </w:r>
      <w:r>
        <w:rPr>
          <w:rFonts w:ascii="Arial" w:hAnsi="Arial"/>
          <w:i/>
          <w:sz w:val="20"/>
        </w:rPr>
        <w:t>De</w:t>
      </w:r>
      <w:r>
        <w:rPr>
          <w:rFonts w:ascii="Arial" w:hAnsi="Arial"/>
          <w:i/>
          <w:spacing w:val="45"/>
          <w:sz w:val="20"/>
        </w:rPr>
        <w:t> </w:t>
      </w:r>
      <w:r>
        <w:rPr>
          <w:rFonts w:ascii="Arial" w:hAnsi="Arial"/>
          <w:i/>
          <w:sz w:val="20"/>
        </w:rPr>
        <w:t>G.J.</w:t>
      </w:r>
      <w:r>
        <w:rPr>
          <w:rFonts w:ascii="Arial" w:hAnsi="Arial"/>
          <w:i/>
          <w:spacing w:val="45"/>
          <w:sz w:val="20"/>
        </w:rPr>
        <w:t> </w:t>
      </w:r>
      <w:r>
        <w:rPr>
          <w:rFonts w:ascii="Arial" w:hAnsi="Arial"/>
          <w:i/>
          <w:sz w:val="20"/>
        </w:rPr>
        <w:t>&amp;</w:t>
      </w:r>
      <w:r>
        <w:rPr>
          <w:rFonts w:ascii="Arial" w:hAnsi="Arial"/>
          <w:i/>
          <w:spacing w:val="45"/>
          <w:sz w:val="20"/>
        </w:rPr>
        <w:t> </w:t>
      </w:r>
      <w:r>
        <w:rPr>
          <w:rFonts w:ascii="Arial" w:hAnsi="Arial"/>
          <w:i/>
          <w:sz w:val="20"/>
        </w:rPr>
        <w:t>S.</w:t>
      </w:r>
      <w:r>
        <w:rPr>
          <w:rFonts w:ascii="Arial" w:hAnsi="Arial"/>
          <w:i/>
          <w:spacing w:val="45"/>
          <w:sz w:val="20"/>
        </w:rPr>
        <w:t> </w:t>
      </w:r>
      <w:r>
        <w:rPr>
          <w:rFonts w:ascii="Arial" w:hAnsi="Arial"/>
          <w:i/>
          <w:sz w:val="20"/>
        </w:rPr>
        <w:t>638</w:t>
      </w:r>
      <w:r>
        <w:rPr>
          <w:sz w:val="20"/>
        </w:rPr>
        <w:t>;</w:t>
      </w:r>
      <w:r>
        <w:rPr>
          <w:spacing w:val="45"/>
          <w:sz w:val="20"/>
        </w:rPr>
        <w:t> </w:t>
      </w:r>
      <w:r>
        <w:rPr>
          <w:rFonts w:ascii="Arial" w:hAnsi="Arial"/>
          <w:i/>
          <w:sz w:val="20"/>
        </w:rPr>
        <w:t>Harvey</w:t>
      </w:r>
      <w:r>
        <w:rPr>
          <w:rFonts w:ascii="Arial" w:hAnsi="Arial"/>
          <w:i/>
          <w:spacing w:val="44"/>
          <w:sz w:val="20"/>
        </w:rPr>
        <w:t> </w:t>
      </w:r>
      <w:r>
        <w:rPr>
          <w:rFonts w:ascii="Arial" w:hAnsi="Arial"/>
          <w:i/>
          <w:sz w:val="20"/>
        </w:rPr>
        <w:t>v</w:t>
      </w:r>
      <w:r>
        <w:rPr>
          <w:rFonts w:ascii="Arial" w:hAnsi="Arial"/>
          <w:i/>
          <w:spacing w:val="45"/>
          <w:sz w:val="20"/>
        </w:rPr>
        <w:t> </w:t>
      </w:r>
      <w:r>
        <w:rPr>
          <w:rFonts w:ascii="Arial" w:hAnsi="Arial"/>
          <w:i/>
          <w:sz w:val="20"/>
        </w:rPr>
        <w:t>Barnard’s</w:t>
      </w:r>
      <w:r>
        <w:rPr>
          <w:rFonts w:ascii="Arial" w:hAnsi="Arial"/>
          <w:i/>
          <w:spacing w:val="45"/>
          <w:sz w:val="20"/>
        </w:rPr>
        <w:t> </w:t>
      </w:r>
      <w:r>
        <w:rPr>
          <w:rFonts w:ascii="Arial" w:hAnsi="Arial"/>
          <w:i/>
          <w:sz w:val="20"/>
        </w:rPr>
        <w:t>Inn</w:t>
      </w:r>
      <w:r>
        <w:rPr>
          <w:rFonts w:ascii="Arial" w:hAnsi="Arial"/>
          <w:i/>
          <w:spacing w:val="45"/>
          <w:sz w:val="20"/>
        </w:rPr>
        <w:t> </w:t>
      </w:r>
      <w:r>
        <w:rPr>
          <w:rFonts w:ascii="Arial" w:hAnsi="Arial"/>
          <w:i/>
          <w:sz w:val="20"/>
        </w:rPr>
        <w:t>(1881)</w:t>
      </w:r>
      <w:r>
        <w:rPr>
          <w:rFonts w:ascii="Arial" w:hAnsi="Arial"/>
          <w:i/>
          <w:spacing w:val="45"/>
          <w:sz w:val="20"/>
        </w:rPr>
        <w:t> </w:t>
      </w:r>
      <w:r>
        <w:rPr>
          <w:rFonts w:ascii="Arial" w:hAnsi="Arial"/>
          <w:i/>
          <w:sz w:val="20"/>
        </w:rPr>
        <w:t>50</w:t>
      </w:r>
      <w:r>
        <w:rPr>
          <w:rFonts w:ascii="Arial" w:hAnsi="Arial"/>
          <w:i/>
          <w:spacing w:val="45"/>
          <w:sz w:val="20"/>
        </w:rPr>
        <w:t> </w:t>
      </w:r>
      <w:r>
        <w:rPr>
          <w:rFonts w:ascii="Arial" w:hAnsi="Arial"/>
          <w:i/>
          <w:sz w:val="20"/>
        </w:rPr>
        <w:t>L.J.Ch.</w:t>
      </w:r>
      <w:r>
        <w:rPr>
          <w:rFonts w:ascii="Arial" w:hAnsi="Arial"/>
          <w:i/>
          <w:spacing w:val="45"/>
          <w:sz w:val="20"/>
        </w:rPr>
        <w:t> </w:t>
      </w:r>
      <w:r>
        <w:rPr>
          <w:rFonts w:ascii="Arial" w:hAnsi="Arial"/>
          <w:i/>
          <w:sz w:val="20"/>
        </w:rPr>
        <w:t>750</w:t>
      </w:r>
      <w:r>
        <w:rPr>
          <w:sz w:val="20"/>
        </w:rPr>
        <w:t>;</w:t>
      </w:r>
      <w:r>
        <w:rPr>
          <w:spacing w:val="45"/>
          <w:sz w:val="20"/>
        </w:rPr>
        <w:t> </w:t>
      </w:r>
      <w:r>
        <w:rPr>
          <w:rFonts w:ascii="Arial" w:hAnsi="Arial"/>
          <w:i/>
          <w:sz w:val="20"/>
        </w:rPr>
        <w:t>May</w:t>
      </w:r>
      <w:r>
        <w:rPr>
          <w:rFonts w:ascii="Arial" w:hAnsi="Arial"/>
          <w:i/>
          <w:spacing w:val="45"/>
          <w:sz w:val="20"/>
        </w:rPr>
        <w:t> </w:t>
      </w:r>
      <w:r>
        <w:rPr>
          <w:rFonts w:ascii="Arial" w:hAnsi="Arial"/>
          <w:i/>
          <w:spacing w:val="-10"/>
          <w:sz w:val="20"/>
        </w:rPr>
        <w:t>v</w:t>
      </w:r>
    </w:p>
    <w:p>
      <w:pPr>
        <w:spacing w:line="223" w:lineRule="exact" w:before="0"/>
        <w:ind w:left="705" w:right="0" w:firstLine="0"/>
        <w:jc w:val="both"/>
        <w:rPr>
          <w:rFonts w:ascii="Arial"/>
          <w:i/>
          <w:sz w:val="20"/>
        </w:rPr>
      </w:pPr>
      <w:r>
        <w:rPr>
          <w:rFonts w:ascii="Arial"/>
          <w:i/>
          <w:sz w:val="20"/>
        </w:rPr>
        <w:t>Thomson</w:t>
      </w:r>
      <w:r>
        <w:rPr>
          <w:rFonts w:ascii="Arial"/>
          <w:i/>
          <w:spacing w:val="79"/>
          <w:sz w:val="20"/>
        </w:rPr>
        <w:t> </w:t>
      </w:r>
      <w:r>
        <w:rPr>
          <w:rFonts w:ascii="Arial"/>
          <w:i/>
          <w:sz w:val="20"/>
        </w:rPr>
        <w:t>(1882)</w:t>
      </w:r>
      <w:r>
        <w:rPr>
          <w:rFonts w:ascii="Arial"/>
          <w:i/>
          <w:spacing w:val="52"/>
          <w:w w:val="150"/>
          <w:sz w:val="20"/>
        </w:rPr>
        <w:t> </w:t>
      </w:r>
      <w:r>
        <w:rPr>
          <w:rFonts w:ascii="Arial"/>
          <w:i/>
          <w:sz w:val="20"/>
        </w:rPr>
        <w:t>20</w:t>
      </w:r>
      <w:r>
        <w:rPr>
          <w:rFonts w:ascii="Arial"/>
          <w:i/>
          <w:spacing w:val="52"/>
          <w:w w:val="150"/>
          <w:sz w:val="20"/>
        </w:rPr>
        <w:t> </w:t>
      </w:r>
      <w:r>
        <w:rPr>
          <w:rFonts w:ascii="Arial"/>
          <w:i/>
          <w:sz w:val="20"/>
        </w:rPr>
        <w:t>Ch.</w:t>
      </w:r>
      <w:r>
        <w:rPr>
          <w:rFonts w:ascii="Arial"/>
          <w:i/>
          <w:spacing w:val="53"/>
          <w:w w:val="150"/>
          <w:sz w:val="20"/>
        </w:rPr>
        <w:t> </w:t>
      </w:r>
      <w:r>
        <w:rPr>
          <w:rFonts w:ascii="Arial"/>
          <w:i/>
          <w:sz w:val="20"/>
        </w:rPr>
        <w:t>D.</w:t>
      </w:r>
      <w:r>
        <w:rPr>
          <w:rFonts w:ascii="Arial"/>
          <w:i/>
          <w:spacing w:val="79"/>
          <w:sz w:val="20"/>
        </w:rPr>
        <w:t> </w:t>
      </w:r>
      <w:r>
        <w:rPr>
          <w:rFonts w:ascii="Arial"/>
          <w:i/>
          <w:sz w:val="20"/>
        </w:rPr>
        <w:t>705</w:t>
      </w:r>
      <w:r>
        <w:rPr>
          <w:sz w:val="20"/>
        </w:rPr>
        <w:t>;</w:t>
      </w:r>
      <w:r>
        <w:rPr>
          <w:spacing w:val="52"/>
          <w:w w:val="150"/>
          <w:sz w:val="20"/>
        </w:rPr>
        <w:t> </w:t>
      </w:r>
      <w:r>
        <w:rPr>
          <w:rFonts w:ascii="Arial"/>
          <w:i/>
          <w:sz w:val="20"/>
        </w:rPr>
        <w:t>Hawkesworth</w:t>
      </w:r>
      <w:r>
        <w:rPr>
          <w:rFonts w:ascii="Arial"/>
          <w:i/>
          <w:spacing w:val="53"/>
          <w:w w:val="150"/>
          <w:sz w:val="20"/>
        </w:rPr>
        <w:t> </w:t>
      </w:r>
      <w:r>
        <w:rPr>
          <w:rFonts w:ascii="Arial"/>
          <w:i/>
          <w:sz w:val="20"/>
        </w:rPr>
        <w:t>v</w:t>
      </w:r>
      <w:r>
        <w:rPr>
          <w:rFonts w:ascii="Arial"/>
          <w:i/>
          <w:spacing w:val="79"/>
          <w:sz w:val="20"/>
        </w:rPr>
        <w:t> </w:t>
      </w:r>
      <w:r>
        <w:rPr>
          <w:rFonts w:ascii="Arial"/>
          <w:i/>
          <w:sz w:val="20"/>
        </w:rPr>
        <w:t>Chaffey</w:t>
      </w:r>
      <w:r>
        <w:rPr>
          <w:rFonts w:ascii="Arial"/>
          <w:i/>
          <w:spacing w:val="52"/>
          <w:w w:val="150"/>
          <w:sz w:val="20"/>
        </w:rPr>
        <w:t> </w:t>
      </w:r>
      <w:r>
        <w:rPr>
          <w:rFonts w:ascii="Arial"/>
          <w:i/>
          <w:sz w:val="20"/>
        </w:rPr>
        <w:t>(1886)</w:t>
      </w:r>
      <w:r>
        <w:rPr>
          <w:rFonts w:ascii="Arial"/>
          <w:i/>
          <w:spacing w:val="52"/>
          <w:w w:val="150"/>
          <w:sz w:val="20"/>
        </w:rPr>
        <w:t> </w:t>
      </w:r>
      <w:r>
        <w:rPr>
          <w:rFonts w:ascii="Arial"/>
          <w:i/>
          <w:sz w:val="20"/>
        </w:rPr>
        <w:t>55</w:t>
      </w:r>
      <w:r>
        <w:rPr>
          <w:rFonts w:ascii="Arial"/>
          <w:i/>
          <w:spacing w:val="53"/>
          <w:w w:val="150"/>
          <w:sz w:val="20"/>
        </w:rPr>
        <w:t> </w:t>
      </w:r>
      <w:r>
        <w:rPr>
          <w:rFonts w:ascii="Arial"/>
          <w:i/>
          <w:sz w:val="20"/>
        </w:rPr>
        <w:t>L.J.Ch.</w:t>
      </w:r>
      <w:r>
        <w:rPr>
          <w:rFonts w:ascii="Arial"/>
          <w:i/>
          <w:spacing w:val="79"/>
          <w:sz w:val="20"/>
        </w:rPr>
        <w:t> </w:t>
      </w:r>
      <w:r>
        <w:rPr>
          <w:rFonts w:ascii="Arial"/>
          <w:i/>
          <w:sz w:val="20"/>
        </w:rPr>
        <w:t>335</w:t>
      </w:r>
      <w:r>
        <w:rPr>
          <w:sz w:val="20"/>
        </w:rPr>
        <w:t>;</w:t>
      </w:r>
      <w:r>
        <w:rPr>
          <w:spacing w:val="52"/>
          <w:w w:val="150"/>
          <w:sz w:val="20"/>
        </w:rPr>
        <w:t> </w:t>
      </w:r>
      <w:r>
        <w:rPr>
          <w:rFonts w:ascii="Arial"/>
          <w:i/>
          <w:spacing w:val="-5"/>
          <w:sz w:val="20"/>
        </w:rPr>
        <w:t>Von</w:t>
      </w:r>
    </w:p>
    <w:p>
      <w:pPr>
        <w:spacing w:line="225" w:lineRule="exact" w:before="0"/>
        <w:ind w:left="705" w:right="0" w:firstLine="0"/>
        <w:jc w:val="both"/>
        <w:rPr>
          <w:rFonts w:ascii="Arial"/>
          <w:i/>
          <w:sz w:val="20"/>
        </w:rPr>
      </w:pPr>
      <w:r>
        <w:rPr>
          <w:rFonts w:ascii="Arial"/>
          <w:i/>
          <w:sz w:val="20"/>
        </w:rPr>
        <w:t>Hatzfeldt-Wildenburg</w:t>
      </w:r>
      <w:r>
        <w:rPr>
          <w:rFonts w:ascii="Arial"/>
          <w:i/>
          <w:spacing w:val="7"/>
          <w:sz w:val="20"/>
        </w:rPr>
        <w:t> </w:t>
      </w:r>
      <w:r>
        <w:rPr>
          <w:rFonts w:ascii="Arial"/>
          <w:i/>
          <w:sz w:val="20"/>
        </w:rPr>
        <w:t>v</w:t>
      </w:r>
      <w:r>
        <w:rPr>
          <w:rFonts w:ascii="Arial"/>
          <w:i/>
          <w:spacing w:val="7"/>
          <w:sz w:val="20"/>
        </w:rPr>
        <w:t> </w:t>
      </w:r>
      <w:r>
        <w:rPr>
          <w:rFonts w:ascii="Arial"/>
          <w:i/>
          <w:sz w:val="20"/>
        </w:rPr>
        <w:t>Alexander</w:t>
      </w:r>
      <w:r>
        <w:rPr>
          <w:rFonts w:ascii="Arial"/>
          <w:i/>
          <w:spacing w:val="7"/>
          <w:sz w:val="20"/>
        </w:rPr>
        <w:t> </w:t>
      </w:r>
      <w:r>
        <w:rPr>
          <w:rFonts w:ascii="Arial"/>
          <w:i/>
          <w:sz w:val="20"/>
        </w:rPr>
        <w:t>[1912]</w:t>
      </w:r>
      <w:r>
        <w:rPr>
          <w:rFonts w:ascii="Arial"/>
          <w:i/>
          <w:spacing w:val="7"/>
          <w:sz w:val="20"/>
        </w:rPr>
        <w:t> </w:t>
      </w:r>
      <w:r>
        <w:rPr>
          <w:rFonts w:ascii="Arial"/>
          <w:i/>
          <w:sz w:val="20"/>
        </w:rPr>
        <w:t>1</w:t>
      </w:r>
      <w:r>
        <w:rPr>
          <w:rFonts w:ascii="Arial"/>
          <w:i/>
          <w:spacing w:val="7"/>
          <w:sz w:val="20"/>
        </w:rPr>
        <w:t> </w:t>
      </w:r>
      <w:r>
        <w:rPr>
          <w:rFonts w:ascii="Arial"/>
          <w:i/>
          <w:sz w:val="20"/>
        </w:rPr>
        <w:t>Ch.</w:t>
      </w:r>
      <w:r>
        <w:rPr>
          <w:rFonts w:ascii="Arial"/>
          <w:i/>
          <w:spacing w:val="7"/>
          <w:sz w:val="20"/>
        </w:rPr>
        <w:t> </w:t>
      </w:r>
      <w:r>
        <w:rPr>
          <w:rFonts w:ascii="Arial"/>
          <w:i/>
          <w:sz w:val="20"/>
        </w:rPr>
        <w:t>284</w:t>
      </w:r>
      <w:r>
        <w:rPr>
          <w:rFonts w:ascii="Arial"/>
          <w:i/>
          <w:spacing w:val="6"/>
          <w:sz w:val="20"/>
        </w:rPr>
        <w:t> </w:t>
      </w:r>
      <w:r>
        <w:rPr>
          <w:sz w:val="20"/>
        </w:rPr>
        <w:t>(disapproving</w:t>
      </w:r>
      <w:r>
        <w:rPr>
          <w:spacing w:val="6"/>
          <w:sz w:val="20"/>
        </w:rPr>
        <w:t> </w:t>
      </w:r>
      <w:r>
        <w:rPr>
          <w:rFonts w:ascii="Arial"/>
          <w:i/>
          <w:sz w:val="20"/>
        </w:rPr>
        <w:t>North</w:t>
      </w:r>
      <w:r>
        <w:rPr>
          <w:rFonts w:ascii="Arial"/>
          <w:i/>
          <w:spacing w:val="7"/>
          <w:sz w:val="20"/>
        </w:rPr>
        <w:t> </w:t>
      </w:r>
      <w:r>
        <w:rPr>
          <w:rFonts w:ascii="Arial"/>
          <w:i/>
          <w:sz w:val="20"/>
        </w:rPr>
        <w:t>v</w:t>
      </w:r>
      <w:r>
        <w:rPr>
          <w:rFonts w:ascii="Arial"/>
          <w:i/>
          <w:spacing w:val="7"/>
          <w:sz w:val="20"/>
        </w:rPr>
        <w:t> </w:t>
      </w:r>
      <w:r>
        <w:rPr>
          <w:rFonts w:ascii="Arial"/>
          <w:i/>
          <w:sz w:val="20"/>
        </w:rPr>
        <w:t>Percival</w:t>
      </w:r>
      <w:r>
        <w:rPr>
          <w:rFonts w:ascii="Arial"/>
          <w:i/>
          <w:spacing w:val="7"/>
          <w:sz w:val="20"/>
        </w:rPr>
        <w:t> </w:t>
      </w:r>
      <w:r>
        <w:rPr>
          <w:rFonts w:ascii="Arial"/>
          <w:i/>
          <w:sz w:val="20"/>
        </w:rPr>
        <w:t>[1898]</w:t>
      </w:r>
      <w:r>
        <w:rPr>
          <w:rFonts w:ascii="Arial"/>
          <w:i/>
          <w:spacing w:val="7"/>
          <w:sz w:val="20"/>
        </w:rPr>
        <w:t> </w:t>
      </w:r>
      <w:r>
        <w:rPr>
          <w:rFonts w:ascii="Arial"/>
          <w:i/>
          <w:sz w:val="20"/>
        </w:rPr>
        <w:t>2</w:t>
      </w:r>
      <w:r>
        <w:rPr>
          <w:rFonts w:ascii="Arial"/>
          <w:i/>
          <w:spacing w:val="7"/>
          <w:sz w:val="20"/>
        </w:rPr>
        <w:t> </w:t>
      </w:r>
      <w:r>
        <w:rPr>
          <w:rFonts w:ascii="Arial"/>
          <w:i/>
          <w:spacing w:val="-5"/>
          <w:sz w:val="20"/>
        </w:rPr>
        <w:t>Ch.</w:t>
      </w:r>
    </w:p>
    <w:p>
      <w:pPr>
        <w:spacing w:line="225" w:lineRule="exact" w:before="0"/>
        <w:ind w:left="705" w:right="0" w:firstLine="0"/>
        <w:jc w:val="both"/>
        <w:rPr>
          <w:rFonts w:ascii="Arial"/>
          <w:i/>
          <w:sz w:val="20"/>
        </w:rPr>
      </w:pPr>
      <w:r>
        <w:rPr>
          <w:rFonts w:ascii="Arial"/>
          <w:i/>
          <w:sz w:val="20"/>
        </w:rPr>
        <w:t>128</w:t>
      </w:r>
      <w:r>
        <w:rPr>
          <w:sz w:val="20"/>
        </w:rPr>
        <w:t>);</w:t>
      </w:r>
      <w:r>
        <w:rPr>
          <w:spacing w:val="13"/>
          <w:sz w:val="20"/>
        </w:rPr>
        <w:t> </w:t>
      </w:r>
      <w:r>
        <w:rPr>
          <w:rFonts w:ascii="Arial"/>
          <w:i/>
          <w:sz w:val="20"/>
        </w:rPr>
        <w:t>Rossdale</w:t>
      </w:r>
      <w:r>
        <w:rPr>
          <w:rFonts w:ascii="Arial"/>
          <w:i/>
          <w:spacing w:val="14"/>
          <w:sz w:val="20"/>
        </w:rPr>
        <w:t> </w:t>
      </w:r>
      <w:r>
        <w:rPr>
          <w:rFonts w:ascii="Arial"/>
          <w:i/>
          <w:sz w:val="20"/>
        </w:rPr>
        <w:t>v</w:t>
      </w:r>
      <w:r>
        <w:rPr>
          <w:rFonts w:ascii="Arial"/>
          <w:i/>
          <w:spacing w:val="14"/>
          <w:sz w:val="20"/>
        </w:rPr>
        <w:t> </w:t>
      </w:r>
      <w:r>
        <w:rPr>
          <w:rFonts w:ascii="Arial"/>
          <w:i/>
          <w:sz w:val="20"/>
        </w:rPr>
        <w:t>Denny</w:t>
      </w:r>
      <w:r>
        <w:rPr>
          <w:rFonts w:ascii="Arial"/>
          <w:i/>
          <w:spacing w:val="14"/>
          <w:sz w:val="20"/>
        </w:rPr>
        <w:t> </w:t>
      </w:r>
      <w:r>
        <w:rPr>
          <w:rFonts w:ascii="Arial"/>
          <w:i/>
          <w:sz w:val="20"/>
        </w:rPr>
        <w:t>[1921]</w:t>
      </w:r>
      <w:r>
        <w:rPr>
          <w:rFonts w:ascii="Arial"/>
          <w:i/>
          <w:spacing w:val="14"/>
          <w:sz w:val="20"/>
        </w:rPr>
        <w:t> </w:t>
      </w:r>
      <w:r>
        <w:rPr>
          <w:rFonts w:ascii="Arial"/>
          <w:i/>
          <w:sz w:val="20"/>
        </w:rPr>
        <w:t>1</w:t>
      </w:r>
      <w:r>
        <w:rPr>
          <w:rFonts w:ascii="Arial"/>
          <w:i/>
          <w:spacing w:val="14"/>
          <w:sz w:val="20"/>
        </w:rPr>
        <w:t> </w:t>
      </w:r>
      <w:r>
        <w:rPr>
          <w:rFonts w:ascii="Arial"/>
          <w:i/>
          <w:sz w:val="20"/>
        </w:rPr>
        <w:t>Ch.</w:t>
      </w:r>
      <w:r>
        <w:rPr>
          <w:rFonts w:ascii="Arial"/>
          <w:i/>
          <w:spacing w:val="14"/>
          <w:sz w:val="20"/>
        </w:rPr>
        <w:t> </w:t>
      </w:r>
      <w:r>
        <w:rPr>
          <w:rFonts w:ascii="Arial"/>
          <w:i/>
          <w:sz w:val="20"/>
        </w:rPr>
        <w:t>57</w:t>
      </w:r>
      <w:r>
        <w:rPr>
          <w:sz w:val="20"/>
        </w:rPr>
        <w:t>;</w:t>
      </w:r>
      <w:r>
        <w:rPr>
          <w:spacing w:val="14"/>
          <w:sz w:val="20"/>
        </w:rPr>
        <w:t> </w:t>
      </w:r>
      <w:r>
        <w:rPr>
          <w:rFonts w:ascii="Arial"/>
          <w:i/>
          <w:sz w:val="20"/>
        </w:rPr>
        <w:t>Looker</w:t>
      </w:r>
      <w:r>
        <w:rPr>
          <w:rFonts w:ascii="Arial"/>
          <w:i/>
          <w:spacing w:val="13"/>
          <w:sz w:val="20"/>
        </w:rPr>
        <w:t> </w:t>
      </w:r>
      <w:r>
        <w:rPr>
          <w:rFonts w:ascii="Arial"/>
          <w:i/>
          <w:sz w:val="20"/>
        </w:rPr>
        <w:t>v</w:t>
      </w:r>
      <w:r>
        <w:rPr>
          <w:rFonts w:ascii="Arial"/>
          <w:i/>
          <w:spacing w:val="14"/>
          <w:sz w:val="20"/>
        </w:rPr>
        <w:t> </w:t>
      </w:r>
      <w:r>
        <w:rPr>
          <w:rFonts w:ascii="Arial"/>
          <w:i/>
          <w:sz w:val="20"/>
        </w:rPr>
        <w:t>Law</w:t>
      </w:r>
      <w:r>
        <w:rPr>
          <w:rFonts w:ascii="Arial"/>
          <w:i/>
          <w:spacing w:val="14"/>
          <w:sz w:val="20"/>
        </w:rPr>
        <w:t> </w:t>
      </w:r>
      <w:r>
        <w:rPr>
          <w:rFonts w:ascii="Arial"/>
          <w:i/>
          <w:sz w:val="20"/>
        </w:rPr>
        <w:t>Union</w:t>
      </w:r>
      <w:r>
        <w:rPr>
          <w:rFonts w:ascii="Arial"/>
          <w:i/>
          <w:spacing w:val="14"/>
          <w:sz w:val="20"/>
        </w:rPr>
        <w:t> </w:t>
      </w:r>
      <w:r>
        <w:rPr>
          <w:rFonts w:ascii="Arial"/>
          <w:i/>
          <w:sz w:val="20"/>
        </w:rPr>
        <w:t>Insurance</w:t>
      </w:r>
      <w:r>
        <w:rPr>
          <w:rFonts w:ascii="Arial"/>
          <w:i/>
          <w:spacing w:val="14"/>
          <w:sz w:val="20"/>
        </w:rPr>
        <w:t> </w:t>
      </w:r>
      <w:r>
        <w:rPr>
          <w:rFonts w:ascii="Arial"/>
          <w:i/>
          <w:sz w:val="20"/>
        </w:rPr>
        <w:t>Co</w:t>
      </w:r>
      <w:r>
        <w:rPr>
          <w:rFonts w:ascii="Arial"/>
          <w:i/>
          <w:spacing w:val="14"/>
          <w:sz w:val="20"/>
        </w:rPr>
        <w:t> </w:t>
      </w:r>
      <w:r>
        <w:rPr>
          <w:rFonts w:ascii="Arial"/>
          <w:i/>
          <w:sz w:val="20"/>
        </w:rPr>
        <w:t>Ltd</w:t>
      </w:r>
      <w:r>
        <w:rPr>
          <w:rFonts w:ascii="Arial"/>
          <w:i/>
          <w:spacing w:val="14"/>
          <w:sz w:val="20"/>
        </w:rPr>
        <w:t> </w:t>
      </w:r>
      <w:r>
        <w:rPr>
          <w:rFonts w:ascii="Arial"/>
          <w:i/>
          <w:sz w:val="20"/>
        </w:rPr>
        <w:t>[1928]</w:t>
      </w:r>
      <w:r>
        <w:rPr>
          <w:rFonts w:ascii="Arial"/>
          <w:i/>
          <w:spacing w:val="14"/>
          <w:sz w:val="20"/>
        </w:rPr>
        <w:t> </w:t>
      </w:r>
      <w:r>
        <w:rPr>
          <w:rFonts w:ascii="Arial"/>
          <w:i/>
          <w:sz w:val="20"/>
        </w:rPr>
        <w:t>1</w:t>
      </w:r>
      <w:r>
        <w:rPr>
          <w:rFonts w:ascii="Arial"/>
          <w:i/>
          <w:spacing w:val="14"/>
          <w:sz w:val="20"/>
        </w:rPr>
        <w:t> </w:t>
      </w:r>
      <w:r>
        <w:rPr>
          <w:rFonts w:ascii="Arial"/>
          <w:i/>
          <w:spacing w:val="-4"/>
          <w:sz w:val="20"/>
        </w:rPr>
        <w:t>K.B.</w:t>
      </w:r>
    </w:p>
    <w:p>
      <w:pPr>
        <w:spacing w:line="235" w:lineRule="auto" w:before="1"/>
        <w:ind w:left="705" w:right="168" w:firstLine="0"/>
        <w:jc w:val="both"/>
        <w:rPr>
          <w:sz w:val="20"/>
        </w:rPr>
      </w:pPr>
      <w:r>
        <w:rPr>
          <w:rFonts w:ascii="Arial"/>
          <w:i/>
          <w:sz w:val="20"/>
        </w:rPr>
        <w:t>554</w:t>
      </w:r>
      <w:r>
        <w:rPr>
          <w:sz w:val="20"/>
        </w:rPr>
        <w:t>; </w:t>
      </w:r>
      <w:r>
        <w:rPr>
          <w:rFonts w:ascii="Arial"/>
          <w:i/>
          <w:sz w:val="20"/>
        </w:rPr>
        <w:t>Brilliant v Michaels [1945] 1 All E.R. 121</w:t>
      </w:r>
      <w:r>
        <w:rPr>
          <w:sz w:val="20"/>
        </w:rPr>
        <w:t>; </w:t>
      </w:r>
      <w:r>
        <w:rPr>
          <w:rFonts w:ascii="Arial"/>
          <w:i/>
          <w:sz w:val="20"/>
        </w:rPr>
        <w:t>Lowis v Wilson [1949] Ir.R. 347</w:t>
      </w:r>
      <w:r>
        <w:rPr>
          <w:sz w:val="20"/>
        </w:rPr>
        <w:t>; </w:t>
      </w:r>
      <w:r>
        <w:rPr>
          <w:rFonts w:ascii="Arial"/>
          <w:i/>
          <w:sz w:val="20"/>
        </w:rPr>
        <w:t>Graham &amp; Scott (Southgate) Ltd v Oxlade [1950] 2 K.B. 257</w:t>
      </w:r>
      <w:r>
        <w:rPr>
          <w:sz w:val="20"/>
        </w:rPr>
        <w:t>; </w:t>
      </w:r>
      <w:r>
        <w:rPr>
          <w:rFonts w:ascii="Arial"/>
          <w:i/>
          <w:sz w:val="20"/>
        </w:rPr>
        <w:t>Bennett, Walden &amp; Co v Wood [1950] 2 All </w:t>
      </w:r>
      <w:r>
        <w:rPr>
          <w:rFonts w:ascii="Arial"/>
          <w:i/>
          <w:sz w:val="20"/>
        </w:rPr>
        <w:t>E.R. 134</w:t>
      </w:r>
      <w:r>
        <w:rPr>
          <w:sz w:val="20"/>
        </w:rPr>
        <w:t>; </w:t>
      </w:r>
      <w:r>
        <w:rPr>
          <w:rFonts w:ascii="Arial"/>
          <w:i/>
          <w:sz w:val="20"/>
        </w:rPr>
        <w:t>Christie, Owen and Davies Ltd v Stockton [1953] 1 W.L.R. 1353</w:t>
      </w:r>
      <w:r>
        <w:rPr>
          <w:sz w:val="20"/>
        </w:rPr>
        <w:t>.</w:t>
      </w:r>
    </w:p>
    <w:p>
      <w:pPr>
        <w:pStyle w:val="BodyText"/>
        <w:spacing w:before="9"/>
      </w:pPr>
    </w:p>
    <w:p>
      <w:pPr>
        <w:spacing w:line="235" w:lineRule="auto" w:before="0"/>
        <w:ind w:left="705" w:right="167" w:hanging="541"/>
        <w:jc w:val="both"/>
        <w:rPr>
          <w:sz w:val="20"/>
        </w:rPr>
      </w:pPr>
      <w:bookmarkStart w:name="_bookmark1380" w:id="1382"/>
      <w:bookmarkEnd w:id="1382"/>
      <w:r>
        <w:rPr/>
      </w:r>
      <w:hyperlink w:history="true" w:anchor="_bookmark1180">
        <w:r>
          <w:rPr>
            <w:color w:val="005DA1"/>
            <w:position w:val="5"/>
            <w:sz w:val="14"/>
            <w:u w:val="single" w:color="005DA1"/>
          </w:rPr>
          <w:t>647</w:t>
        </w:r>
      </w:hyperlink>
      <w:r>
        <w:rPr>
          <w:position w:val="5"/>
          <w:sz w:val="14"/>
        </w:rPr>
        <w:t>.</w:t>
      </w:r>
      <w:r>
        <w:rPr>
          <w:spacing w:val="80"/>
          <w:position w:val="5"/>
          <w:sz w:val="14"/>
        </w:rPr>
        <w:t> </w:t>
      </w:r>
      <w:r>
        <w:rPr>
          <w:rFonts w:ascii="Arial" w:hAnsi="Arial"/>
          <w:i/>
          <w:sz w:val="20"/>
        </w:rPr>
        <w:t>Ronald Preston &amp; Partners v Markheath Securities [1988] 2 E.G.L.R. 23</w:t>
      </w:r>
      <w:r>
        <w:rPr>
          <w:sz w:val="20"/>
        </w:rPr>
        <w:t>. For the </w:t>
      </w:r>
      <w:r>
        <w:rPr>
          <w:sz w:val="20"/>
        </w:rPr>
        <w:t>potential applicability of the principle that an agreement “subject to contract” is not legally binding to an offer “subject to contract” to buy </w:t>
      </w:r>
      <w:r>
        <w:rPr>
          <w:rFonts w:ascii="Arial" w:hAnsi="Arial"/>
          <w:i/>
          <w:sz w:val="20"/>
        </w:rPr>
        <w:t>goods</w:t>
      </w:r>
      <w:r>
        <w:rPr>
          <w:sz w:val="20"/>
        </w:rPr>
        <w:t>, see </w:t>
      </w:r>
      <w:r>
        <w:rPr>
          <w:rFonts w:ascii="Arial" w:hAnsi="Arial"/>
          <w:i/>
          <w:sz w:val="20"/>
        </w:rPr>
        <w:t>Air Studios (Lyndhurst) Ltd v Lombard North</w:t>
      </w:r>
      <w:r>
        <w:rPr>
          <w:rFonts w:ascii="Arial" w:hAnsi="Arial"/>
          <w:i/>
          <w:spacing w:val="40"/>
          <w:sz w:val="20"/>
        </w:rPr>
        <w:t> </w:t>
      </w:r>
      <w:r>
        <w:rPr>
          <w:rFonts w:ascii="Arial" w:hAnsi="Arial"/>
          <w:i/>
          <w:sz w:val="20"/>
        </w:rPr>
        <w:t>Central Plc [2012] EWHC 3162 (QB), [2013] 1 Lloyd’s Rep. 63 </w:t>
      </w:r>
      <w:r>
        <w:rPr>
          <w:sz w:val="20"/>
        </w:rPr>
        <w:t>at [70], quoted in para.2-117 at </w:t>
      </w:r>
      <w:r>
        <w:rPr>
          <w:spacing w:val="-2"/>
          <w:sz w:val="20"/>
        </w:rPr>
        <w:t>n.565.</w:t>
      </w:r>
    </w:p>
    <w:p>
      <w:pPr>
        <w:pStyle w:val="BodyText"/>
        <w:spacing w:before="8"/>
      </w:pPr>
    </w:p>
    <w:p>
      <w:pPr>
        <w:tabs>
          <w:tab w:pos="705" w:val="left" w:leader="none"/>
        </w:tabs>
        <w:spacing w:line="235" w:lineRule="auto" w:before="0"/>
        <w:ind w:left="705" w:right="168" w:hanging="541"/>
        <w:jc w:val="left"/>
        <w:rPr>
          <w:sz w:val="20"/>
        </w:rPr>
      </w:pPr>
      <w:bookmarkStart w:name="_bookmark1381" w:id="1383"/>
      <w:bookmarkEnd w:id="1383"/>
      <w:r>
        <w:rPr/>
      </w:r>
      <w:hyperlink w:history="true" w:anchor="_bookmark1181">
        <w:r>
          <w:rPr>
            <w:color w:val="005DA1"/>
            <w:spacing w:val="-4"/>
            <w:position w:val="5"/>
            <w:sz w:val="14"/>
            <w:u w:val="single" w:color="005DA1"/>
          </w:rPr>
          <w:t>648</w:t>
        </w:r>
      </w:hyperlink>
      <w:r>
        <w:rPr>
          <w:spacing w:val="-4"/>
          <w:position w:val="5"/>
          <w:sz w:val="14"/>
        </w:rPr>
        <w:t>.</w:t>
      </w:r>
      <w:r>
        <w:rPr>
          <w:position w:val="5"/>
          <w:sz w:val="14"/>
        </w:rPr>
        <w:tab/>
      </w:r>
      <w:r>
        <w:rPr>
          <w:rFonts w:ascii="Arial" w:hAnsi="Arial"/>
          <w:i/>
          <w:sz w:val="20"/>
        </w:rPr>
        <w:t>RTS</w:t>
      </w:r>
      <w:r>
        <w:rPr>
          <w:rFonts w:ascii="Arial" w:hAnsi="Arial"/>
          <w:i/>
          <w:spacing w:val="36"/>
          <w:sz w:val="20"/>
        </w:rPr>
        <w:t> </w:t>
      </w:r>
      <w:r>
        <w:rPr>
          <w:rFonts w:ascii="Arial" w:hAnsi="Arial"/>
          <w:i/>
          <w:sz w:val="20"/>
        </w:rPr>
        <w:t>Flexible</w:t>
      </w:r>
      <w:r>
        <w:rPr>
          <w:rFonts w:ascii="Arial" w:hAnsi="Arial"/>
          <w:i/>
          <w:spacing w:val="36"/>
          <w:sz w:val="20"/>
        </w:rPr>
        <w:t> </w:t>
      </w:r>
      <w:r>
        <w:rPr>
          <w:rFonts w:ascii="Arial" w:hAnsi="Arial"/>
          <w:i/>
          <w:sz w:val="20"/>
        </w:rPr>
        <w:t>Systems</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Molkerei</w:t>
      </w:r>
      <w:r>
        <w:rPr>
          <w:rFonts w:ascii="Arial" w:hAnsi="Arial"/>
          <w:i/>
          <w:spacing w:val="36"/>
          <w:sz w:val="20"/>
        </w:rPr>
        <w:t> </w:t>
      </w:r>
      <w:r>
        <w:rPr>
          <w:rFonts w:ascii="Arial" w:hAnsi="Arial"/>
          <w:i/>
          <w:sz w:val="20"/>
        </w:rPr>
        <w:t>Alois</w:t>
      </w:r>
      <w:r>
        <w:rPr>
          <w:rFonts w:ascii="Arial" w:hAnsi="Arial"/>
          <w:i/>
          <w:spacing w:val="36"/>
          <w:sz w:val="20"/>
        </w:rPr>
        <w:t> </w:t>
      </w:r>
      <w:r>
        <w:rPr>
          <w:rFonts w:ascii="Arial" w:hAnsi="Arial"/>
          <w:i/>
          <w:sz w:val="20"/>
        </w:rPr>
        <w:t>Müller</w:t>
      </w:r>
      <w:r>
        <w:rPr>
          <w:rFonts w:ascii="Arial" w:hAnsi="Arial"/>
          <w:i/>
          <w:spacing w:val="36"/>
          <w:sz w:val="20"/>
        </w:rPr>
        <w:t> </w:t>
      </w:r>
      <w:r>
        <w:rPr>
          <w:rFonts w:ascii="Arial" w:hAnsi="Arial"/>
          <w:i/>
          <w:sz w:val="20"/>
        </w:rPr>
        <w:t>GmbH</w:t>
      </w:r>
      <w:r>
        <w:rPr>
          <w:rFonts w:ascii="Arial" w:hAnsi="Arial"/>
          <w:i/>
          <w:spacing w:val="36"/>
          <w:sz w:val="20"/>
        </w:rPr>
        <w:t> </w:t>
      </w:r>
      <w:r>
        <w:rPr>
          <w:rFonts w:ascii="Arial" w:hAnsi="Arial"/>
          <w:i/>
          <w:sz w:val="20"/>
        </w:rPr>
        <w:t>&amp;</w:t>
      </w:r>
      <w:r>
        <w:rPr>
          <w:rFonts w:ascii="Arial" w:hAnsi="Arial"/>
          <w:i/>
          <w:spacing w:val="36"/>
          <w:sz w:val="20"/>
        </w:rPr>
        <w:t> </w:t>
      </w:r>
      <w:r>
        <w:rPr>
          <w:rFonts w:ascii="Arial" w:hAnsi="Arial"/>
          <w:i/>
          <w:sz w:val="20"/>
        </w:rPr>
        <w:t>Co</w:t>
      </w:r>
      <w:r>
        <w:rPr>
          <w:rFonts w:ascii="Arial" w:hAnsi="Arial"/>
          <w:i/>
          <w:spacing w:val="36"/>
          <w:sz w:val="20"/>
        </w:rPr>
        <w:t> </w:t>
      </w:r>
      <w:r>
        <w:rPr>
          <w:rFonts w:ascii="Arial" w:hAnsi="Arial"/>
          <w:i/>
          <w:sz w:val="20"/>
        </w:rPr>
        <w:t>KG</w:t>
      </w:r>
      <w:r>
        <w:rPr>
          <w:rFonts w:ascii="Arial" w:hAnsi="Arial"/>
          <w:i/>
          <w:spacing w:val="36"/>
          <w:sz w:val="20"/>
        </w:rPr>
        <w:t> </w:t>
      </w:r>
      <w:r>
        <w:rPr>
          <w:rFonts w:ascii="Arial" w:hAnsi="Arial"/>
          <w:i/>
          <w:sz w:val="20"/>
        </w:rPr>
        <w:t>(UK</w:t>
      </w:r>
      <w:r>
        <w:rPr>
          <w:rFonts w:ascii="Arial" w:hAnsi="Arial"/>
          <w:i/>
          <w:spacing w:val="36"/>
          <w:sz w:val="20"/>
        </w:rPr>
        <w:t> </w:t>
      </w:r>
      <w:r>
        <w:rPr>
          <w:rFonts w:ascii="Arial" w:hAnsi="Arial"/>
          <w:i/>
          <w:sz w:val="20"/>
        </w:rPr>
        <w:t>Production)</w:t>
      </w:r>
      <w:r>
        <w:rPr>
          <w:rFonts w:ascii="Arial" w:hAnsi="Arial"/>
          <w:i/>
          <w:spacing w:val="36"/>
          <w:sz w:val="20"/>
        </w:rPr>
        <w:t> </w:t>
      </w:r>
      <w:r>
        <w:rPr>
          <w:rFonts w:ascii="Arial" w:hAnsi="Arial"/>
          <w:i/>
          <w:sz w:val="20"/>
        </w:rPr>
        <w:t>[2010] UKSC 14, [2010] 1 W.L.R. 753 </w:t>
      </w:r>
      <w:r>
        <w:rPr>
          <w:sz w:val="20"/>
        </w:rPr>
        <w:t>at [48].</w:t>
      </w:r>
    </w:p>
    <w:p>
      <w:pPr>
        <w:pStyle w:val="BodyText"/>
        <w:spacing w:before="5"/>
      </w:pPr>
    </w:p>
    <w:p>
      <w:pPr>
        <w:tabs>
          <w:tab w:pos="705" w:val="left" w:leader="none"/>
        </w:tabs>
        <w:spacing w:before="1"/>
        <w:ind w:left="165" w:right="0" w:firstLine="0"/>
        <w:jc w:val="left"/>
        <w:rPr>
          <w:sz w:val="20"/>
        </w:rPr>
      </w:pPr>
      <w:bookmarkStart w:name="_bookmark1382" w:id="1384"/>
      <w:bookmarkEnd w:id="1384"/>
      <w:r>
        <w:rPr/>
      </w:r>
      <w:hyperlink w:history="true" w:anchor="_bookmark1182">
        <w:r>
          <w:rPr>
            <w:color w:val="005DA1"/>
            <w:spacing w:val="-4"/>
            <w:position w:val="5"/>
            <w:sz w:val="14"/>
            <w:u w:val="single" w:color="005DA1"/>
          </w:rPr>
          <w:t>649</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UKSC 14</w:t>
      </w:r>
      <w:r>
        <w:rPr>
          <w:rFonts w:ascii="Arial"/>
          <w:i/>
          <w:spacing w:val="-1"/>
          <w:sz w:val="20"/>
        </w:rPr>
        <w:t> </w:t>
      </w:r>
      <w:r>
        <w:rPr>
          <w:sz w:val="20"/>
        </w:rPr>
        <w:t>at </w:t>
      </w:r>
      <w:r>
        <w:rPr>
          <w:spacing w:val="-2"/>
          <w:sz w:val="20"/>
        </w:rPr>
        <w:t>[86].</w:t>
      </w:r>
    </w:p>
    <w:p>
      <w:pPr>
        <w:pStyle w:val="BodyText"/>
        <w:spacing w:before="8"/>
      </w:pPr>
    </w:p>
    <w:p>
      <w:pPr>
        <w:pStyle w:val="BodyText"/>
        <w:tabs>
          <w:tab w:pos="705" w:val="left" w:leader="none"/>
        </w:tabs>
        <w:spacing w:line="235" w:lineRule="auto"/>
        <w:ind w:left="705" w:right="168" w:hanging="541"/>
      </w:pPr>
      <w:bookmarkStart w:name="_bookmark1383" w:id="1385"/>
      <w:bookmarkEnd w:id="1385"/>
      <w:r>
        <w:rPr/>
      </w:r>
      <w:hyperlink w:history="true" w:anchor="_bookmark1183">
        <w:r>
          <w:rPr>
            <w:color w:val="005DA1"/>
            <w:spacing w:val="-4"/>
            <w:position w:val="5"/>
            <w:sz w:val="14"/>
            <w:u w:val="single" w:color="005DA1"/>
          </w:rPr>
          <w:t>650</w:t>
        </w:r>
      </w:hyperlink>
      <w:r>
        <w:rPr>
          <w:spacing w:val="-4"/>
          <w:position w:val="5"/>
          <w:sz w:val="14"/>
        </w:rPr>
        <w:t>.</w:t>
      </w:r>
      <w:r>
        <w:rPr>
          <w:position w:val="5"/>
          <w:sz w:val="14"/>
        </w:rPr>
        <w:tab/>
      </w:r>
      <w:r>
        <w:rPr>
          <w:rFonts w:ascii="Arial" w:hAnsi="Arial"/>
          <w:i/>
        </w:rPr>
        <w:t>[2010] UKSC 14 </w:t>
      </w:r>
      <w:r>
        <w:rPr/>
        <w:t>at [45]–[48]: “The parties agreed to bind themselves to agreed terms, leaving certain subsidiary and legally inessential terms to be decided later.”</w:t>
      </w:r>
    </w:p>
    <w:p>
      <w:pPr>
        <w:pStyle w:val="BodyText"/>
        <w:spacing w:before="6"/>
      </w:pPr>
    </w:p>
    <w:p>
      <w:pPr>
        <w:tabs>
          <w:tab w:pos="705" w:val="left" w:leader="none"/>
        </w:tabs>
        <w:spacing w:before="0"/>
        <w:ind w:left="165" w:right="0" w:firstLine="0"/>
        <w:jc w:val="left"/>
        <w:rPr>
          <w:sz w:val="20"/>
        </w:rPr>
      </w:pPr>
      <w:bookmarkStart w:name="_bookmark1384" w:id="1386"/>
      <w:bookmarkEnd w:id="1386"/>
      <w:r>
        <w:rPr/>
      </w:r>
      <w:hyperlink w:history="true" w:anchor="_bookmark1184">
        <w:r>
          <w:rPr>
            <w:color w:val="005DA1"/>
            <w:spacing w:val="-4"/>
            <w:position w:val="5"/>
            <w:sz w:val="14"/>
            <w:u w:val="single" w:color="005DA1"/>
          </w:rPr>
          <w:t>651</w:t>
        </w:r>
      </w:hyperlink>
      <w:r>
        <w:rPr>
          <w:spacing w:val="-4"/>
          <w:position w:val="5"/>
          <w:sz w:val="14"/>
        </w:rPr>
        <w:t>.</w:t>
      </w:r>
      <w:r>
        <w:rPr>
          <w:position w:val="5"/>
          <w:sz w:val="14"/>
        </w:rPr>
        <w:tab/>
      </w:r>
      <w:r>
        <w:rPr>
          <w:rFonts w:ascii="Arial"/>
          <w:i/>
          <w:sz w:val="20"/>
        </w:rPr>
        <w:t>[2010] UKSC 14</w:t>
      </w:r>
      <w:r>
        <w:rPr>
          <w:rFonts w:ascii="Arial"/>
          <w:i/>
          <w:spacing w:val="-1"/>
          <w:sz w:val="20"/>
        </w:rPr>
        <w:t> </w:t>
      </w:r>
      <w:r>
        <w:rPr>
          <w:sz w:val="20"/>
        </w:rPr>
        <w:t>at [61], and see below at para.2-131 at </w:t>
      </w:r>
      <w:r>
        <w:rPr>
          <w:spacing w:val="-2"/>
          <w:sz w:val="20"/>
        </w:rPr>
        <w:t>n.668.</w:t>
      </w:r>
    </w:p>
    <w:p>
      <w:pPr>
        <w:pStyle w:val="BodyText"/>
        <w:spacing w:before="5"/>
      </w:pPr>
    </w:p>
    <w:p>
      <w:pPr>
        <w:pStyle w:val="BodyText"/>
        <w:tabs>
          <w:tab w:pos="705" w:val="left" w:leader="none"/>
        </w:tabs>
        <w:ind w:left="165"/>
      </w:pPr>
      <w:bookmarkStart w:name="_bookmark1385" w:id="1387"/>
      <w:bookmarkEnd w:id="1387"/>
      <w:r>
        <w:rPr/>
      </w:r>
      <w:hyperlink w:history="true" w:anchor="_bookmark1185">
        <w:r>
          <w:rPr>
            <w:color w:val="005DA1"/>
            <w:spacing w:val="-4"/>
            <w:position w:val="5"/>
            <w:sz w:val="14"/>
            <w:u w:val="single" w:color="005DA1"/>
          </w:rPr>
          <w:t>652</w:t>
        </w:r>
      </w:hyperlink>
      <w:r>
        <w:rPr>
          <w:spacing w:val="-4"/>
          <w:position w:val="5"/>
          <w:sz w:val="14"/>
        </w:rPr>
        <w:t>.</w:t>
      </w:r>
      <w:r>
        <w:rPr>
          <w:position w:val="5"/>
          <w:sz w:val="14"/>
        </w:rPr>
        <w:tab/>
      </w:r>
      <w:r>
        <w:rPr/>
        <w:t>i.e. subject to the qualifications discussed in paras 2-127—2-131 </w:t>
      </w:r>
      <w:r>
        <w:rPr>
          <w:spacing w:val="-2"/>
        </w:rPr>
        <w:t>below.</w:t>
      </w:r>
    </w:p>
    <w:p>
      <w:pPr>
        <w:pStyle w:val="BodyText"/>
        <w:spacing w:before="9"/>
      </w:pPr>
    </w:p>
    <w:p>
      <w:pPr>
        <w:tabs>
          <w:tab w:pos="705" w:val="left" w:leader="none"/>
        </w:tabs>
        <w:spacing w:line="235" w:lineRule="auto" w:before="0"/>
        <w:ind w:left="705" w:right="168" w:hanging="541"/>
        <w:jc w:val="left"/>
        <w:rPr>
          <w:sz w:val="20"/>
        </w:rPr>
      </w:pPr>
      <w:bookmarkStart w:name="_bookmark1386" w:id="1388"/>
      <w:bookmarkEnd w:id="1388"/>
      <w:r>
        <w:rPr/>
      </w:r>
      <w:hyperlink w:history="true" w:anchor="_bookmark1186">
        <w:r>
          <w:rPr>
            <w:color w:val="005DA1"/>
            <w:spacing w:val="-4"/>
            <w:position w:val="5"/>
            <w:sz w:val="14"/>
            <w:u w:val="single" w:color="005DA1"/>
          </w:rPr>
          <w:t>653</w:t>
        </w:r>
      </w:hyperlink>
      <w:r>
        <w:rPr>
          <w:spacing w:val="-4"/>
          <w:position w:val="5"/>
          <w:sz w:val="14"/>
        </w:rPr>
        <w:t>.</w:t>
      </w:r>
      <w:r>
        <w:rPr>
          <w:position w:val="5"/>
          <w:sz w:val="14"/>
        </w:rPr>
        <w:tab/>
      </w:r>
      <w:r>
        <w:rPr>
          <w:rFonts w:ascii="Arial" w:hAnsi="Arial"/>
          <w:i/>
          <w:sz w:val="20"/>
        </w:rPr>
        <w:t>Eccles v Bryant &amp; Pollock [1948] Ch. 93</w:t>
      </w:r>
      <w:r>
        <w:rPr>
          <w:sz w:val="20"/>
        </w:rPr>
        <w:t>; </w:t>
      </w:r>
      <w:r>
        <w:rPr>
          <w:rFonts w:ascii="Arial" w:hAnsi="Arial"/>
          <w:i/>
          <w:sz w:val="20"/>
        </w:rPr>
        <w:t>Sante Fé Land Co Ltd v Forestal Land Co Ltd (1910) 26</w:t>
      </w:r>
      <w:r>
        <w:rPr>
          <w:rFonts w:ascii="Arial" w:hAnsi="Arial"/>
          <w:i/>
          <w:spacing w:val="24"/>
          <w:sz w:val="20"/>
        </w:rPr>
        <w:t> </w:t>
      </w:r>
      <w:r>
        <w:rPr>
          <w:rFonts w:ascii="Arial" w:hAnsi="Arial"/>
          <w:i/>
          <w:sz w:val="20"/>
        </w:rPr>
        <w:t>T.L.R.</w:t>
      </w:r>
      <w:r>
        <w:rPr>
          <w:rFonts w:ascii="Arial" w:hAnsi="Arial"/>
          <w:i/>
          <w:spacing w:val="27"/>
          <w:sz w:val="20"/>
        </w:rPr>
        <w:t> </w:t>
      </w:r>
      <w:r>
        <w:rPr>
          <w:rFonts w:ascii="Arial" w:hAnsi="Arial"/>
          <w:i/>
          <w:sz w:val="20"/>
        </w:rPr>
        <w:t>534</w:t>
      </w:r>
      <w:r>
        <w:rPr>
          <w:sz w:val="20"/>
        </w:rPr>
        <w:t>;</w:t>
      </w:r>
      <w:r>
        <w:rPr>
          <w:spacing w:val="27"/>
          <w:sz w:val="20"/>
        </w:rPr>
        <w:t> </w:t>
      </w:r>
      <w:r>
        <w:rPr>
          <w:sz w:val="20"/>
        </w:rPr>
        <w:t>cf.</w:t>
      </w:r>
      <w:r>
        <w:rPr>
          <w:spacing w:val="27"/>
          <w:sz w:val="20"/>
        </w:rPr>
        <w:t> </w:t>
      </w:r>
      <w:r>
        <w:rPr>
          <w:rFonts w:ascii="Arial" w:hAnsi="Arial"/>
          <w:i/>
          <w:sz w:val="20"/>
        </w:rPr>
        <w:t>Coope</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Ridout</w:t>
      </w:r>
      <w:r>
        <w:rPr>
          <w:rFonts w:ascii="Arial" w:hAnsi="Arial"/>
          <w:i/>
          <w:spacing w:val="27"/>
          <w:sz w:val="20"/>
        </w:rPr>
        <w:t> </w:t>
      </w:r>
      <w:r>
        <w:rPr>
          <w:rFonts w:ascii="Arial" w:hAnsi="Arial"/>
          <w:i/>
          <w:sz w:val="20"/>
        </w:rPr>
        <w:t>[1921]</w:t>
      </w:r>
      <w:r>
        <w:rPr>
          <w:rFonts w:ascii="Arial" w:hAnsi="Arial"/>
          <w:i/>
          <w:spacing w:val="27"/>
          <w:sz w:val="20"/>
        </w:rPr>
        <w:t> </w:t>
      </w:r>
      <w:r>
        <w:rPr>
          <w:rFonts w:ascii="Arial" w:hAnsi="Arial"/>
          <w:i/>
          <w:sz w:val="20"/>
        </w:rPr>
        <w:t>1</w:t>
      </w:r>
      <w:r>
        <w:rPr>
          <w:rFonts w:ascii="Arial" w:hAnsi="Arial"/>
          <w:i/>
          <w:spacing w:val="26"/>
          <w:sz w:val="20"/>
        </w:rPr>
        <w:t> </w:t>
      </w:r>
      <w:r>
        <w:rPr>
          <w:rFonts w:ascii="Arial" w:hAnsi="Arial"/>
          <w:i/>
          <w:sz w:val="20"/>
        </w:rPr>
        <w:t>Ch.</w:t>
      </w:r>
      <w:r>
        <w:rPr>
          <w:rFonts w:ascii="Arial" w:hAnsi="Arial"/>
          <w:i/>
          <w:spacing w:val="27"/>
          <w:sz w:val="20"/>
        </w:rPr>
        <w:t> </w:t>
      </w:r>
      <w:r>
        <w:rPr>
          <w:rFonts w:ascii="Arial" w:hAnsi="Arial"/>
          <w:i/>
          <w:sz w:val="20"/>
        </w:rPr>
        <w:t>291</w:t>
      </w:r>
      <w:r>
        <w:rPr>
          <w:sz w:val="20"/>
        </w:rPr>
        <w:t>;</w:t>
      </w:r>
      <w:r>
        <w:rPr>
          <w:spacing w:val="27"/>
          <w:sz w:val="20"/>
        </w:rPr>
        <w:t> </w:t>
      </w:r>
      <w:r>
        <w:rPr>
          <w:rFonts w:ascii="Arial" w:hAnsi="Arial"/>
          <w:i/>
          <w:sz w:val="20"/>
        </w:rPr>
        <w:t>Chillingworth</w:t>
      </w:r>
      <w:r>
        <w:rPr>
          <w:rFonts w:ascii="Arial" w:hAnsi="Arial"/>
          <w:i/>
          <w:spacing w:val="27"/>
          <w:sz w:val="20"/>
        </w:rPr>
        <w:t> </w:t>
      </w:r>
      <w:r>
        <w:rPr>
          <w:rFonts w:ascii="Arial" w:hAnsi="Arial"/>
          <w:i/>
          <w:sz w:val="20"/>
        </w:rPr>
        <w:t>v</w:t>
      </w:r>
      <w:r>
        <w:rPr>
          <w:rFonts w:ascii="Arial" w:hAnsi="Arial"/>
          <w:i/>
          <w:spacing w:val="27"/>
          <w:sz w:val="20"/>
        </w:rPr>
        <w:t> </w:t>
      </w:r>
      <w:r>
        <w:rPr>
          <w:rFonts w:ascii="Arial" w:hAnsi="Arial"/>
          <w:i/>
          <w:sz w:val="20"/>
        </w:rPr>
        <w:t>Esche</w:t>
      </w:r>
      <w:r>
        <w:rPr>
          <w:rFonts w:ascii="Arial" w:hAnsi="Arial"/>
          <w:i/>
          <w:spacing w:val="27"/>
          <w:sz w:val="20"/>
        </w:rPr>
        <w:t> </w:t>
      </w:r>
      <w:r>
        <w:rPr>
          <w:rFonts w:ascii="Arial" w:hAnsi="Arial"/>
          <w:i/>
          <w:sz w:val="20"/>
        </w:rPr>
        <w:t>[1924]</w:t>
      </w:r>
      <w:r>
        <w:rPr>
          <w:rFonts w:ascii="Arial" w:hAnsi="Arial"/>
          <w:i/>
          <w:spacing w:val="27"/>
          <w:sz w:val="20"/>
        </w:rPr>
        <w:t> </w:t>
      </w:r>
      <w:r>
        <w:rPr>
          <w:rFonts w:ascii="Arial" w:hAnsi="Arial"/>
          <w:i/>
          <w:sz w:val="20"/>
        </w:rPr>
        <w:t>1</w:t>
      </w:r>
      <w:r>
        <w:rPr>
          <w:rFonts w:ascii="Arial" w:hAnsi="Arial"/>
          <w:i/>
          <w:spacing w:val="27"/>
          <w:sz w:val="20"/>
        </w:rPr>
        <w:t> </w:t>
      </w:r>
      <w:r>
        <w:rPr>
          <w:rFonts w:ascii="Arial" w:hAnsi="Arial"/>
          <w:i/>
          <w:sz w:val="20"/>
        </w:rPr>
        <w:t>Ch.</w:t>
      </w:r>
      <w:r>
        <w:rPr>
          <w:rFonts w:ascii="Arial" w:hAnsi="Arial"/>
          <w:i/>
          <w:spacing w:val="27"/>
          <w:sz w:val="20"/>
        </w:rPr>
        <w:t> </w:t>
      </w:r>
      <w:r>
        <w:rPr>
          <w:rFonts w:ascii="Arial" w:hAnsi="Arial"/>
          <w:i/>
          <w:spacing w:val="-5"/>
          <w:sz w:val="20"/>
        </w:rPr>
        <w:t>97</w:t>
      </w:r>
      <w:r>
        <w:rPr>
          <w:spacing w:val="-5"/>
          <w:sz w:val="20"/>
        </w:rPr>
        <w:t>;</w:t>
      </w:r>
    </w:p>
    <w:p>
      <w:pPr>
        <w:spacing w:line="235" w:lineRule="auto" w:before="0"/>
        <w:ind w:left="705" w:right="0" w:firstLine="0"/>
        <w:jc w:val="left"/>
        <w:rPr>
          <w:rFonts w:ascii="Arial"/>
          <w:i/>
          <w:sz w:val="20"/>
        </w:rPr>
      </w:pPr>
      <w:r>
        <w:rPr>
          <w:rFonts w:ascii="Arial"/>
          <w:i/>
          <w:sz w:val="20"/>
        </w:rPr>
        <w:t>Raingold</w:t>
      </w:r>
      <w:r>
        <w:rPr>
          <w:rFonts w:ascii="Arial"/>
          <w:i/>
          <w:spacing w:val="28"/>
          <w:sz w:val="20"/>
        </w:rPr>
        <w:t> </w:t>
      </w:r>
      <w:r>
        <w:rPr>
          <w:rFonts w:ascii="Arial"/>
          <w:i/>
          <w:sz w:val="20"/>
        </w:rPr>
        <w:t>v</w:t>
      </w:r>
      <w:r>
        <w:rPr>
          <w:rFonts w:ascii="Arial"/>
          <w:i/>
          <w:spacing w:val="28"/>
          <w:sz w:val="20"/>
        </w:rPr>
        <w:t> </w:t>
      </w:r>
      <w:r>
        <w:rPr>
          <w:rFonts w:ascii="Arial"/>
          <w:i/>
          <w:sz w:val="20"/>
        </w:rPr>
        <w:t>Bromley</w:t>
      </w:r>
      <w:r>
        <w:rPr>
          <w:rFonts w:ascii="Arial"/>
          <w:i/>
          <w:spacing w:val="28"/>
          <w:sz w:val="20"/>
        </w:rPr>
        <w:t> </w:t>
      </w:r>
      <w:r>
        <w:rPr>
          <w:rFonts w:ascii="Arial"/>
          <w:i/>
          <w:sz w:val="20"/>
        </w:rPr>
        <w:t>[1931]</w:t>
      </w:r>
      <w:r>
        <w:rPr>
          <w:rFonts w:ascii="Arial"/>
          <w:i/>
          <w:spacing w:val="28"/>
          <w:sz w:val="20"/>
        </w:rPr>
        <w:t> </w:t>
      </w:r>
      <w:r>
        <w:rPr>
          <w:rFonts w:ascii="Arial"/>
          <w:i/>
          <w:sz w:val="20"/>
        </w:rPr>
        <w:t>2</w:t>
      </w:r>
      <w:r>
        <w:rPr>
          <w:rFonts w:ascii="Arial"/>
          <w:i/>
          <w:spacing w:val="28"/>
          <w:sz w:val="20"/>
        </w:rPr>
        <w:t> </w:t>
      </w:r>
      <w:r>
        <w:rPr>
          <w:rFonts w:ascii="Arial"/>
          <w:i/>
          <w:sz w:val="20"/>
        </w:rPr>
        <w:t>Ch.</w:t>
      </w:r>
      <w:r>
        <w:rPr>
          <w:rFonts w:ascii="Arial"/>
          <w:i/>
          <w:spacing w:val="28"/>
          <w:sz w:val="20"/>
        </w:rPr>
        <w:t> </w:t>
      </w:r>
      <w:r>
        <w:rPr>
          <w:rFonts w:ascii="Arial"/>
          <w:i/>
          <w:sz w:val="20"/>
        </w:rPr>
        <w:t>307</w:t>
      </w:r>
      <w:r>
        <w:rPr>
          <w:sz w:val="20"/>
        </w:rPr>
        <w:t>;</w:t>
      </w:r>
      <w:r>
        <w:rPr>
          <w:spacing w:val="28"/>
          <w:sz w:val="20"/>
        </w:rPr>
        <w:t> </w:t>
      </w:r>
      <w:r>
        <w:rPr>
          <w:rFonts w:ascii="Arial"/>
          <w:i/>
          <w:sz w:val="20"/>
        </w:rPr>
        <w:t>Cohen</w:t>
      </w:r>
      <w:r>
        <w:rPr>
          <w:rFonts w:ascii="Arial"/>
          <w:i/>
          <w:spacing w:val="28"/>
          <w:sz w:val="20"/>
        </w:rPr>
        <w:t> </w:t>
      </w:r>
      <w:r>
        <w:rPr>
          <w:rFonts w:ascii="Arial"/>
          <w:i/>
          <w:sz w:val="20"/>
        </w:rPr>
        <w:t>v</w:t>
      </w:r>
      <w:r>
        <w:rPr>
          <w:rFonts w:ascii="Arial"/>
          <w:i/>
          <w:spacing w:val="28"/>
          <w:sz w:val="20"/>
        </w:rPr>
        <w:t> </w:t>
      </w:r>
      <w:r>
        <w:rPr>
          <w:rFonts w:ascii="Arial"/>
          <w:i/>
          <w:sz w:val="20"/>
        </w:rPr>
        <w:t>Nessdale</w:t>
      </w:r>
      <w:r>
        <w:rPr>
          <w:rFonts w:ascii="Arial"/>
          <w:i/>
          <w:spacing w:val="28"/>
          <w:sz w:val="20"/>
        </w:rPr>
        <w:t> </w:t>
      </w:r>
      <w:r>
        <w:rPr>
          <w:rFonts w:ascii="Arial"/>
          <w:i/>
          <w:sz w:val="20"/>
        </w:rPr>
        <w:t>[1982]</w:t>
      </w:r>
      <w:r>
        <w:rPr>
          <w:rFonts w:ascii="Arial"/>
          <w:i/>
          <w:spacing w:val="28"/>
          <w:sz w:val="20"/>
        </w:rPr>
        <w:t> </w:t>
      </w:r>
      <w:r>
        <w:rPr>
          <w:rFonts w:ascii="Arial"/>
          <w:i/>
          <w:sz w:val="20"/>
        </w:rPr>
        <w:t>2</w:t>
      </w:r>
      <w:r>
        <w:rPr>
          <w:rFonts w:ascii="Arial"/>
          <w:i/>
          <w:spacing w:val="28"/>
          <w:sz w:val="20"/>
        </w:rPr>
        <w:t> </w:t>
      </w:r>
      <w:r>
        <w:rPr>
          <w:rFonts w:ascii="Arial"/>
          <w:i/>
          <w:sz w:val="20"/>
        </w:rPr>
        <w:t>All</w:t>
      </w:r>
      <w:r>
        <w:rPr>
          <w:rFonts w:ascii="Arial"/>
          <w:i/>
          <w:spacing w:val="28"/>
          <w:sz w:val="20"/>
        </w:rPr>
        <w:t> </w:t>
      </w:r>
      <w:r>
        <w:rPr>
          <w:rFonts w:ascii="Arial"/>
          <w:i/>
          <w:sz w:val="20"/>
        </w:rPr>
        <w:t>E.R.</w:t>
      </w:r>
      <w:r>
        <w:rPr>
          <w:rFonts w:ascii="Arial"/>
          <w:i/>
          <w:spacing w:val="28"/>
          <w:sz w:val="20"/>
        </w:rPr>
        <w:t> </w:t>
      </w:r>
      <w:r>
        <w:rPr>
          <w:rFonts w:ascii="Arial"/>
          <w:i/>
          <w:sz w:val="20"/>
        </w:rPr>
        <w:t>97</w:t>
      </w:r>
      <w:r>
        <w:rPr>
          <w:sz w:val="20"/>
        </w:rPr>
        <w:t>;</w:t>
      </w:r>
      <w:r>
        <w:rPr>
          <w:spacing w:val="28"/>
          <w:sz w:val="20"/>
        </w:rPr>
        <w:t> </w:t>
      </w:r>
      <w:r>
        <w:rPr>
          <w:rFonts w:ascii="Arial"/>
          <w:i/>
          <w:sz w:val="20"/>
        </w:rPr>
        <w:t>Secretary</w:t>
      </w:r>
      <w:r>
        <w:rPr>
          <w:rFonts w:ascii="Arial"/>
          <w:i/>
          <w:spacing w:val="28"/>
          <w:sz w:val="20"/>
        </w:rPr>
        <w:t> </w:t>
      </w:r>
      <w:r>
        <w:rPr>
          <w:rFonts w:ascii="Arial"/>
          <w:i/>
          <w:sz w:val="20"/>
        </w:rPr>
        <w:t>of State</w:t>
      </w:r>
      <w:r>
        <w:rPr>
          <w:rFonts w:ascii="Arial"/>
          <w:i/>
          <w:spacing w:val="23"/>
          <w:sz w:val="20"/>
        </w:rPr>
        <w:t> </w:t>
      </w:r>
      <w:r>
        <w:rPr>
          <w:rFonts w:ascii="Arial"/>
          <w:i/>
          <w:sz w:val="20"/>
        </w:rPr>
        <w:t>for</w:t>
      </w:r>
      <w:r>
        <w:rPr>
          <w:rFonts w:ascii="Arial"/>
          <w:i/>
          <w:spacing w:val="24"/>
          <w:sz w:val="20"/>
        </w:rPr>
        <w:t> </w:t>
      </w:r>
      <w:r>
        <w:rPr>
          <w:rFonts w:ascii="Arial"/>
          <w:i/>
          <w:sz w:val="20"/>
        </w:rPr>
        <w:t>Transport</w:t>
      </w:r>
      <w:r>
        <w:rPr>
          <w:rFonts w:ascii="Arial"/>
          <w:i/>
          <w:spacing w:val="24"/>
          <w:sz w:val="20"/>
        </w:rPr>
        <w:t> </w:t>
      </w:r>
      <w:r>
        <w:rPr>
          <w:rFonts w:ascii="Arial"/>
          <w:i/>
          <w:sz w:val="20"/>
        </w:rPr>
        <w:t>v</w:t>
      </w:r>
      <w:r>
        <w:rPr>
          <w:rFonts w:ascii="Arial"/>
          <w:i/>
          <w:spacing w:val="24"/>
          <w:sz w:val="20"/>
        </w:rPr>
        <w:t> </w:t>
      </w:r>
      <w:r>
        <w:rPr>
          <w:rFonts w:ascii="Arial"/>
          <w:i/>
          <w:sz w:val="20"/>
        </w:rPr>
        <w:t>Christos</w:t>
      </w:r>
      <w:r>
        <w:rPr>
          <w:rFonts w:ascii="Arial"/>
          <w:i/>
          <w:spacing w:val="24"/>
          <w:sz w:val="20"/>
        </w:rPr>
        <w:t> </w:t>
      </w:r>
      <w:r>
        <w:rPr>
          <w:rFonts w:ascii="Arial"/>
          <w:i/>
          <w:sz w:val="20"/>
        </w:rPr>
        <w:t>[2003]</w:t>
      </w:r>
      <w:r>
        <w:rPr>
          <w:rFonts w:ascii="Arial"/>
          <w:i/>
          <w:spacing w:val="24"/>
          <w:sz w:val="20"/>
        </w:rPr>
        <w:t> </w:t>
      </w:r>
      <w:r>
        <w:rPr>
          <w:rFonts w:ascii="Arial"/>
          <w:i/>
          <w:sz w:val="20"/>
        </w:rPr>
        <w:t>EWCA</w:t>
      </w:r>
      <w:r>
        <w:rPr>
          <w:rFonts w:ascii="Arial"/>
          <w:i/>
          <w:spacing w:val="24"/>
          <w:sz w:val="20"/>
        </w:rPr>
        <w:t> </w:t>
      </w:r>
      <w:r>
        <w:rPr>
          <w:rFonts w:ascii="Arial"/>
          <w:i/>
          <w:sz w:val="20"/>
        </w:rPr>
        <w:t>Civ</w:t>
      </w:r>
      <w:r>
        <w:rPr>
          <w:rFonts w:ascii="Arial"/>
          <w:i/>
          <w:spacing w:val="24"/>
          <w:sz w:val="20"/>
        </w:rPr>
        <w:t> </w:t>
      </w:r>
      <w:r>
        <w:rPr>
          <w:rFonts w:ascii="Arial"/>
          <w:i/>
          <w:sz w:val="20"/>
        </w:rPr>
        <w:t>1073,</w:t>
      </w:r>
      <w:r>
        <w:rPr>
          <w:rFonts w:ascii="Arial"/>
          <w:i/>
          <w:spacing w:val="24"/>
          <w:sz w:val="20"/>
        </w:rPr>
        <w:t> </w:t>
      </w:r>
      <w:r>
        <w:rPr>
          <w:rFonts w:ascii="Arial"/>
          <w:i/>
          <w:sz w:val="20"/>
        </w:rPr>
        <w:t>[2004]</w:t>
      </w:r>
      <w:r>
        <w:rPr>
          <w:rFonts w:ascii="Arial"/>
          <w:i/>
          <w:spacing w:val="24"/>
          <w:sz w:val="20"/>
        </w:rPr>
        <w:t> </w:t>
      </w:r>
      <w:r>
        <w:rPr>
          <w:rFonts w:ascii="Arial"/>
          <w:i/>
          <w:sz w:val="20"/>
        </w:rPr>
        <w:t>1</w:t>
      </w:r>
      <w:r>
        <w:rPr>
          <w:rFonts w:ascii="Arial"/>
          <w:i/>
          <w:spacing w:val="24"/>
          <w:sz w:val="20"/>
        </w:rPr>
        <w:t> </w:t>
      </w:r>
      <w:r>
        <w:rPr>
          <w:rFonts w:ascii="Arial"/>
          <w:i/>
          <w:sz w:val="20"/>
        </w:rPr>
        <w:t>P.</w:t>
      </w:r>
      <w:r>
        <w:rPr>
          <w:rFonts w:ascii="Arial"/>
          <w:i/>
          <w:spacing w:val="24"/>
          <w:sz w:val="20"/>
        </w:rPr>
        <w:t> </w:t>
      </w:r>
      <w:r>
        <w:rPr>
          <w:rFonts w:ascii="Arial"/>
          <w:i/>
          <w:sz w:val="20"/>
        </w:rPr>
        <w:t>&amp;</w:t>
      </w:r>
      <w:r>
        <w:rPr>
          <w:rFonts w:ascii="Arial"/>
          <w:i/>
          <w:spacing w:val="24"/>
          <w:sz w:val="20"/>
        </w:rPr>
        <w:t> </w:t>
      </w:r>
      <w:r>
        <w:rPr>
          <w:rFonts w:ascii="Arial"/>
          <w:i/>
          <w:sz w:val="20"/>
        </w:rPr>
        <w:t>C.R.</w:t>
      </w:r>
      <w:r>
        <w:rPr>
          <w:rFonts w:ascii="Arial"/>
          <w:i/>
          <w:spacing w:val="24"/>
          <w:sz w:val="20"/>
        </w:rPr>
        <w:t> </w:t>
      </w:r>
      <w:r>
        <w:rPr>
          <w:rFonts w:ascii="Arial"/>
          <w:i/>
          <w:sz w:val="20"/>
        </w:rPr>
        <w:t>17</w:t>
      </w:r>
      <w:r>
        <w:rPr>
          <w:sz w:val="20"/>
        </w:rPr>
        <w:t>;</w:t>
      </w:r>
      <w:r>
        <w:rPr>
          <w:spacing w:val="24"/>
          <w:sz w:val="20"/>
        </w:rPr>
        <w:t> </w:t>
      </w:r>
      <w:r>
        <w:rPr>
          <w:rFonts w:ascii="Arial"/>
          <w:i/>
          <w:sz w:val="20"/>
        </w:rPr>
        <w:t>Bolton</w:t>
      </w:r>
      <w:r>
        <w:rPr>
          <w:rFonts w:ascii="Arial"/>
          <w:i/>
          <w:spacing w:val="24"/>
          <w:sz w:val="20"/>
        </w:rPr>
        <w:t> </w:t>
      </w:r>
      <w:r>
        <w:rPr>
          <w:rFonts w:ascii="Arial"/>
          <w:i/>
          <w:sz w:val="20"/>
        </w:rPr>
        <w:t>MBC</w:t>
      </w:r>
      <w:r>
        <w:rPr>
          <w:rFonts w:ascii="Arial"/>
          <w:i/>
          <w:spacing w:val="24"/>
          <w:sz w:val="20"/>
        </w:rPr>
        <w:t> </w:t>
      </w:r>
      <w:r>
        <w:rPr>
          <w:rFonts w:ascii="Arial"/>
          <w:i/>
          <w:spacing w:val="-10"/>
          <w:sz w:val="20"/>
        </w:rPr>
        <w:t>v</w:t>
      </w:r>
    </w:p>
    <w:p>
      <w:pPr>
        <w:spacing w:after="0" w:line="235" w:lineRule="auto"/>
        <w:jc w:val="left"/>
        <w:rPr>
          <w:rFonts w:asci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i/>
          <w:sz w:val="20"/>
        </w:rPr>
        <w:t>Torkington [2003] EWCA Civ 1634, [2004] Ch. 66 </w:t>
      </w:r>
      <w:r>
        <w:rPr>
          <w:sz w:val="20"/>
        </w:rPr>
        <w:t>at [53], where mere sealing (without </w:t>
      </w:r>
      <w:r>
        <w:rPr>
          <w:sz w:val="20"/>
        </w:rPr>
        <w:t>delivery) of a counterpart lease by a local authority was held not to give rise to a contract binding the </w:t>
      </w:r>
      <w:r>
        <w:rPr>
          <w:spacing w:val="-2"/>
          <w:sz w:val="20"/>
        </w:rPr>
        <w:t>authority.</w:t>
      </w:r>
    </w:p>
    <w:p>
      <w:pPr>
        <w:pStyle w:val="BodyText"/>
        <w:spacing w:before="9"/>
      </w:pPr>
    </w:p>
    <w:p>
      <w:pPr>
        <w:pStyle w:val="BodyText"/>
        <w:spacing w:line="235" w:lineRule="auto"/>
        <w:ind w:left="705" w:right="167" w:hanging="541"/>
        <w:jc w:val="both"/>
      </w:pPr>
      <w:bookmarkStart w:name="_bookmark1387" w:id="1389"/>
      <w:bookmarkEnd w:id="1389"/>
      <w:r>
        <w:rPr/>
      </w:r>
      <w:hyperlink w:history="true" w:anchor="_bookmark1187">
        <w:r>
          <w:rPr>
            <w:color w:val="005DA1"/>
            <w:position w:val="5"/>
            <w:sz w:val="14"/>
            <w:u w:val="single" w:color="005DA1"/>
          </w:rPr>
          <w:t>654</w:t>
        </w:r>
      </w:hyperlink>
      <w:r>
        <w:rPr>
          <w:position w:val="5"/>
          <w:sz w:val="14"/>
        </w:rPr>
        <w:t>.</w:t>
      </w:r>
      <w:r>
        <w:rPr>
          <w:spacing w:val="80"/>
          <w:w w:val="150"/>
          <w:position w:val="5"/>
          <w:sz w:val="14"/>
        </w:rPr>
        <w:t> </w:t>
      </w:r>
      <w:r>
        <w:rPr/>
        <w:t>Below, para.5-011. A document setting out all the terms expressly agreed and signed by </w:t>
      </w:r>
      <w:r>
        <w:rPr/>
        <w:t>both parties</w:t>
      </w:r>
      <w:r>
        <w:rPr>
          <w:spacing w:val="-1"/>
        </w:rPr>
        <w:t> </w:t>
      </w:r>
      <w:r>
        <w:rPr/>
        <w:t>would</w:t>
      </w:r>
      <w:r>
        <w:rPr>
          <w:spacing w:val="-1"/>
        </w:rPr>
        <w:t> </w:t>
      </w:r>
      <w:r>
        <w:rPr/>
        <w:t>satisfy</w:t>
      </w:r>
      <w:r>
        <w:rPr>
          <w:spacing w:val="-1"/>
        </w:rPr>
        <w:t> </w:t>
      </w:r>
      <w:r>
        <w:rPr/>
        <w:t>the</w:t>
      </w:r>
      <w:r>
        <w:rPr>
          <w:spacing w:val="-1"/>
        </w:rPr>
        <w:t> </w:t>
      </w:r>
      <w:r>
        <w:rPr/>
        <w:t>formal</w:t>
      </w:r>
      <w:r>
        <w:rPr>
          <w:spacing w:val="-1"/>
        </w:rPr>
        <w:t> </w:t>
      </w:r>
      <w:r>
        <w:rPr/>
        <w:t>requirements;</w:t>
      </w:r>
      <w:r>
        <w:rPr>
          <w:spacing w:val="-1"/>
        </w:rPr>
        <w:t> </w:t>
      </w:r>
      <w:r>
        <w:rPr/>
        <w:t>but</w:t>
      </w:r>
      <w:r>
        <w:rPr>
          <w:spacing w:val="-1"/>
        </w:rPr>
        <w:t> </w:t>
      </w:r>
      <w:r>
        <w:rPr/>
        <w:t>if</w:t>
      </w:r>
      <w:r>
        <w:rPr>
          <w:spacing w:val="-1"/>
        </w:rPr>
        <w:t> </w:t>
      </w:r>
      <w:r>
        <w:rPr/>
        <w:t>it</w:t>
      </w:r>
      <w:r>
        <w:rPr>
          <w:spacing w:val="-1"/>
        </w:rPr>
        <w:t> </w:t>
      </w:r>
      <w:r>
        <w:rPr/>
        <w:t>were</w:t>
      </w:r>
      <w:r>
        <w:rPr>
          <w:spacing w:val="-1"/>
        </w:rPr>
        <w:t> </w:t>
      </w:r>
      <w:r>
        <w:rPr/>
        <w:t>expressed</w:t>
      </w:r>
      <w:r>
        <w:rPr>
          <w:spacing w:val="-1"/>
        </w:rPr>
        <w:t> </w:t>
      </w:r>
      <w:r>
        <w:rPr/>
        <w:t>to</w:t>
      </w:r>
      <w:r>
        <w:rPr>
          <w:spacing w:val="-1"/>
        </w:rPr>
        <w:t> </w:t>
      </w:r>
      <w:r>
        <w:rPr/>
        <w:t>be</w:t>
      </w:r>
      <w:r>
        <w:rPr>
          <w:spacing w:val="-1"/>
        </w:rPr>
        <w:t> </w:t>
      </w:r>
      <w:r>
        <w:rPr/>
        <w:t>“subject</w:t>
      </w:r>
      <w:r>
        <w:rPr>
          <w:spacing w:val="-1"/>
        </w:rPr>
        <w:t> </w:t>
      </w:r>
      <w:r>
        <w:rPr/>
        <w:t>to</w:t>
      </w:r>
      <w:r>
        <w:rPr>
          <w:spacing w:val="-1"/>
        </w:rPr>
        <w:t> </w:t>
      </w:r>
      <w:r>
        <w:rPr/>
        <w:t>contract” it would not give rise to a contract until “exchange” had taken place.</w:t>
      </w:r>
    </w:p>
    <w:p>
      <w:pPr>
        <w:pStyle w:val="BodyText"/>
        <w:spacing w:before="5"/>
      </w:pPr>
    </w:p>
    <w:p>
      <w:pPr>
        <w:pStyle w:val="BodyText"/>
        <w:tabs>
          <w:tab w:pos="705" w:val="left" w:leader="none"/>
        </w:tabs>
        <w:ind w:left="165"/>
      </w:pPr>
      <w:bookmarkStart w:name="_bookmark1388" w:id="1390"/>
      <w:bookmarkEnd w:id="1390"/>
      <w:r>
        <w:rPr/>
      </w:r>
      <w:hyperlink w:history="true" w:anchor="_bookmark1188">
        <w:r>
          <w:rPr>
            <w:color w:val="005DA1"/>
            <w:spacing w:val="-4"/>
            <w:position w:val="5"/>
            <w:sz w:val="14"/>
            <w:u w:val="single" w:color="005DA1"/>
          </w:rPr>
          <w:t>655</w:t>
        </w:r>
      </w:hyperlink>
      <w:r>
        <w:rPr>
          <w:spacing w:val="-4"/>
          <w:position w:val="5"/>
          <w:sz w:val="14"/>
        </w:rPr>
        <w:t>.</w:t>
      </w:r>
      <w:r>
        <w:rPr>
          <w:position w:val="5"/>
          <w:sz w:val="14"/>
        </w:rPr>
        <w:tab/>
      </w:r>
      <w:r>
        <w:rPr/>
        <w:t>Law of Property (Miscellaneous Provisions) Act 1989 ss.2(1), </w:t>
      </w:r>
      <w:r>
        <w:rPr>
          <w:spacing w:val="-4"/>
        </w:rPr>
        <w:t>(3).</w:t>
      </w:r>
    </w:p>
    <w:p>
      <w:pPr>
        <w:pStyle w:val="BodyText"/>
        <w:spacing w:before="9"/>
      </w:pPr>
    </w:p>
    <w:p>
      <w:pPr>
        <w:tabs>
          <w:tab w:pos="705" w:val="left" w:leader="none"/>
        </w:tabs>
        <w:spacing w:line="235" w:lineRule="auto" w:before="0"/>
        <w:ind w:left="705" w:right="168" w:hanging="541"/>
        <w:jc w:val="left"/>
        <w:rPr>
          <w:sz w:val="20"/>
        </w:rPr>
      </w:pPr>
      <w:bookmarkStart w:name="_bookmark1389" w:id="1391"/>
      <w:bookmarkEnd w:id="1391"/>
      <w:r>
        <w:rPr/>
      </w:r>
      <w:hyperlink w:history="true" w:anchor="_bookmark1189">
        <w:r>
          <w:rPr>
            <w:color w:val="005DA1"/>
            <w:spacing w:val="-4"/>
            <w:position w:val="5"/>
            <w:sz w:val="14"/>
            <w:u w:val="single" w:color="005DA1"/>
          </w:rPr>
          <w:t>656</w:t>
        </w:r>
      </w:hyperlink>
      <w:r>
        <w:rPr>
          <w:spacing w:val="-4"/>
          <w:position w:val="5"/>
          <w:sz w:val="14"/>
        </w:rPr>
        <w:t>.</w:t>
      </w:r>
      <w:r>
        <w:rPr>
          <w:position w:val="5"/>
          <w:sz w:val="14"/>
        </w:rPr>
        <w:tab/>
      </w:r>
      <w:r>
        <w:rPr>
          <w:sz w:val="20"/>
        </w:rPr>
        <w:t>See </w:t>
      </w:r>
      <w:r>
        <w:rPr>
          <w:rFonts w:ascii="Arial"/>
          <w:i/>
          <w:sz w:val="20"/>
        </w:rPr>
        <w:t>Commission for the New Towns v Cooper (Great Britain) Ltd [1995] Ch. 259, 285, 289</w:t>
      </w:r>
      <w:r>
        <w:rPr>
          <w:sz w:val="20"/>
        </w:rPr>
        <w:t>, </w:t>
      </w:r>
      <w:r>
        <w:rPr>
          <w:sz w:val="20"/>
        </w:rPr>
        <w:t>cf. at 293, 295.</w:t>
      </w:r>
    </w:p>
    <w:p>
      <w:pPr>
        <w:pStyle w:val="BodyText"/>
        <w:spacing w:before="9"/>
      </w:pPr>
    </w:p>
    <w:p>
      <w:pPr>
        <w:pStyle w:val="BodyText"/>
        <w:tabs>
          <w:tab w:pos="705" w:val="left" w:leader="none"/>
        </w:tabs>
        <w:spacing w:line="235" w:lineRule="auto"/>
        <w:ind w:left="705" w:right="168" w:hanging="541"/>
      </w:pPr>
      <w:bookmarkStart w:name="_bookmark1390" w:id="1392"/>
      <w:bookmarkEnd w:id="1392"/>
      <w:r>
        <w:rPr/>
      </w:r>
      <w:hyperlink w:history="true" w:anchor="_bookmark1190">
        <w:r>
          <w:rPr>
            <w:color w:val="005DA1"/>
            <w:spacing w:val="-4"/>
            <w:position w:val="5"/>
            <w:sz w:val="14"/>
            <w:u w:val="single" w:color="005DA1"/>
          </w:rPr>
          <w:t>657</w:t>
        </w:r>
      </w:hyperlink>
      <w:r>
        <w:rPr>
          <w:spacing w:val="-4"/>
          <w:position w:val="5"/>
          <w:sz w:val="14"/>
        </w:rPr>
        <w:t>.</w:t>
      </w:r>
      <w:r>
        <w:rPr>
          <w:position w:val="5"/>
          <w:sz w:val="14"/>
        </w:rPr>
        <w:tab/>
      </w:r>
      <w:r>
        <w:rPr>
          <w:rFonts w:ascii="Arial"/>
          <w:i/>
        </w:rPr>
        <w:t>Domb v Izoz [1980] Ch. 548</w:t>
      </w:r>
      <w:r>
        <w:rPr/>
        <w:t>. This relaxation refers only to the process of exchange; the formal requirements referred to at n.637 above must also be satisfied.</w:t>
      </w:r>
    </w:p>
    <w:p>
      <w:pPr>
        <w:pStyle w:val="BodyText"/>
        <w:spacing w:before="6"/>
      </w:pPr>
    </w:p>
    <w:p>
      <w:pPr>
        <w:tabs>
          <w:tab w:pos="705" w:val="left" w:leader="none"/>
        </w:tabs>
        <w:spacing w:before="0"/>
        <w:ind w:left="165" w:right="0" w:firstLine="0"/>
        <w:jc w:val="left"/>
        <w:rPr>
          <w:sz w:val="20"/>
        </w:rPr>
      </w:pPr>
      <w:bookmarkStart w:name="_bookmark1391" w:id="1393"/>
      <w:bookmarkEnd w:id="1393"/>
      <w:r>
        <w:rPr/>
      </w:r>
      <w:hyperlink w:history="true" w:anchor="_bookmark1191">
        <w:r>
          <w:rPr>
            <w:color w:val="005DA1"/>
            <w:spacing w:val="-4"/>
            <w:position w:val="5"/>
            <w:sz w:val="14"/>
            <w:u w:val="single" w:color="005DA1"/>
          </w:rPr>
          <w:t>658</w:t>
        </w:r>
      </w:hyperlink>
      <w:r>
        <w:rPr>
          <w:spacing w:val="-4"/>
          <w:position w:val="5"/>
          <w:sz w:val="14"/>
        </w:rPr>
        <w:t>.</w:t>
      </w:r>
      <w:r>
        <w:rPr>
          <w:position w:val="5"/>
          <w:sz w:val="14"/>
        </w:rPr>
        <w:tab/>
      </w:r>
      <w:r>
        <w:rPr>
          <w:rFonts w:ascii="Arial"/>
          <w:i/>
          <w:sz w:val="20"/>
        </w:rPr>
        <w:t>Sindel v Georgiou (1984) 154 C.L.R. </w:t>
      </w:r>
      <w:r>
        <w:rPr>
          <w:rFonts w:ascii="Arial"/>
          <w:i/>
          <w:spacing w:val="-4"/>
          <w:sz w:val="20"/>
        </w:rPr>
        <w:t>661</w:t>
      </w:r>
      <w:r>
        <w:rPr>
          <w:spacing w:val="-4"/>
          <w:sz w:val="20"/>
        </w:rPr>
        <w:t>.</w:t>
      </w:r>
    </w:p>
    <w:p>
      <w:pPr>
        <w:pStyle w:val="BodyText"/>
        <w:spacing w:before="5"/>
      </w:pPr>
    </w:p>
    <w:p>
      <w:pPr>
        <w:pStyle w:val="BodyText"/>
        <w:tabs>
          <w:tab w:pos="705" w:val="left" w:leader="none"/>
        </w:tabs>
        <w:ind w:left="165"/>
      </w:pPr>
      <w:bookmarkStart w:name="_bookmark1392" w:id="1394"/>
      <w:bookmarkEnd w:id="1394"/>
      <w:r>
        <w:rPr/>
      </w:r>
      <w:hyperlink w:history="true" w:anchor="_bookmark1192">
        <w:r>
          <w:rPr>
            <w:color w:val="005DA1"/>
            <w:spacing w:val="-4"/>
            <w:position w:val="5"/>
            <w:sz w:val="14"/>
            <w:u w:val="single" w:color="005DA1"/>
          </w:rPr>
          <w:t>659</w:t>
        </w:r>
      </w:hyperlink>
      <w:r>
        <w:rPr>
          <w:spacing w:val="-4"/>
          <w:position w:val="5"/>
          <w:sz w:val="14"/>
        </w:rPr>
        <w:t>.</w:t>
      </w:r>
      <w:r>
        <w:rPr>
          <w:position w:val="5"/>
          <w:sz w:val="14"/>
        </w:rPr>
        <w:tab/>
      </w:r>
      <w:r>
        <w:rPr/>
        <w:t>On the making of orders under the Land Registration Act </w:t>
      </w:r>
      <w:r>
        <w:rPr>
          <w:spacing w:val="-2"/>
        </w:rPr>
        <w:t>2002.</w:t>
      </w:r>
    </w:p>
    <w:p>
      <w:pPr>
        <w:pStyle w:val="BodyText"/>
        <w:spacing w:before="5"/>
      </w:pPr>
    </w:p>
    <w:p>
      <w:pPr>
        <w:tabs>
          <w:tab w:pos="705" w:val="left" w:leader="none"/>
        </w:tabs>
        <w:spacing w:before="0"/>
        <w:ind w:left="165" w:right="0" w:firstLine="0"/>
        <w:jc w:val="left"/>
        <w:rPr>
          <w:sz w:val="20"/>
        </w:rPr>
      </w:pPr>
      <w:bookmarkStart w:name="_bookmark1393" w:id="1395"/>
      <w:bookmarkEnd w:id="1395"/>
      <w:r>
        <w:rPr/>
      </w:r>
      <w:hyperlink w:history="true" w:anchor="_bookmark1193">
        <w:r>
          <w:rPr>
            <w:color w:val="005DA1"/>
            <w:spacing w:val="-4"/>
            <w:position w:val="5"/>
            <w:sz w:val="14"/>
            <w:u w:val="single" w:color="005DA1"/>
          </w:rPr>
          <w:t>660</w:t>
        </w:r>
      </w:hyperlink>
      <w:r>
        <w:rPr>
          <w:spacing w:val="-4"/>
          <w:position w:val="5"/>
          <w:sz w:val="14"/>
        </w:rPr>
        <w:t>.</w:t>
      </w:r>
      <w:r>
        <w:rPr>
          <w:position w:val="5"/>
          <w:sz w:val="14"/>
        </w:rPr>
        <w:tab/>
      </w:r>
      <w:r>
        <w:rPr>
          <w:sz w:val="20"/>
        </w:rPr>
        <w:t>Below, para.2-</w:t>
      </w:r>
      <w:r>
        <w:rPr>
          <w:spacing w:val="-4"/>
          <w:sz w:val="20"/>
        </w:rPr>
        <w:t>171.</w:t>
      </w:r>
    </w:p>
    <w:p>
      <w:pPr>
        <w:pStyle w:val="BodyText"/>
        <w:spacing w:before="8"/>
      </w:pPr>
    </w:p>
    <w:p>
      <w:pPr>
        <w:tabs>
          <w:tab w:pos="705" w:val="left" w:leader="none"/>
        </w:tabs>
        <w:spacing w:line="235" w:lineRule="auto" w:before="1"/>
        <w:ind w:left="705" w:right="168" w:hanging="541"/>
        <w:jc w:val="left"/>
        <w:rPr>
          <w:sz w:val="20"/>
        </w:rPr>
      </w:pPr>
      <w:bookmarkStart w:name="_bookmark1394" w:id="1396"/>
      <w:bookmarkEnd w:id="1396"/>
      <w:r>
        <w:rPr/>
      </w:r>
      <w:hyperlink w:history="true" w:anchor="_bookmark1194">
        <w:r>
          <w:rPr>
            <w:color w:val="005DA1"/>
            <w:spacing w:val="-4"/>
            <w:position w:val="5"/>
            <w:sz w:val="14"/>
            <w:u w:val="single" w:color="005DA1"/>
          </w:rPr>
          <w:t>661</w:t>
        </w:r>
      </w:hyperlink>
      <w:r>
        <w:rPr>
          <w:spacing w:val="-4"/>
          <w:position w:val="5"/>
          <w:sz w:val="14"/>
        </w:rPr>
        <w:t>.</w:t>
      </w:r>
      <w:r>
        <w:rPr>
          <w:position w:val="5"/>
          <w:sz w:val="14"/>
        </w:rPr>
        <w:tab/>
      </w:r>
      <w:r>
        <w:rPr>
          <w:rFonts w:ascii="Arial"/>
          <w:i/>
          <w:sz w:val="20"/>
        </w:rPr>
        <w:t>Cohen</w:t>
      </w:r>
      <w:r>
        <w:rPr>
          <w:rFonts w:ascii="Arial"/>
          <w:i/>
          <w:spacing w:val="69"/>
          <w:sz w:val="20"/>
        </w:rPr>
        <w:t> </w:t>
      </w:r>
      <w:r>
        <w:rPr>
          <w:rFonts w:ascii="Arial"/>
          <w:i/>
          <w:sz w:val="20"/>
        </w:rPr>
        <w:t>v</w:t>
      </w:r>
      <w:r>
        <w:rPr>
          <w:rFonts w:ascii="Arial"/>
          <w:i/>
          <w:spacing w:val="69"/>
          <w:sz w:val="20"/>
        </w:rPr>
        <w:t> </w:t>
      </w:r>
      <w:r>
        <w:rPr>
          <w:rFonts w:ascii="Arial"/>
          <w:i/>
          <w:sz w:val="20"/>
        </w:rPr>
        <w:t>Nessdale</w:t>
      </w:r>
      <w:r>
        <w:rPr>
          <w:rFonts w:ascii="Arial"/>
          <w:i/>
          <w:spacing w:val="69"/>
          <w:sz w:val="20"/>
        </w:rPr>
        <w:t> </w:t>
      </w:r>
      <w:r>
        <w:rPr>
          <w:rFonts w:ascii="Arial"/>
          <w:i/>
          <w:sz w:val="20"/>
        </w:rPr>
        <w:t>[1981]</w:t>
      </w:r>
      <w:r>
        <w:rPr>
          <w:rFonts w:ascii="Arial"/>
          <w:i/>
          <w:spacing w:val="69"/>
          <w:sz w:val="20"/>
        </w:rPr>
        <w:t> </w:t>
      </w:r>
      <w:r>
        <w:rPr>
          <w:rFonts w:ascii="Arial"/>
          <w:i/>
          <w:sz w:val="20"/>
        </w:rPr>
        <w:t>3</w:t>
      </w:r>
      <w:r>
        <w:rPr>
          <w:rFonts w:ascii="Arial"/>
          <w:i/>
          <w:spacing w:val="69"/>
          <w:sz w:val="20"/>
        </w:rPr>
        <w:t> </w:t>
      </w:r>
      <w:r>
        <w:rPr>
          <w:rFonts w:ascii="Arial"/>
          <w:i/>
          <w:sz w:val="20"/>
        </w:rPr>
        <w:t>All</w:t>
      </w:r>
      <w:r>
        <w:rPr>
          <w:rFonts w:ascii="Arial"/>
          <w:i/>
          <w:spacing w:val="69"/>
          <w:sz w:val="20"/>
        </w:rPr>
        <w:t> </w:t>
      </w:r>
      <w:r>
        <w:rPr>
          <w:rFonts w:ascii="Arial"/>
          <w:i/>
          <w:sz w:val="20"/>
        </w:rPr>
        <w:t>E.R.</w:t>
      </w:r>
      <w:r>
        <w:rPr>
          <w:rFonts w:ascii="Arial"/>
          <w:i/>
          <w:spacing w:val="69"/>
          <w:sz w:val="20"/>
        </w:rPr>
        <w:t> </w:t>
      </w:r>
      <w:r>
        <w:rPr>
          <w:rFonts w:ascii="Arial"/>
          <w:i/>
          <w:sz w:val="20"/>
        </w:rPr>
        <w:t>118,</w:t>
      </w:r>
      <w:r>
        <w:rPr>
          <w:rFonts w:ascii="Arial"/>
          <w:i/>
          <w:spacing w:val="69"/>
          <w:sz w:val="20"/>
        </w:rPr>
        <w:t> </w:t>
      </w:r>
      <w:r>
        <w:rPr>
          <w:rFonts w:ascii="Arial"/>
          <w:i/>
          <w:sz w:val="20"/>
        </w:rPr>
        <w:t>128;</w:t>
      </w:r>
      <w:r>
        <w:rPr>
          <w:rFonts w:ascii="Arial"/>
          <w:i/>
          <w:spacing w:val="69"/>
          <w:sz w:val="20"/>
        </w:rPr>
        <w:t> </w:t>
      </w:r>
      <w:r>
        <w:rPr>
          <w:rFonts w:ascii="Arial"/>
          <w:i/>
          <w:sz w:val="20"/>
        </w:rPr>
        <w:t>affirmed</w:t>
      </w:r>
      <w:r>
        <w:rPr>
          <w:rFonts w:ascii="Arial"/>
          <w:i/>
          <w:spacing w:val="69"/>
          <w:sz w:val="20"/>
        </w:rPr>
        <w:t> </w:t>
      </w:r>
      <w:r>
        <w:rPr>
          <w:rFonts w:ascii="Arial"/>
          <w:i/>
          <w:sz w:val="20"/>
        </w:rPr>
        <w:t>[1982]</w:t>
      </w:r>
      <w:r>
        <w:rPr>
          <w:rFonts w:ascii="Arial"/>
          <w:i/>
          <w:spacing w:val="69"/>
          <w:sz w:val="20"/>
        </w:rPr>
        <w:t> </w:t>
      </w:r>
      <w:r>
        <w:rPr>
          <w:rFonts w:ascii="Arial"/>
          <w:i/>
          <w:sz w:val="20"/>
        </w:rPr>
        <w:t>2</w:t>
      </w:r>
      <w:r>
        <w:rPr>
          <w:rFonts w:ascii="Arial"/>
          <w:i/>
          <w:spacing w:val="69"/>
          <w:sz w:val="20"/>
        </w:rPr>
        <w:t> </w:t>
      </w:r>
      <w:r>
        <w:rPr>
          <w:rFonts w:ascii="Arial"/>
          <w:i/>
          <w:sz w:val="20"/>
        </w:rPr>
        <w:t>All</w:t>
      </w:r>
      <w:r>
        <w:rPr>
          <w:rFonts w:ascii="Arial"/>
          <w:i/>
          <w:spacing w:val="69"/>
          <w:sz w:val="20"/>
        </w:rPr>
        <w:t> </w:t>
      </w:r>
      <w:r>
        <w:rPr>
          <w:rFonts w:ascii="Arial"/>
          <w:i/>
          <w:sz w:val="20"/>
        </w:rPr>
        <w:t>E.R.</w:t>
      </w:r>
      <w:r>
        <w:rPr>
          <w:rFonts w:ascii="Arial"/>
          <w:i/>
          <w:spacing w:val="69"/>
          <w:sz w:val="20"/>
        </w:rPr>
        <w:t> </w:t>
      </w:r>
      <w:r>
        <w:rPr>
          <w:rFonts w:ascii="Arial"/>
          <w:i/>
          <w:sz w:val="20"/>
        </w:rPr>
        <w:t>97</w:t>
      </w:r>
      <w:r>
        <w:rPr>
          <w:sz w:val="20"/>
        </w:rPr>
        <w:t>;</w:t>
      </w:r>
      <w:r>
        <w:rPr>
          <w:spacing w:val="69"/>
          <w:sz w:val="20"/>
        </w:rPr>
        <w:t> </w:t>
      </w:r>
      <w:r>
        <w:rPr>
          <w:sz w:val="20"/>
        </w:rPr>
        <w:t>cf.</w:t>
      </w:r>
      <w:r>
        <w:rPr>
          <w:spacing w:val="69"/>
          <w:sz w:val="20"/>
        </w:rPr>
        <w:t> </w:t>
      </w:r>
      <w:r>
        <w:rPr>
          <w:sz w:val="20"/>
        </w:rPr>
        <w:t>Law Commission Paper No.65.</w:t>
      </w:r>
    </w:p>
    <w:p>
      <w:pPr>
        <w:pStyle w:val="BodyText"/>
        <w:spacing w:before="5"/>
      </w:pPr>
    </w:p>
    <w:p>
      <w:pPr>
        <w:tabs>
          <w:tab w:pos="705" w:val="left" w:leader="none"/>
        </w:tabs>
        <w:spacing w:before="0"/>
        <w:ind w:left="165" w:right="0" w:firstLine="0"/>
        <w:jc w:val="left"/>
        <w:rPr>
          <w:sz w:val="20"/>
        </w:rPr>
      </w:pPr>
      <w:bookmarkStart w:name="_bookmark1395" w:id="1397"/>
      <w:bookmarkEnd w:id="1397"/>
      <w:r>
        <w:rPr/>
      </w:r>
      <w:hyperlink w:history="true" w:anchor="_bookmark1195">
        <w:r>
          <w:rPr>
            <w:color w:val="005DA1"/>
            <w:spacing w:val="-4"/>
            <w:position w:val="5"/>
            <w:sz w:val="14"/>
            <w:u w:val="single" w:color="005DA1"/>
          </w:rPr>
          <w:t>662</w:t>
        </w:r>
      </w:hyperlink>
      <w:r>
        <w:rPr>
          <w:spacing w:val="-4"/>
          <w:position w:val="5"/>
          <w:sz w:val="14"/>
        </w:rPr>
        <w:t>.</w:t>
      </w:r>
      <w:r>
        <w:rPr>
          <w:position w:val="5"/>
          <w:sz w:val="14"/>
        </w:rPr>
        <w:tab/>
      </w:r>
      <w:r>
        <w:rPr>
          <w:rFonts w:ascii="Arial"/>
          <w:i/>
          <w:sz w:val="20"/>
        </w:rPr>
        <w:t>Harrison v Battye [1975] 1 W.L.R. </w:t>
      </w:r>
      <w:r>
        <w:rPr>
          <w:rFonts w:ascii="Arial"/>
          <w:i/>
          <w:spacing w:val="-5"/>
          <w:sz w:val="20"/>
        </w:rPr>
        <w:t>53</w:t>
      </w:r>
      <w:r>
        <w:rPr>
          <w:spacing w:val="-5"/>
          <w:sz w:val="20"/>
        </w:rPr>
        <w:t>.</w:t>
      </w:r>
    </w:p>
    <w:p>
      <w:pPr>
        <w:pStyle w:val="BodyText"/>
        <w:spacing w:before="9"/>
      </w:pPr>
    </w:p>
    <w:p>
      <w:pPr>
        <w:spacing w:line="235" w:lineRule="auto" w:before="0"/>
        <w:ind w:left="705" w:right="167" w:hanging="541"/>
        <w:jc w:val="both"/>
        <w:rPr>
          <w:sz w:val="20"/>
        </w:rPr>
      </w:pPr>
      <w:bookmarkStart w:name="_bookmark1396" w:id="1398"/>
      <w:bookmarkEnd w:id="1398"/>
      <w:r>
        <w:rPr/>
      </w:r>
      <w:hyperlink w:history="true" w:anchor="_bookmark1196">
        <w:r>
          <w:rPr>
            <w:color w:val="005DA1"/>
            <w:position w:val="5"/>
            <w:sz w:val="14"/>
            <w:u w:val="single" w:color="005DA1"/>
          </w:rPr>
          <w:t>663</w:t>
        </w:r>
      </w:hyperlink>
      <w:r>
        <w:rPr>
          <w:position w:val="5"/>
          <w:sz w:val="14"/>
        </w:rPr>
        <w:t>.</w:t>
      </w:r>
      <w:r>
        <w:rPr>
          <w:spacing w:val="80"/>
          <w:position w:val="5"/>
          <w:sz w:val="14"/>
        </w:rPr>
        <w:t>  </w:t>
      </w:r>
      <w:r>
        <w:rPr>
          <w:rFonts w:ascii="Arial"/>
          <w:i/>
          <w:sz w:val="20"/>
        </w:rPr>
        <w:t>Smith v Mansi [1963] 1 W.L.R. 26</w:t>
      </w:r>
      <w:r>
        <w:rPr>
          <w:sz w:val="20"/>
        </w:rPr>
        <w:t>; exchange is also unnecessary in the case of a deed which takes effect on execution and delivery: see above, paras 1-113 et seq.; </w:t>
      </w:r>
      <w:r>
        <w:rPr>
          <w:rFonts w:ascii="Arial"/>
          <w:i/>
          <w:sz w:val="20"/>
        </w:rPr>
        <w:t>Vincent v </w:t>
      </w:r>
      <w:r>
        <w:rPr>
          <w:rFonts w:ascii="Arial"/>
          <w:i/>
          <w:sz w:val="20"/>
        </w:rPr>
        <w:t>Premo Enterprises Ltd [1969] 2 Q.B. 609</w:t>
      </w:r>
      <w:r>
        <w:rPr>
          <w:sz w:val="20"/>
        </w:rPr>
        <w:t>.</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1397" w:id="1399"/>
      <w:bookmarkEnd w:id="1399"/>
      <w:r>
        <w:rPr/>
      </w:r>
      <w:hyperlink w:history="true" w:anchor="_bookmark1197">
        <w:r>
          <w:rPr>
            <w:color w:val="005DA1"/>
            <w:spacing w:val="-4"/>
            <w:position w:val="5"/>
            <w:sz w:val="14"/>
            <w:u w:val="single" w:color="005DA1"/>
          </w:rPr>
          <w:t>664</w:t>
        </w:r>
      </w:hyperlink>
      <w:r>
        <w:rPr>
          <w:spacing w:val="-4"/>
          <w:position w:val="5"/>
          <w:sz w:val="14"/>
        </w:rPr>
        <w:t>.</w:t>
      </w:r>
      <w:r>
        <w:rPr>
          <w:position w:val="5"/>
          <w:sz w:val="14"/>
        </w:rPr>
        <w:tab/>
      </w:r>
      <w:r>
        <w:rPr>
          <w:rFonts w:ascii="Arial"/>
          <w:i/>
          <w:sz w:val="20"/>
        </w:rPr>
        <w:t>Law v Jones [1974] Ch. 112</w:t>
      </w:r>
      <w:r>
        <w:rPr>
          <w:sz w:val="20"/>
        </w:rPr>
        <w:t>, as explained in </w:t>
      </w:r>
      <w:r>
        <w:rPr>
          <w:rFonts w:ascii="Arial"/>
          <w:i/>
          <w:sz w:val="20"/>
        </w:rPr>
        <w:t>Daulia v Four Millbank Nominees [1978] Ch. 231, 250</w:t>
      </w:r>
      <w:r>
        <w:rPr>
          <w:sz w:val="20"/>
        </w:rPr>
        <w:t>;</w:t>
      </w:r>
      <w:r>
        <w:rPr>
          <w:spacing w:val="7"/>
          <w:sz w:val="20"/>
        </w:rPr>
        <w:t> </w:t>
      </w:r>
      <w:r>
        <w:rPr>
          <w:rFonts w:ascii="Arial"/>
          <w:i/>
          <w:sz w:val="20"/>
        </w:rPr>
        <w:t>Cohen</w:t>
      </w:r>
      <w:r>
        <w:rPr>
          <w:rFonts w:ascii="Arial"/>
          <w:i/>
          <w:spacing w:val="8"/>
          <w:sz w:val="20"/>
        </w:rPr>
        <w:t> </w:t>
      </w:r>
      <w:r>
        <w:rPr>
          <w:rFonts w:ascii="Arial"/>
          <w:i/>
          <w:sz w:val="20"/>
        </w:rPr>
        <w:t>v</w:t>
      </w:r>
      <w:r>
        <w:rPr>
          <w:rFonts w:ascii="Arial"/>
          <w:i/>
          <w:spacing w:val="8"/>
          <w:sz w:val="20"/>
        </w:rPr>
        <w:t> </w:t>
      </w:r>
      <w:r>
        <w:rPr>
          <w:rFonts w:ascii="Arial"/>
          <w:i/>
          <w:sz w:val="20"/>
        </w:rPr>
        <w:t>Nessdale</w:t>
      </w:r>
      <w:r>
        <w:rPr>
          <w:rFonts w:ascii="Arial"/>
          <w:i/>
          <w:spacing w:val="8"/>
          <w:sz w:val="20"/>
        </w:rPr>
        <w:t> </w:t>
      </w:r>
      <w:r>
        <w:rPr>
          <w:rFonts w:ascii="Arial"/>
          <w:i/>
          <w:sz w:val="20"/>
        </w:rPr>
        <w:t>[1981]</w:t>
      </w:r>
      <w:r>
        <w:rPr>
          <w:rFonts w:ascii="Arial"/>
          <w:i/>
          <w:spacing w:val="8"/>
          <w:sz w:val="20"/>
        </w:rPr>
        <w:t> </w:t>
      </w:r>
      <w:r>
        <w:rPr>
          <w:rFonts w:ascii="Arial"/>
          <w:i/>
          <w:sz w:val="20"/>
        </w:rPr>
        <w:t>3</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118,</w:t>
      </w:r>
      <w:r>
        <w:rPr>
          <w:rFonts w:ascii="Arial"/>
          <w:i/>
          <w:spacing w:val="8"/>
          <w:sz w:val="20"/>
        </w:rPr>
        <w:t> </w:t>
      </w:r>
      <w:r>
        <w:rPr>
          <w:rFonts w:ascii="Arial"/>
          <w:i/>
          <w:sz w:val="20"/>
        </w:rPr>
        <w:t>127,</w:t>
      </w:r>
      <w:r>
        <w:rPr>
          <w:rFonts w:ascii="Arial"/>
          <w:i/>
          <w:spacing w:val="7"/>
          <w:sz w:val="20"/>
        </w:rPr>
        <w:t> </w:t>
      </w:r>
      <w:r>
        <w:rPr>
          <w:rFonts w:ascii="Arial"/>
          <w:i/>
          <w:sz w:val="20"/>
        </w:rPr>
        <w:t>[1982]</w:t>
      </w:r>
      <w:r>
        <w:rPr>
          <w:rFonts w:ascii="Arial"/>
          <w:i/>
          <w:spacing w:val="8"/>
          <w:sz w:val="20"/>
        </w:rPr>
        <w:t> </w:t>
      </w:r>
      <w:r>
        <w:rPr>
          <w:rFonts w:ascii="Arial"/>
          <w:i/>
          <w:sz w:val="20"/>
        </w:rPr>
        <w:t>2</w:t>
      </w:r>
      <w:r>
        <w:rPr>
          <w:rFonts w:ascii="Arial"/>
          <w:i/>
          <w:spacing w:val="8"/>
          <w:sz w:val="20"/>
        </w:rPr>
        <w:t> </w:t>
      </w:r>
      <w:r>
        <w:rPr>
          <w:rFonts w:ascii="Arial"/>
          <w:i/>
          <w:sz w:val="20"/>
        </w:rPr>
        <w:t>All</w:t>
      </w:r>
      <w:r>
        <w:rPr>
          <w:rFonts w:ascii="Arial"/>
          <w:i/>
          <w:spacing w:val="8"/>
          <w:sz w:val="20"/>
        </w:rPr>
        <w:t> </w:t>
      </w:r>
      <w:r>
        <w:rPr>
          <w:rFonts w:ascii="Arial"/>
          <w:i/>
          <w:sz w:val="20"/>
        </w:rPr>
        <w:t>E.R.</w:t>
      </w:r>
      <w:r>
        <w:rPr>
          <w:rFonts w:ascii="Arial"/>
          <w:i/>
          <w:spacing w:val="8"/>
          <w:sz w:val="20"/>
        </w:rPr>
        <w:t> </w:t>
      </w:r>
      <w:r>
        <w:rPr>
          <w:rFonts w:ascii="Arial"/>
          <w:i/>
          <w:sz w:val="20"/>
        </w:rPr>
        <w:t>97,</w:t>
      </w:r>
      <w:r>
        <w:rPr>
          <w:rFonts w:ascii="Arial"/>
          <w:i/>
          <w:spacing w:val="8"/>
          <w:sz w:val="20"/>
        </w:rPr>
        <w:t> </w:t>
      </w:r>
      <w:r>
        <w:rPr>
          <w:rFonts w:ascii="Arial"/>
          <w:i/>
          <w:sz w:val="20"/>
        </w:rPr>
        <w:t>104</w:t>
      </w:r>
      <w:r>
        <w:rPr>
          <w:sz w:val="20"/>
        </w:rPr>
        <w:t>;</w:t>
      </w:r>
      <w:r>
        <w:rPr>
          <w:spacing w:val="8"/>
          <w:sz w:val="20"/>
        </w:rPr>
        <w:t> </w:t>
      </w:r>
      <w:r>
        <w:rPr>
          <w:sz w:val="20"/>
        </w:rPr>
        <w:t>see</w:t>
      </w:r>
      <w:r>
        <w:rPr>
          <w:spacing w:val="8"/>
          <w:sz w:val="20"/>
        </w:rPr>
        <w:t> </w:t>
      </w:r>
      <w:r>
        <w:rPr>
          <w:sz w:val="20"/>
        </w:rPr>
        <w:t>also</w:t>
      </w:r>
      <w:r>
        <w:rPr>
          <w:spacing w:val="8"/>
          <w:sz w:val="20"/>
        </w:rPr>
        <w:t> </w:t>
      </w:r>
      <w:r>
        <w:rPr>
          <w:rFonts w:ascii="Arial"/>
          <w:i/>
          <w:spacing w:val="-2"/>
          <w:sz w:val="20"/>
        </w:rPr>
        <w:t>Tiverton</w:t>
      </w:r>
    </w:p>
    <w:p>
      <w:pPr>
        <w:spacing w:line="223" w:lineRule="exact" w:before="0"/>
        <w:ind w:left="705" w:right="0" w:firstLine="0"/>
        <w:jc w:val="left"/>
        <w:rPr>
          <w:rFonts w:ascii="Arial"/>
          <w:i/>
          <w:sz w:val="20"/>
        </w:rPr>
      </w:pPr>
      <w:r>
        <w:rPr>
          <w:rFonts w:ascii="Arial"/>
          <w:i/>
          <w:sz w:val="20"/>
        </w:rPr>
        <w:t>Estates</w:t>
      </w:r>
      <w:r>
        <w:rPr>
          <w:rFonts w:ascii="Arial"/>
          <w:i/>
          <w:spacing w:val="33"/>
          <w:sz w:val="20"/>
        </w:rPr>
        <w:t> </w:t>
      </w:r>
      <w:r>
        <w:rPr>
          <w:rFonts w:ascii="Arial"/>
          <w:i/>
          <w:sz w:val="20"/>
        </w:rPr>
        <w:t>Ltd</w:t>
      </w:r>
      <w:r>
        <w:rPr>
          <w:rFonts w:ascii="Arial"/>
          <w:i/>
          <w:spacing w:val="34"/>
          <w:sz w:val="20"/>
        </w:rPr>
        <w:t> </w:t>
      </w:r>
      <w:r>
        <w:rPr>
          <w:rFonts w:ascii="Arial"/>
          <w:i/>
          <w:sz w:val="20"/>
        </w:rPr>
        <w:t>v</w:t>
      </w:r>
      <w:r>
        <w:rPr>
          <w:rFonts w:ascii="Arial"/>
          <w:i/>
          <w:spacing w:val="34"/>
          <w:sz w:val="20"/>
        </w:rPr>
        <w:t> </w:t>
      </w:r>
      <w:r>
        <w:rPr>
          <w:rFonts w:ascii="Arial"/>
          <w:i/>
          <w:sz w:val="20"/>
        </w:rPr>
        <w:t>Wearwell</w:t>
      </w:r>
      <w:r>
        <w:rPr>
          <w:rFonts w:ascii="Arial"/>
          <w:i/>
          <w:spacing w:val="34"/>
          <w:sz w:val="20"/>
        </w:rPr>
        <w:t> </w:t>
      </w:r>
      <w:r>
        <w:rPr>
          <w:rFonts w:ascii="Arial"/>
          <w:i/>
          <w:sz w:val="20"/>
        </w:rPr>
        <w:t>[1975]</w:t>
      </w:r>
      <w:r>
        <w:rPr>
          <w:rFonts w:ascii="Arial"/>
          <w:i/>
          <w:spacing w:val="34"/>
          <w:sz w:val="20"/>
        </w:rPr>
        <w:t> </w:t>
      </w:r>
      <w:r>
        <w:rPr>
          <w:rFonts w:ascii="Arial"/>
          <w:i/>
          <w:sz w:val="20"/>
        </w:rPr>
        <w:t>Ch.</w:t>
      </w:r>
      <w:r>
        <w:rPr>
          <w:rFonts w:ascii="Arial"/>
          <w:i/>
          <w:spacing w:val="34"/>
          <w:sz w:val="20"/>
        </w:rPr>
        <w:t> </w:t>
      </w:r>
      <w:r>
        <w:rPr>
          <w:rFonts w:ascii="Arial"/>
          <w:i/>
          <w:sz w:val="20"/>
        </w:rPr>
        <w:t>146</w:t>
      </w:r>
      <w:r>
        <w:rPr>
          <w:sz w:val="20"/>
        </w:rPr>
        <w:t>,</w:t>
      </w:r>
      <w:r>
        <w:rPr>
          <w:spacing w:val="34"/>
          <w:sz w:val="20"/>
        </w:rPr>
        <w:t> </w:t>
      </w:r>
      <w:r>
        <w:rPr>
          <w:sz w:val="20"/>
        </w:rPr>
        <w:t>followed</w:t>
      </w:r>
      <w:r>
        <w:rPr>
          <w:spacing w:val="34"/>
          <w:sz w:val="20"/>
        </w:rPr>
        <w:t> </w:t>
      </w:r>
      <w:r>
        <w:rPr>
          <w:sz w:val="20"/>
        </w:rPr>
        <w:t>in</w:t>
      </w:r>
      <w:r>
        <w:rPr>
          <w:spacing w:val="34"/>
          <w:sz w:val="20"/>
        </w:rPr>
        <w:t> </w:t>
      </w:r>
      <w:r>
        <w:rPr>
          <w:rFonts w:ascii="Arial"/>
          <w:i/>
          <w:sz w:val="20"/>
        </w:rPr>
        <w:t>Irani</w:t>
      </w:r>
      <w:r>
        <w:rPr>
          <w:rFonts w:ascii="Arial"/>
          <w:i/>
          <w:spacing w:val="34"/>
          <w:sz w:val="20"/>
        </w:rPr>
        <w:t> </w:t>
      </w:r>
      <w:r>
        <w:rPr>
          <w:rFonts w:ascii="Arial"/>
          <w:i/>
          <w:sz w:val="20"/>
        </w:rPr>
        <w:t>v</w:t>
      </w:r>
      <w:r>
        <w:rPr>
          <w:rFonts w:ascii="Arial"/>
          <w:i/>
          <w:spacing w:val="34"/>
          <w:sz w:val="20"/>
        </w:rPr>
        <w:t> </w:t>
      </w:r>
      <w:r>
        <w:rPr>
          <w:rFonts w:ascii="Arial"/>
          <w:i/>
          <w:sz w:val="20"/>
        </w:rPr>
        <w:t>Irani</w:t>
      </w:r>
      <w:r>
        <w:rPr>
          <w:rFonts w:ascii="Arial"/>
          <w:i/>
          <w:spacing w:val="34"/>
          <w:sz w:val="20"/>
        </w:rPr>
        <w:t> </w:t>
      </w:r>
      <w:r>
        <w:rPr>
          <w:rFonts w:ascii="Arial"/>
          <w:i/>
          <w:sz w:val="20"/>
        </w:rPr>
        <w:t>[2006]</w:t>
      </w:r>
      <w:r>
        <w:rPr>
          <w:rFonts w:ascii="Arial"/>
          <w:i/>
          <w:spacing w:val="34"/>
          <w:sz w:val="20"/>
        </w:rPr>
        <w:t> </w:t>
      </w:r>
      <w:r>
        <w:rPr>
          <w:rFonts w:ascii="Arial"/>
          <w:i/>
          <w:sz w:val="20"/>
        </w:rPr>
        <w:t>EWHC</w:t>
      </w:r>
      <w:r>
        <w:rPr>
          <w:rFonts w:ascii="Arial"/>
          <w:i/>
          <w:spacing w:val="34"/>
          <w:sz w:val="20"/>
        </w:rPr>
        <w:t> </w:t>
      </w:r>
      <w:r>
        <w:rPr>
          <w:rFonts w:ascii="Arial"/>
          <w:i/>
          <w:sz w:val="20"/>
        </w:rPr>
        <w:t>1811,</w:t>
      </w:r>
      <w:r>
        <w:rPr>
          <w:rFonts w:ascii="Arial"/>
          <w:i/>
          <w:spacing w:val="34"/>
          <w:sz w:val="20"/>
        </w:rPr>
        <w:t> </w:t>
      </w:r>
      <w:r>
        <w:rPr>
          <w:rFonts w:ascii="Arial"/>
          <w:i/>
          <w:spacing w:val="-2"/>
          <w:sz w:val="20"/>
        </w:rPr>
        <w:t>[2006]</w:t>
      </w:r>
    </w:p>
    <w:p>
      <w:pPr>
        <w:spacing w:line="225" w:lineRule="exact" w:before="0"/>
        <w:ind w:left="705" w:right="0" w:firstLine="0"/>
        <w:jc w:val="left"/>
        <w:rPr>
          <w:rFonts w:ascii="Arial"/>
          <w:i/>
          <w:sz w:val="20"/>
        </w:rPr>
      </w:pPr>
      <w:r>
        <w:rPr>
          <w:rFonts w:ascii="Arial"/>
          <w:i/>
          <w:sz w:val="20"/>
        </w:rPr>
        <w:t>W.T.L.R.</w:t>
      </w:r>
      <w:r>
        <w:rPr>
          <w:rFonts w:ascii="Arial"/>
          <w:i/>
          <w:spacing w:val="7"/>
          <w:sz w:val="20"/>
        </w:rPr>
        <w:t> </w:t>
      </w:r>
      <w:r>
        <w:rPr>
          <w:rFonts w:ascii="Arial"/>
          <w:i/>
          <w:sz w:val="20"/>
        </w:rPr>
        <w:t>1561</w:t>
      </w:r>
      <w:r>
        <w:rPr>
          <w:sz w:val="20"/>
        </w:rPr>
        <w:t>;</w:t>
      </w:r>
      <w:r>
        <w:rPr>
          <w:spacing w:val="7"/>
          <w:sz w:val="20"/>
        </w:rPr>
        <w:t> </w:t>
      </w:r>
      <w:r>
        <w:rPr>
          <w:sz w:val="20"/>
        </w:rPr>
        <w:t>cf.</w:t>
      </w:r>
      <w:r>
        <w:rPr>
          <w:spacing w:val="7"/>
          <w:sz w:val="20"/>
        </w:rPr>
        <w:t> </w:t>
      </w:r>
      <w:r>
        <w:rPr>
          <w:rFonts w:ascii="Arial"/>
          <w:i/>
          <w:sz w:val="20"/>
        </w:rPr>
        <w:t>Secretary</w:t>
      </w:r>
      <w:r>
        <w:rPr>
          <w:rFonts w:ascii="Arial"/>
          <w:i/>
          <w:spacing w:val="7"/>
          <w:sz w:val="20"/>
        </w:rPr>
        <w:t> </w:t>
      </w:r>
      <w:r>
        <w:rPr>
          <w:rFonts w:ascii="Arial"/>
          <w:i/>
          <w:sz w:val="20"/>
        </w:rPr>
        <w:t>of</w:t>
      </w:r>
      <w:r>
        <w:rPr>
          <w:rFonts w:ascii="Arial"/>
          <w:i/>
          <w:spacing w:val="7"/>
          <w:sz w:val="20"/>
        </w:rPr>
        <w:t> </w:t>
      </w:r>
      <w:r>
        <w:rPr>
          <w:rFonts w:ascii="Arial"/>
          <w:i/>
          <w:sz w:val="20"/>
        </w:rPr>
        <w:t>State</w:t>
      </w:r>
      <w:r>
        <w:rPr>
          <w:rFonts w:ascii="Arial"/>
          <w:i/>
          <w:spacing w:val="7"/>
          <w:sz w:val="20"/>
        </w:rPr>
        <w:t> </w:t>
      </w:r>
      <w:r>
        <w:rPr>
          <w:rFonts w:ascii="Arial"/>
          <w:i/>
          <w:sz w:val="20"/>
        </w:rPr>
        <w:t>for</w:t>
      </w:r>
      <w:r>
        <w:rPr>
          <w:rFonts w:ascii="Arial"/>
          <w:i/>
          <w:spacing w:val="7"/>
          <w:sz w:val="20"/>
        </w:rPr>
        <w:t> </w:t>
      </w:r>
      <w:r>
        <w:rPr>
          <w:rFonts w:ascii="Arial"/>
          <w:i/>
          <w:sz w:val="20"/>
        </w:rPr>
        <w:t>Transport</w:t>
      </w:r>
      <w:r>
        <w:rPr>
          <w:rFonts w:ascii="Arial"/>
          <w:i/>
          <w:spacing w:val="7"/>
          <w:sz w:val="20"/>
        </w:rPr>
        <w:t> </w:t>
      </w:r>
      <w:r>
        <w:rPr>
          <w:rFonts w:ascii="Arial"/>
          <w:i/>
          <w:sz w:val="20"/>
        </w:rPr>
        <w:t>v</w:t>
      </w:r>
      <w:r>
        <w:rPr>
          <w:rFonts w:ascii="Arial"/>
          <w:i/>
          <w:spacing w:val="7"/>
          <w:sz w:val="20"/>
        </w:rPr>
        <w:t> </w:t>
      </w:r>
      <w:r>
        <w:rPr>
          <w:rFonts w:ascii="Arial"/>
          <w:i/>
          <w:sz w:val="20"/>
        </w:rPr>
        <w:t>Christos</w:t>
      </w:r>
      <w:r>
        <w:rPr>
          <w:rFonts w:ascii="Arial"/>
          <w:i/>
          <w:spacing w:val="7"/>
          <w:sz w:val="20"/>
        </w:rPr>
        <w:t> </w:t>
      </w:r>
      <w:r>
        <w:rPr>
          <w:rFonts w:ascii="Arial"/>
          <w:i/>
          <w:sz w:val="20"/>
        </w:rPr>
        <w:t>[2003]</w:t>
      </w:r>
      <w:r>
        <w:rPr>
          <w:rFonts w:ascii="Arial"/>
          <w:i/>
          <w:spacing w:val="7"/>
          <w:sz w:val="20"/>
        </w:rPr>
        <w:t> </w:t>
      </w:r>
      <w:r>
        <w:rPr>
          <w:rFonts w:ascii="Arial"/>
          <w:i/>
          <w:sz w:val="20"/>
        </w:rPr>
        <w:t>EWCA</w:t>
      </w:r>
      <w:r>
        <w:rPr>
          <w:rFonts w:ascii="Arial"/>
          <w:i/>
          <w:spacing w:val="7"/>
          <w:sz w:val="20"/>
        </w:rPr>
        <w:t> </w:t>
      </w:r>
      <w:r>
        <w:rPr>
          <w:rFonts w:ascii="Arial"/>
          <w:i/>
          <w:sz w:val="20"/>
        </w:rPr>
        <w:t>Civ</w:t>
      </w:r>
      <w:r>
        <w:rPr>
          <w:rFonts w:ascii="Arial"/>
          <w:i/>
          <w:spacing w:val="7"/>
          <w:sz w:val="20"/>
        </w:rPr>
        <w:t> </w:t>
      </w:r>
      <w:r>
        <w:rPr>
          <w:rFonts w:ascii="Arial"/>
          <w:i/>
          <w:sz w:val="20"/>
        </w:rPr>
        <w:t>1073,</w:t>
      </w:r>
      <w:r>
        <w:rPr>
          <w:rFonts w:ascii="Arial"/>
          <w:i/>
          <w:spacing w:val="7"/>
          <w:sz w:val="20"/>
        </w:rPr>
        <w:t> </w:t>
      </w:r>
      <w:r>
        <w:rPr>
          <w:rFonts w:ascii="Arial"/>
          <w:i/>
          <w:sz w:val="20"/>
        </w:rPr>
        <w:t>[2004]</w:t>
      </w:r>
      <w:r>
        <w:rPr>
          <w:rFonts w:ascii="Arial"/>
          <w:i/>
          <w:spacing w:val="7"/>
          <w:sz w:val="20"/>
        </w:rPr>
        <w:t> </w:t>
      </w:r>
      <w:r>
        <w:rPr>
          <w:rFonts w:ascii="Arial"/>
          <w:i/>
          <w:spacing w:val="-10"/>
          <w:sz w:val="20"/>
        </w:rPr>
        <w:t>1</w:t>
      </w:r>
    </w:p>
    <w:p>
      <w:pPr>
        <w:pStyle w:val="BodyText"/>
        <w:spacing w:line="235" w:lineRule="auto" w:before="1"/>
        <w:ind w:left="705" w:right="167"/>
        <w:jc w:val="both"/>
      </w:pPr>
      <w:r>
        <w:rPr>
          <w:rFonts w:ascii="Arial" w:hAnsi="Arial"/>
          <w:i/>
        </w:rPr>
        <w:t>P. &amp; C.R. 17 </w:t>
      </w:r>
      <w:r>
        <w:rPr/>
        <w:t>at [36]–[37] (statement that a party would “not renege” insufficient). For </w:t>
      </w:r>
      <w:r>
        <w:rPr/>
        <w:t>the</w:t>
      </w:r>
      <w:r>
        <w:rPr>
          <w:spacing w:val="40"/>
        </w:rPr>
        <w:t> </w:t>
      </w:r>
      <w:r>
        <w:rPr/>
        <w:t>present purpose, agreement of both parties is required: a “unilateral” waiver by one party will</w:t>
      </w:r>
      <w:r>
        <w:rPr>
          <w:spacing w:val="40"/>
        </w:rPr>
        <w:t> </w:t>
      </w:r>
      <w:r>
        <w:rPr/>
        <w:t>not suffice: </w:t>
      </w:r>
      <w:r>
        <w:rPr>
          <w:rFonts w:ascii="Arial" w:hAnsi="Arial"/>
          <w:i/>
        </w:rPr>
        <w:t>Haq v Island Homes Housing Association [2011] EWCA Civ 805, [2011] 2 P &amp; </w:t>
      </w:r>
      <w:r>
        <w:rPr>
          <w:rFonts w:ascii="Arial" w:hAnsi="Arial"/>
          <w:i/>
        </w:rPr>
        <w:t>C.R. 17 </w:t>
      </w:r>
      <w:r>
        <w:rPr/>
        <w:t>at [72]. Any subsequent agreement would now have to satisfy more stringent requirements, imposed by Law of Property (Miscellaneous Provisions) Act 1989 s.2 (below, para.5-011) </w:t>
      </w:r>
      <w:r>
        <w:rPr/>
        <w:t>than those which were in force at the time of the first four of the decisions cited in this note, though these requirements would not apply if the subsequent agreement could take effect as </w:t>
      </w:r>
      <w:r>
        <w:rPr/>
        <w:t>a collateral contract. The requirement of a subsequent agreement by </w:t>
      </w:r>
      <w:r>
        <w:rPr>
          <w:rFonts w:ascii="Arial" w:hAnsi="Arial"/>
          <w:i/>
        </w:rPr>
        <w:t>both </w:t>
      </w:r>
      <w:r>
        <w:rPr/>
        <w:t>parties to remove the normal effect of the words “subject to contract” also does not apply where an offer to buy goods is qualified by these words. In </w:t>
      </w:r>
      <w:r>
        <w:rPr>
          <w:rFonts w:ascii="Arial" w:hAnsi="Arial"/>
          <w:i/>
        </w:rPr>
        <w:t>Air Studios (Lyndhurst) Ltd v Lombard North Central Plc [2012] EWHC</w:t>
      </w:r>
      <w:r>
        <w:rPr>
          <w:rFonts w:ascii="Arial" w:hAnsi="Arial"/>
          <w:i/>
          <w:spacing w:val="18"/>
        </w:rPr>
        <w:t> </w:t>
      </w:r>
      <w:r>
        <w:rPr>
          <w:rFonts w:ascii="Arial" w:hAnsi="Arial"/>
          <w:i/>
        </w:rPr>
        <w:t>3162</w:t>
      </w:r>
      <w:r>
        <w:rPr>
          <w:rFonts w:ascii="Arial" w:hAnsi="Arial"/>
          <w:i/>
          <w:spacing w:val="18"/>
        </w:rPr>
        <w:t> </w:t>
      </w:r>
      <w:r>
        <w:rPr>
          <w:rFonts w:ascii="Arial" w:hAnsi="Arial"/>
          <w:i/>
        </w:rPr>
        <w:t>(QB),</w:t>
      </w:r>
      <w:r>
        <w:rPr>
          <w:rFonts w:ascii="Arial" w:hAnsi="Arial"/>
          <w:i/>
          <w:spacing w:val="18"/>
        </w:rPr>
        <w:t> </w:t>
      </w:r>
      <w:r>
        <w:rPr>
          <w:rFonts w:ascii="Arial" w:hAnsi="Arial"/>
          <w:i/>
        </w:rPr>
        <w:t>[2013]</w:t>
      </w:r>
      <w:r>
        <w:rPr>
          <w:rFonts w:ascii="Arial" w:hAnsi="Arial"/>
          <w:i/>
          <w:spacing w:val="18"/>
        </w:rPr>
        <w:t> </w:t>
      </w:r>
      <w:r>
        <w:rPr>
          <w:rFonts w:ascii="Arial" w:hAnsi="Arial"/>
          <w:i/>
        </w:rPr>
        <w:t>1</w:t>
      </w:r>
      <w:r>
        <w:rPr>
          <w:rFonts w:ascii="Arial" w:hAnsi="Arial"/>
          <w:i/>
          <w:spacing w:val="18"/>
        </w:rPr>
        <w:t> </w:t>
      </w:r>
      <w:r>
        <w:rPr>
          <w:rFonts w:ascii="Arial" w:hAnsi="Arial"/>
          <w:i/>
        </w:rPr>
        <w:t>Lloyd’s</w:t>
      </w:r>
      <w:r>
        <w:rPr>
          <w:rFonts w:ascii="Arial" w:hAnsi="Arial"/>
          <w:i/>
          <w:spacing w:val="18"/>
        </w:rPr>
        <w:t> </w:t>
      </w:r>
      <w:r>
        <w:rPr>
          <w:rFonts w:ascii="Arial" w:hAnsi="Arial"/>
          <w:i/>
        </w:rPr>
        <w:t>Rep.</w:t>
      </w:r>
      <w:r>
        <w:rPr>
          <w:rFonts w:ascii="Arial" w:hAnsi="Arial"/>
          <w:i/>
          <w:spacing w:val="18"/>
        </w:rPr>
        <w:t> </w:t>
      </w:r>
      <w:r>
        <w:rPr>
          <w:rFonts w:ascii="Arial" w:hAnsi="Arial"/>
          <w:i/>
        </w:rPr>
        <w:t>63</w:t>
      </w:r>
      <w:r>
        <w:rPr>
          <w:rFonts w:ascii="Arial" w:hAnsi="Arial"/>
          <w:i/>
          <w:spacing w:val="17"/>
        </w:rPr>
        <w:t> </w:t>
      </w:r>
      <w:r>
        <w:rPr/>
        <w:t>such</w:t>
      </w:r>
      <w:r>
        <w:rPr>
          <w:spacing w:val="18"/>
        </w:rPr>
        <w:t> </w:t>
      </w:r>
      <w:r>
        <w:rPr/>
        <w:t>an</w:t>
      </w:r>
      <w:r>
        <w:rPr>
          <w:spacing w:val="18"/>
        </w:rPr>
        <w:t> </w:t>
      </w:r>
      <w:r>
        <w:rPr/>
        <w:t>offer</w:t>
      </w:r>
      <w:r>
        <w:rPr>
          <w:spacing w:val="18"/>
        </w:rPr>
        <w:t> </w:t>
      </w:r>
      <w:r>
        <w:rPr/>
        <w:t>was</w:t>
      </w:r>
      <w:r>
        <w:rPr>
          <w:spacing w:val="18"/>
        </w:rPr>
        <w:t> </w:t>
      </w:r>
      <w:r>
        <w:rPr/>
        <w:t>so</w:t>
      </w:r>
      <w:r>
        <w:rPr>
          <w:spacing w:val="18"/>
        </w:rPr>
        <w:t> </w:t>
      </w:r>
      <w:r>
        <w:rPr/>
        <w:t>qualified</w:t>
      </w:r>
      <w:r>
        <w:rPr>
          <w:spacing w:val="18"/>
        </w:rPr>
        <w:t> </w:t>
      </w:r>
      <w:r>
        <w:rPr/>
        <w:t>and</w:t>
      </w:r>
      <w:r>
        <w:rPr>
          <w:spacing w:val="18"/>
        </w:rPr>
        <w:t> </w:t>
      </w:r>
      <w:r>
        <w:rPr/>
        <w:t>it</w:t>
      </w:r>
      <w:r>
        <w:rPr>
          <w:spacing w:val="18"/>
        </w:rPr>
        <w:t> </w:t>
      </w:r>
      <w:r>
        <w:rPr/>
        <w:t>was</w:t>
      </w:r>
      <w:r>
        <w:rPr>
          <w:spacing w:val="18"/>
        </w:rPr>
        <w:t> </w:t>
      </w:r>
      <w:r>
        <w:rPr/>
        <w:t>said</w:t>
      </w:r>
      <w:r>
        <w:rPr>
          <w:spacing w:val="18"/>
        </w:rPr>
        <w:t> </w:t>
      </w:r>
      <w:r>
        <w:rPr>
          <w:spacing w:val="-5"/>
        </w:rPr>
        <w:t>a</w:t>
      </w:r>
      <w:r>
        <w:rPr>
          <w:spacing w:val="-5"/>
        </w:rPr>
        <w:t>t</w:t>
      </w:r>
    </w:p>
    <w:p>
      <w:pPr>
        <w:pStyle w:val="BodyText"/>
        <w:spacing w:line="235" w:lineRule="auto"/>
        <w:ind w:left="705" w:right="168"/>
        <w:jc w:val="both"/>
      </w:pPr>
      <w:r>
        <w:rPr/>
        <w:t>[70] that “this qualification was removed” by the buyer’s later statement that [o]ur offer is </w:t>
      </w:r>
      <w:r>
        <w:rPr/>
        <w:t>not conditional, “whereupon the offer was an offer capable of being accepted”.</w:t>
      </w:r>
    </w:p>
    <w:p>
      <w:pPr>
        <w:pStyle w:val="BodyText"/>
        <w:spacing w:before="5"/>
      </w:pPr>
    </w:p>
    <w:p>
      <w:pPr>
        <w:spacing w:line="235" w:lineRule="auto" w:before="0"/>
        <w:ind w:left="705" w:right="167" w:hanging="541"/>
        <w:jc w:val="both"/>
        <w:rPr>
          <w:sz w:val="20"/>
        </w:rPr>
      </w:pPr>
      <w:bookmarkStart w:name="_bookmark1398" w:id="1400"/>
      <w:bookmarkEnd w:id="1400"/>
      <w:r>
        <w:rPr/>
      </w:r>
      <w:hyperlink w:history="true" w:anchor="_bookmark1198">
        <w:r>
          <w:rPr>
            <w:color w:val="005DA1"/>
            <w:position w:val="5"/>
            <w:sz w:val="14"/>
            <w:u w:val="single" w:color="005DA1"/>
          </w:rPr>
          <w:t>665</w:t>
        </w:r>
      </w:hyperlink>
      <w:r>
        <w:rPr>
          <w:position w:val="5"/>
          <w:sz w:val="14"/>
        </w:rPr>
        <w:t>.</w:t>
      </w:r>
      <w:r>
        <w:rPr>
          <w:spacing w:val="40"/>
          <w:position w:val="5"/>
          <w:sz w:val="14"/>
        </w:rPr>
        <w:t>  </w:t>
      </w:r>
      <w:r>
        <w:rPr>
          <w:sz w:val="20"/>
        </w:rPr>
        <w:t>See</w:t>
      </w:r>
      <w:r>
        <w:rPr>
          <w:spacing w:val="-2"/>
          <w:sz w:val="20"/>
        </w:rPr>
        <w:t> </w:t>
      </w:r>
      <w:r>
        <w:rPr>
          <w:sz w:val="20"/>
        </w:rPr>
        <w:t>the</w:t>
      </w:r>
      <w:r>
        <w:rPr>
          <w:spacing w:val="-2"/>
          <w:sz w:val="20"/>
        </w:rPr>
        <w:t> </w:t>
      </w:r>
      <w:r>
        <w:rPr>
          <w:sz w:val="20"/>
        </w:rPr>
        <w:t>discussion</w:t>
      </w:r>
      <w:r>
        <w:rPr>
          <w:spacing w:val="-2"/>
          <w:sz w:val="20"/>
        </w:rPr>
        <w:t> </w:t>
      </w:r>
      <w:r>
        <w:rPr>
          <w:sz w:val="20"/>
        </w:rPr>
        <w:t>at</w:t>
      </w:r>
      <w:r>
        <w:rPr>
          <w:spacing w:val="-2"/>
          <w:sz w:val="20"/>
        </w:rPr>
        <w:t> </w:t>
      </w:r>
      <w:r>
        <w:rPr>
          <w:sz w:val="20"/>
        </w:rPr>
        <w:t>para.4-147</w:t>
      </w:r>
      <w:r>
        <w:rPr>
          <w:spacing w:val="-2"/>
          <w:sz w:val="20"/>
        </w:rPr>
        <w:t> </w:t>
      </w:r>
      <w:r>
        <w:rPr>
          <w:sz w:val="20"/>
        </w:rPr>
        <w:t>below</w:t>
      </w:r>
      <w:r>
        <w:rPr>
          <w:spacing w:val="-2"/>
          <w:sz w:val="20"/>
        </w:rPr>
        <w:t> </w:t>
      </w:r>
      <w:r>
        <w:rPr>
          <w:sz w:val="20"/>
        </w:rPr>
        <w:t>of</w:t>
      </w:r>
      <w:r>
        <w:rPr>
          <w:spacing w:val="-3"/>
          <w:sz w:val="20"/>
        </w:rPr>
        <w:t> </w:t>
      </w:r>
      <w:r>
        <w:rPr>
          <w:rFonts w:ascii="Arial" w:hAnsi="Arial"/>
          <w:i/>
          <w:sz w:val="20"/>
        </w:rPr>
        <w:t>Att-Gen</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Hong</w:t>
      </w:r>
      <w:r>
        <w:rPr>
          <w:rFonts w:ascii="Arial" w:hAnsi="Arial"/>
          <w:i/>
          <w:spacing w:val="-2"/>
          <w:sz w:val="20"/>
        </w:rPr>
        <w:t> </w:t>
      </w:r>
      <w:r>
        <w:rPr>
          <w:rFonts w:ascii="Arial" w:hAnsi="Arial"/>
          <w:i/>
          <w:sz w:val="20"/>
        </w:rPr>
        <w:t>Kong</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Humphreys</w:t>
      </w:r>
      <w:r>
        <w:rPr>
          <w:rFonts w:ascii="Arial" w:hAnsi="Arial"/>
          <w:i/>
          <w:spacing w:val="-2"/>
          <w:sz w:val="20"/>
        </w:rPr>
        <w:t> </w:t>
      </w:r>
      <w:r>
        <w:rPr>
          <w:rFonts w:ascii="Arial" w:hAnsi="Arial"/>
          <w:i/>
          <w:sz w:val="20"/>
        </w:rPr>
        <w:t>Estate</w:t>
      </w:r>
      <w:r>
        <w:rPr>
          <w:rFonts w:ascii="Arial" w:hAnsi="Arial"/>
          <w:i/>
          <w:spacing w:val="-2"/>
          <w:sz w:val="20"/>
        </w:rPr>
        <w:t> </w:t>
      </w:r>
      <w:r>
        <w:rPr>
          <w:rFonts w:ascii="Arial" w:hAnsi="Arial"/>
          <w:i/>
          <w:sz w:val="20"/>
        </w:rPr>
        <w:t>(Queen’s Gardens) Ltd [1987] A.C. 114</w:t>
      </w:r>
      <w:r>
        <w:rPr>
          <w:sz w:val="20"/>
        </w:rPr>
        <w:t>. In </w:t>
      </w:r>
      <w:r>
        <w:rPr>
          <w:rFonts w:ascii="Arial" w:hAnsi="Arial"/>
          <w:i/>
          <w:sz w:val="20"/>
        </w:rPr>
        <w:t>Cobbe v Yeoman’s Row Management Ltd [2008] UKHL 55, [2008] 1 W.L.R. 1752 </w:t>
      </w:r>
      <w:r>
        <w:rPr>
          <w:sz w:val="20"/>
        </w:rPr>
        <w:t>Lord Scott said that in a “subject to contract” case proprietary estoppel “cannot ordinarily arise” (at [25]) and that in such a case it would be “very difficult” (at [26]) to establish a proprietary estoppel. The difficulty is illustrated by</w:t>
      </w:r>
      <w:r>
        <w:rPr>
          <w:spacing w:val="-1"/>
          <w:sz w:val="20"/>
        </w:rPr>
        <w:t> </w:t>
      </w:r>
      <w:r>
        <w:rPr>
          <w:rFonts w:ascii="Arial" w:hAnsi="Arial"/>
          <w:i/>
          <w:sz w:val="20"/>
        </w:rPr>
        <w:t>Haq v Island Housing Association [2011] EWCA Civ 805, [2011] 2 P. &amp; C.R. 17</w:t>
      </w:r>
      <w:r>
        <w:rPr>
          <w:sz w:val="20"/>
        </w:rPr>
        <w:t>, where merely allowing a prospective lessee to enter the premises while the agreement was still “subject to contract” was not sufficient to give rise to a proprietary estoppel (at [73]).</w:t>
      </w:r>
    </w:p>
    <w:p>
      <w:pPr>
        <w:pStyle w:val="BodyText"/>
        <w:spacing w:before="3"/>
      </w:pPr>
    </w:p>
    <w:p>
      <w:pPr>
        <w:tabs>
          <w:tab w:pos="705" w:val="left" w:leader="none"/>
        </w:tabs>
        <w:spacing w:line="227" w:lineRule="exact" w:before="0"/>
        <w:ind w:left="165" w:right="0" w:firstLine="0"/>
        <w:jc w:val="left"/>
        <w:rPr>
          <w:sz w:val="20"/>
        </w:rPr>
      </w:pPr>
      <w:bookmarkStart w:name="_bookmark1399" w:id="1401"/>
      <w:bookmarkEnd w:id="1401"/>
      <w:r>
        <w:rPr/>
      </w:r>
      <w:hyperlink w:history="true" w:anchor="_bookmark1199">
        <w:r>
          <w:rPr>
            <w:color w:val="005DA1"/>
            <w:spacing w:val="-4"/>
            <w:position w:val="5"/>
            <w:sz w:val="14"/>
            <w:u w:val="single" w:color="005DA1"/>
          </w:rPr>
          <w:t>666</w:t>
        </w:r>
      </w:hyperlink>
      <w:r>
        <w:rPr>
          <w:spacing w:val="-4"/>
          <w:position w:val="5"/>
          <w:sz w:val="14"/>
        </w:rPr>
        <w:t>.</w:t>
      </w:r>
      <w:r>
        <w:rPr>
          <w:position w:val="5"/>
          <w:sz w:val="14"/>
        </w:rPr>
        <w:tab/>
      </w:r>
      <w:r>
        <w:rPr>
          <w:rFonts w:ascii="Arial"/>
          <w:i/>
          <w:sz w:val="20"/>
        </w:rPr>
        <w:t>Alpenstow</w:t>
      </w:r>
      <w:r>
        <w:rPr>
          <w:rFonts w:ascii="Arial"/>
          <w:i/>
          <w:spacing w:val="27"/>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Regalian</w:t>
      </w:r>
      <w:r>
        <w:rPr>
          <w:rFonts w:ascii="Arial"/>
          <w:i/>
          <w:spacing w:val="28"/>
          <w:sz w:val="20"/>
        </w:rPr>
        <w:t> </w:t>
      </w:r>
      <w:r>
        <w:rPr>
          <w:rFonts w:ascii="Arial"/>
          <w:i/>
          <w:sz w:val="20"/>
        </w:rPr>
        <w:t>Properties</w:t>
      </w:r>
      <w:r>
        <w:rPr>
          <w:rFonts w:ascii="Arial"/>
          <w:i/>
          <w:spacing w:val="28"/>
          <w:sz w:val="20"/>
        </w:rPr>
        <w:t> </w:t>
      </w:r>
      <w:r>
        <w:rPr>
          <w:rFonts w:ascii="Arial"/>
          <w:i/>
          <w:sz w:val="20"/>
        </w:rPr>
        <w:t>Ltd</w:t>
      </w:r>
      <w:r>
        <w:rPr>
          <w:rFonts w:ascii="Arial"/>
          <w:i/>
          <w:spacing w:val="28"/>
          <w:sz w:val="20"/>
        </w:rPr>
        <w:t> </w:t>
      </w:r>
      <w:r>
        <w:rPr>
          <w:rFonts w:ascii="Arial"/>
          <w:i/>
          <w:sz w:val="20"/>
        </w:rPr>
        <w:t>[1985]</w:t>
      </w:r>
      <w:r>
        <w:rPr>
          <w:rFonts w:ascii="Arial"/>
          <w:i/>
          <w:spacing w:val="28"/>
          <w:sz w:val="20"/>
        </w:rPr>
        <w:t> </w:t>
      </w:r>
      <w:r>
        <w:rPr>
          <w:rFonts w:ascii="Arial"/>
          <w:i/>
          <w:sz w:val="20"/>
        </w:rPr>
        <w:t>1</w:t>
      </w:r>
      <w:r>
        <w:rPr>
          <w:rFonts w:ascii="Arial"/>
          <w:i/>
          <w:spacing w:val="28"/>
          <w:sz w:val="20"/>
        </w:rPr>
        <w:t> </w:t>
      </w:r>
      <w:r>
        <w:rPr>
          <w:rFonts w:ascii="Arial"/>
          <w:i/>
          <w:sz w:val="20"/>
        </w:rPr>
        <w:t>W.L.R.</w:t>
      </w:r>
      <w:r>
        <w:rPr>
          <w:rFonts w:ascii="Arial"/>
          <w:i/>
          <w:spacing w:val="28"/>
          <w:sz w:val="20"/>
        </w:rPr>
        <w:t> </w:t>
      </w:r>
      <w:r>
        <w:rPr>
          <w:rFonts w:ascii="Arial"/>
          <w:i/>
          <w:sz w:val="20"/>
        </w:rPr>
        <w:t>721,</w:t>
      </w:r>
      <w:r>
        <w:rPr>
          <w:rFonts w:ascii="Arial"/>
          <w:i/>
          <w:spacing w:val="28"/>
          <w:sz w:val="20"/>
        </w:rPr>
        <w:t> </w:t>
      </w:r>
      <w:r>
        <w:rPr>
          <w:rFonts w:ascii="Arial"/>
          <w:i/>
          <w:sz w:val="20"/>
        </w:rPr>
        <w:t>730</w:t>
      </w:r>
      <w:r>
        <w:rPr>
          <w:sz w:val="20"/>
        </w:rPr>
        <w:t>;</w:t>
      </w:r>
      <w:r>
        <w:rPr>
          <w:spacing w:val="28"/>
          <w:sz w:val="20"/>
        </w:rPr>
        <w:t> </w:t>
      </w:r>
      <w:r>
        <w:rPr>
          <w:sz w:val="20"/>
        </w:rPr>
        <w:t>Harpum</w:t>
      </w:r>
      <w:r>
        <w:rPr>
          <w:spacing w:val="28"/>
          <w:sz w:val="20"/>
        </w:rPr>
        <w:t> </w:t>
      </w:r>
      <w:r>
        <w:rPr>
          <w:sz w:val="20"/>
        </w:rPr>
        <w:t>[1986]</w:t>
      </w:r>
      <w:r>
        <w:rPr>
          <w:spacing w:val="28"/>
          <w:sz w:val="20"/>
        </w:rPr>
        <w:t> </w:t>
      </w:r>
      <w:r>
        <w:rPr>
          <w:sz w:val="20"/>
        </w:rPr>
        <w:t>C.L.J.</w:t>
      </w:r>
      <w:r>
        <w:rPr>
          <w:spacing w:val="28"/>
          <w:sz w:val="20"/>
        </w:rPr>
        <w:t> </w:t>
      </w:r>
      <w:r>
        <w:rPr>
          <w:spacing w:val="-5"/>
          <w:sz w:val="20"/>
        </w:rPr>
        <w:t>at</w:t>
      </w:r>
    </w:p>
    <w:p>
      <w:pPr>
        <w:pStyle w:val="BodyText"/>
        <w:spacing w:line="227" w:lineRule="exact"/>
        <w:ind w:left="705"/>
      </w:pPr>
      <w:r>
        <w:rPr>
          <w:spacing w:val="-4"/>
        </w:rPr>
        <w:t>356.</w:t>
      </w:r>
    </w:p>
    <w:p>
      <w:pPr>
        <w:pStyle w:val="BodyText"/>
        <w:spacing w:after="0" w:line="227" w:lineRule="exact"/>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200">
        <w:r>
          <w:rPr>
            <w:color w:val="005DA1"/>
            <w:spacing w:val="-4"/>
            <w:position w:val="5"/>
            <w:sz w:val="14"/>
            <w:u w:val="single" w:color="005DA1"/>
          </w:rPr>
          <w:t>667</w:t>
        </w:r>
      </w:hyperlink>
      <w:r>
        <w:rPr>
          <w:spacing w:val="-4"/>
          <w:position w:val="5"/>
          <w:sz w:val="14"/>
        </w:rPr>
        <w:t>.</w:t>
      </w:r>
      <w:r>
        <w:rPr>
          <w:position w:val="5"/>
          <w:sz w:val="14"/>
        </w:rPr>
        <w:tab/>
      </w:r>
      <w:r>
        <w:rPr>
          <w:rFonts w:ascii="Arial"/>
          <w:i/>
          <w:sz w:val="20"/>
        </w:rPr>
        <w:t>Alpenstow</w:t>
      </w:r>
      <w:r>
        <w:rPr>
          <w:rFonts w:ascii="Arial"/>
          <w:i/>
          <w:spacing w:val="-1"/>
          <w:sz w:val="20"/>
        </w:rPr>
        <w:t> </w:t>
      </w:r>
      <w:r>
        <w:rPr>
          <w:rFonts w:ascii="Arial"/>
          <w:i/>
          <w:sz w:val="20"/>
        </w:rPr>
        <w:t>Ltd v Regalian Properties Ltd</w:t>
      </w:r>
      <w:r>
        <w:rPr>
          <w:sz w:val="20"/>
        </w:rPr>
        <w:t>, </w:t>
      </w:r>
      <w:r>
        <w:rPr>
          <w:spacing w:val="-2"/>
          <w:sz w:val="20"/>
        </w:rPr>
        <w:t>above.</w:t>
      </w:r>
    </w:p>
    <w:p>
      <w:pPr>
        <w:pStyle w:val="BodyText"/>
        <w:spacing w:before="5"/>
      </w:pPr>
    </w:p>
    <w:p>
      <w:pPr>
        <w:tabs>
          <w:tab w:pos="705" w:val="left" w:leader="none"/>
        </w:tabs>
        <w:spacing w:before="1"/>
        <w:ind w:left="165" w:right="0" w:firstLine="0"/>
        <w:jc w:val="left"/>
        <w:rPr>
          <w:sz w:val="20"/>
        </w:rPr>
      </w:pPr>
      <w:bookmarkStart w:name="_bookmark1400" w:id="1402"/>
      <w:bookmarkEnd w:id="1402"/>
      <w:r>
        <w:rPr/>
      </w:r>
      <w:hyperlink w:history="true" w:anchor="_bookmark1201">
        <w:r>
          <w:rPr>
            <w:color w:val="005DA1"/>
            <w:spacing w:val="-4"/>
            <w:position w:val="5"/>
            <w:sz w:val="14"/>
            <w:u w:val="single" w:color="005DA1"/>
          </w:rPr>
          <w:t>668</w:t>
        </w:r>
      </w:hyperlink>
      <w:r>
        <w:rPr>
          <w:spacing w:val="-4"/>
          <w:position w:val="5"/>
          <w:sz w:val="14"/>
        </w:rPr>
        <w:t>.</w:t>
      </w:r>
      <w:r>
        <w:rPr>
          <w:position w:val="5"/>
          <w:sz w:val="14"/>
        </w:rPr>
        <w:tab/>
      </w:r>
      <w:r>
        <w:rPr>
          <w:sz w:val="20"/>
        </w:rPr>
        <w:t>Below, para.2-</w:t>
      </w:r>
      <w:r>
        <w:rPr>
          <w:spacing w:val="-4"/>
          <w:sz w:val="20"/>
        </w:rPr>
        <w:t>145.</w:t>
      </w:r>
    </w:p>
    <w:p>
      <w:pPr>
        <w:pStyle w:val="BodyText"/>
        <w:spacing w:before="4"/>
      </w:pPr>
    </w:p>
    <w:p>
      <w:pPr>
        <w:tabs>
          <w:tab w:pos="705" w:val="left" w:leader="none"/>
        </w:tabs>
        <w:spacing w:before="1"/>
        <w:ind w:left="165" w:right="0" w:firstLine="0"/>
        <w:jc w:val="left"/>
        <w:rPr>
          <w:sz w:val="20"/>
        </w:rPr>
      </w:pPr>
      <w:bookmarkStart w:name="_bookmark1401" w:id="1403"/>
      <w:bookmarkEnd w:id="1403"/>
      <w:r>
        <w:rPr/>
      </w:r>
      <w:hyperlink w:history="true" w:anchor="_bookmark1201">
        <w:r>
          <w:rPr>
            <w:color w:val="005DA1"/>
            <w:spacing w:val="-4"/>
            <w:position w:val="5"/>
            <w:sz w:val="14"/>
            <w:u w:val="single" w:color="005DA1"/>
          </w:rPr>
          <w:t>669</w:t>
        </w:r>
      </w:hyperlink>
      <w:r>
        <w:rPr>
          <w:spacing w:val="-4"/>
          <w:position w:val="5"/>
          <w:sz w:val="14"/>
        </w:rPr>
        <w:t>.</w:t>
      </w:r>
      <w:r>
        <w:rPr>
          <w:position w:val="5"/>
          <w:sz w:val="14"/>
        </w:rPr>
        <w:tab/>
      </w:r>
      <w:r>
        <w:rPr>
          <w:rFonts w:ascii="Arial"/>
          <w:i/>
          <w:sz w:val="20"/>
        </w:rPr>
        <w:t>[1992]</w:t>
      </w:r>
      <w:r>
        <w:rPr>
          <w:rFonts w:ascii="Arial"/>
          <w:i/>
          <w:spacing w:val="-1"/>
          <w:sz w:val="20"/>
        </w:rPr>
        <w:t> </w:t>
      </w:r>
      <w:r>
        <w:rPr>
          <w:rFonts w:ascii="Arial"/>
          <w:i/>
          <w:sz w:val="20"/>
        </w:rPr>
        <w:t>2 A.C. 128</w:t>
      </w:r>
      <w:r>
        <w:rPr>
          <w:sz w:val="20"/>
        </w:rPr>
        <w:t>. See further para.2-</w:t>
      </w:r>
      <w:r>
        <w:rPr>
          <w:spacing w:val="-4"/>
          <w:sz w:val="20"/>
        </w:rPr>
        <w:t>143.</w:t>
      </w:r>
    </w:p>
    <w:p>
      <w:pPr>
        <w:pStyle w:val="BodyText"/>
        <w:spacing w:before="4"/>
      </w:pPr>
    </w:p>
    <w:p>
      <w:pPr>
        <w:tabs>
          <w:tab w:pos="705" w:val="left" w:leader="none"/>
        </w:tabs>
        <w:spacing w:before="1"/>
        <w:ind w:left="165" w:right="0" w:firstLine="0"/>
        <w:jc w:val="left"/>
        <w:rPr>
          <w:sz w:val="20"/>
        </w:rPr>
      </w:pPr>
      <w:bookmarkStart w:name="_bookmark1402" w:id="1404"/>
      <w:bookmarkEnd w:id="1404"/>
      <w:r>
        <w:rPr/>
      </w:r>
      <w:hyperlink w:history="true" w:anchor="_bookmark1202">
        <w:r>
          <w:rPr>
            <w:color w:val="005DA1"/>
            <w:spacing w:val="-4"/>
            <w:position w:val="5"/>
            <w:sz w:val="14"/>
            <w:u w:val="single" w:color="005DA1"/>
          </w:rPr>
          <w:t>670</w:t>
        </w:r>
      </w:hyperlink>
      <w:r>
        <w:rPr>
          <w:spacing w:val="-4"/>
          <w:position w:val="5"/>
          <w:sz w:val="14"/>
        </w:rPr>
        <w:t>.</w:t>
      </w:r>
      <w:r>
        <w:rPr>
          <w:position w:val="5"/>
          <w:sz w:val="14"/>
        </w:rPr>
        <w:tab/>
      </w:r>
      <w:r>
        <w:rPr>
          <w:rFonts w:ascii="Arial"/>
          <w:i/>
          <w:sz w:val="20"/>
        </w:rPr>
        <w:t>Pitt</w:t>
      </w:r>
      <w:r>
        <w:rPr>
          <w:rFonts w:ascii="Arial"/>
          <w:i/>
          <w:spacing w:val="-1"/>
          <w:sz w:val="20"/>
        </w:rPr>
        <w:t> </w:t>
      </w:r>
      <w:r>
        <w:rPr>
          <w:rFonts w:ascii="Arial"/>
          <w:i/>
          <w:sz w:val="20"/>
        </w:rPr>
        <w:t>v PHH Asset Management Ltd [1994] 1 W.L.R. 327</w:t>
      </w:r>
      <w:r>
        <w:rPr>
          <w:sz w:val="20"/>
        </w:rPr>
        <w:t>; cf. </w:t>
      </w:r>
      <w:r>
        <w:rPr>
          <w:rFonts w:ascii="Arial"/>
          <w:i/>
          <w:sz w:val="20"/>
        </w:rPr>
        <w:t>Tye v House [1997] 2 E.G.L.R. </w:t>
      </w:r>
      <w:r>
        <w:rPr>
          <w:rFonts w:ascii="Arial"/>
          <w:i/>
          <w:spacing w:val="-4"/>
          <w:sz w:val="20"/>
        </w:rPr>
        <w:t>171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403" w:id="1405"/>
      <w:bookmarkEnd w:id="1405"/>
      <w:r>
        <w:rPr/>
      </w:r>
      <w:hyperlink w:history="true" w:anchor="_bookmark1203">
        <w:r>
          <w:rPr>
            <w:color w:val="005DA1"/>
            <w:spacing w:val="-4"/>
            <w:position w:val="5"/>
            <w:sz w:val="14"/>
            <w:u w:val="single" w:color="005DA1"/>
          </w:rPr>
          <w:t>671</w:t>
        </w:r>
      </w:hyperlink>
      <w:r>
        <w:rPr>
          <w:spacing w:val="-4"/>
          <w:position w:val="5"/>
          <w:sz w:val="14"/>
        </w:rPr>
        <w:t>.</w:t>
      </w:r>
      <w:r>
        <w:rPr>
          <w:position w:val="5"/>
          <w:sz w:val="14"/>
        </w:rPr>
        <w:tab/>
      </w:r>
      <w:r>
        <w:rPr>
          <w:rFonts w:ascii="Arial"/>
          <w:i/>
          <w:sz w:val="20"/>
        </w:rPr>
        <w:t>Astra</w:t>
      </w:r>
      <w:r>
        <w:rPr>
          <w:rFonts w:ascii="Arial"/>
          <w:i/>
          <w:spacing w:val="-2"/>
          <w:sz w:val="20"/>
        </w:rPr>
        <w:t> </w:t>
      </w:r>
      <w:r>
        <w:rPr>
          <w:rFonts w:ascii="Arial"/>
          <w:i/>
          <w:sz w:val="20"/>
        </w:rPr>
        <w:t>Zeneca UK Ltd v Albemarle International Corp [2011] EWHC 1574 </w:t>
      </w:r>
      <w:r>
        <w:rPr>
          <w:rFonts w:ascii="Arial"/>
          <w:i/>
          <w:spacing w:val="-2"/>
          <w:sz w:val="20"/>
        </w:rPr>
        <w:t>(Comm)</w:t>
      </w:r>
      <w:r>
        <w:rPr>
          <w:spacing w:val="-2"/>
          <w:sz w:val="20"/>
        </w:rPr>
        <w:t>.</w:t>
      </w:r>
    </w:p>
    <w:p>
      <w:pPr>
        <w:pStyle w:val="BodyText"/>
        <w:spacing w:before="4"/>
      </w:pPr>
    </w:p>
    <w:p>
      <w:pPr>
        <w:pStyle w:val="BodyText"/>
        <w:tabs>
          <w:tab w:pos="705" w:val="left" w:leader="none"/>
        </w:tabs>
        <w:spacing w:before="1"/>
        <w:ind w:left="165"/>
      </w:pPr>
      <w:bookmarkStart w:name="_bookmark1404" w:id="1406"/>
      <w:bookmarkEnd w:id="1406"/>
      <w:r>
        <w:rPr/>
      </w:r>
      <w:hyperlink w:history="true" w:anchor="_bookmark1204">
        <w:r>
          <w:rPr>
            <w:color w:val="005DA1"/>
            <w:spacing w:val="-4"/>
            <w:position w:val="5"/>
            <w:sz w:val="14"/>
            <w:u w:val="single" w:color="005DA1"/>
          </w:rPr>
          <w:t>672</w:t>
        </w:r>
      </w:hyperlink>
      <w:r>
        <w:rPr>
          <w:spacing w:val="-4"/>
          <w:position w:val="5"/>
          <w:sz w:val="14"/>
        </w:rPr>
        <w:t>.</w:t>
      </w:r>
      <w:r>
        <w:rPr>
          <w:position w:val="5"/>
          <w:sz w:val="14"/>
        </w:rPr>
        <w:tab/>
      </w:r>
      <w:r>
        <w:rPr/>
        <w:t>Clause</w:t>
      </w:r>
      <w:r>
        <w:rPr>
          <w:spacing w:val="-2"/>
        </w:rPr>
        <w:t> </w:t>
      </w:r>
      <w:r>
        <w:rPr/>
        <w:t>H, set out at </w:t>
      </w:r>
      <w:r>
        <w:rPr>
          <w:spacing w:val="-4"/>
        </w:rPr>
        <w:t>[8].</w:t>
      </w:r>
    </w:p>
    <w:p>
      <w:pPr>
        <w:pStyle w:val="BodyText"/>
        <w:spacing w:before="8"/>
      </w:pPr>
    </w:p>
    <w:p>
      <w:pPr>
        <w:pStyle w:val="BodyText"/>
        <w:spacing w:line="235" w:lineRule="auto"/>
        <w:ind w:left="705" w:right="167" w:hanging="541"/>
        <w:jc w:val="both"/>
      </w:pPr>
      <w:bookmarkStart w:name="_bookmark1405" w:id="1407"/>
      <w:bookmarkEnd w:id="1407"/>
      <w:r>
        <w:rPr/>
      </w:r>
      <w:hyperlink w:history="true" w:anchor="_bookmark1205">
        <w:r>
          <w:rPr>
            <w:color w:val="005DA1"/>
            <w:position w:val="5"/>
            <w:sz w:val="14"/>
            <w:u w:val="single" w:color="005DA1"/>
          </w:rPr>
          <w:t>673</w:t>
        </w:r>
      </w:hyperlink>
      <w:r>
        <w:rPr>
          <w:position w:val="5"/>
          <w:sz w:val="14"/>
        </w:rPr>
        <w:t>.</w:t>
      </w:r>
      <w:r>
        <w:rPr>
          <w:spacing w:val="80"/>
          <w:position w:val="5"/>
          <w:sz w:val="14"/>
        </w:rPr>
        <w:t>  </w:t>
      </w:r>
      <w:r>
        <w:rPr/>
        <w:t>At [29]. Under clause B, also set out at [8], the agreement was terminable by notice by either party, but not before March 2008; it could also be terminated by one party on account of the other’s breach.</w:t>
      </w:r>
    </w:p>
    <w:p>
      <w:pPr>
        <w:pStyle w:val="BodyText"/>
        <w:spacing w:before="5"/>
      </w:pPr>
    </w:p>
    <w:p>
      <w:pPr>
        <w:tabs>
          <w:tab w:pos="705" w:val="left" w:leader="none"/>
        </w:tabs>
        <w:spacing w:before="1"/>
        <w:ind w:left="165" w:right="0" w:firstLine="0"/>
        <w:jc w:val="left"/>
        <w:rPr>
          <w:sz w:val="20"/>
        </w:rPr>
      </w:pPr>
      <w:bookmarkStart w:name="_bookmark1406" w:id="1408"/>
      <w:bookmarkEnd w:id="1408"/>
      <w:r>
        <w:rPr/>
      </w:r>
      <w:hyperlink w:history="true" w:anchor="_bookmark1206">
        <w:r>
          <w:rPr>
            <w:color w:val="005DA1"/>
            <w:spacing w:val="-4"/>
            <w:position w:val="5"/>
            <w:sz w:val="14"/>
            <w:u w:val="single" w:color="005DA1"/>
          </w:rPr>
          <w:t>674</w:t>
        </w:r>
      </w:hyperlink>
      <w:r>
        <w:rPr>
          <w:spacing w:val="-4"/>
          <w:position w:val="5"/>
          <w:sz w:val="14"/>
        </w:rPr>
        <w:t>.</w:t>
      </w:r>
      <w:r>
        <w:rPr>
          <w:position w:val="5"/>
          <w:sz w:val="14"/>
        </w:rPr>
        <w:tab/>
      </w:r>
      <w:r>
        <w:rPr>
          <w:rFonts w:ascii="Arial" w:hAnsi="Arial"/>
          <w:i/>
          <w:sz w:val="20"/>
        </w:rPr>
        <w:t>Michael</w:t>
      </w:r>
      <w:r>
        <w:rPr>
          <w:rFonts w:ascii="Arial" w:hAnsi="Arial"/>
          <w:i/>
          <w:spacing w:val="-1"/>
          <w:sz w:val="20"/>
        </w:rPr>
        <w:t> </w:t>
      </w:r>
      <w:r>
        <w:rPr>
          <w:rFonts w:ascii="Arial" w:hAnsi="Arial"/>
          <w:i/>
          <w:sz w:val="20"/>
        </w:rPr>
        <w:t>Richards Properties Ltd v St Saviour’s [1975] 3 All E.R. 416</w:t>
      </w:r>
      <w:r>
        <w:rPr>
          <w:sz w:val="20"/>
        </w:rPr>
        <w:t>; Emery [1976] C.L.J. </w:t>
      </w:r>
      <w:r>
        <w:rPr>
          <w:spacing w:val="-5"/>
          <w:sz w:val="20"/>
        </w:rPr>
        <w:t>28.</w:t>
      </w:r>
    </w:p>
    <w:p>
      <w:pPr>
        <w:pStyle w:val="BodyText"/>
        <w:spacing w:before="4"/>
      </w:pPr>
    </w:p>
    <w:p>
      <w:pPr>
        <w:tabs>
          <w:tab w:pos="705" w:val="left" w:leader="none"/>
        </w:tabs>
        <w:spacing w:before="1"/>
        <w:ind w:left="165" w:right="0" w:firstLine="0"/>
        <w:jc w:val="left"/>
        <w:rPr>
          <w:sz w:val="20"/>
        </w:rPr>
      </w:pPr>
      <w:bookmarkStart w:name="_bookmark1407" w:id="1409"/>
      <w:bookmarkEnd w:id="1409"/>
      <w:r>
        <w:rPr/>
      </w:r>
      <w:hyperlink w:history="true" w:anchor="_bookmark1207">
        <w:r>
          <w:rPr>
            <w:color w:val="005DA1"/>
            <w:spacing w:val="-4"/>
            <w:position w:val="5"/>
            <w:sz w:val="14"/>
            <w:u w:val="single" w:color="005DA1"/>
          </w:rPr>
          <w:t>675</w:t>
        </w:r>
      </w:hyperlink>
      <w:r>
        <w:rPr>
          <w:spacing w:val="-4"/>
          <w:position w:val="5"/>
          <w:sz w:val="14"/>
        </w:rPr>
        <w:t>.</w:t>
      </w:r>
      <w:r>
        <w:rPr>
          <w:position w:val="5"/>
          <w:sz w:val="14"/>
        </w:rPr>
        <w:tab/>
      </w:r>
      <w:r>
        <w:rPr>
          <w:sz w:val="20"/>
        </w:rPr>
        <w:t>See</w:t>
      </w:r>
      <w:r>
        <w:rPr>
          <w:spacing w:val="-1"/>
          <w:sz w:val="20"/>
        </w:rPr>
        <w:t> </w:t>
      </w:r>
      <w:r>
        <w:rPr>
          <w:rFonts w:ascii="Arial"/>
          <w:i/>
          <w:sz w:val="20"/>
        </w:rPr>
        <w:t>Munton v G.L.C. [1976] 1 W.L.R. </w:t>
      </w:r>
      <w:r>
        <w:rPr>
          <w:rFonts w:ascii="Arial"/>
          <w:i/>
          <w:spacing w:val="-4"/>
          <w:sz w:val="20"/>
        </w:rPr>
        <w:t>649</w:t>
      </w:r>
      <w:r>
        <w:rPr>
          <w:spacing w:val="-4"/>
          <w:sz w:val="20"/>
        </w:rPr>
        <w:t>.</w:t>
      </w:r>
    </w:p>
    <w:p>
      <w:pPr>
        <w:pStyle w:val="BodyText"/>
        <w:spacing w:before="4"/>
      </w:pPr>
    </w:p>
    <w:p>
      <w:pPr>
        <w:pStyle w:val="BodyText"/>
        <w:tabs>
          <w:tab w:pos="705" w:val="left" w:leader="none"/>
        </w:tabs>
        <w:spacing w:before="1"/>
        <w:ind w:left="165"/>
      </w:pPr>
      <w:bookmarkStart w:name="_bookmark1408" w:id="1410"/>
      <w:bookmarkEnd w:id="1410"/>
      <w:r>
        <w:rPr/>
      </w:r>
      <w:hyperlink w:history="true" w:anchor="_bookmark1208">
        <w:r>
          <w:rPr>
            <w:color w:val="005DA1"/>
            <w:spacing w:val="-4"/>
            <w:position w:val="5"/>
            <w:sz w:val="14"/>
            <w:u w:val="single" w:color="005DA1"/>
          </w:rPr>
          <w:t>676</w:t>
        </w:r>
      </w:hyperlink>
      <w:r>
        <w:rPr>
          <w:spacing w:val="-4"/>
          <w:position w:val="5"/>
          <w:sz w:val="14"/>
        </w:rPr>
        <w:t>.</w:t>
      </w:r>
      <w:r>
        <w:rPr>
          <w:position w:val="5"/>
          <w:sz w:val="14"/>
        </w:rPr>
        <w:tab/>
      </w:r>
      <w:r>
        <w:rPr/>
        <w:t>cf. below, para.2-</w:t>
      </w:r>
      <w:r>
        <w:rPr>
          <w:spacing w:val="-4"/>
        </w:rPr>
        <w:t>152.</w:t>
      </w:r>
    </w:p>
    <w:p>
      <w:pPr>
        <w:pStyle w:val="BodyText"/>
        <w:spacing w:before="5"/>
      </w:pPr>
    </w:p>
    <w:p>
      <w:pPr>
        <w:tabs>
          <w:tab w:pos="705" w:val="left" w:leader="none"/>
        </w:tabs>
        <w:spacing w:before="0"/>
        <w:ind w:left="165" w:right="0" w:firstLine="0"/>
        <w:jc w:val="left"/>
        <w:rPr>
          <w:sz w:val="20"/>
        </w:rPr>
      </w:pPr>
      <w:bookmarkStart w:name="_bookmark1409" w:id="1411"/>
      <w:bookmarkEnd w:id="1411"/>
      <w:r>
        <w:rPr/>
      </w:r>
      <w:hyperlink w:history="true" w:anchor="_bookmark1209">
        <w:r>
          <w:rPr>
            <w:color w:val="005DA1"/>
            <w:spacing w:val="-4"/>
            <w:position w:val="5"/>
            <w:sz w:val="14"/>
            <w:u w:val="single" w:color="005DA1"/>
          </w:rPr>
          <w:t>677</w:t>
        </w:r>
      </w:hyperlink>
      <w:r>
        <w:rPr>
          <w:spacing w:val="-4"/>
          <w:position w:val="5"/>
          <w:sz w:val="14"/>
        </w:rPr>
        <w:t>.</w:t>
      </w:r>
      <w:r>
        <w:rPr>
          <w:position w:val="5"/>
          <w:sz w:val="14"/>
        </w:rPr>
        <w:tab/>
      </w:r>
      <w:r>
        <w:rPr>
          <w:rFonts w:ascii="Arial"/>
          <w:i/>
          <w:sz w:val="20"/>
        </w:rPr>
        <w:t>Westway Homes v Moore (1991) 63 P. &amp; C.R. </w:t>
      </w:r>
      <w:r>
        <w:rPr>
          <w:rFonts w:ascii="Arial"/>
          <w:i/>
          <w:spacing w:val="-4"/>
          <w:sz w:val="20"/>
        </w:rPr>
        <w:t>480</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410" w:id="1412"/>
      <w:bookmarkEnd w:id="1412"/>
      <w:r>
        <w:rPr/>
      </w:r>
      <w:hyperlink w:history="true" w:anchor="_bookmark1210">
        <w:r>
          <w:rPr>
            <w:color w:val="005DA1"/>
            <w:spacing w:val="-4"/>
            <w:position w:val="5"/>
            <w:sz w:val="14"/>
            <w:u w:val="single" w:color="005DA1"/>
          </w:rPr>
          <w:t>678</w:t>
        </w:r>
      </w:hyperlink>
      <w:r>
        <w:rPr>
          <w:spacing w:val="-4"/>
          <w:position w:val="5"/>
          <w:sz w:val="14"/>
        </w:rPr>
        <w:t>.</w:t>
      </w:r>
      <w:r>
        <w:rPr>
          <w:position w:val="5"/>
          <w:sz w:val="14"/>
        </w:rPr>
        <w:tab/>
      </w:r>
      <w:r>
        <w:rPr>
          <w:rFonts w:ascii="Arial"/>
          <w:i/>
          <w:sz w:val="20"/>
        </w:rPr>
        <w:t>Storer</w:t>
      </w:r>
      <w:r>
        <w:rPr>
          <w:rFonts w:ascii="Arial"/>
          <w:i/>
          <w:spacing w:val="3"/>
          <w:sz w:val="20"/>
        </w:rPr>
        <w:t> </w:t>
      </w:r>
      <w:r>
        <w:rPr>
          <w:rFonts w:ascii="Arial"/>
          <w:i/>
          <w:sz w:val="20"/>
        </w:rPr>
        <w:t>v</w:t>
      </w:r>
      <w:r>
        <w:rPr>
          <w:rFonts w:ascii="Arial"/>
          <w:i/>
          <w:spacing w:val="4"/>
          <w:sz w:val="20"/>
        </w:rPr>
        <w:t> </w:t>
      </w:r>
      <w:r>
        <w:rPr>
          <w:rFonts w:ascii="Arial"/>
          <w:i/>
          <w:sz w:val="20"/>
        </w:rPr>
        <w:t>Manchester</w:t>
      </w:r>
      <w:r>
        <w:rPr>
          <w:rFonts w:ascii="Arial"/>
          <w:i/>
          <w:spacing w:val="4"/>
          <w:sz w:val="20"/>
        </w:rPr>
        <w:t> </w:t>
      </w:r>
      <w:r>
        <w:rPr>
          <w:rFonts w:ascii="Arial"/>
          <w:i/>
          <w:sz w:val="20"/>
        </w:rPr>
        <w:t>City</w:t>
      </w:r>
      <w:r>
        <w:rPr>
          <w:rFonts w:ascii="Arial"/>
          <w:i/>
          <w:spacing w:val="4"/>
          <w:sz w:val="20"/>
        </w:rPr>
        <w:t> </w:t>
      </w:r>
      <w:r>
        <w:rPr>
          <w:rFonts w:ascii="Arial"/>
          <w:i/>
          <w:sz w:val="20"/>
        </w:rPr>
        <w:t>Council</w:t>
      </w:r>
      <w:r>
        <w:rPr>
          <w:rFonts w:ascii="Arial"/>
          <w:i/>
          <w:spacing w:val="4"/>
          <w:sz w:val="20"/>
        </w:rPr>
        <w:t> </w:t>
      </w:r>
      <w:r>
        <w:rPr>
          <w:rFonts w:ascii="Arial"/>
          <w:i/>
          <w:sz w:val="20"/>
        </w:rPr>
        <w:t>[1974]</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1403</w:t>
      </w:r>
      <w:r>
        <w:rPr>
          <w:sz w:val="20"/>
        </w:rPr>
        <w:t>;</w:t>
      </w:r>
      <w:r>
        <w:rPr>
          <w:spacing w:val="4"/>
          <w:sz w:val="20"/>
        </w:rPr>
        <w:t> </w:t>
      </w:r>
      <w:r>
        <w:rPr>
          <w:rFonts w:ascii="Arial"/>
          <w:i/>
          <w:sz w:val="20"/>
        </w:rPr>
        <w:t>Tweddell</w:t>
      </w:r>
      <w:r>
        <w:rPr>
          <w:rFonts w:ascii="Arial"/>
          <w:i/>
          <w:spacing w:val="4"/>
          <w:sz w:val="20"/>
        </w:rPr>
        <w:t> </w:t>
      </w:r>
      <w:r>
        <w:rPr>
          <w:rFonts w:ascii="Arial"/>
          <w:i/>
          <w:sz w:val="20"/>
        </w:rPr>
        <w:t>v</w:t>
      </w:r>
      <w:r>
        <w:rPr>
          <w:rFonts w:ascii="Arial"/>
          <w:i/>
          <w:spacing w:val="4"/>
          <w:sz w:val="20"/>
        </w:rPr>
        <w:t> </w:t>
      </w:r>
      <w:r>
        <w:rPr>
          <w:rFonts w:ascii="Arial"/>
          <w:i/>
          <w:sz w:val="20"/>
        </w:rPr>
        <w:t>Henderson</w:t>
      </w:r>
      <w:r>
        <w:rPr>
          <w:rFonts w:ascii="Arial"/>
          <w:i/>
          <w:spacing w:val="4"/>
          <w:sz w:val="20"/>
        </w:rPr>
        <w:t> </w:t>
      </w:r>
      <w:r>
        <w:rPr>
          <w:rFonts w:ascii="Arial"/>
          <w:i/>
          <w:sz w:val="20"/>
        </w:rPr>
        <w:t>[1975]</w:t>
      </w:r>
      <w:r>
        <w:rPr>
          <w:rFonts w:ascii="Arial"/>
          <w:i/>
          <w:spacing w:val="4"/>
          <w:sz w:val="20"/>
        </w:rPr>
        <w:t> </w:t>
      </w:r>
      <w:r>
        <w:rPr>
          <w:rFonts w:ascii="Arial"/>
          <w:i/>
          <w:sz w:val="20"/>
        </w:rPr>
        <w:t>1</w:t>
      </w:r>
      <w:r>
        <w:rPr>
          <w:rFonts w:ascii="Arial"/>
          <w:i/>
          <w:spacing w:val="4"/>
          <w:sz w:val="20"/>
        </w:rPr>
        <w:t> </w:t>
      </w:r>
      <w:r>
        <w:rPr>
          <w:rFonts w:ascii="Arial"/>
          <w:i/>
          <w:spacing w:val="-2"/>
          <w:sz w:val="20"/>
        </w:rPr>
        <w:t>W.L.R.</w:t>
      </w:r>
    </w:p>
    <w:p>
      <w:pPr>
        <w:spacing w:line="227" w:lineRule="exact" w:before="0"/>
        <w:ind w:left="705" w:right="0" w:firstLine="0"/>
        <w:jc w:val="left"/>
        <w:rPr>
          <w:sz w:val="20"/>
        </w:rPr>
      </w:pPr>
      <w:r>
        <w:rPr>
          <w:rFonts w:ascii="Arial" w:hAnsi="Arial"/>
          <w:i/>
          <w:sz w:val="20"/>
        </w:rPr>
        <w:t>1496,</w:t>
      </w:r>
      <w:r>
        <w:rPr>
          <w:rFonts w:ascii="Arial" w:hAnsi="Arial"/>
          <w:i/>
          <w:spacing w:val="-1"/>
          <w:sz w:val="20"/>
        </w:rPr>
        <w:t> </w:t>
      </w:r>
      <w:r>
        <w:rPr>
          <w:rFonts w:ascii="Arial" w:hAnsi="Arial"/>
          <w:i/>
          <w:sz w:val="20"/>
        </w:rPr>
        <w:t>1501–1502</w:t>
      </w:r>
      <w:r>
        <w:rPr>
          <w:sz w:val="20"/>
        </w:rPr>
        <w:t>; </w:t>
      </w:r>
      <w:r>
        <w:rPr>
          <w:rFonts w:ascii="Arial" w:hAnsi="Arial"/>
          <w:i/>
          <w:sz w:val="20"/>
        </w:rPr>
        <w:t>Elias v George Sahely &amp; Co (Barbados) Ltd [1982] 3 All E.R. </w:t>
      </w:r>
      <w:r>
        <w:rPr>
          <w:rFonts w:ascii="Arial" w:hAnsi="Arial"/>
          <w:i/>
          <w:spacing w:val="-4"/>
          <w:sz w:val="20"/>
        </w:rPr>
        <w:t>801</w:t>
      </w:r>
      <w:r>
        <w:rPr>
          <w:spacing w:val="-4"/>
          <w:sz w:val="20"/>
        </w:rPr>
        <w:t>.</w:t>
      </w:r>
    </w:p>
    <w:p>
      <w:pPr>
        <w:pStyle w:val="BodyText"/>
        <w:spacing w:before="8"/>
      </w:pPr>
    </w:p>
    <w:p>
      <w:pPr>
        <w:spacing w:line="235" w:lineRule="auto" w:before="1"/>
        <w:ind w:left="705" w:right="168" w:hanging="541"/>
        <w:jc w:val="both"/>
        <w:rPr>
          <w:rFonts w:ascii="Arial"/>
          <w:i/>
          <w:sz w:val="20"/>
        </w:rPr>
      </w:pPr>
      <w:bookmarkStart w:name="_bookmark1411" w:id="1413"/>
      <w:bookmarkEnd w:id="1413"/>
      <w:r>
        <w:rPr/>
      </w:r>
      <w:hyperlink w:history="true" w:anchor="_bookmark1211">
        <w:r>
          <w:rPr>
            <w:color w:val="005DA1"/>
            <w:position w:val="5"/>
            <w:sz w:val="14"/>
            <w:u w:val="single" w:color="005DA1"/>
          </w:rPr>
          <w:t>679</w:t>
        </w:r>
      </w:hyperlink>
      <w:r>
        <w:rPr>
          <w:position w:val="5"/>
          <w:sz w:val="14"/>
        </w:rPr>
        <w:t>.</w:t>
      </w:r>
      <w:r>
        <w:rPr>
          <w:spacing w:val="40"/>
          <w:position w:val="5"/>
          <w:sz w:val="14"/>
        </w:rPr>
        <w:t>  </w:t>
      </w:r>
      <w:r>
        <w:rPr>
          <w:rFonts w:ascii="Arial"/>
          <w:i/>
          <w:sz w:val="20"/>
        </w:rPr>
        <w:t>(1878) 3 App. Cas. 1124</w:t>
      </w:r>
      <w:r>
        <w:rPr>
          <w:sz w:val="20"/>
        </w:rPr>
        <w:t>. For other examples of a completed agreement, see </w:t>
      </w:r>
      <w:r>
        <w:rPr>
          <w:rFonts w:ascii="Arial"/>
          <w:i/>
          <w:sz w:val="20"/>
        </w:rPr>
        <w:t>Lewis v Brass (1877)</w:t>
      </w:r>
      <w:r>
        <w:rPr>
          <w:rFonts w:ascii="Arial"/>
          <w:i/>
          <w:spacing w:val="38"/>
          <w:sz w:val="20"/>
        </w:rPr>
        <w:t> </w:t>
      </w:r>
      <w:r>
        <w:rPr>
          <w:rFonts w:ascii="Arial"/>
          <w:i/>
          <w:sz w:val="20"/>
        </w:rPr>
        <w:t>3</w:t>
      </w:r>
      <w:r>
        <w:rPr>
          <w:rFonts w:ascii="Arial"/>
          <w:i/>
          <w:spacing w:val="41"/>
          <w:sz w:val="20"/>
        </w:rPr>
        <w:t> </w:t>
      </w:r>
      <w:r>
        <w:rPr>
          <w:rFonts w:ascii="Arial"/>
          <w:i/>
          <w:sz w:val="20"/>
        </w:rPr>
        <w:t>Q.B.D.</w:t>
      </w:r>
      <w:r>
        <w:rPr>
          <w:rFonts w:ascii="Arial"/>
          <w:i/>
          <w:spacing w:val="41"/>
          <w:sz w:val="20"/>
        </w:rPr>
        <w:t> </w:t>
      </w:r>
      <w:r>
        <w:rPr>
          <w:rFonts w:ascii="Arial"/>
          <w:i/>
          <w:sz w:val="20"/>
        </w:rPr>
        <w:t>667</w:t>
      </w:r>
      <w:r>
        <w:rPr>
          <w:sz w:val="20"/>
        </w:rPr>
        <w:t>;</w:t>
      </w:r>
      <w:r>
        <w:rPr>
          <w:spacing w:val="41"/>
          <w:sz w:val="20"/>
        </w:rPr>
        <w:t> </w:t>
      </w:r>
      <w:r>
        <w:rPr>
          <w:rFonts w:ascii="Arial"/>
          <w:i/>
          <w:sz w:val="20"/>
        </w:rPr>
        <w:t>Bonnewell</w:t>
      </w:r>
      <w:r>
        <w:rPr>
          <w:rFonts w:ascii="Arial"/>
          <w:i/>
          <w:spacing w:val="41"/>
          <w:sz w:val="20"/>
        </w:rPr>
        <w:t> </w:t>
      </w:r>
      <w:r>
        <w:rPr>
          <w:rFonts w:ascii="Arial"/>
          <w:i/>
          <w:sz w:val="20"/>
        </w:rPr>
        <w:t>v</w:t>
      </w:r>
      <w:r>
        <w:rPr>
          <w:rFonts w:ascii="Arial"/>
          <w:i/>
          <w:spacing w:val="41"/>
          <w:sz w:val="20"/>
        </w:rPr>
        <w:t> </w:t>
      </w:r>
      <w:r>
        <w:rPr>
          <w:rFonts w:ascii="Arial"/>
          <w:i/>
          <w:sz w:val="20"/>
        </w:rPr>
        <w:t>Jenkins</w:t>
      </w:r>
      <w:r>
        <w:rPr>
          <w:rFonts w:ascii="Arial"/>
          <w:i/>
          <w:spacing w:val="41"/>
          <w:sz w:val="20"/>
        </w:rPr>
        <w:t> </w:t>
      </w:r>
      <w:r>
        <w:rPr>
          <w:rFonts w:ascii="Arial"/>
          <w:i/>
          <w:sz w:val="20"/>
        </w:rPr>
        <w:t>(1878)</w:t>
      </w:r>
      <w:r>
        <w:rPr>
          <w:rFonts w:ascii="Arial"/>
          <w:i/>
          <w:spacing w:val="40"/>
          <w:sz w:val="20"/>
        </w:rPr>
        <w:t> </w:t>
      </w:r>
      <w:r>
        <w:rPr>
          <w:rFonts w:ascii="Arial"/>
          <w:i/>
          <w:sz w:val="20"/>
        </w:rPr>
        <w:t>8</w:t>
      </w:r>
      <w:r>
        <w:rPr>
          <w:rFonts w:ascii="Arial"/>
          <w:i/>
          <w:spacing w:val="41"/>
          <w:sz w:val="20"/>
        </w:rPr>
        <w:t> </w:t>
      </w:r>
      <w:r>
        <w:rPr>
          <w:rFonts w:ascii="Arial"/>
          <w:i/>
          <w:sz w:val="20"/>
        </w:rPr>
        <w:t>Ch.</w:t>
      </w:r>
      <w:r>
        <w:rPr>
          <w:rFonts w:ascii="Arial"/>
          <w:i/>
          <w:spacing w:val="41"/>
          <w:sz w:val="20"/>
        </w:rPr>
        <w:t> </w:t>
      </w:r>
      <w:r>
        <w:rPr>
          <w:rFonts w:ascii="Arial"/>
          <w:i/>
          <w:sz w:val="20"/>
        </w:rPr>
        <w:t>D.</w:t>
      </w:r>
      <w:r>
        <w:rPr>
          <w:rFonts w:ascii="Arial"/>
          <w:i/>
          <w:spacing w:val="41"/>
          <w:sz w:val="20"/>
        </w:rPr>
        <w:t> </w:t>
      </w:r>
      <w:r>
        <w:rPr>
          <w:rFonts w:ascii="Arial"/>
          <w:i/>
          <w:sz w:val="20"/>
        </w:rPr>
        <w:t>70</w:t>
      </w:r>
      <w:r>
        <w:rPr>
          <w:sz w:val="20"/>
        </w:rPr>
        <w:t>;</w:t>
      </w:r>
      <w:r>
        <w:rPr>
          <w:spacing w:val="41"/>
          <w:sz w:val="20"/>
        </w:rPr>
        <w:t> </w:t>
      </w:r>
      <w:r>
        <w:rPr>
          <w:rFonts w:ascii="Arial"/>
          <w:i/>
          <w:sz w:val="20"/>
        </w:rPr>
        <w:t>Bolton</w:t>
      </w:r>
      <w:r>
        <w:rPr>
          <w:rFonts w:ascii="Arial"/>
          <w:i/>
          <w:spacing w:val="41"/>
          <w:sz w:val="20"/>
        </w:rPr>
        <w:t> </w:t>
      </w:r>
      <w:r>
        <w:rPr>
          <w:rFonts w:ascii="Arial"/>
          <w:i/>
          <w:sz w:val="20"/>
        </w:rPr>
        <w:t>Partners</w:t>
      </w:r>
      <w:r>
        <w:rPr>
          <w:rFonts w:ascii="Arial"/>
          <w:i/>
          <w:spacing w:val="41"/>
          <w:sz w:val="20"/>
        </w:rPr>
        <w:t> </w:t>
      </w:r>
      <w:r>
        <w:rPr>
          <w:rFonts w:ascii="Arial"/>
          <w:i/>
          <w:sz w:val="20"/>
        </w:rPr>
        <w:t>v</w:t>
      </w:r>
      <w:r>
        <w:rPr>
          <w:rFonts w:ascii="Arial"/>
          <w:i/>
          <w:spacing w:val="41"/>
          <w:sz w:val="20"/>
        </w:rPr>
        <w:t> </w:t>
      </w:r>
      <w:r>
        <w:rPr>
          <w:rFonts w:ascii="Arial"/>
          <w:i/>
          <w:spacing w:val="-2"/>
          <w:sz w:val="20"/>
        </w:rPr>
        <w:t>Lambert</w:t>
      </w:r>
    </w:p>
    <w:p>
      <w:pPr>
        <w:spacing w:line="235" w:lineRule="auto" w:before="0"/>
        <w:ind w:left="705" w:right="168" w:firstLine="0"/>
        <w:jc w:val="both"/>
        <w:rPr>
          <w:rFonts w:ascii="Arial"/>
          <w:i/>
          <w:sz w:val="20"/>
        </w:rPr>
      </w:pPr>
      <w:r>
        <w:rPr>
          <w:rFonts w:ascii="Arial"/>
          <w:i/>
          <w:sz w:val="20"/>
        </w:rPr>
        <w:t>(1888) 41 Ch. D. 295</w:t>
      </w:r>
      <w:r>
        <w:rPr>
          <w:sz w:val="20"/>
        </w:rPr>
        <w:t>; </w:t>
      </w:r>
      <w:r>
        <w:rPr>
          <w:rFonts w:ascii="Arial"/>
          <w:i/>
          <w:sz w:val="20"/>
        </w:rPr>
        <w:t>Gray v Smith (1889) 43 Ch. D. 208</w:t>
      </w:r>
      <w:r>
        <w:rPr>
          <w:sz w:val="20"/>
        </w:rPr>
        <w:t>; </w:t>
      </w:r>
      <w:r>
        <w:rPr>
          <w:rFonts w:ascii="Arial"/>
          <w:i/>
          <w:sz w:val="20"/>
        </w:rPr>
        <w:t>Filby v Hounsell [1896] 2 Ch. 737</w:t>
      </w:r>
      <w:r>
        <w:rPr>
          <w:sz w:val="20"/>
        </w:rPr>
        <w:t>; </w:t>
      </w:r>
      <w:r>
        <w:rPr>
          <w:rFonts w:ascii="Arial"/>
          <w:i/>
          <w:sz w:val="20"/>
        </w:rPr>
        <w:t>Lever</w:t>
      </w:r>
      <w:r>
        <w:rPr>
          <w:rFonts w:ascii="Arial"/>
          <w:i/>
          <w:spacing w:val="-2"/>
          <w:sz w:val="20"/>
        </w:rPr>
        <w:t> </w:t>
      </w:r>
      <w:r>
        <w:rPr>
          <w:rFonts w:ascii="Arial"/>
          <w:i/>
          <w:sz w:val="20"/>
        </w:rPr>
        <w:t>v</w:t>
      </w:r>
      <w:r>
        <w:rPr>
          <w:rFonts w:ascii="Arial"/>
          <w:i/>
          <w:spacing w:val="-2"/>
          <w:sz w:val="20"/>
        </w:rPr>
        <w:t> </w:t>
      </w:r>
      <w:r>
        <w:rPr>
          <w:rFonts w:ascii="Arial"/>
          <w:i/>
          <w:sz w:val="20"/>
        </w:rPr>
        <w:t>Koffler</w:t>
      </w:r>
      <w:r>
        <w:rPr>
          <w:rFonts w:ascii="Arial"/>
          <w:i/>
          <w:spacing w:val="-2"/>
          <w:sz w:val="20"/>
        </w:rPr>
        <w:t> </w:t>
      </w:r>
      <w:r>
        <w:rPr>
          <w:rFonts w:ascii="Arial"/>
          <w:i/>
          <w:sz w:val="20"/>
        </w:rPr>
        <w:t>[1901]</w:t>
      </w:r>
      <w:r>
        <w:rPr>
          <w:rFonts w:ascii="Arial"/>
          <w:i/>
          <w:spacing w:val="-2"/>
          <w:sz w:val="20"/>
        </w:rPr>
        <w:t> </w:t>
      </w:r>
      <w:r>
        <w:rPr>
          <w:rFonts w:ascii="Arial"/>
          <w:i/>
          <w:sz w:val="20"/>
        </w:rPr>
        <w:t>1</w:t>
      </w:r>
      <w:r>
        <w:rPr>
          <w:rFonts w:ascii="Arial"/>
          <w:i/>
          <w:spacing w:val="-2"/>
          <w:sz w:val="20"/>
        </w:rPr>
        <w:t> </w:t>
      </w:r>
      <w:r>
        <w:rPr>
          <w:rFonts w:ascii="Arial"/>
          <w:i/>
          <w:sz w:val="20"/>
        </w:rPr>
        <w:t>Ch.</w:t>
      </w:r>
      <w:r>
        <w:rPr>
          <w:rFonts w:ascii="Arial"/>
          <w:i/>
          <w:spacing w:val="-2"/>
          <w:sz w:val="20"/>
        </w:rPr>
        <w:t> </w:t>
      </w:r>
      <w:r>
        <w:rPr>
          <w:rFonts w:ascii="Arial"/>
          <w:i/>
          <w:sz w:val="20"/>
        </w:rPr>
        <w:t>543</w:t>
      </w:r>
      <w:r>
        <w:rPr>
          <w:sz w:val="20"/>
        </w:rPr>
        <w:t>;</w:t>
      </w:r>
      <w:r>
        <w:rPr>
          <w:spacing w:val="-2"/>
          <w:sz w:val="20"/>
        </w:rPr>
        <w:t> </w:t>
      </w:r>
      <w:r>
        <w:rPr>
          <w:rFonts w:ascii="Arial"/>
          <w:i/>
          <w:sz w:val="20"/>
        </w:rPr>
        <w:t>E.R.</w:t>
      </w:r>
      <w:r>
        <w:rPr>
          <w:rFonts w:ascii="Arial"/>
          <w:i/>
          <w:spacing w:val="-2"/>
          <w:sz w:val="20"/>
        </w:rPr>
        <w:t> </w:t>
      </w:r>
      <w:r>
        <w:rPr>
          <w:rFonts w:ascii="Arial"/>
          <w:i/>
          <w:sz w:val="20"/>
        </w:rPr>
        <w:t>Ives</w:t>
      </w:r>
      <w:r>
        <w:rPr>
          <w:rFonts w:ascii="Arial"/>
          <w:i/>
          <w:spacing w:val="-2"/>
          <w:sz w:val="20"/>
        </w:rPr>
        <w:t> </w:t>
      </w:r>
      <w:r>
        <w:rPr>
          <w:rFonts w:ascii="Arial"/>
          <w:i/>
          <w:sz w:val="20"/>
        </w:rPr>
        <w:t>Investments</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High</w:t>
      </w:r>
      <w:r>
        <w:rPr>
          <w:rFonts w:ascii="Arial"/>
          <w:i/>
          <w:spacing w:val="-2"/>
          <w:sz w:val="20"/>
        </w:rPr>
        <w:t> </w:t>
      </w:r>
      <w:r>
        <w:rPr>
          <w:rFonts w:ascii="Arial"/>
          <w:i/>
          <w:sz w:val="20"/>
        </w:rPr>
        <w:t>[1967]</w:t>
      </w:r>
      <w:r>
        <w:rPr>
          <w:rFonts w:ascii="Arial"/>
          <w:i/>
          <w:spacing w:val="-2"/>
          <w:sz w:val="20"/>
        </w:rPr>
        <w:t> </w:t>
      </w:r>
      <w:r>
        <w:rPr>
          <w:rFonts w:ascii="Arial"/>
          <w:i/>
          <w:sz w:val="20"/>
        </w:rPr>
        <w:t>2</w:t>
      </w:r>
      <w:r>
        <w:rPr>
          <w:rFonts w:ascii="Arial"/>
          <w:i/>
          <w:spacing w:val="-2"/>
          <w:sz w:val="20"/>
        </w:rPr>
        <w:t> </w:t>
      </w:r>
      <w:r>
        <w:rPr>
          <w:rFonts w:ascii="Arial"/>
          <w:i/>
          <w:sz w:val="20"/>
        </w:rPr>
        <w:t>Q.B.</w:t>
      </w:r>
      <w:r>
        <w:rPr>
          <w:rFonts w:ascii="Arial"/>
          <w:i/>
          <w:spacing w:val="-2"/>
          <w:sz w:val="20"/>
        </w:rPr>
        <w:t> </w:t>
      </w:r>
      <w:r>
        <w:rPr>
          <w:rFonts w:ascii="Arial"/>
          <w:i/>
          <w:sz w:val="20"/>
        </w:rPr>
        <w:t>379</w:t>
      </w:r>
      <w:r>
        <w:rPr>
          <w:sz w:val="20"/>
        </w:rPr>
        <w:t>;</w:t>
      </w:r>
      <w:r>
        <w:rPr>
          <w:spacing w:val="-2"/>
          <w:sz w:val="20"/>
        </w:rPr>
        <w:t> </w:t>
      </w:r>
      <w:r>
        <w:rPr>
          <w:sz w:val="20"/>
        </w:rPr>
        <w:t>cf.</w:t>
      </w:r>
      <w:r>
        <w:rPr>
          <w:spacing w:val="-2"/>
          <w:sz w:val="20"/>
        </w:rPr>
        <w:t> </w:t>
      </w:r>
      <w:r>
        <w:rPr>
          <w:rFonts w:ascii="Arial"/>
          <w:i/>
          <w:sz w:val="20"/>
        </w:rPr>
        <w:t>Willis</w:t>
      </w:r>
      <w:r>
        <w:rPr>
          <w:rFonts w:ascii="Arial"/>
          <w:i/>
          <w:spacing w:val="-2"/>
          <w:sz w:val="20"/>
        </w:rPr>
        <w:t> </w:t>
      </w:r>
      <w:r>
        <w:rPr>
          <w:rFonts w:ascii="Arial"/>
          <w:i/>
          <w:sz w:val="20"/>
        </w:rPr>
        <w:t>v Baggs</w:t>
      </w:r>
      <w:r>
        <w:rPr>
          <w:rFonts w:ascii="Arial"/>
          <w:i/>
          <w:spacing w:val="49"/>
          <w:sz w:val="20"/>
        </w:rPr>
        <w:t> </w:t>
      </w:r>
      <w:r>
        <w:rPr>
          <w:rFonts w:ascii="Arial"/>
          <w:i/>
          <w:sz w:val="20"/>
        </w:rPr>
        <w:t>and</w:t>
      </w:r>
      <w:r>
        <w:rPr>
          <w:rFonts w:ascii="Arial"/>
          <w:i/>
          <w:spacing w:val="52"/>
          <w:sz w:val="20"/>
        </w:rPr>
        <w:t> </w:t>
      </w:r>
      <w:r>
        <w:rPr>
          <w:rFonts w:ascii="Arial"/>
          <w:i/>
          <w:sz w:val="20"/>
        </w:rPr>
        <w:t>Salt</w:t>
      </w:r>
      <w:r>
        <w:rPr>
          <w:rFonts w:ascii="Arial"/>
          <w:i/>
          <w:spacing w:val="52"/>
          <w:sz w:val="20"/>
        </w:rPr>
        <w:t> </w:t>
      </w:r>
      <w:r>
        <w:rPr>
          <w:rFonts w:ascii="Arial"/>
          <w:i/>
          <w:sz w:val="20"/>
        </w:rPr>
        <w:t>(1925)</w:t>
      </w:r>
      <w:r>
        <w:rPr>
          <w:rFonts w:ascii="Arial"/>
          <w:i/>
          <w:spacing w:val="52"/>
          <w:sz w:val="20"/>
        </w:rPr>
        <w:t> </w:t>
      </w:r>
      <w:r>
        <w:rPr>
          <w:rFonts w:ascii="Arial"/>
          <w:i/>
          <w:sz w:val="20"/>
        </w:rPr>
        <w:t>41</w:t>
      </w:r>
      <w:r>
        <w:rPr>
          <w:rFonts w:ascii="Arial"/>
          <w:i/>
          <w:spacing w:val="52"/>
          <w:sz w:val="20"/>
        </w:rPr>
        <w:t> </w:t>
      </w:r>
      <w:r>
        <w:rPr>
          <w:rFonts w:ascii="Arial"/>
          <w:i/>
          <w:sz w:val="20"/>
        </w:rPr>
        <w:t>T.L.R.</w:t>
      </w:r>
      <w:r>
        <w:rPr>
          <w:rFonts w:ascii="Arial"/>
          <w:i/>
          <w:spacing w:val="52"/>
          <w:sz w:val="20"/>
        </w:rPr>
        <w:t> </w:t>
      </w:r>
      <w:r>
        <w:rPr>
          <w:rFonts w:ascii="Arial"/>
          <w:i/>
          <w:sz w:val="20"/>
        </w:rPr>
        <w:t>453</w:t>
      </w:r>
      <w:r>
        <w:rPr>
          <w:sz w:val="20"/>
        </w:rPr>
        <w:t>;</w:t>
      </w:r>
      <w:r>
        <w:rPr>
          <w:spacing w:val="52"/>
          <w:sz w:val="20"/>
        </w:rPr>
        <w:t> </w:t>
      </w:r>
      <w:r>
        <w:rPr>
          <w:rFonts w:ascii="Arial"/>
          <w:i/>
          <w:sz w:val="20"/>
        </w:rPr>
        <w:t>Morton</w:t>
      </w:r>
      <w:r>
        <w:rPr>
          <w:rFonts w:ascii="Arial"/>
          <w:i/>
          <w:spacing w:val="51"/>
          <w:sz w:val="20"/>
        </w:rPr>
        <w:t> </w:t>
      </w:r>
      <w:r>
        <w:rPr>
          <w:rFonts w:ascii="Arial"/>
          <w:i/>
          <w:sz w:val="20"/>
        </w:rPr>
        <w:t>v</w:t>
      </w:r>
      <w:r>
        <w:rPr>
          <w:rFonts w:ascii="Arial"/>
          <w:i/>
          <w:spacing w:val="52"/>
          <w:sz w:val="20"/>
        </w:rPr>
        <w:t> </w:t>
      </w:r>
      <w:r>
        <w:rPr>
          <w:rFonts w:ascii="Arial"/>
          <w:i/>
          <w:sz w:val="20"/>
        </w:rPr>
        <w:t>Morton</w:t>
      </w:r>
      <w:r>
        <w:rPr>
          <w:rFonts w:ascii="Arial"/>
          <w:i/>
          <w:spacing w:val="52"/>
          <w:sz w:val="20"/>
        </w:rPr>
        <w:t> </w:t>
      </w:r>
      <w:r>
        <w:rPr>
          <w:rFonts w:ascii="Arial"/>
          <w:i/>
          <w:sz w:val="20"/>
        </w:rPr>
        <w:t>[1942]</w:t>
      </w:r>
      <w:r>
        <w:rPr>
          <w:rFonts w:ascii="Arial"/>
          <w:i/>
          <w:spacing w:val="52"/>
          <w:sz w:val="20"/>
        </w:rPr>
        <w:t> </w:t>
      </w:r>
      <w:r>
        <w:rPr>
          <w:rFonts w:ascii="Arial"/>
          <w:i/>
          <w:sz w:val="20"/>
        </w:rPr>
        <w:t>1</w:t>
      </w:r>
      <w:r>
        <w:rPr>
          <w:rFonts w:ascii="Arial"/>
          <w:i/>
          <w:spacing w:val="52"/>
          <w:sz w:val="20"/>
        </w:rPr>
        <w:t> </w:t>
      </w:r>
      <w:r>
        <w:rPr>
          <w:rFonts w:ascii="Arial"/>
          <w:i/>
          <w:sz w:val="20"/>
        </w:rPr>
        <w:t>All</w:t>
      </w:r>
      <w:r>
        <w:rPr>
          <w:rFonts w:ascii="Arial"/>
          <w:i/>
          <w:spacing w:val="52"/>
          <w:sz w:val="20"/>
        </w:rPr>
        <w:t> </w:t>
      </w:r>
      <w:r>
        <w:rPr>
          <w:rFonts w:ascii="Arial"/>
          <w:i/>
          <w:sz w:val="20"/>
        </w:rPr>
        <w:t>E.R.</w:t>
      </w:r>
      <w:r>
        <w:rPr>
          <w:rFonts w:ascii="Arial"/>
          <w:i/>
          <w:spacing w:val="52"/>
          <w:sz w:val="20"/>
        </w:rPr>
        <w:t> </w:t>
      </w:r>
      <w:r>
        <w:rPr>
          <w:rFonts w:ascii="Arial"/>
          <w:i/>
          <w:sz w:val="20"/>
        </w:rPr>
        <w:t>273</w:t>
      </w:r>
      <w:r>
        <w:rPr>
          <w:sz w:val="20"/>
        </w:rPr>
        <w:t>;</w:t>
      </w:r>
      <w:r>
        <w:rPr>
          <w:spacing w:val="52"/>
          <w:sz w:val="20"/>
        </w:rPr>
        <w:t> </w:t>
      </w:r>
      <w:r>
        <w:rPr>
          <w:rFonts w:ascii="Arial"/>
          <w:i/>
          <w:spacing w:val="-2"/>
          <w:sz w:val="20"/>
        </w:rPr>
        <w:t>Cranleigh</w:t>
      </w:r>
    </w:p>
    <w:p>
      <w:pPr>
        <w:spacing w:line="225" w:lineRule="exact" w:before="0"/>
        <w:ind w:left="705" w:right="0" w:firstLine="0"/>
        <w:jc w:val="both"/>
        <w:rPr>
          <w:sz w:val="20"/>
        </w:rPr>
      </w:pPr>
      <w:r>
        <w:rPr>
          <w:rFonts w:ascii="Arial"/>
          <w:i/>
          <w:sz w:val="20"/>
        </w:rPr>
        <w:t>Precision Engineering Ltd v Bryant [1965] 1 W.L.R. </w:t>
      </w:r>
      <w:r>
        <w:rPr>
          <w:rFonts w:ascii="Arial"/>
          <w:i/>
          <w:spacing w:val="-2"/>
          <w:sz w:val="20"/>
        </w:rPr>
        <w:t>1293</w:t>
      </w:r>
      <w:r>
        <w:rPr>
          <w:spacing w:val="-2"/>
          <w:sz w:val="20"/>
        </w:rPr>
        <w:t>.</w:t>
      </w:r>
    </w:p>
    <w:p>
      <w:pPr>
        <w:pStyle w:val="BodyText"/>
        <w:spacing w:before="4"/>
      </w:pPr>
    </w:p>
    <w:p>
      <w:pPr>
        <w:tabs>
          <w:tab w:pos="705" w:val="left" w:leader="none"/>
        </w:tabs>
        <w:spacing w:before="0"/>
        <w:ind w:left="165" w:right="0" w:firstLine="0"/>
        <w:jc w:val="left"/>
        <w:rPr>
          <w:sz w:val="20"/>
        </w:rPr>
      </w:pPr>
      <w:bookmarkStart w:name="_bookmark1412" w:id="1414"/>
      <w:bookmarkEnd w:id="1414"/>
      <w:r>
        <w:rPr/>
      </w:r>
      <w:hyperlink w:history="true" w:anchor="_bookmark1212">
        <w:r>
          <w:rPr>
            <w:color w:val="005DA1"/>
            <w:spacing w:val="-4"/>
            <w:position w:val="5"/>
            <w:sz w:val="14"/>
            <w:u w:val="single" w:color="005DA1"/>
          </w:rPr>
          <w:t>680</w:t>
        </w:r>
      </w:hyperlink>
      <w:r>
        <w:rPr>
          <w:spacing w:val="-4"/>
          <w:position w:val="5"/>
          <w:sz w:val="14"/>
        </w:rPr>
        <w:t>.</w:t>
      </w:r>
      <w:r>
        <w:rPr>
          <w:position w:val="5"/>
          <w:sz w:val="14"/>
        </w:rPr>
        <w:tab/>
      </w:r>
      <w:r>
        <w:rPr>
          <w:rFonts w:ascii="Arial"/>
          <w:i/>
          <w:sz w:val="20"/>
        </w:rPr>
        <w:t>(1878) 3 App. Cas. 1124, </w:t>
      </w:r>
      <w:r>
        <w:rPr>
          <w:rFonts w:ascii="Arial"/>
          <w:i/>
          <w:spacing w:val="-2"/>
          <w:sz w:val="20"/>
        </w:rPr>
        <w:t>1151</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413" w:id="1415"/>
      <w:bookmarkEnd w:id="1415"/>
      <w:r>
        <w:rPr/>
      </w:r>
      <w:hyperlink w:history="true" w:anchor="_bookmark1213">
        <w:r>
          <w:rPr>
            <w:color w:val="005DA1"/>
            <w:spacing w:val="-4"/>
            <w:position w:val="5"/>
            <w:sz w:val="14"/>
            <w:u w:val="single" w:color="005DA1"/>
          </w:rPr>
          <w:t>681</w:t>
        </w:r>
      </w:hyperlink>
      <w:r>
        <w:rPr>
          <w:spacing w:val="-4"/>
          <w:position w:val="5"/>
          <w:sz w:val="14"/>
        </w:rPr>
        <w:t>.</w:t>
      </w:r>
      <w:r>
        <w:rPr>
          <w:position w:val="5"/>
          <w:sz w:val="14"/>
        </w:rPr>
        <w:tab/>
      </w:r>
      <w:r>
        <w:rPr>
          <w:rFonts w:ascii="Arial"/>
          <w:i/>
          <w:sz w:val="20"/>
        </w:rPr>
        <w:t>[1947]</w:t>
      </w:r>
      <w:r>
        <w:rPr>
          <w:rFonts w:ascii="Arial"/>
          <w:i/>
          <w:spacing w:val="-2"/>
          <w:sz w:val="20"/>
        </w:rPr>
        <w:t> </w:t>
      </w:r>
      <w:r>
        <w:rPr>
          <w:rFonts w:ascii="Arial"/>
          <w:i/>
          <w:sz w:val="20"/>
        </w:rPr>
        <w:t>K.B. </w:t>
      </w:r>
      <w:r>
        <w:rPr>
          <w:rFonts w:ascii="Arial"/>
          <w:i/>
          <w:spacing w:val="-4"/>
          <w:sz w:val="20"/>
        </w:rPr>
        <w:t>854</w:t>
      </w:r>
      <w:r>
        <w:rPr>
          <w:spacing w:val="-4"/>
          <w:sz w:val="20"/>
        </w:rPr>
        <w:t>.</w:t>
      </w:r>
    </w:p>
    <w:p>
      <w:pPr>
        <w:pStyle w:val="BodyText"/>
        <w:spacing w:before="8"/>
      </w:pPr>
    </w:p>
    <w:p>
      <w:pPr>
        <w:spacing w:line="235" w:lineRule="auto" w:before="1"/>
        <w:ind w:left="705" w:right="167" w:hanging="541"/>
        <w:jc w:val="both"/>
        <w:rPr>
          <w:sz w:val="20"/>
        </w:rPr>
      </w:pPr>
      <w:bookmarkStart w:name="_bookmark1414" w:id="1416"/>
      <w:bookmarkEnd w:id="1416"/>
      <w:r>
        <w:rPr/>
      </w:r>
      <w:hyperlink w:history="true" w:anchor="_bookmark1214">
        <w:r>
          <w:rPr>
            <w:color w:val="005DA1"/>
            <w:position w:val="5"/>
            <w:sz w:val="14"/>
            <w:u w:val="single" w:color="005DA1"/>
          </w:rPr>
          <w:t>682</w:t>
        </w:r>
      </w:hyperlink>
      <w:r>
        <w:rPr>
          <w:position w:val="5"/>
          <w:sz w:val="14"/>
        </w:rPr>
        <w:t>.</w:t>
      </w:r>
      <w:r>
        <w:rPr>
          <w:spacing w:val="80"/>
          <w:position w:val="5"/>
          <w:sz w:val="14"/>
        </w:rPr>
        <w:t>  </w:t>
      </w:r>
      <w:r>
        <w:rPr>
          <w:rFonts w:ascii="Arial"/>
          <w:i/>
          <w:sz w:val="20"/>
        </w:rPr>
        <w:t>Trollope &amp; Colls Ltd v Atomic Power Construction Ltd [1963] 1 W.L.R. 333</w:t>
      </w:r>
      <w:r>
        <w:rPr>
          <w:sz w:val="20"/>
        </w:rPr>
        <w:t>. The same </w:t>
      </w:r>
      <w:r>
        <w:rPr>
          <w:sz w:val="20"/>
        </w:rPr>
        <w:t>principle can</w:t>
      </w:r>
      <w:r>
        <w:rPr>
          <w:spacing w:val="-1"/>
          <w:sz w:val="20"/>
        </w:rPr>
        <w:t> </w:t>
      </w:r>
      <w:r>
        <w:rPr>
          <w:sz w:val="20"/>
        </w:rPr>
        <w:t>apply</w:t>
      </w:r>
      <w:r>
        <w:rPr>
          <w:spacing w:val="-1"/>
          <w:sz w:val="20"/>
        </w:rPr>
        <w:t> </w:t>
      </w:r>
      <w:r>
        <w:rPr>
          <w:sz w:val="20"/>
        </w:rPr>
        <w:t>also</w:t>
      </w:r>
      <w:r>
        <w:rPr>
          <w:spacing w:val="-1"/>
          <w:sz w:val="20"/>
        </w:rPr>
        <w:t> </w:t>
      </w:r>
      <w:r>
        <w:rPr>
          <w:sz w:val="20"/>
        </w:rPr>
        <w:t>where</w:t>
      </w:r>
      <w:r>
        <w:rPr>
          <w:spacing w:val="-1"/>
          <w:sz w:val="20"/>
        </w:rPr>
        <w:t> </w:t>
      </w:r>
      <w:r>
        <w:rPr>
          <w:sz w:val="20"/>
        </w:rPr>
        <w:t>the</w:t>
      </w:r>
      <w:r>
        <w:rPr>
          <w:spacing w:val="-1"/>
          <w:sz w:val="20"/>
        </w:rPr>
        <w:t> </w:t>
      </w:r>
      <w:r>
        <w:rPr>
          <w:sz w:val="20"/>
        </w:rPr>
        <w:t>parties</w:t>
      </w:r>
      <w:r>
        <w:rPr>
          <w:spacing w:val="-1"/>
          <w:sz w:val="20"/>
        </w:rPr>
        <w:t> </w:t>
      </w:r>
      <w:r>
        <w:rPr>
          <w:sz w:val="20"/>
        </w:rPr>
        <w:t>act</w:t>
      </w:r>
      <w:r>
        <w:rPr>
          <w:spacing w:val="-1"/>
          <w:sz w:val="20"/>
        </w:rPr>
        <w:t> </w:t>
      </w:r>
      <w:r>
        <w:rPr>
          <w:sz w:val="20"/>
        </w:rPr>
        <w:t>on</w:t>
      </w:r>
      <w:r>
        <w:rPr>
          <w:spacing w:val="-1"/>
          <w:sz w:val="20"/>
        </w:rPr>
        <w:t> </w:t>
      </w:r>
      <w:r>
        <w:rPr>
          <w:sz w:val="20"/>
        </w:rPr>
        <w:t>an</w:t>
      </w:r>
      <w:r>
        <w:rPr>
          <w:spacing w:val="-1"/>
          <w:sz w:val="20"/>
        </w:rPr>
        <w:t> </w:t>
      </w:r>
      <w:r>
        <w:rPr>
          <w:sz w:val="20"/>
        </w:rPr>
        <w:t>informal</w:t>
      </w:r>
      <w:r>
        <w:rPr>
          <w:spacing w:val="-1"/>
          <w:sz w:val="20"/>
        </w:rPr>
        <w:t> </w:t>
      </w:r>
      <w:r>
        <w:rPr>
          <w:sz w:val="20"/>
        </w:rPr>
        <w:t>agreement</w:t>
      </w:r>
      <w:r>
        <w:rPr>
          <w:spacing w:val="-1"/>
          <w:sz w:val="20"/>
        </w:rPr>
        <w:t> </w:t>
      </w:r>
      <w:r>
        <w:rPr>
          <w:sz w:val="20"/>
        </w:rPr>
        <w:t>which</w:t>
      </w:r>
      <w:r>
        <w:rPr>
          <w:spacing w:val="-1"/>
          <w:sz w:val="20"/>
        </w:rPr>
        <w:t> </w:t>
      </w:r>
      <w:r>
        <w:rPr>
          <w:sz w:val="20"/>
        </w:rPr>
        <w:t>does</w:t>
      </w:r>
      <w:r>
        <w:rPr>
          <w:spacing w:val="-1"/>
          <w:sz w:val="20"/>
        </w:rPr>
        <w:t> </w:t>
      </w:r>
      <w:r>
        <w:rPr>
          <w:sz w:val="20"/>
        </w:rPr>
        <w:t>not</w:t>
      </w:r>
      <w:r>
        <w:rPr>
          <w:spacing w:val="-1"/>
          <w:sz w:val="20"/>
        </w:rPr>
        <w:t> </w:t>
      </w:r>
      <w:r>
        <w:rPr>
          <w:sz w:val="20"/>
        </w:rPr>
        <w:t>have</w:t>
      </w:r>
      <w:r>
        <w:rPr>
          <w:spacing w:val="-1"/>
          <w:sz w:val="20"/>
        </w:rPr>
        <w:t> </w:t>
      </w:r>
      <w:r>
        <w:rPr>
          <w:sz w:val="20"/>
        </w:rPr>
        <w:t>contractual force and that agreement is later superseded by the execution of a formal contract: see</w:t>
      </w:r>
      <w:r>
        <w:rPr>
          <w:spacing w:val="-1"/>
          <w:sz w:val="20"/>
        </w:rPr>
        <w:t> </w:t>
      </w:r>
      <w:r>
        <w:rPr>
          <w:rFonts w:ascii="Arial"/>
          <w:i/>
          <w:sz w:val="20"/>
        </w:rPr>
        <w:t>Twintec Ltd v Volkerfitzpatrick Ltd [2014] EWHC 10 (TCC), [2014] B.L.R. 150 </w:t>
      </w:r>
      <w:r>
        <w:rPr>
          <w:sz w:val="20"/>
        </w:rPr>
        <w:t>at [18], [45].</w:t>
      </w:r>
    </w:p>
    <w:p>
      <w:pPr>
        <w:pStyle w:val="BodyText"/>
        <w:spacing w:before="8"/>
      </w:pPr>
    </w:p>
    <w:p>
      <w:pPr>
        <w:spacing w:line="235" w:lineRule="auto" w:before="0"/>
        <w:ind w:left="705" w:right="168" w:hanging="541"/>
        <w:jc w:val="both"/>
        <w:rPr>
          <w:sz w:val="20"/>
        </w:rPr>
      </w:pPr>
      <w:bookmarkStart w:name="_bookmark1415" w:id="1417"/>
      <w:bookmarkEnd w:id="1417"/>
      <w:r>
        <w:rPr/>
      </w:r>
      <w:hyperlink w:history="true" w:anchor="_bookmark1215">
        <w:r>
          <w:rPr>
            <w:color w:val="005DA1"/>
            <w:position w:val="5"/>
            <w:sz w:val="14"/>
            <w:u w:val="single" w:color="005DA1"/>
          </w:rPr>
          <w:t>683</w:t>
        </w:r>
      </w:hyperlink>
      <w:r>
        <w:rPr>
          <w:position w:val="5"/>
          <w:sz w:val="14"/>
        </w:rPr>
        <w:t>.</w:t>
      </w:r>
      <w:r>
        <w:rPr>
          <w:spacing w:val="40"/>
          <w:position w:val="5"/>
          <w:sz w:val="14"/>
        </w:rPr>
        <w:t>  </w:t>
      </w:r>
      <w:r>
        <w:rPr>
          <w:sz w:val="20"/>
        </w:rPr>
        <w:t>As in </w:t>
      </w:r>
      <w:r>
        <w:rPr>
          <w:rFonts w:ascii="Arial" w:hAnsi="Arial"/>
          <w:i/>
          <w:sz w:val="20"/>
        </w:rPr>
        <w:t>RTS Flexible Systems Ltd v Molkerei Alois Müller GmbH &amp; Co KG (UK Production) </w:t>
      </w:r>
      <w:r>
        <w:rPr>
          <w:rFonts w:ascii="Arial" w:hAnsi="Arial"/>
          <w:i/>
          <w:sz w:val="20"/>
        </w:rPr>
        <w:t>[2010] UKSC 14, [2010] 1 W.L.R. 753</w:t>
      </w:r>
      <w:r>
        <w:rPr>
          <w:sz w:val="20"/>
        </w:rPr>
        <w:t>; for the “subject to contract clause” (at [86]) in that case, see above, para.2-125.</w:t>
      </w:r>
    </w:p>
    <w:p>
      <w:pPr>
        <w:pStyle w:val="BodyText"/>
        <w:spacing w:before="9"/>
      </w:pPr>
    </w:p>
    <w:p>
      <w:pPr>
        <w:tabs>
          <w:tab w:pos="705" w:val="left" w:leader="none"/>
        </w:tabs>
        <w:spacing w:line="235" w:lineRule="auto" w:before="0"/>
        <w:ind w:left="705" w:right="168" w:hanging="541"/>
        <w:jc w:val="left"/>
        <w:rPr>
          <w:sz w:val="20"/>
        </w:rPr>
      </w:pPr>
      <w:bookmarkStart w:name="_bookmark1416" w:id="1418"/>
      <w:bookmarkEnd w:id="1418"/>
      <w:r>
        <w:rPr/>
      </w:r>
      <w:hyperlink w:history="true" w:anchor="_bookmark1216">
        <w:r>
          <w:rPr>
            <w:color w:val="005DA1"/>
            <w:spacing w:val="-4"/>
            <w:position w:val="5"/>
            <w:sz w:val="14"/>
            <w:u w:val="single" w:color="005DA1"/>
          </w:rPr>
          <w:t>684</w:t>
        </w:r>
      </w:hyperlink>
      <w:r>
        <w:rPr>
          <w:spacing w:val="-4"/>
          <w:position w:val="5"/>
          <w:sz w:val="14"/>
        </w:rPr>
        <w:t>.</w:t>
      </w:r>
      <w:r>
        <w:rPr>
          <w:position w:val="5"/>
          <w:sz w:val="14"/>
        </w:rPr>
        <w:tab/>
      </w:r>
      <w:r>
        <w:rPr>
          <w:rFonts w:ascii="Arial" w:hAnsi="Arial"/>
          <w:i/>
          <w:sz w:val="20"/>
        </w:rPr>
        <w:t>RTS</w:t>
      </w:r>
      <w:r>
        <w:rPr>
          <w:rFonts w:ascii="Arial" w:hAnsi="Arial"/>
          <w:i/>
          <w:spacing w:val="36"/>
          <w:sz w:val="20"/>
        </w:rPr>
        <w:t> </w:t>
      </w:r>
      <w:r>
        <w:rPr>
          <w:rFonts w:ascii="Arial" w:hAnsi="Arial"/>
          <w:i/>
          <w:sz w:val="20"/>
        </w:rPr>
        <w:t>Flexible</w:t>
      </w:r>
      <w:r>
        <w:rPr>
          <w:rFonts w:ascii="Arial" w:hAnsi="Arial"/>
          <w:i/>
          <w:spacing w:val="36"/>
          <w:sz w:val="20"/>
        </w:rPr>
        <w:t> </w:t>
      </w:r>
      <w:r>
        <w:rPr>
          <w:rFonts w:ascii="Arial" w:hAnsi="Arial"/>
          <w:i/>
          <w:sz w:val="20"/>
        </w:rPr>
        <w:t>Systems</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Molkerei</w:t>
      </w:r>
      <w:r>
        <w:rPr>
          <w:rFonts w:ascii="Arial" w:hAnsi="Arial"/>
          <w:i/>
          <w:spacing w:val="36"/>
          <w:sz w:val="20"/>
        </w:rPr>
        <w:t> </w:t>
      </w:r>
      <w:r>
        <w:rPr>
          <w:rFonts w:ascii="Arial" w:hAnsi="Arial"/>
          <w:i/>
          <w:sz w:val="20"/>
        </w:rPr>
        <w:t>Alois</w:t>
      </w:r>
      <w:r>
        <w:rPr>
          <w:rFonts w:ascii="Arial" w:hAnsi="Arial"/>
          <w:i/>
          <w:spacing w:val="36"/>
          <w:sz w:val="20"/>
        </w:rPr>
        <w:t> </w:t>
      </w:r>
      <w:r>
        <w:rPr>
          <w:rFonts w:ascii="Arial" w:hAnsi="Arial"/>
          <w:i/>
          <w:sz w:val="20"/>
        </w:rPr>
        <w:t>Müller</w:t>
      </w:r>
      <w:r>
        <w:rPr>
          <w:rFonts w:ascii="Arial" w:hAnsi="Arial"/>
          <w:i/>
          <w:spacing w:val="36"/>
          <w:sz w:val="20"/>
        </w:rPr>
        <w:t> </w:t>
      </w:r>
      <w:r>
        <w:rPr>
          <w:rFonts w:ascii="Arial" w:hAnsi="Arial"/>
          <w:i/>
          <w:sz w:val="20"/>
        </w:rPr>
        <w:t>GmbH</w:t>
      </w:r>
      <w:r>
        <w:rPr>
          <w:rFonts w:ascii="Arial" w:hAnsi="Arial"/>
          <w:i/>
          <w:spacing w:val="36"/>
          <w:sz w:val="20"/>
        </w:rPr>
        <w:t> </w:t>
      </w:r>
      <w:r>
        <w:rPr>
          <w:rFonts w:ascii="Arial" w:hAnsi="Arial"/>
          <w:i/>
          <w:sz w:val="20"/>
        </w:rPr>
        <w:t>&amp;</w:t>
      </w:r>
      <w:r>
        <w:rPr>
          <w:rFonts w:ascii="Arial" w:hAnsi="Arial"/>
          <w:i/>
          <w:spacing w:val="36"/>
          <w:sz w:val="20"/>
        </w:rPr>
        <w:t> </w:t>
      </w:r>
      <w:r>
        <w:rPr>
          <w:rFonts w:ascii="Arial" w:hAnsi="Arial"/>
          <w:i/>
          <w:sz w:val="20"/>
        </w:rPr>
        <w:t>Co</w:t>
      </w:r>
      <w:r>
        <w:rPr>
          <w:rFonts w:ascii="Arial" w:hAnsi="Arial"/>
          <w:i/>
          <w:spacing w:val="36"/>
          <w:sz w:val="20"/>
        </w:rPr>
        <w:t> </w:t>
      </w:r>
      <w:r>
        <w:rPr>
          <w:rFonts w:ascii="Arial" w:hAnsi="Arial"/>
          <w:i/>
          <w:sz w:val="20"/>
        </w:rPr>
        <w:t>KG</w:t>
      </w:r>
      <w:r>
        <w:rPr>
          <w:rFonts w:ascii="Arial" w:hAnsi="Arial"/>
          <w:i/>
          <w:spacing w:val="36"/>
          <w:sz w:val="20"/>
        </w:rPr>
        <w:t> </w:t>
      </w:r>
      <w:r>
        <w:rPr>
          <w:rFonts w:ascii="Arial" w:hAnsi="Arial"/>
          <w:i/>
          <w:sz w:val="20"/>
        </w:rPr>
        <w:t>(UK</w:t>
      </w:r>
      <w:r>
        <w:rPr>
          <w:rFonts w:ascii="Arial" w:hAnsi="Arial"/>
          <w:i/>
          <w:spacing w:val="36"/>
          <w:sz w:val="20"/>
        </w:rPr>
        <w:t> </w:t>
      </w:r>
      <w:r>
        <w:rPr>
          <w:rFonts w:ascii="Arial" w:hAnsi="Arial"/>
          <w:i/>
          <w:sz w:val="20"/>
        </w:rPr>
        <w:t>Production)</w:t>
      </w:r>
      <w:r>
        <w:rPr>
          <w:rFonts w:ascii="Arial" w:hAnsi="Arial"/>
          <w:i/>
          <w:spacing w:val="36"/>
          <w:sz w:val="20"/>
        </w:rPr>
        <w:t> </w:t>
      </w:r>
      <w:r>
        <w:rPr>
          <w:rFonts w:ascii="Arial" w:hAnsi="Arial"/>
          <w:i/>
          <w:sz w:val="20"/>
        </w:rPr>
        <w:t>[2010] UKSC 14 </w:t>
      </w:r>
      <w:r>
        <w:rPr>
          <w:sz w:val="20"/>
        </w:rPr>
        <w:t>at [47].</w:t>
      </w:r>
    </w:p>
    <w:p>
      <w:pPr>
        <w:pStyle w:val="BodyText"/>
        <w:spacing w:before="9"/>
      </w:pPr>
    </w:p>
    <w:p>
      <w:pPr>
        <w:pStyle w:val="BodyText"/>
        <w:spacing w:line="235" w:lineRule="auto"/>
        <w:ind w:left="705" w:right="167" w:hanging="541"/>
        <w:jc w:val="both"/>
      </w:pPr>
      <w:bookmarkStart w:name="_bookmark1417" w:id="1419"/>
      <w:bookmarkEnd w:id="1419"/>
      <w:r>
        <w:rPr/>
      </w:r>
      <w:hyperlink w:history="true" w:anchor="_bookmark1217">
        <w:r>
          <w:rPr>
            <w:color w:val="005DA1"/>
            <w:position w:val="5"/>
            <w:sz w:val="14"/>
            <w:u w:val="single" w:color="005DA1"/>
          </w:rPr>
          <w:t>685</w:t>
        </w:r>
      </w:hyperlink>
      <w:r>
        <w:rPr>
          <w:position w:val="5"/>
          <w:sz w:val="14"/>
        </w:rPr>
        <w:t>.</w:t>
      </w:r>
      <w:r>
        <w:rPr>
          <w:spacing w:val="80"/>
          <w:position w:val="5"/>
          <w:sz w:val="14"/>
        </w:rPr>
        <w:t>  </w:t>
      </w:r>
      <w:r>
        <w:rPr>
          <w:rFonts w:ascii="Arial" w:hAnsi="Arial"/>
          <w:i/>
        </w:rPr>
        <w:t>RTS</w:t>
      </w:r>
      <w:r>
        <w:rPr>
          <w:rFonts w:ascii="Arial" w:hAnsi="Arial"/>
          <w:i/>
          <w:spacing w:val="36"/>
        </w:rPr>
        <w:t> </w:t>
      </w:r>
      <w:r>
        <w:rPr>
          <w:rFonts w:ascii="Arial" w:hAnsi="Arial"/>
          <w:i/>
        </w:rPr>
        <w:t>Flexible</w:t>
      </w:r>
      <w:r>
        <w:rPr>
          <w:rFonts w:ascii="Arial" w:hAnsi="Arial"/>
          <w:i/>
          <w:spacing w:val="36"/>
        </w:rPr>
        <w:t> </w:t>
      </w:r>
      <w:r>
        <w:rPr>
          <w:rFonts w:ascii="Arial" w:hAnsi="Arial"/>
          <w:i/>
        </w:rPr>
        <w:t>Systems</w:t>
      </w:r>
      <w:r>
        <w:rPr>
          <w:rFonts w:ascii="Arial" w:hAnsi="Arial"/>
          <w:i/>
          <w:spacing w:val="36"/>
        </w:rPr>
        <w:t> </w:t>
      </w:r>
      <w:r>
        <w:rPr>
          <w:rFonts w:ascii="Arial" w:hAnsi="Arial"/>
          <w:i/>
        </w:rPr>
        <w:t>Ltd</w:t>
      </w:r>
      <w:r>
        <w:rPr>
          <w:rFonts w:ascii="Arial" w:hAnsi="Arial"/>
          <w:i/>
          <w:spacing w:val="36"/>
        </w:rPr>
        <w:t> </w:t>
      </w:r>
      <w:r>
        <w:rPr>
          <w:rFonts w:ascii="Arial" w:hAnsi="Arial"/>
          <w:i/>
        </w:rPr>
        <w:t>v</w:t>
      </w:r>
      <w:r>
        <w:rPr>
          <w:rFonts w:ascii="Arial" w:hAnsi="Arial"/>
          <w:i/>
          <w:spacing w:val="36"/>
        </w:rPr>
        <w:t> </w:t>
      </w:r>
      <w:r>
        <w:rPr>
          <w:rFonts w:ascii="Arial" w:hAnsi="Arial"/>
          <w:i/>
        </w:rPr>
        <w:t>Molkerei</w:t>
      </w:r>
      <w:r>
        <w:rPr>
          <w:rFonts w:ascii="Arial" w:hAnsi="Arial"/>
          <w:i/>
          <w:spacing w:val="36"/>
        </w:rPr>
        <w:t> </w:t>
      </w:r>
      <w:r>
        <w:rPr>
          <w:rFonts w:ascii="Arial" w:hAnsi="Arial"/>
          <w:i/>
        </w:rPr>
        <w:t>Alois</w:t>
      </w:r>
      <w:r>
        <w:rPr>
          <w:rFonts w:ascii="Arial" w:hAnsi="Arial"/>
          <w:i/>
          <w:spacing w:val="36"/>
        </w:rPr>
        <w:t> </w:t>
      </w:r>
      <w:r>
        <w:rPr>
          <w:rFonts w:ascii="Arial" w:hAnsi="Arial"/>
          <w:i/>
        </w:rPr>
        <w:t>Müller</w:t>
      </w:r>
      <w:r>
        <w:rPr>
          <w:rFonts w:ascii="Arial" w:hAnsi="Arial"/>
          <w:i/>
          <w:spacing w:val="36"/>
        </w:rPr>
        <w:t> </w:t>
      </w:r>
      <w:r>
        <w:rPr>
          <w:rFonts w:ascii="Arial" w:hAnsi="Arial"/>
          <w:i/>
        </w:rPr>
        <w:t>GmbH</w:t>
      </w:r>
      <w:r>
        <w:rPr>
          <w:rFonts w:ascii="Arial" w:hAnsi="Arial"/>
          <w:i/>
          <w:spacing w:val="36"/>
        </w:rPr>
        <w:t> </w:t>
      </w:r>
      <w:r>
        <w:rPr>
          <w:rFonts w:ascii="Arial" w:hAnsi="Arial"/>
          <w:i/>
        </w:rPr>
        <w:t>&amp;</w:t>
      </w:r>
      <w:r>
        <w:rPr>
          <w:rFonts w:ascii="Arial" w:hAnsi="Arial"/>
          <w:i/>
          <w:spacing w:val="36"/>
        </w:rPr>
        <w:t> </w:t>
      </w:r>
      <w:r>
        <w:rPr>
          <w:rFonts w:ascii="Arial" w:hAnsi="Arial"/>
          <w:i/>
        </w:rPr>
        <w:t>Co</w:t>
      </w:r>
      <w:r>
        <w:rPr>
          <w:rFonts w:ascii="Arial" w:hAnsi="Arial"/>
          <w:i/>
          <w:spacing w:val="36"/>
        </w:rPr>
        <w:t> </w:t>
      </w:r>
      <w:r>
        <w:rPr>
          <w:rFonts w:ascii="Arial" w:hAnsi="Arial"/>
          <w:i/>
        </w:rPr>
        <w:t>KG</w:t>
      </w:r>
      <w:r>
        <w:rPr>
          <w:rFonts w:ascii="Arial" w:hAnsi="Arial"/>
          <w:i/>
          <w:spacing w:val="36"/>
        </w:rPr>
        <w:t> </w:t>
      </w:r>
      <w:r>
        <w:rPr>
          <w:rFonts w:ascii="Arial" w:hAnsi="Arial"/>
          <w:i/>
        </w:rPr>
        <w:t>(UK</w:t>
      </w:r>
      <w:r>
        <w:rPr>
          <w:rFonts w:ascii="Arial" w:hAnsi="Arial"/>
          <w:i/>
          <w:spacing w:val="36"/>
        </w:rPr>
        <w:t> </w:t>
      </w:r>
      <w:r>
        <w:rPr>
          <w:rFonts w:ascii="Arial" w:hAnsi="Arial"/>
          <w:i/>
        </w:rPr>
        <w:t>Production)</w:t>
      </w:r>
      <w:r>
        <w:rPr>
          <w:rFonts w:ascii="Arial" w:hAnsi="Arial"/>
          <w:i/>
          <w:spacing w:val="36"/>
        </w:rPr>
        <w:t> </w:t>
      </w:r>
      <w:r>
        <w:rPr>
          <w:rFonts w:ascii="Arial" w:hAnsi="Arial"/>
          <w:i/>
        </w:rPr>
        <w:t>[2010] UKSC 14 </w:t>
      </w:r>
      <w:r>
        <w:rPr/>
        <w:t>at [61]; cf. at [84]. A further reason for the decision was that the parties had agreed </w:t>
      </w:r>
      <w:r>
        <w:rPr/>
        <w:t>to vary the agreement even though the requirements of the “subject to contract” clause (above, para.2-125) had not been satisfied; and that a variation would make no sense if there was “nothing to vary” (at [61]). The point is perhaps overstated since the concept of varying a draft before it has acquired contractual force is not an obviously empty one.</w:t>
      </w:r>
    </w:p>
    <w:p>
      <w:pPr>
        <w:pStyle w:val="BodyText"/>
        <w:spacing w:before="4"/>
      </w:pPr>
    </w:p>
    <w:p>
      <w:pPr>
        <w:tabs>
          <w:tab w:pos="705" w:val="left" w:leader="none"/>
        </w:tabs>
        <w:spacing w:before="0"/>
        <w:ind w:left="165" w:right="0" w:firstLine="0"/>
        <w:jc w:val="left"/>
        <w:rPr>
          <w:sz w:val="20"/>
        </w:rPr>
      </w:pPr>
      <w:bookmarkStart w:name="_bookmark1418" w:id="1420"/>
      <w:bookmarkEnd w:id="1420"/>
      <w:r>
        <w:rPr/>
      </w:r>
      <w:hyperlink w:history="true" w:anchor="_bookmark1218">
        <w:r>
          <w:rPr>
            <w:color w:val="005DA1"/>
            <w:spacing w:val="-4"/>
            <w:position w:val="5"/>
            <w:sz w:val="14"/>
            <w:u w:val="single" w:color="005DA1"/>
          </w:rPr>
          <w:t>686</w:t>
        </w:r>
      </w:hyperlink>
      <w:r>
        <w:rPr>
          <w:spacing w:val="-4"/>
          <w:position w:val="5"/>
          <w:sz w:val="14"/>
        </w:rPr>
        <w:t>.</w:t>
      </w:r>
      <w:r>
        <w:rPr>
          <w:position w:val="5"/>
          <w:sz w:val="14"/>
        </w:rPr>
        <w:tab/>
      </w:r>
      <w:r>
        <w:rPr>
          <w:sz w:val="20"/>
        </w:rPr>
        <w:t>Above, para.2-</w:t>
      </w:r>
      <w:r>
        <w:rPr>
          <w:spacing w:val="-4"/>
          <w:sz w:val="20"/>
        </w:rPr>
        <w:t>126.</w:t>
      </w:r>
    </w:p>
    <w:p>
      <w:pPr>
        <w:pStyle w:val="BodyText"/>
        <w:spacing w:before="5"/>
      </w:pPr>
    </w:p>
    <w:p>
      <w:pPr>
        <w:pStyle w:val="BodyText"/>
        <w:tabs>
          <w:tab w:pos="705" w:val="left" w:leader="none"/>
        </w:tabs>
        <w:ind w:left="165"/>
      </w:pPr>
      <w:bookmarkStart w:name="_bookmark1419" w:id="1421"/>
      <w:bookmarkEnd w:id="1421"/>
      <w:r>
        <w:rPr/>
      </w:r>
      <w:hyperlink w:history="true" w:anchor="_bookmark1219">
        <w:r>
          <w:rPr>
            <w:color w:val="005DA1"/>
            <w:spacing w:val="-4"/>
            <w:position w:val="5"/>
            <w:sz w:val="14"/>
            <w:u w:val="single" w:color="005DA1"/>
          </w:rPr>
          <w:t>687</w:t>
        </w:r>
      </w:hyperlink>
      <w:r>
        <w:rPr>
          <w:spacing w:val="-4"/>
          <w:position w:val="5"/>
          <w:sz w:val="14"/>
        </w:rPr>
        <w:t>.</w:t>
      </w:r>
      <w:r>
        <w:rPr>
          <w:position w:val="5"/>
          <w:sz w:val="14"/>
        </w:rPr>
        <w:tab/>
      </w:r>
      <w:r>
        <w:rPr/>
        <w:t>See</w:t>
      </w:r>
      <w:r>
        <w:rPr>
          <w:spacing w:val="-2"/>
        </w:rPr>
        <w:t> </w:t>
      </w:r>
      <w:r>
        <w:rPr/>
        <w:t>the words of clause 48, quoted in para.2-125 </w:t>
      </w:r>
      <w:r>
        <w:rPr>
          <w:spacing w:val="-2"/>
        </w:rPr>
        <w:t>above.</w:t>
      </w:r>
    </w:p>
    <w:p>
      <w:pPr>
        <w:pStyle w:val="BodyText"/>
        <w:spacing w:after="0"/>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1220">
        <w:r>
          <w:rPr>
            <w:color w:val="005DA1"/>
            <w:spacing w:val="-4"/>
            <w:position w:val="5"/>
            <w:sz w:val="14"/>
            <w:u w:val="single" w:color="005DA1"/>
          </w:rPr>
          <w:t>688</w:t>
        </w:r>
      </w:hyperlink>
      <w:r>
        <w:rPr>
          <w:spacing w:val="-4"/>
          <w:position w:val="5"/>
          <w:sz w:val="14"/>
        </w:rPr>
        <w:t>.</w:t>
      </w:r>
      <w:r>
        <w:rPr>
          <w:position w:val="5"/>
          <w:sz w:val="14"/>
        </w:rPr>
        <w:tab/>
      </w:r>
      <w:r>
        <w:rPr>
          <w:sz w:val="20"/>
        </w:rPr>
        <w:t>See the reasoning at first instance in </w:t>
      </w:r>
      <w:r>
        <w:rPr>
          <w:rFonts w:ascii="Arial"/>
          <w:i/>
          <w:sz w:val="20"/>
        </w:rPr>
        <w:t>Rugby Group Ltd v Pro Force Recruit Ltd [2005] EWHC</w:t>
      </w:r>
      <w:r>
        <w:rPr>
          <w:rFonts w:ascii="Arial"/>
          <w:i/>
          <w:spacing w:val="80"/>
          <w:sz w:val="20"/>
        </w:rPr>
        <w:t> </w:t>
      </w:r>
      <w:r>
        <w:rPr>
          <w:rFonts w:ascii="Arial"/>
          <w:i/>
          <w:sz w:val="20"/>
        </w:rPr>
        <w:t>70 (QB) </w:t>
      </w:r>
      <w:r>
        <w:rPr>
          <w:sz w:val="20"/>
        </w:rPr>
        <w:t>at [16], reversed on other grounds </w:t>
      </w:r>
      <w:r>
        <w:rPr>
          <w:rFonts w:ascii="Arial"/>
          <w:i/>
          <w:sz w:val="20"/>
        </w:rPr>
        <w:t>[2006] EWCA Civ 69</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20" w:id="1422"/>
      <w:bookmarkEnd w:id="1422"/>
      <w:r>
        <w:rPr/>
      </w:r>
      <w:hyperlink w:history="true" w:anchor="_bookmark1221">
        <w:r>
          <w:rPr>
            <w:color w:val="005DA1"/>
            <w:spacing w:val="-4"/>
            <w:position w:val="5"/>
            <w:sz w:val="14"/>
            <w:u w:val="single" w:color="005DA1"/>
          </w:rPr>
          <w:t>689</w:t>
        </w:r>
      </w:hyperlink>
      <w:r>
        <w:rPr>
          <w:spacing w:val="-4"/>
          <w:position w:val="5"/>
          <w:sz w:val="14"/>
        </w:rPr>
        <w:t>.</w:t>
      </w:r>
      <w:r>
        <w:rPr>
          <w:position w:val="5"/>
          <w:sz w:val="14"/>
        </w:rPr>
        <w:tab/>
      </w:r>
      <w:r>
        <w:rPr>
          <w:sz w:val="20"/>
        </w:rPr>
        <w:t>Lake</w:t>
      </w:r>
      <w:r>
        <w:rPr>
          <w:spacing w:val="22"/>
          <w:sz w:val="20"/>
        </w:rPr>
        <w:t> </w:t>
      </w:r>
      <w:r>
        <w:rPr>
          <w:sz w:val="20"/>
        </w:rPr>
        <w:t>and</w:t>
      </w:r>
      <w:r>
        <w:rPr>
          <w:spacing w:val="22"/>
          <w:sz w:val="20"/>
        </w:rPr>
        <w:t> </w:t>
      </w:r>
      <w:r>
        <w:rPr>
          <w:sz w:val="20"/>
        </w:rPr>
        <w:t>Draetta,</w:t>
      </w:r>
      <w:r>
        <w:rPr>
          <w:spacing w:val="21"/>
          <w:sz w:val="20"/>
        </w:rPr>
        <w:t> </w:t>
      </w:r>
      <w:r>
        <w:rPr>
          <w:rFonts w:ascii="Arial"/>
          <w:i/>
          <w:sz w:val="20"/>
        </w:rPr>
        <w:t>Letters</w:t>
      </w:r>
      <w:r>
        <w:rPr>
          <w:rFonts w:ascii="Arial"/>
          <w:i/>
          <w:spacing w:val="22"/>
          <w:sz w:val="20"/>
        </w:rPr>
        <w:t> </w:t>
      </w:r>
      <w:r>
        <w:rPr>
          <w:rFonts w:ascii="Arial"/>
          <w:i/>
          <w:sz w:val="20"/>
        </w:rPr>
        <w:t>of</w:t>
      </w:r>
      <w:r>
        <w:rPr>
          <w:rFonts w:ascii="Arial"/>
          <w:i/>
          <w:spacing w:val="22"/>
          <w:sz w:val="20"/>
        </w:rPr>
        <w:t> </w:t>
      </w:r>
      <w:r>
        <w:rPr>
          <w:rFonts w:ascii="Arial"/>
          <w:i/>
          <w:sz w:val="20"/>
        </w:rPr>
        <w:t>Intent</w:t>
      </w:r>
      <w:r>
        <w:rPr>
          <w:rFonts w:ascii="Arial"/>
          <w:i/>
          <w:spacing w:val="21"/>
          <w:sz w:val="20"/>
        </w:rPr>
        <w:t> </w:t>
      </w:r>
      <w:r>
        <w:rPr>
          <w:sz w:val="20"/>
        </w:rPr>
        <w:t>2nd</w:t>
      </w:r>
      <w:r>
        <w:rPr>
          <w:spacing w:val="22"/>
          <w:sz w:val="20"/>
        </w:rPr>
        <w:t> </w:t>
      </w:r>
      <w:r>
        <w:rPr>
          <w:sz w:val="20"/>
        </w:rPr>
        <w:t>edn</w:t>
      </w:r>
      <w:r>
        <w:rPr>
          <w:spacing w:val="22"/>
          <w:sz w:val="20"/>
        </w:rPr>
        <w:t> </w:t>
      </w:r>
      <w:r>
        <w:rPr>
          <w:sz w:val="20"/>
        </w:rPr>
        <w:t>(1994);</w:t>
      </w:r>
      <w:r>
        <w:rPr>
          <w:spacing w:val="22"/>
          <w:sz w:val="20"/>
        </w:rPr>
        <w:t> </w:t>
      </w:r>
      <w:r>
        <w:rPr>
          <w:sz w:val="20"/>
        </w:rPr>
        <w:t>Furmston,</w:t>
      </w:r>
      <w:r>
        <w:rPr>
          <w:spacing w:val="22"/>
          <w:sz w:val="20"/>
        </w:rPr>
        <w:t> </w:t>
      </w:r>
      <w:r>
        <w:rPr>
          <w:sz w:val="20"/>
        </w:rPr>
        <w:t>Poole</w:t>
      </w:r>
      <w:r>
        <w:rPr>
          <w:spacing w:val="22"/>
          <w:sz w:val="20"/>
        </w:rPr>
        <w:t> </w:t>
      </w:r>
      <w:r>
        <w:rPr>
          <w:sz w:val="20"/>
        </w:rPr>
        <w:t>and</w:t>
      </w:r>
      <w:r>
        <w:rPr>
          <w:spacing w:val="22"/>
          <w:sz w:val="20"/>
        </w:rPr>
        <w:t> </w:t>
      </w:r>
      <w:r>
        <w:rPr>
          <w:sz w:val="20"/>
        </w:rPr>
        <w:t>Norinado,</w:t>
      </w:r>
      <w:r>
        <w:rPr>
          <w:spacing w:val="21"/>
          <w:sz w:val="20"/>
        </w:rPr>
        <w:t> </w:t>
      </w:r>
      <w:r>
        <w:rPr>
          <w:rFonts w:ascii="Arial"/>
          <w:i/>
          <w:sz w:val="20"/>
        </w:rPr>
        <w:t>Contract Formation and Letters of Intent </w:t>
      </w:r>
      <w:r>
        <w:rPr>
          <w:sz w:val="20"/>
        </w:rPr>
        <w:t>(1997).</w:t>
      </w:r>
    </w:p>
    <w:p>
      <w:pPr>
        <w:pStyle w:val="BodyText"/>
        <w:spacing w:before="6"/>
      </w:pPr>
    </w:p>
    <w:p>
      <w:pPr>
        <w:tabs>
          <w:tab w:pos="705" w:val="left" w:leader="none"/>
        </w:tabs>
        <w:spacing w:before="0"/>
        <w:ind w:left="165" w:right="0" w:firstLine="0"/>
        <w:jc w:val="left"/>
        <w:rPr>
          <w:sz w:val="20"/>
        </w:rPr>
      </w:pPr>
      <w:bookmarkStart w:name="_bookmark1421" w:id="1423"/>
      <w:bookmarkEnd w:id="1423"/>
      <w:r>
        <w:rPr/>
      </w:r>
      <w:hyperlink w:history="true" w:anchor="_bookmark1222">
        <w:r>
          <w:rPr>
            <w:color w:val="005DA1"/>
            <w:spacing w:val="-4"/>
            <w:position w:val="5"/>
            <w:sz w:val="14"/>
            <w:u w:val="single" w:color="005DA1"/>
          </w:rPr>
          <w:t>690</w:t>
        </w:r>
      </w:hyperlink>
      <w:r>
        <w:rPr>
          <w:spacing w:val="-4"/>
          <w:position w:val="5"/>
          <w:sz w:val="14"/>
        </w:rPr>
        <w:t>.</w:t>
      </w:r>
      <w:r>
        <w:rPr>
          <w:position w:val="5"/>
          <w:sz w:val="14"/>
        </w:rPr>
        <w:tab/>
      </w:r>
      <w:r>
        <w:rPr>
          <w:sz w:val="20"/>
        </w:rPr>
        <w:t>Below, para.2-194; cf.</w:t>
      </w:r>
      <w:r>
        <w:rPr>
          <w:spacing w:val="-1"/>
          <w:sz w:val="20"/>
        </w:rPr>
        <w:t> </w:t>
      </w:r>
      <w:r>
        <w:rPr>
          <w:rFonts w:ascii="Arial"/>
          <w:i/>
          <w:sz w:val="20"/>
        </w:rPr>
        <w:t>Snelling v John G. Snelling Ltd [1973] 1 Q.B. </w:t>
      </w:r>
      <w:r>
        <w:rPr>
          <w:rFonts w:ascii="Arial"/>
          <w:i/>
          <w:spacing w:val="-5"/>
          <w:sz w:val="20"/>
        </w:rPr>
        <w:t>87</w:t>
      </w:r>
      <w:r>
        <w:rPr>
          <w:spacing w:val="-5"/>
          <w:sz w:val="20"/>
        </w:rPr>
        <w:t>.</w:t>
      </w:r>
    </w:p>
    <w:p>
      <w:pPr>
        <w:pStyle w:val="BodyText"/>
        <w:spacing w:before="9"/>
      </w:pPr>
    </w:p>
    <w:p>
      <w:pPr>
        <w:spacing w:line="235" w:lineRule="auto" w:before="0"/>
        <w:ind w:left="705" w:right="167" w:hanging="541"/>
        <w:jc w:val="both"/>
        <w:rPr>
          <w:sz w:val="20"/>
        </w:rPr>
      </w:pPr>
      <w:bookmarkStart w:name="_bookmark1422" w:id="1424"/>
      <w:bookmarkEnd w:id="1424"/>
      <w:r>
        <w:rPr/>
      </w:r>
      <w:hyperlink w:history="true" w:anchor="_bookmark1223">
        <w:r>
          <w:rPr>
            <w:color w:val="005DA1"/>
            <w:position w:val="5"/>
            <w:sz w:val="14"/>
            <w:u w:val="single" w:color="005DA1"/>
          </w:rPr>
          <w:t>691</w:t>
        </w:r>
      </w:hyperlink>
      <w:r>
        <w:rPr>
          <w:position w:val="5"/>
          <w:sz w:val="14"/>
        </w:rPr>
        <w:t>.</w:t>
      </w:r>
      <w:r>
        <w:rPr>
          <w:spacing w:val="80"/>
          <w:position w:val="5"/>
          <w:sz w:val="14"/>
        </w:rPr>
        <w:t>  </w:t>
      </w:r>
      <w:r>
        <w:rPr>
          <w:rFonts w:ascii="Arial" w:hAnsi="Arial"/>
          <w:i/>
          <w:sz w:val="20"/>
        </w:rPr>
        <w:t>Associated British Ports v Ferryways [2008] EWCA Civ 189, [2009] 1 Lloyd’s Rep. 595 </w:t>
      </w:r>
      <w:r>
        <w:rPr>
          <w:sz w:val="20"/>
        </w:rPr>
        <w:t>at </w:t>
      </w:r>
      <w:r>
        <w:rPr>
          <w:sz w:val="20"/>
        </w:rPr>
        <w:t>[24], per Maurice Kay L.J; </w:t>
      </w:r>
      <w:r>
        <w:rPr>
          <w:rFonts w:ascii="Arial" w:hAnsi="Arial"/>
          <w:i/>
          <w:sz w:val="20"/>
        </w:rPr>
        <w:t>Barbudev v Eurocom Cable Management Bulgaria EOOD [2011] EWHC 1560 (Comm), [2011] 2 All E.R. (Comm) 951</w:t>
      </w:r>
      <w:r>
        <w:rPr>
          <w:sz w:val="20"/>
        </w:rPr>
        <w:t>, where it was said at [93] that the relevant document was “not expressed to be a ‘letter of comfort’, though that is not conclusive”, and was held</w:t>
      </w:r>
      <w:r>
        <w:rPr>
          <w:spacing w:val="40"/>
          <w:sz w:val="20"/>
        </w:rPr>
        <w:t> </w:t>
      </w:r>
      <w:r>
        <w:rPr>
          <w:sz w:val="20"/>
        </w:rPr>
        <w:t>“as</w:t>
      </w:r>
      <w:r>
        <w:rPr>
          <w:spacing w:val="40"/>
          <w:sz w:val="20"/>
        </w:rPr>
        <w:t> </w:t>
      </w:r>
      <w:r>
        <w:rPr>
          <w:sz w:val="20"/>
        </w:rPr>
        <w:t>a</w:t>
      </w:r>
      <w:r>
        <w:rPr>
          <w:spacing w:val="40"/>
          <w:sz w:val="20"/>
        </w:rPr>
        <w:t> </w:t>
      </w:r>
      <w:r>
        <w:rPr>
          <w:sz w:val="20"/>
        </w:rPr>
        <w:t>matter</w:t>
      </w:r>
      <w:r>
        <w:rPr>
          <w:spacing w:val="40"/>
          <w:sz w:val="20"/>
        </w:rPr>
        <w:t> </w:t>
      </w:r>
      <w:r>
        <w:rPr>
          <w:sz w:val="20"/>
        </w:rPr>
        <w:t>of</w:t>
      </w:r>
      <w:r>
        <w:rPr>
          <w:spacing w:val="40"/>
          <w:sz w:val="20"/>
        </w:rPr>
        <w:t> </w:t>
      </w:r>
      <w:r>
        <w:rPr>
          <w:sz w:val="20"/>
        </w:rPr>
        <w:t>construction</w:t>
      </w:r>
      <w:r>
        <w:rPr>
          <w:spacing w:val="40"/>
          <w:sz w:val="20"/>
        </w:rPr>
        <w:t> </w:t>
      </w:r>
      <w:r>
        <w:rPr>
          <w:sz w:val="20"/>
        </w:rPr>
        <w:t>…</w:t>
      </w:r>
      <w:r>
        <w:rPr>
          <w:spacing w:val="40"/>
          <w:sz w:val="20"/>
        </w:rPr>
        <w:t> </w:t>
      </w:r>
      <w:r>
        <w:rPr>
          <w:sz w:val="20"/>
        </w:rPr>
        <w:t>not</w:t>
      </w:r>
      <w:r>
        <w:rPr>
          <w:spacing w:val="40"/>
          <w:sz w:val="20"/>
        </w:rPr>
        <w:t> </w:t>
      </w:r>
      <w:r>
        <w:rPr>
          <w:sz w:val="20"/>
        </w:rPr>
        <w:t>intended</w:t>
      </w:r>
      <w:r>
        <w:rPr>
          <w:spacing w:val="40"/>
          <w:sz w:val="20"/>
        </w:rPr>
        <w:t> </w:t>
      </w:r>
      <w:r>
        <w:rPr>
          <w:sz w:val="20"/>
        </w:rPr>
        <w:t>to</w:t>
      </w:r>
      <w:r>
        <w:rPr>
          <w:spacing w:val="40"/>
          <w:sz w:val="20"/>
        </w:rPr>
        <w:t> </w:t>
      </w:r>
      <w:r>
        <w:rPr>
          <w:sz w:val="20"/>
        </w:rPr>
        <w:t>be</w:t>
      </w:r>
      <w:r>
        <w:rPr>
          <w:spacing w:val="40"/>
          <w:sz w:val="20"/>
        </w:rPr>
        <w:t> </w:t>
      </w:r>
      <w:r>
        <w:rPr>
          <w:sz w:val="20"/>
        </w:rPr>
        <w:t>legally</w:t>
      </w:r>
      <w:r>
        <w:rPr>
          <w:spacing w:val="40"/>
          <w:sz w:val="20"/>
        </w:rPr>
        <w:t> </w:t>
      </w:r>
      <w:r>
        <w:rPr>
          <w:sz w:val="20"/>
        </w:rPr>
        <w:t>binding”</w:t>
      </w:r>
      <w:r>
        <w:rPr>
          <w:spacing w:val="40"/>
          <w:sz w:val="20"/>
        </w:rPr>
        <w:t> </w:t>
      </w:r>
      <w:r>
        <w:rPr>
          <w:sz w:val="20"/>
        </w:rPr>
        <w:t>(at</w:t>
      </w:r>
      <w:r>
        <w:rPr>
          <w:spacing w:val="40"/>
          <w:sz w:val="20"/>
        </w:rPr>
        <w:t> </w:t>
      </w:r>
      <w:r>
        <w:rPr>
          <w:sz w:val="20"/>
        </w:rPr>
        <w:t>[96]),</w:t>
      </w:r>
      <w:r>
        <w:rPr>
          <w:spacing w:val="40"/>
          <w:sz w:val="20"/>
        </w:rPr>
        <w:t> </w:t>
      </w:r>
      <w:r>
        <w:rPr>
          <w:sz w:val="20"/>
        </w:rPr>
        <w:t>and</w:t>
      </w:r>
      <w:r>
        <w:rPr>
          <w:spacing w:val="40"/>
          <w:sz w:val="20"/>
        </w:rPr>
        <w:t> </w:t>
      </w:r>
      <w:r>
        <w:rPr>
          <w:sz w:val="20"/>
        </w:rPr>
        <w:t>see para.2-194 below.</w:t>
      </w:r>
    </w:p>
    <w:p>
      <w:pPr>
        <w:pStyle w:val="BodyText"/>
        <w:spacing w:before="4"/>
      </w:pPr>
    </w:p>
    <w:p>
      <w:pPr>
        <w:tabs>
          <w:tab w:pos="705" w:val="left" w:leader="none"/>
        </w:tabs>
        <w:spacing w:line="227" w:lineRule="exact" w:before="0"/>
        <w:ind w:left="165" w:right="0" w:firstLine="0"/>
        <w:jc w:val="left"/>
        <w:rPr>
          <w:sz w:val="20"/>
        </w:rPr>
      </w:pPr>
      <w:bookmarkStart w:name="_bookmark1423" w:id="1425"/>
      <w:bookmarkEnd w:id="1425"/>
      <w:r>
        <w:rPr/>
      </w:r>
      <w:hyperlink w:history="true" w:anchor="_bookmark1223">
        <w:r>
          <w:rPr>
            <w:color w:val="005DA1"/>
            <w:spacing w:val="-4"/>
            <w:position w:val="5"/>
            <w:sz w:val="14"/>
            <w:u w:val="single" w:color="005DA1"/>
          </w:rPr>
          <w:t>692</w:t>
        </w:r>
      </w:hyperlink>
      <w:r>
        <w:rPr>
          <w:spacing w:val="-4"/>
          <w:position w:val="5"/>
          <w:sz w:val="14"/>
        </w:rPr>
        <w:t>.</w:t>
      </w:r>
      <w:r>
        <w:rPr>
          <w:position w:val="5"/>
          <w:sz w:val="14"/>
        </w:rPr>
        <w:tab/>
      </w:r>
      <w:r>
        <w:rPr>
          <w:rFonts w:ascii="Arial"/>
          <w:i/>
          <w:sz w:val="20"/>
        </w:rPr>
        <w:t>Kleinwort</w:t>
      </w:r>
      <w:r>
        <w:rPr>
          <w:rFonts w:ascii="Arial"/>
          <w:i/>
          <w:spacing w:val="5"/>
          <w:sz w:val="20"/>
        </w:rPr>
        <w:t> </w:t>
      </w:r>
      <w:r>
        <w:rPr>
          <w:rFonts w:ascii="Arial"/>
          <w:i/>
          <w:sz w:val="20"/>
        </w:rPr>
        <w:t>Benson</w:t>
      </w:r>
      <w:r>
        <w:rPr>
          <w:rFonts w:ascii="Arial"/>
          <w:i/>
          <w:spacing w:val="6"/>
          <w:sz w:val="20"/>
        </w:rPr>
        <w:t> </w:t>
      </w:r>
      <w:r>
        <w:rPr>
          <w:rFonts w:ascii="Arial"/>
          <w:i/>
          <w:sz w:val="20"/>
        </w:rPr>
        <w:t>Ltd</w:t>
      </w:r>
      <w:r>
        <w:rPr>
          <w:rFonts w:ascii="Arial"/>
          <w:i/>
          <w:spacing w:val="6"/>
          <w:sz w:val="20"/>
        </w:rPr>
        <w:t> </w:t>
      </w:r>
      <w:r>
        <w:rPr>
          <w:rFonts w:ascii="Arial"/>
          <w:i/>
          <w:sz w:val="20"/>
        </w:rPr>
        <w:t>v</w:t>
      </w:r>
      <w:r>
        <w:rPr>
          <w:rFonts w:ascii="Arial"/>
          <w:i/>
          <w:spacing w:val="6"/>
          <w:sz w:val="20"/>
        </w:rPr>
        <w:t> </w:t>
      </w:r>
      <w:r>
        <w:rPr>
          <w:rFonts w:ascii="Arial"/>
          <w:i/>
          <w:sz w:val="20"/>
        </w:rPr>
        <w:t>Malaysian</w:t>
      </w:r>
      <w:r>
        <w:rPr>
          <w:rFonts w:ascii="Arial"/>
          <w:i/>
          <w:spacing w:val="6"/>
          <w:sz w:val="20"/>
        </w:rPr>
        <w:t> </w:t>
      </w:r>
      <w:r>
        <w:rPr>
          <w:rFonts w:ascii="Arial"/>
          <w:i/>
          <w:sz w:val="20"/>
        </w:rPr>
        <w:t>Mining</w:t>
      </w:r>
      <w:r>
        <w:rPr>
          <w:rFonts w:ascii="Arial"/>
          <w:i/>
          <w:spacing w:val="6"/>
          <w:sz w:val="20"/>
        </w:rPr>
        <w:t> </w:t>
      </w:r>
      <w:r>
        <w:rPr>
          <w:rFonts w:ascii="Arial"/>
          <w:i/>
          <w:sz w:val="20"/>
        </w:rPr>
        <w:t>Corp</w:t>
      </w:r>
      <w:r>
        <w:rPr>
          <w:rFonts w:ascii="Arial"/>
          <w:i/>
          <w:spacing w:val="6"/>
          <w:sz w:val="20"/>
        </w:rPr>
        <w:t> </w:t>
      </w:r>
      <w:r>
        <w:rPr>
          <w:rFonts w:ascii="Arial"/>
          <w:i/>
          <w:sz w:val="20"/>
        </w:rPr>
        <w:t>[1989]</w:t>
      </w:r>
      <w:r>
        <w:rPr>
          <w:rFonts w:ascii="Arial"/>
          <w:i/>
          <w:spacing w:val="6"/>
          <w:sz w:val="20"/>
        </w:rPr>
        <w:t> </w:t>
      </w:r>
      <w:r>
        <w:rPr>
          <w:rFonts w:ascii="Arial"/>
          <w:i/>
          <w:sz w:val="20"/>
        </w:rPr>
        <w:t>1</w:t>
      </w:r>
      <w:r>
        <w:rPr>
          <w:rFonts w:ascii="Arial"/>
          <w:i/>
          <w:spacing w:val="6"/>
          <w:sz w:val="20"/>
        </w:rPr>
        <w:t> </w:t>
      </w:r>
      <w:r>
        <w:rPr>
          <w:rFonts w:ascii="Arial"/>
          <w:i/>
          <w:sz w:val="20"/>
        </w:rPr>
        <w:t>All</w:t>
      </w:r>
      <w:r>
        <w:rPr>
          <w:rFonts w:ascii="Arial"/>
          <w:i/>
          <w:spacing w:val="6"/>
          <w:sz w:val="20"/>
        </w:rPr>
        <w:t> </w:t>
      </w:r>
      <w:r>
        <w:rPr>
          <w:rFonts w:ascii="Arial"/>
          <w:i/>
          <w:sz w:val="20"/>
        </w:rPr>
        <w:t>E.R.</w:t>
      </w:r>
      <w:r>
        <w:rPr>
          <w:rFonts w:ascii="Arial"/>
          <w:i/>
          <w:spacing w:val="6"/>
          <w:sz w:val="20"/>
        </w:rPr>
        <w:t> </w:t>
      </w:r>
      <w:r>
        <w:rPr>
          <w:rFonts w:ascii="Arial"/>
          <w:i/>
          <w:sz w:val="20"/>
        </w:rPr>
        <w:t>785</w:t>
      </w:r>
      <w:r>
        <w:rPr>
          <w:sz w:val="20"/>
        </w:rPr>
        <w:t>;</w:t>
      </w:r>
      <w:r>
        <w:rPr>
          <w:spacing w:val="6"/>
          <w:sz w:val="20"/>
        </w:rPr>
        <w:t> </w:t>
      </w:r>
      <w:r>
        <w:rPr>
          <w:sz w:val="20"/>
        </w:rPr>
        <w:t>Reynolds</w:t>
      </w:r>
      <w:r>
        <w:rPr>
          <w:spacing w:val="6"/>
          <w:sz w:val="20"/>
        </w:rPr>
        <w:t> </w:t>
      </w:r>
      <w:r>
        <w:rPr>
          <w:sz w:val="20"/>
        </w:rPr>
        <w:t>104</w:t>
      </w:r>
      <w:r>
        <w:rPr>
          <w:spacing w:val="6"/>
          <w:sz w:val="20"/>
        </w:rPr>
        <w:t> </w:t>
      </w:r>
      <w:r>
        <w:rPr>
          <w:sz w:val="20"/>
        </w:rPr>
        <w:t>L.Q.R.</w:t>
      </w:r>
      <w:r>
        <w:rPr>
          <w:spacing w:val="6"/>
          <w:sz w:val="20"/>
        </w:rPr>
        <w:t> </w:t>
      </w:r>
      <w:r>
        <w:rPr>
          <w:spacing w:val="-5"/>
          <w:sz w:val="20"/>
        </w:rPr>
        <w:t>353</w:t>
      </w:r>
    </w:p>
    <w:p>
      <w:pPr>
        <w:pStyle w:val="BodyText"/>
        <w:spacing w:line="225" w:lineRule="exact"/>
        <w:ind w:left="705"/>
        <w:jc w:val="both"/>
      </w:pPr>
      <w:r>
        <w:rPr/>
        <w:t>(1988);</w:t>
      </w:r>
      <w:r>
        <w:rPr>
          <w:spacing w:val="26"/>
        </w:rPr>
        <w:t> </w:t>
      </w:r>
      <w:r>
        <w:rPr/>
        <w:t>Davenport</w:t>
      </w:r>
      <w:r>
        <w:rPr>
          <w:spacing w:val="26"/>
        </w:rPr>
        <w:t> </w:t>
      </w:r>
      <w:r>
        <w:rPr/>
        <w:t>[1988]</w:t>
      </w:r>
      <w:r>
        <w:rPr>
          <w:spacing w:val="26"/>
        </w:rPr>
        <w:t> </w:t>
      </w:r>
      <w:r>
        <w:rPr/>
        <w:t>L.M.C.L.Q.</w:t>
      </w:r>
      <w:r>
        <w:rPr>
          <w:spacing w:val="26"/>
        </w:rPr>
        <w:t> </w:t>
      </w:r>
      <w:r>
        <w:rPr/>
        <w:t>290;</w:t>
      </w:r>
      <w:r>
        <w:rPr>
          <w:spacing w:val="26"/>
        </w:rPr>
        <w:t> </w:t>
      </w:r>
      <w:r>
        <w:rPr/>
        <w:t>Prentice</w:t>
      </w:r>
      <w:r>
        <w:rPr>
          <w:spacing w:val="26"/>
        </w:rPr>
        <w:t> </w:t>
      </w:r>
      <w:r>
        <w:rPr/>
        <w:t>(1989)</w:t>
      </w:r>
      <w:r>
        <w:rPr>
          <w:spacing w:val="26"/>
        </w:rPr>
        <w:t> </w:t>
      </w:r>
      <w:r>
        <w:rPr/>
        <w:t>105</w:t>
      </w:r>
      <w:r>
        <w:rPr>
          <w:spacing w:val="26"/>
        </w:rPr>
        <w:t> </w:t>
      </w:r>
      <w:r>
        <w:rPr/>
        <w:t>L.Q.R.</w:t>
      </w:r>
      <w:r>
        <w:rPr>
          <w:spacing w:val="26"/>
        </w:rPr>
        <w:t> </w:t>
      </w:r>
      <w:r>
        <w:rPr/>
        <w:t>346;</w:t>
      </w:r>
      <w:r>
        <w:rPr>
          <w:spacing w:val="26"/>
        </w:rPr>
        <w:t> </w:t>
      </w:r>
      <w:r>
        <w:rPr/>
        <w:t>Ayres</w:t>
      </w:r>
      <w:r>
        <w:rPr>
          <w:spacing w:val="26"/>
        </w:rPr>
        <w:t> </w:t>
      </w:r>
      <w:r>
        <w:rPr/>
        <w:t>and</w:t>
      </w:r>
      <w:r>
        <w:rPr>
          <w:spacing w:val="26"/>
        </w:rPr>
        <w:t> </w:t>
      </w:r>
      <w:r>
        <w:rPr>
          <w:spacing w:val="-2"/>
        </w:rPr>
        <w:t>Moore</w:t>
      </w:r>
    </w:p>
    <w:p>
      <w:pPr>
        <w:spacing w:line="235" w:lineRule="auto" w:before="1"/>
        <w:ind w:left="705" w:right="168" w:firstLine="0"/>
        <w:jc w:val="both"/>
        <w:rPr>
          <w:sz w:val="20"/>
        </w:rPr>
      </w:pPr>
      <w:r>
        <w:rPr>
          <w:sz w:val="20"/>
        </w:rPr>
        <w:t>[1989] L.M.C.L.Q. 281; Tyree (1989) 2 J.C.L. 279, cf. </w:t>
      </w:r>
      <w:r>
        <w:rPr>
          <w:rFonts w:ascii="Arial"/>
          <w:i/>
          <w:sz w:val="20"/>
        </w:rPr>
        <w:t>Chemco Leasing SpA v Rediffusion</w:t>
      </w:r>
      <w:r>
        <w:rPr>
          <w:rFonts w:ascii="Arial"/>
          <w:i/>
          <w:spacing w:val="40"/>
          <w:sz w:val="20"/>
        </w:rPr>
        <w:t> </w:t>
      </w:r>
      <w:r>
        <w:rPr>
          <w:rFonts w:ascii="Arial"/>
          <w:i/>
          <w:sz w:val="20"/>
        </w:rPr>
        <w:t>[1987] 1 F.T.L.R. 201 </w:t>
      </w:r>
      <w:r>
        <w:rPr>
          <w:sz w:val="20"/>
        </w:rPr>
        <w:t>(where such a letter was held to be an offer but to have lapsed </w:t>
      </w:r>
      <w:r>
        <w:rPr>
          <w:sz w:val="20"/>
        </w:rPr>
        <w:t>before acceptance); </w:t>
      </w:r>
      <w:r>
        <w:rPr>
          <w:rFonts w:ascii="Arial"/>
          <w:i/>
          <w:sz w:val="20"/>
        </w:rPr>
        <w:t>Monk Construction v Norwich Union Life Insurance Society (1992) 62 B.L.R. 107</w:t>
      </w:r>
      <w:r>
        <w:rPr>
          <w:sz w:val="20"/>
        </w:rPr>
        <w:t>.</w:t>
      </w:r>
    </w:p>
    <w:p>
      <w:pPr>
        <w:pStyle w:val="BodyText"/>
        <w:spacing w:before="5"/>
      </w:pPr>
    </w:p>
    <w:p>
      <w:pPr>
        <w:tabs>
          <w:tab w:pos="705" w:val="left" w:leader="none"/>
        </w:tabs>
        <w:spacing w:before="0"/>
        <w:ind w:left="165" w:right="0" w:firstLine="0"/>
        <w:jc w:val="left"/>
        <w:rPr>
          <w:sz w:val="20"/>
        </w:rPr>
      </w:pPr>
      <w:bookmarkStart w:name="_bookmark1424" w:id="1426"/>
      <w:bookmarkEnd w:id="1426"/>
      <w:r>
        <w:rPr/>
      </w:r>
      <w:hyperlink w:history="true" w:anchor="_bookmark1224">
        <w:r>
          <w:rPr>
            <w:color w:val="005DA1"/>
            <w:spacing w:val="-4"/>
            <w:position w:val="5"/>
            <w:sz w:val="14"/>
            <w:u w:val="single" w:color="005DA1"/>
          </w:rPr>
          <w:t>693</w:t>
        </w:r>
      </w:hyperlink>
      <w:r>
        <w:rPr>
          <w:spacing w:val="-4"/>
          <w:position w:val="5"/>
          <w:sz w:val="14"/>
        </w:rPr>
        <w:t>.</w:t>
      </w:r>
      <w:r>
        <w:rPr>
          <w:position w:val="5"/>
          <w:sz w:val="14"/>
        </w:rPr>
        <w:tab/>
      </w:r>
      <w:r>
        <w:rPr>
          <w:rFonts w:ascii="Arial"/>
          <w:i/>
          <w:sz w:val="20"/>
        </w:rPr>
        <w:t>Associated British Ports v Ferryways [2008] EWCA Civ 189</w:t>
      </w:r>
      <w:r>
        <w:rPr>
          <w:rFonts w:ascii="Arial"/>
          <w:i/>
          <w:spacing w:val="-1"/>
          <w:sz w:val="20"/>
        </w:rPr>
        <w:t> </w:t>
      </w:r>
      <w:r>
        <w:rPr>
          <w:sz w:val="20"/>
        </w:rPr>
        <w:t>at </w:t>
      </w:r>
      <w:r>
        <w:rPr>
          <w:spacing w:val="-2"/>
          <w:sz w:val="20"/>
        </w:rPr>
        <w:t>[24].</w:t>
      </w:r>
    </w:p>
    <w:p>
      <w:pPr>
        <w:pStyle w:val="BodyText"/>
        <w:spacing w:before="9"/>
      </w:pPr>
    </w:p>
    <w:p>
      <w:pPr>
        <w:spacing w:line="235" w:lineRule="auto" w:before="0"/>
        <w:ind w:left="705" w:right="167" w:hanging="541"/>
        <w:jc w:val="both"/>
        <w:rPr>
          <w:sz w:val="20"/>
        </w:rPr>
      </w:pPr>
      <w:bookmarkStart w:name="_bookmark1425" w:id="1427"/>
      <w:bookmarkEnd w:id="1427"/>
      <w:r>
        <w:rPr/>
      </w:r>
      <w:hyperlink w:history="true" w:anchor="_bookmark1225">
        <w:r>
          <w:rPr>
            <w:color w:val="005DA1"/>
            <w:position w:val="5"/>
            <w:sz w:val="14"/>
            <w:u w:val="single" w:color="005DA1"/>
          </w:rPr>
          <w:t>694</w:t>
        </w:r>
      </w:hyperlink>
      <w:r>
        <w:rPr>
          <w:position w:val="5"/>
          <w:sz w:val="14"/>
        </w:rPr>
        <w:t>.</w:t>
      </w:r>
      <w:r>
        <w:rPr>
          <w:spacing w:val="80"/>
          <w:position w:val="5"/>
          <w:sz w:val="14"/>
        </w:rPr>
        <w:t> </w:t>
      </w:r>
      <w:r>
        <w:rPr>
          <w:rFonts w:ascii="Arial"/>
          <w:i/>
          <w:sz w:val="20"/>
        </w:rPr>
        <w:t>Associated British Ports v Ferryways [2008] EWCA Civ 189 </w:t>
      </w:r>
      <w:r>
        <w:rPr>
          <w:sz w:val="20"/>
        </w:rPr>
        <w:t>at [27]. See also </w:t>
      </w:r>
      <w:r>
        <w:rPr>
          <w:rFonts w:ascii="Arial"/>
          <w:i/>
          <w:sz w:val="20"/>
        </w:rPr>
        <w:t>Twintec Ltd v Volkerfitzpatrick Ltd [2014] EWHC 10, [2014] B.L.R. 150</w:t>
      </w:r>
      <w:r>
        <w:rPr>
          <w:sz w:val="20"/>
        </w:rPr>
        <w:t>, where a building contractor issued a letter of intent (LOI) to a flooring sub-contractor and the parties accepted that the LOI constituted a binding contract (at [23]) but disagreed as to which terms of the contemplated</w:t>
      </w:r>
      <w:r>
        <w:rPr>
          <w:spacing w:val="40"/>
          <w:sz w:val="20"/>
        </w:rPr>
        <w:t> </w:t>
      </w:r>
      <w:r>
        <w:rPr>
          <w:sz w:val="20"/>
        </w:rPr>
        <w:t>later formal contract were intended to be incorporated into the LOI agreement.</w:t>
      </w:r>
    </w:p>
    <w:p>
      <w:pPr>
        <w:pStyle w:val="BodyText"/>
        <w:spacing w:before="8"/>
      </w:pPr>
    </w:p>
    <w:p>
      <w:pPr>
        <w:tabs>
          <w:tab w:pos="705" w:val="left" w:leader="none"/>
        </w:tabs>
        <w:spacing w:line="235" w:lineRule="auto" w:before="0"/>
        <w:ind w:left="705" w:right="168" w:hanging="541"/>
        <w:jc w:val="left"/>
        <w:rPr>
          <w:sz w:val="20"/>
        </w:rPr>
      </w:pPr>
      <w:bookmarkStart w:name="_bookmark1426" w:id="1428"/>
      <w:bookmarkEnd w:id="1428"/>
      <w:r>
        <w:rPr/>
      </w:r>
      <w:hyperlink w:history="true" w:anchor="_bookmark1226">
        <w:r>
          <w:rPr>
            <w:color w:val="005DA1"/>
            <w:spacing w:val="-4"/>
            <w:position w:val="5"/>
            <w:sz w:val="14"/>
            <w:u w:val="single" w:color="005DA1"/>
          </w:rPr>
          <w:t>695</w:t>
        </w:r>
      </w:hyperlink>
      <w:r>
        <w:rPr>
          <w:spacing w:val="-4"/>
          <w:position w:val="5"/>
          <w:sz w:val="14"/>
        </w:rPr>
        <w:t>.</w:t>
      </w:r>
      <w:r>
        <w:rPr>
          <w:position w:val="5"/>
          <w:sz w:val="14"/>
        </w:rPr>
        <w:tab/>
      </w:r>
      <w:r>
        <w:rPr>
          <w:sz w:val="20"/>
        </w:rPr>
        <w:t>In </w:t>
      </w:r>
      <w:r>
        <w:rPr>
          <w:rFonts w:ascii="Arial" w:hAnsi="Arial"/>
          <w:i/>
          <w:sz w:val="20"/>
        </w:rPr>
        <w:t>Associated British Ports v Ferryways [2008] EWCA Civ 189</w:t>
      </w:r>
      <w:r>
        <w:rPr>
          <w:sz w:val="20"/>
        </w:rPr>
        <w:t>, a “letter of comfort” was held to be a legally binding guarantee, though this had been discharged by a later agreement.</w:t>
      </w:r>
    </w:p>
    <w:p>
      <w:pPr>
        <w:pStyle w:val="BodyText"/>
        <w:spacing w:before="9"/>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427" w:id="1429"/>
      <w:bookmarkEnd w:id="1429"/>
      <w:r>
        <w:rPr/>
      </w:r>
      <w:hyperlink w:history="true" w:anchor="_bookmark1227">
        <w:r>
          <w:rPr>
            <w:color w:val="005DA1"/>
            <w:spacing w:val="-4"/>
            <w:sz w:val="14"/>
            <w:u w:val="single" w:color="005DA1"/>
          </w:rPr>
          <w:t>696</w:t>
        </w:r>
      </w:hyperlink>
      <w:r>
        <w:rPr>
          <w:spacing w:val="-4"/>
          <w:sz w:val="14"/>
        </w:rPr>
        <w:t>.</w:t>
      </w:r>
    </w:p>
    <w:p>
      <w:pPr>
        <w:spacing w:line="235" w:lineRule="auto" w:before="212"/>
        <w:ind w:left="165" w:right="168" w:firstLine="170"/>
        <w:jc w:val="both"/>
        <w:rPr>
          <w:rFonts w:ascii="Arial" w:hAnsi="Arial"/>
          <w:i/>
          <w:sz w:val="20"/>
        </w:rPr>
      </w:pPr>
      <w:r>
        <w:rPr/>
        <w:br w:type="column"/>
      </w:r>
      <w:r>
        <w:rPr>
          <w:sz w:val="20"/>
        </w:rPr>
        <w:t>cf. </w:t>
      </w:r>
      <w:r>
        <w:rPr>
          <w:rFonts w:ascii="Arial" w:hAnsi="Arial"/>
          <w:i/>
          <w:sz w:val="20"/>
        </w:rPr>
        <w:t>Turriff Construction Ltd v Regalia Knitting Mills (1971) 22 E.G. 169 </w:t>
      </w:r>
      <w:r>
        <w:rPr>
          <w:sz w:val="20"/>
        </w:rPr>
        <w:t>(letter of intent held to be a collateral contract for preliminary work);</w:t>
      </w:r>
      <w:r>
        <w:rPr>
          <w:spacing w:val="-1"/>
          <w:sz w:val="20"/>
        </w:rPr>
        <w:t> </w:t>
      </w:r>
      <w:r>
        <w:rPr>
          <w:rFonts w:ascii="Arial" w:hAnsi="Arial"/>
          <w:i/>
          <w:sz w:val="20"/>
        </w:rPr>
        <w:t>Wilson Smithett &amp; Cape (Sugar) Ltd v </w:t>
      </w:r>
      <w:r>
        <w:rPr>
          <w:rFonts w:ascii="Arial" w:hAnsi="Arial"/>
          <w:i/>
          <w:sz w:val="20"/>
        </w:rPr>
        <w:t>Bangladesh Sugar Industries Ltd [1986] 1 Lloyd’s Rep. 378 </w:t>
      </w:r>
      <w:r>
        <w:rPr>
          <w:sz w:val="20"/>
        </w:rPr>
        <w:t>(LOI held to be an acceptance); </w:t>
      </w:r>
      <w:r>
        <w:rPr>
          <w:rFonts w:ascii="Arial" w:hAnsi="Arial"/>
          <w:i/>
          <w:sz w:val="20"/>
        </w:rPr>
        <w:t>Chemco Leasing SpA v Rediffusion [1987] 1 F.T.L.R. 201 </w:t>
      </w:r>
      <w:r>
        <w:rPr>
          <w:sz w:val="20"/>
        </w:rPr>
        <w:t>(LOI held to be an offer but to have lapsed before</w:t>
      </w:r>
      <w:r>
        <w:rPr>
          <w:spacing w:val="20"/>
          <w:sz w:val="20"/>
        </w:rPr>
        <w:t> </w:t>
      </w:r>
      <w:r>
        <w:rPr>
          <w:sz w:val="20"/>
        </w:rPr>
        <w:t>acceptance).</w:t>
      </w:r>
      <w:r>
        <w:rPr>
          <w:spacing w:val="20"/>
          <w:sz w:val="20"/>
        </w:rPr>
        <w:t> </w:t>
      </w:r>
      <w:r>
        <w:rPr>
          <w:rFonts w:ascii="Arial" w:hAnsi="Arial"/>
          <w:i/>
          <w:sz w:val="20"/>
        </w:rPr>
        <w:t>Spartafield</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Penten</w:t>
      </w:r>
      <w:r>
        <w:rPr>
          <w:rFonts w:ascii="Arial" w:hAnsi="Arial"/>
          <w:i/>
          <w:spacing w:val="20"/>
          <w:sz w:val="20"/>
        </w:rPr>
        <w:t> </w:t>
      </w:r>
      <w:r>
        <w:rPr>
          <w:rFonts w:ascii="Arial" w:hAnsi="Arial"/>
          <w:i/>
          <w:sz w:val="20"/>
        </w:rPr>
        <w:t>Group</w:t>
      </w:r>
      <w:r>
        <w:rPr>
          <w:rFonts w:ascii="Arial" w:hAnsi="Arial"/>
          <w:i/>
          <w:spacing w:val="20"/>
          <w:sz w:val="20"/>
        </w:rPr>
        <w:t> </w:t>
      </w:r>
      <w:r>
        <w:rPr>
          <w:rFonts w:ascii="Arial" w:hAnsi="Arial"/>
          <w:i/>
          <w:sz w:val="20"/>
        </w:rPr>
        <w:t>Ltd</w:t>
      </w:r>
      <w:r>
        <w:rPr>
          <w:rFonts w:ascii="Arial" w:hAnsi="Arial"/>
          <w:i/>
          <w:spacing w:val="20"/>
          <w:sz w:val="20"/>
        </w:rPr>
        <w:t> </w:t>
      </w:r>
      <w:r>
        <w:rPr>
          <w:rFonts w:ascii="Arial" w:hAnsi="Arial"/>
          <w:i/>
          <w:sz w:val="20"/>
        </w:rPr>
        <w:t>[2016]</w:t>
      </w:r>
      <w:r>
        <w:rPr>
          <w:rFonts w:ascii="Arial" w:hAnsi="Arial"/>
          <w:i/>
          <w:spacing w:val="20"/>
          <w:sz w:val="20"/>
        </w:rPr>
        <w:t> </w:t>
      </w:r>
      <w:r>
        <w:rPr>
          <w:rFonts w:ascii="Arial" w:hAnsi="Arial"/>
          <w:i/>
          <w:sz w:val="20"/>
        </w:rPr>
        <w:t>EWHC</w:t>
      </w:r>
      <w:r>
        <w:rPr>
          <w:rFonts w:ascii="Arial" w:hAnsi="Arial"/>
          <w:i/>
          <w:spacing w:val="20"/>
          <w:sz w:val="20"/>
        </w:rPr>
        <w:t> </w:t>
      </w:r>
      <w:r>
        <w:rPr>
          <w:rFonts w:ascii="Arial" w:hAnsi="Arial"/>
          <w:i/>
          <w:sz w:val="20"/>
        </w:rPr>
        <w:t>2295</w:t>
      </w:r>
      <w:r>
        <w:rPr>
          <w:rFonts w:ascii="Arial" w:hAnsi="Arial"/>
          <w:i/>
          <w:spacing w:val="20"/>
          <w:sz w:val="20"/>
        </w:rPr>
        <w:t> </w:t>
      </w:r>
      <w:r>
        <w:rPr>
          <w:rFonts w:ascii="Arial" w:hAnsi="Arial"/>
          <w:i/>
          <w:sz w:val="20"/>
        </w:rPr>
        <w:t>(TCC),</w:t>
      </w:r>
      <w:r>
        <w:rPr>
          <w:rFonts w:ascii="Arial" w:hAnsi="Arial"/>
          <w:i/>
          <w:spacing w:val="20"/>
          <w:sz w:val="20"/>
        </w:rPr>
        <w:t> </w:t>
      </w:r>
      <w:r>
        <w:rPr>
          <w:rFonts w:ascii="Arial" w:hAnsi="Arial"/>
          <w:i/>
          <w:sz w:val="20"/>
        </w:rPr>
        <w:t>168</w:t>
      </w:r>
      <w:r>
        <w:rPr>
          <w:rFonts w:ascii="Arial" w:hAnsi="Arial"/>
          <w:i/>
          <w:spacing w:val="20"/>
          <w:sz w:val="20"/>
        </w:rPr>
        <w:t> </w:t>
      </w:r>
      <w:r>
        <w:rPr>
          <w:rFonts w:ascii="Arial" w:hAnsi="Arial"/>
          <w:i/>
          <w:spacing w:val="-4"/>
          <w:sz w:val="20"/>
        </w:rPr>
        <w:t>Con.</w:t>
      </w:r>
    </w:p>
    <w:p>
      <w:pPr>
        <w:pStyle w:val="BodyText"/>
        <w:spacing w:line="235" w:lineRule="auto"/>
        <w:ind w:left="165" w:right="167"/>
        <w:jc w:val="both"/>
      </w:pPr>
      <w:r>
        <w:rPr/>
        <w:drawing>
          <wp:anchor distT="0" distB="0" distL="0" distR="0" allowOverlap="1" layoutInCell="1" locked="0" behindDoc="0" simplePos="0" relativeHeight="15758336">
            <wp:simplePos x="0" y="0"/>
            <wp:positionH relativeFrom="page">
              <wp:posOffset>1257846</wp:posOffset>
            </wp:positionH>
            <wp:positionV relativeFrom="paragraph">
              <wp:posOffset>-689642</wp:posOffset>
            </wp:positionV>
            <wp:extent cx="107988" cy="107988"/>
            <wp:effectExtent l="0" t="0" r="0" b="0"/>
            <wp:wrapNone/>
            <wp:docPr id="117" name="Image 117"/>
            <wp:cNvGraphicFramePr>
              <a:graphicFrameLocks/>
            </wp:cNvGraphicFramePr>
            <a:graphic>
              <a:graphicData uri="http://schemas.openxmlformats.org/drawingml/2006/picture">
                <pic:pic>
                  <pic:nvPicPr>
                    <pic:cNvPr id="117" name="Image 117"/>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rPr>
        <w:t>L.R. 221 </w:t>
      </w:r>
      <w:r>
        <w:rPr/>
        <w:t>(letter of intent displaced by contract when the key principles for the contract were agreed and it was agreed that the terms would be those contained in the JCT ICD form; the contemplated execution of a formal contract was not a precondition to the existence of the </w:t>
      </w:r>
      <w:r>
        <w:rPr>
          <w:spacing w:val="-2"/>
        </w:rPr>
        <w:t>contract).</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pStyle w:val="BodyText"/>
        <w:spacing w:before="7"/>
      </w:pPr>
    </w:p>
    <w:p>
      <w:pPr>
        <w:spacing w:line="235" w:lineRule="auto" w:before="0"/>
        <w:ind w:left="705" w:right="167" w:hanging="541"/>
        <w:jc w:val="both"/>
        <w:rPr>
          <w:rFonts w:ascii="Arial"/>
          <w:i/>
          <w:sz w:val="20"/>
        </w:rPr>
      </w:pPr>
      <w:bookmarkStart w:name="_bookmark1428" w:id="1430"/>
      <w:bookmarkEnd w:id="1430"/>
      <w:r>
        <w:rPr/>
      </w:r>
      <w:hyperlink w:history="true" w:anchor="_bookmark1228">
        <w:r>
          <w:rPr>
            <w:color w:val="005DA1"/>
            <w:position w:val="5"/>
            <w:sz w:val="14"/>
            <w:u w:val="single" w:color="005DA1"/>
          </w:rPr>
          <w:t>697</w:t>
        </w:r>
      </w:hyperlink>
      <w:r>
        <w:rPr>
          <w:position w:val="5"/>
          <w:sz w:val="14"/>
        </w:rPr>
        <w:t>.</w:t>
      </w:r>
      <w:r>
        <w:rPr>
          <w:spacing w:val="80"/>
          <w:position w:val="5"/>
          <w:sz w:val="14"/>
        </w:rPr>
        <w:t>  </w:t>
      </w:r>
      <w:r>
        <w:rPr>
          <w:sz w:val="20"/>
        </w:rPr>
        <w:t>Above, para.2-123. For a combination of the factors described in the text above at nn.673 </w:t>
      </w:r>
      <w:r>
        <w:rPr>
          <w:sz w:val="20"/>
        </w:rPr>
        <w:t>and 674,</w:t>
      </w:r>
      <w:r>
        <w:rPr>
          <w:spacing w:val="14"/>
          <w:sz w:val="20"/>
        </w:rPr>
        <w:t> </w:t>
      </w:r>
      <w:r>
        <w:rPr>
          <w:sz w:val="20"/>
        </w:rPr>
        <w:t>see</w:t>
      </w:r>
      <w:r>
        <w:rPr>
          <w:spacing w:val="14"/>
          <w:sz w:val="20"/>
        </w:rPr>
        <w:t> </w:t>
      </w:r>
      <w:r>
        <w:rPr>
          <w:rFonts w:ascii="Arial"/>
          <w:i/>
          <w:sz w:val="20"/>
        </w:rPr>
        <w:t>Diamond</w:t>
      </w:r>
      <w:r>
        <w:rPr>
          <w:rFonts w:ascii="Arial"/>
          <w:i/>
          <w:spacing w:val="14"/>
          <w:sz w:val="20"/>
        </w:rPr>
        <w:t> </w:t>
      </w:r>
      <w:r>
        <w:rPr>
          <w:rFonts w:ascii="Arial"/>
          <w:i/>
          <w:sz w:val="20"/>
        </w:rPr>
        <w:t>Build</w:t>
      </w:r>
      <w:r>
        <w:rPr>
          <w:rFonts w:ascii="Arial"/>
          <w:i/>
          <w:spacing w:val="14"/>
          <w:sz w:val="20"/>
        </w:rPr>
        <w:t> </w:t>
      </w:r>
      <w:r>
        <w:rPr>
          <w:rFonts w:ascii="Arial"/>
          <w:i/>
          <w:sz w:val="20"/>
        </w:rPr>
        <w:t>Ltd</w:t>
      </w:r>
      <w:r>
        <w:rPr>
          <w:rFonts w:ascii="Arial"/>
          <w:i/>
          <w:spacing w:val="14"/>
          <w:sz w:val="20"/>
        </w:rPr>
        <w:t> </w:t>
      </w:r>
      <w:r>
        <w:rPr>
          <w:rFonts w:ascii="Arial"/>
          <w:i/>
          <w:sz w:val="20"/>
        </w:rPr>
        <w:t>v</w:t>
      </w:r>
      <w:r>
        <w:rPr>
          <w:rFonts w:ascii="Arial"/>
          <w:i/>
          <w:spacing w:val="14"/>
          <w:sz w:val="20"/>
        </w:rPr>
        <w:t> </w:t>
      </w:r>
      <w:r>
        <w:rPr>
          <w:rFonts w:ascii="Arial"/>
          <w:i/>
          <w:sz w:val="20"/>
        </w:rPr>
        <w:t>Clapham</w:t>
      </w:r>
      <w:r>
        <w:rPr>
          <w:rFonts w:ascii="Arial"/>
          <w:i/>
          <w:spacing w:val="14"/>
          <w:sz w:val="20"/>
        </w:rPr>
        <w:t> </w:t>
      </w:r>
      <w:r>
        <w:rPr>
          <w:rFonts w:ascii="Arial"/>
          <w:i/>
          <w:sz w:val="20"/>
        </w:rPr>
        <w:t>Park</w:t>
      </w:r>
      <w:r>
        <w:rPr>
          <w:rFonts w:ascii="Arial"/>
          <w:i/>
          <w:spacing w:val="14"/>
          <w:sz w:val="20"/>
        </w:rPr>
        <w:t> </w:t>
      </w:r>
      <w:r>
        <w:rPr>
          <w:rFonts w:ascii="Arial"/>
          <w:i/>
          <w:sz w:val="20"/>
        </w:rPr>
        <w:t>Homes</w:t>
      </w:r>
      <w:r>
        <w:rPr>
          <w:rFonts w:ascii="Arial"/>
          <w:i/>
          <w:spacing w:val="14"/>
          <w:sz w:val="20"/>
        </w:rPr>
        <w:t> </w:t>
      </w:r>
      <w:r>
        <w:rPr>
          <w:rFonts w:ascii="Arial"/>
          <w:i/>
          <w:sz w:val="20"/>
        </w:rPr>
        <w:t>Ltd</w:t>
      </w:r>
      <w:r>
        <w:rPr>
          <w:rFonts w:ascii="Arial"/>
          <w:i/>
          <w:spacing w:val="14"/>
          <w:sz w:val="20"/>
        </w:rPr>
        <w:t> </w:t>
      </w:r>
      <w:r>
        <w:rPr>
          <w:rFonts w:ascii="Arial"/>
          <w:i/>
          <w:sz w:val="20"/>
        </w:rPr>
        <w:t>[2008]</w:t>
      </w:r>
      <w:r>
        <w:rPr>
          <w:rFonts w:ascii="Arial"/>
          <w:i/>
          <w:spacing w:val="14"/>
          <w:sz w:val="20"/>
        </w:rPr>
        <w:t> </w:t>
      </w:r>
      <w:r>
        <w:rPr>
          <w:rFonts w:ascii="Arial"/>
          <w:i/>
          <w:sz w:val="20"/>
        </w:rPr>
        <w:t>EWHC</w:t>
      </w:r>
      <w:r>
        <w:rPr>
          <w:rFonts w:ascii="Arial"/>
          <w:i/>
          <w:spacing w:val="14"/>
          <w:sz w:val="20"/>
        </w:rPr>
        <w:t> </w:t>
      </w:r>
      <w:r>
        <w:rPr>
          <w:rFonts w:ascii="Arial"/>
          <w:i/>
          <w:sz w:val="20"/>
        </w:rPr>
        <w:t>1439</w:t>
      </w:r>
      <w:r>
        <w:rPr>
          <w:rFonts w:ascii="Arial"/>
          <w:i/>
          <w:spacing w:val="14"/>
          <w:sz w:val="20"/>
        </w:rPr>
        <w:t> </w:t>
      </w:r>
      <w:r>
        <w:rPr>
          <w:rFonts w:ascii="Arial"/>
          <w:i/>
          <w:sz w:val="20"/>
        </w:rPr>
        <w:t>(TCC),</w:t>
      </w:r>
      <w:r>
        <w:rPr>
          <w:rFonts w:ascii="Arial"/>
          <w:i/>
          <w:spacing w:val="14"/>
          <w:sz w:val="20"/>
        </w:rPr>
        <w:t> </w:t>
      </w:r>
      <w:r>
        <w:rPr>
          <w:rFonts w:ascii="Arial"/>
          <w:i/>
          <w:sz w:val="20"/>
        </w:rPr>
        <w:t>119</w:t>
      </w:r>
      <w:r>
        <w:rPr>
          <w:rFonts w:ascii="Arial"/>
          <w:i/>
          <w:spacing w:val="14"/>
          <w:sz w:val="20"/>
        </w:rPr>
        <w:t> </w:t>
      </w:r>
      <w:r>
        <w:rPr>
          <w:rFonts w:ascii="Arial"/>
          <w:i/>
          <w:spacing w:val="-4"/>
          <w:sz w:val="20"/>
        </w:rPr>
        <w:t>Con.</w:t>
      </w:r>
    </w:p>
    <w:p>
      <w:pPr>
        <w:pStyle w:val="BodyText"/>
        <w:spacing w:line="235" w:lineRule="auto"/>
        <w:ind w:left="705" w:right="167"/>
        <w:jc w:val="both"/>
      </w:pPr>
      <w:r>
        <w:rPr>
          <w:rFonts w:ascii="Arial"/>
          <w:i/>
        </w:rPr>
        <w:t>L.R. 33 </w:t>
      </w:r>
      <w:r>
        <w:rPr/>
        <w:t>where a LOI was held to have contractual force even though its provisions indicated</w:t>
      </w:r>
      <w:r>
        <w:rPr>
          <w:spacing w:val="40"/>
        </w:rPr>
        <w:t> </w:t>
      </w:r>
      <w:r>
        <w:rPr/>
        <w:t>that a formal contract was to be executed but the parties acted on the letter without executing any such contract.</w:t>
      </w:r>
    </w:p>
    <w:p>
      <w:pPr>
        <w:pStyle w:val="BodyText"/>
        <w:spacing w:before="4"/>
      </w:pPr>
    </w:p>
    <w:p>
      <w:pPr>
        <w:tabs>
          <w:tab w:pos="705" w:val="left" w:leader="none"/>
        </w:tabs>
        <w:spacing w:before="0"/>
        <w:ind w:left="165" w:right="0" w:firstLine="0"/>
        <w:jc w:val="left"/>
        <w:rPr>
          <w:sz w:val="20"/>
        </w:rPr>
      </w:pPr>
      <w:bookmarkStart w:name="_bookmark1429" w:id="1431"/>
      <w:bookmarkEnd w:id="1431"/>
      <w:r>
        <w:rPr/>
      </w:r>
      <w:hyperlink w:history="true" w:anchor="_bookmark1229">
        <w:r>
          <w:rPr>
            <w:color w:val="005DA1"/>
            <w:spacing w:val="-4"/>
            <w:position w:val="5"/>
            <w:sz w:val="14"/>
            <w:u w:val="single" w:color="005DA1"/>
          </w:rPr>
          <w:t>698</w:t>
        </w:r>
      </w:hyperlink>
      <w:r>
        <w:rPr>
          <w:spacing w:val="-4"/>
          <w:position w:val="5"/>
          <w:sz w:val="14"/>
        </w:rPr>
        <w:t>.</w:t>
      </w:r>
      <w:r>
        <w:rPr>
          <w:position w:val="5"/>
          <w:sz w:val="14"/>
        </w:rPr>
        <w:tab/>
      </w:r>
      <w:r>
        <w:rPr>
          <w:rFonts w:ascii="Arial" w:hAnsi="Arial"/>
          <w:i/>
          <w:sz w:val="20"/>
        </w:rPr>
        <w:t>[2012] EWHC 1329 (Comm), [2012] 2 Lloyd’s Rep. </w:t>
      </w:r>
      <w:r>
        <w:rPr>
          <w:rFonts w:ascii="Arial" w:hAnsi="Arial"/>
          <w:i/>
          <w:spacing w:val="-5"/>
          <w:sz w:val="20"/>
        </w:rPr>
        <w:t>93</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430" w:id="1432"/>
      <w:bookmarkEnd w:id="1432"/>
      <w:r>
        <w:rPr/>
      </w:r>
      <w:hyperlink w:history="true" w:anchor="_bookmark1230">
        <w:r>
          <w:rPr>
            <w:color w:val="005DA1"/>
            <w:spacing w:val="-4"/>
            <w:position w:val="5"/>
            <w:sz w:val="14"/>
            <w:u w:val="single" w:color="005DA1"/>
          </w:rPr>
          <w:t>699</w:t>
        </w:r>
      </w:hyperlink>
      <w:r>
        <w:rPr>
          <w:spacing w:val="-4"/>
          <w:position w:val="5"/>
          <w:sz w:val="14"/>
        </w:rPr>
        <w:t>.</w:t>
      </w:r>
      <w:r>
        <w:rPr>
          <w:position w:val="5"/>
          <w:sz w:val="14"/>
        </w:rPr>
        <w:tab/>
      </w:r>
      <w:r>
        <w:rPr>
          <w:rFonts w:ascii="Arial"/>
          <w:i/>
          <w:sz w:val="20"/>
        </w:rPr>
        <w:t>[2012] EWHC 1329 (Comm)</w:t>
      </w:r>
      <w:r>
        <w:rPr>
          <w:rFonts w:ascii="Arial"/>
          <w:i/>
          <w:spacing w:val="-1"/>
          <w:sz w:val="20"/>
        </w:rPr>
        <w:t> </w:t>
      </w:r>
      <w:r>
        <w:rPr>
          <w:sz w:val="20"/>
        </w:rPr>
        <w:t>at </w:t>
      </w:r>
      <w:r>
        <w:rPr>
          <w:spacing w:val="-4"/>
          <w:sz w:val="20"/>
        </w:rPr>
        <w:t>[8].</w:t>
      </w:r>
    </w:p>
    <w:p>
      <w:pPr>
        <w:pStyle w:val="BodyText"/>
        <w:spacing w:before="5"/>
      </w:pPr>
    </w:p>
    <w:p>
      <w:pPr>
        <w:tabs>
          <w:tab w:pos="705" w:val="left" w:leader="none"/>
        </w:tabs>
        <w:spacing w:before="0"/>
        <w:ind w:left="165" w:right="0" w:firstLine="0"/>
        <w:jc w:val="left"/>
        <w:rPr>
          <w:sz w:val="20"/>
        </w:rPr>
      </w:pPr>
      <w:bookmarkStart w:name="_bookmark1431" w:id="1433"/>
      <w:bookmarkEnd w:id="1433"/>
      <w:r>
        <w:rPr/>
      </w:r>
      <w:hyperlink w:history="true" w:anchor="_bookmark1231">
        <w:r>
          <w:rPr>
            <w:color w:val="005DA1"/>
            <w:spacing w:val="-4"/>
            <w:position w:val="5"/>
            <w:sz w:val="14"/>
            <w:u w:val="single" w:color="005DA1"/>
          </w:rPr>
          <w:t>700</w:t>
        </w:r>
      </w:hyperlink>
      <w:r>
        <w:rPr>
          <w:spacing w:val="-4"/>
          <w:position w:val="5"/>
          <w:sz w:val="14"/>
        </w:rPr>
        <w:t>.</w:t>
      </w:r>
      <w:r>
        <w:rPr>
          <w:position w:val="5"/>
          <w:sz w:val="14"/>
        </w:rPr>
        <w:tab/>
      </w:r>
      <w:r>
        <w:rPr>
          <w:rFonts w:ascii="Arial"/>
          <w:i/>
          <w:sz w:val="20"/>
        </w:rPr>
        <w:t>[2012] EWHC 1329 (Comm)</w:t>
      </w:r>
      <w:r>
        <w:rPr>
          <w:rFonts w:ascii="Arial"/>
          <w:i/>
          <w:spacing w:val="-1"/>
          <w:sz w:val="20"/>
        </w:rPr>
        <w:t> </w:t>
      </w:r>
      <w:r>
        <w:rPr>
          <w:sz w:val="20"/>
        </w:rPr>
        <w:t>at [7]; see below paras 2-143, 2-</w:t>
      </w:r>
      <w:r>
        <w:rPr>
          <w:spacing w:val="-4"/>
          <w:sz w:val="20"/>
        </w:rPr>
        <w:t>194.</w:t>
      </w:r>
    </w:p>
    <w:p>
      <w:pPr>
        <w:pStyle w:val="BodyText"/>
        <w:spacing w:before="5"/>
      </w:pPr>
    </w:p>
    <w:p>
      <w:pPr>
        <w:tabs>
          <w:tab w:pos="705" w:val="left" w:leader="none"/>
        </w:tabs>
        <w:spacing w:before="0"/>
        <w:ind w:left="165" w:right="0" w:firstLine="0"/>
        <w:jc w:val="left"/>
        <w:rPr>
          <w:sz w:val="20"/>
        </w:rPr>
      </w:pPr>
      <w:bookmarkStart w:name="_bookmark1432" w:id="1434"/>
      <w:bookmarkEnd w:id="1434"/>
      <w:r>
        <w:rPr/>
      </w:r>
      <w:hyperlink w:history="true" w:anchor="_bookmark1232">
        <w:r>
          <w:rPr>
            <w:color w:val="005DA1"/>
            <w:spacing w:val="-4"/>
            <w:position w:val="5"/>
            <w:sz w:val="14"/>
            <w:u w:val="single" w:color="005DA1"/>
          </w:rPr>
          <w:t>701</w:t>
        </w:r>
      </w:hyperlink>
      <w:r>
        <w:rPr>
          <w:spacing w:val="-4"/>
          <w:position w:val="5"/>
          <w:sz w:val="14"/>
        </w:rPr>
        <w:t>.</w:t>
      </w:r>
      <w:r>
        <w:rPr>
          <w:position w:val="5"/>
          <w:sz w:val="14"/>
        </w:rPr>
        <w:tab/>
      </w:r>
      <w:r>
        <w:rPr>
          <w:sz w:val="20"/>
        </w:rPr>
        <w:t>The existence of such a condition was doubted in</w:t>
      </w:r>
      <w:r>
        <w:rPr>
          <w:spacing w:val="-1"/>
          <w:sz w:val="20"/>
        </w:rPr>
        <w:t> </w:t>
      </w:r>
      <w:r>
        <w:rPr>
          <w:rFonts w:ascii="Arial"/>
          <w:i/>
          <w:sz w:val="20"/>
        </w:rPr>
        <w:t>[2012] EWHC 1329 (Comm)</w:t>
      </w:r>
      <w:r>
        <w:rPr>
          <w:rFonts w:ascii="Arial"/>
          <w:i/>
          <w:spacing w:val="-1"/>
          <w:sz w:val="20"/>
        </w:rPr>
        <w:t> </w:t>
      </w:r>
      <w:r>
        <w:rPr>
          <w:sz w:val="20"/>
        </w:rPr>
        <w:t>at </w:t>
      </w:r>
      <w:r>
        <w:rPr>
          <w:spacing w:val="-4"/>
          <w:sz w:val="20"/>
        </w:rPr>
        <w:t>[9].</w:t>
      </w:r>
    </w:p>
    <w:p>
      <w:pPr>
        <w:pStyle w:val="BodyText"/>
        <w:spacing w:before="5"/>
      </w:pPr>
    </w:p>
    <w:p>
      <w:pPr>
        <w:tabs>
          <w:tab w:pos="705" w:val="left" w:leader="none"/>
        </w:tabs>
        <w:spacing w:before="0"/>
        <w:ind w:left="165" w:right="0" w:firstLine="0"/>
        <w:jc w:val="left"/>
        <w:rPr>
          <w:sz w:val="20"/>
        </w:rPr>
      </w:pPr>
      <w:bookmarkStart w:name="_bookmark1433" w:id="1435"/>
      <w:bookmarkEnd w:id="1435"/>
      <w:r>
        <w:rPr/>
      </w:r>
      <w:hyperlink w:history="true" w:anchor="_bookmark1233">
        <w:r>
          <w:rPr>
            <w:color w:val="005DA1"/>
            <w:spacing w:val="-4"/>
            <w:position w:val="5"/>
            <w:sz w:val="14"/>
            <w:u w:val="single" w:color="005DA1"/>
          </w:rPr>
          <w:t>702</w:t>
        </w:r>
      </w:hyperlink>
      <w:r>
        <w:rPr>
          <w:spacing w:val="-4"/>
          <w:position w:val="5"/>
          <w:sz w:val="14"/>
        </w:rPr>
        <w:t>.</w:t>
      </w:r>
      <w:r>
        <w:rPr>
          <w:position w:val="5"/>
          <w:sz w:val="14"/>
        </w:rPr>
        <w:tab/>
      </w:r>
      <w:r>
        <w:rPr>
          <w:rFonts w:ascii="Arial"/>
          <w:i/>
          <w:sz w:val="20"/>
        </w:rPr>
        <w:t>[2012] EWHC 1329 (Comm)</w:t>
      </w:r>
      <w:r>
        <w:rPr>
          <w:rFonts w:ascii="Arial"/>
          <w:i/>
          <w:spacing w:val="-1"/>
          <w:sz w:val="20"/>
        </w:rPr>
        <w:t> </w:t>
      </w:r>
      <w:r>
        <w:rPr>
          <w:sz w:val="20"/>
        </w:rPr>
        <w:t>at </w:t>
      </w:r>
      <w:r>
        <w:rPr>
          <w:spacing w:val="-2"/>
          <w:sz w:val="20"/>
        </w:rPr>
        <w:t>[12].</w:t>
      </w:r>
    </w:p>
    <w:p>
      <w:pPr>
        <w:pStyle w:val="BodyText"/>
        <w:spacing w:before="9"/>
      </w:pPr>
    </w:p>
    <w:p>
      <w:pPr>
        <w:tabs>
          <w:tab w:pos="705" w:val="left" w:leader="none"/>
        </w:tabs>
        <w:spacing w:line="235" w:lineRule="auto" w:before="0"/>
        <w:ind w:left="705" w:right="168" w:hanging="541"/>
        <w:jc w:val="left"/>
        <w:rPr>
          <w:rFonts w:ascii="Arial" w:hAnsi="Arial"/>
          <w:i/>
          <w:sz w:val="20"/>
        </w:rPr>
      </w:pPr>
      <w:bookmarkStart w:name="_bookmark1434" w:id="1436"/>
      <w:bookmarkEnd w:id="1436"/>
      <w:r>
        <w:rPr/>
      </w:r>
      <w:hyperlink w:history="true" w:anchor="_bookmark1234">
        <w:r>
          <w:rPr>
            <w:color w:val="005DA1"/>
            <w:spacing w:val="-4"/>
            <w:position w:val="5"/>
            <w:sz w:val="14"/>
            <w:u w:val="single" w:color="005DA1"/>
          </w:rPr>
          <w:t>703</w:t>
        </w:r>
      </w:hyperlink>
      <w:r>
        <w:rPr>
          <w:spacing w:val="-4"/>
          <w:position w:val="5"/>
          <w:sz w:val="14"/>
        </w:rPr>
        <w:t>.</w:t>
      </w:r>
      <w:r>
        <w:rPr>
          <w:position w:val="5"/>
          <w:sz w:val="14"/>
        </w:rPr>
        <w:tab/>
      </w:r>
      <w:r>
        <w:rPr>
          <w:rFonts w:ascii="Arial" w:hAnsi="Arial"/>
          <w:i/>
          <w:sz w:val="20"/>
        </w:rPr>
        <w:t>[1934] 2 K.B. 17n</w:t>
      </w:r>
      <w:r>
        <w:rPr>
          <w:sz w:val="20"/>
        </w:rPr>
        <w:t>; cf. </w:t>
      </w:r>
      <w:r>
        <w:rPr>
          <w:rFonts w:ascii="Arial" w:hAnsi="Arial"/>
          <w:i/>
          <w:sz w:val="20"/>
        </w:rPr>
        <w:t>British Homophone Ltd v Kunz (1935) 152 L.T. 589</w:t>
      </w:r>
      <w:r>
        <w:rPr>
          <w:sz w:val="20"/>
        </w:rPr>
        <w:t>; </w:t>
      </w:r>
      <w:r>
        <w:rPr>
          <w:rFonts w:ascii="Arial" w:hAnsi="Arial"/>
          <w:i/>
          <w:sz w:val="20"/>
        </w:rPr>
        <w:t>Mmecen SA v </w:t>
      </w:r>
      <w:r>
        <w:rPr>
          <w:rFonts w:ascii="Arial" w:hAnsi="Arial"/>
          <w:i/>
          <w:sz w:val="20"/>
        </w:rPr>
        <w:t>Inter Ro-Ro</w:t>
      </w:r>
      <w:r>
        <w:rPr>
          <w:rFonts w:ascii="Arial" w:hAnsi="Arial"/>
          <w:i/>
          <w:spacing w:val="61"/>
          <w:w w:val="150"/>
          <w:sz w:val="20"/>
        </w:rPr>
        <w:t> </w:t>
      </w:r>
      <w:r>
        <w:rPr>
          <w:rFonts w:ascii="Arial" w:hAnsi="Arial"/>
          <w:i/>
          <w:sz w:val="20"/>
        </w:rPr>
        <w:t>SA</w:t>
      </w:r>
      <w:r>
        <w:rPr>
          <w:rFonts w:ascii="Arial" w:hAnsi="Arial"/>
          <w:i/>
          <w:spacing w:val="61"/>
          <w:w w:val="150"/>
          <w:sz w:val="20"/>
        </w:rPr>
        <w:t> </w:t>
      </w:r>
      <w:r>
        <w:rPr>
          <w:rFonts w:ascii="Arial" w:hAnsi="Arial"/>
          <w:i/>
          <w:sz w:val="20"/>
        </w:rPr>
        <w:t>(The</w:t>
      </w:r>
      <w:r>
        <w:rPr>
          <w:rFonts w:ascii="Arial" w:hAnsi="Arial"/>
          <w:i/>
          <w:spacing w:val="61"/>
          <w:w w:val="150"/>
          <w:sz w:val="20"/>
        </w:rPr>
        <w:t> </w:t>
      </w:r>
      <w:r>
        <w:rPr>
          <w:rFonts w:ascii="Arial" w:hAnsi="Arial"/>
          <w:i/>
          <w:sz w:val="20"/>
        </w:rPr>
        <w:t>Samah)</w:t>
      </w:r>
      <w:r>
        <w:rPr>
          <w:rFonts w:ascii="Arial" w:hAnsi="Arial"/>
          <w:i/>
          <w:spacing w:val="61"/>
          <w:w w:val="150"/>
          <w:sz w:val="20"/>
        </w:rPr>
        <w:t> </w:t>
      </w:r>
      <w:r>
        <w:rPr>
          <w:rFonts w:ascii="Arial" w:hAnsi="Arial"/>
          <w:i/>
          <w:sz w:val="20"/>
        </w:rPr>
        <w:t>[1981]</w:t>
      </w:r>
      <w:r>
        <w:rPr>
          <w:rFonts w:ascii="Arial" w:hAnsi="Arial"/>
          <w:i/>
          <w:spacing w:val="61"/>
          <w:w w:val="150"/>
          <w:sz w:val="20"/>
        </w:rPr>
        <w:t> </w:t>
      </w:r>
      <w:r>
        <w:rPr>
          <w:rFonts w:ascii="Arial" w:hAnsi="Arial"/>
          <w:i/>
          <w:sz w:val="20"/>
        </w:rPr>
        <w:t>1</w:t>
      </w:r>
      <w:r>
        <w:rPr>
          <w:rFonts w:ascii="Arial" w:hAnsi="Arial"/>
          <w:i/>
          <w:spacing w:val="61"/>
          <w:w w:val="150"/>
          <w:sz w:val="20"/>
        </w:rPr>
        <w:t> </w:t>
      </w:r>
      <w:r>
        <w:rPr>
          <w:rFonts w:ascii="Arial" w:hAnsi="Arial"/>
          <w:i/>
          <w:sz w:val="20"/>
        </w:rPr>
        <w:t>Lloyd’s</w:t>
      </w:r>
      <w:r>
        <w:rPr>
          <w:rFonts w:ascii="Arial" w:hAnsi="Arial"/>
          <w:i/>
          <w:spacing w:val="62"/>
          <w:w w:val="150"/>
          <w:sz w:val="20"/>
        </w:rPr>
        <w:t> </w:t>
      </w:r>
      <w:r>
        <w:rPr>
          <w:rFonts w:ascii="Arial" w:hAnsi="Arial"/>
          <w:i/>
          <w:sz w:val="20"/>
        </w:rPr>
        <w:t>Rep.</w:t>
      </w:r>
      <w:r>
        <w:rPr>
          <w:rFonts w:ascii="Arial" w:hAnsi="Arial"/>
          <w:i/>
          <w:spacing w:val="61"/>
          <w:w w:val="150"/>
          <w:sz w:val="20"/>
        </w:rPr>
        <w:t> </w:t>
      </w:r>
      <w:r>
        <w:rPr>
          <w:rFonts w:ascii="Arial" w:hAnsi="Arial"/>
          <w:i/>
          <w:sz w:val="20"/>
        </w:rPr>
        <w:t>40,</w:t>
      </w:r>
      <w:r>
        <w:rPr>
          <w:rFonts w:ascii="Arial" w:hAnsi="Arial"/>
          <w:i/>
          <w:spacing w:val="61"/>
          <w:w w:val="150"/>
          <w:sz w:val="20"/>
        </w:rPr>
        <w:t> </w:t>
      </w:r>
      <w:r>
        <w:rPr>
          <w:rFonts w:ascii="Arial" w:hAnsi="Arial"/>
          <w:i/>
          <w:sz w:val="20"/>
        </w:rPr>
        <w:t>43</w:t>
      </w:r>
      <w:r>
        <w:rPr>
          <w:sz w:val="20"/>
        </w:rPr>
        <w:t>;</w:t>
      </w:r>
      <w:r>
        <w:rPr>
          <w:spacing w:val="61"/>
          <w:w w:val="150"/>
          <w:sz w:val="20"/>
        </w:rPr>
        <w:t> </w:t>
      </w:r>
      <w:r>
        <w:rPr>
          <w:rFonts w:ascii="Arial" w:hAnsi="Arial"/>
          <w:i/>
          <w:sz w:val="20"/>
        </w:rPr>
        <w:t>Harmony</w:t>
      </w:r>
      <w:r>
        <w:rPr>
          <w:rFonts w:ascii="Arial" w:hAnsi="Arial"/>
          <w:i/>
          <w:spacing w:val="61"/>
          <w:w w:val="150"/>
          <w:sz w:val="20"/>
        </w:rPr>
        <w:t> </w:t>
      </w:r>
      <w:r>
        <w:rPr>
          <w:rFonts w:ascii="Arial" w:hAnsi="Arial"/>
          <w:i/>
          <w:sz w:val="20"/>
        </w:rPr>
        <w:t>Shipping</w:t>
      </w:r>
      <w:r>
        <w:rPr>
          <w:rFonts w:ascii="Arial" w:hAnsi="Arial"/>
          <w:i/>
          <w:spacing w:val="61"/>
          <w:w w:val="150"/>
          <w:sz w:val="20"/>
        </w:rPr>
        <w:t> </w:t>
      </w:r>
      <w:r>
        <w:rPr>
          <w:rFonts w:ascii="Arial" w:hAnsi="Arial"/>
          <w:i/>
          <w:sz w:val="20"/>
        </w:rPr>
        <w:t>Co</w:t>
      </w:r>
      <w:r>
        <w:rPr>
          <w:rFonts w:ascii="Arial" w:hAnsi="Arial"/>
          <w:i/>
          <w:spacing w:val="61"/>
          <w:w w:val="150"/>
          <w:sz w:val="20"/>
        </w:rPr>
        <w:t> </w:t>
      </w:r>
      <w:r>
        <w:rPr>
          <w:rFonts w:ascii="Arial" w:hAnsi="Arial"/>
          <w:i/>
          <w:sz w:val="20"/>
        </w:rPr>
        <w:t>SA</w:t>
      </w:r>
      <w:r>
        <w:rPr>
          <w:rFonts w:ascii="Arial" w:hAnsi="Arial"/>
          <w:i/>
          <w:spacing w:val="62"/>
          <w:w w:val="150"/>
          <w:sz w:val="20"/>
        </w:rPr>
        <w:t> </w:t>
      </w:r>
      <w:r>
        <w:rPr>
          <w:rFonts w:ascii="Arial" w:hAnsi="Arial"/>
          <w:i/>
          <w:spacing w:val="-10"/>
          <w:sz w:val="20"/>
        </w:rPr>
        <w:t>v</w:t>
      </w:r>
    </w:p>
    <w:p>
      <w:pPr>
        <w:spacing w:after="0" w:line="235" w:lineRule="auto"/>
        <w:jc w:val="left"/>
        <w:rPr>
          <w:rFonts w:ascii="Arial" w:hAnsi="Arial"/>
          <w:i/>
          <w:sz w:val="20"/>
        </w:rPr>
        <w:sectPr>
          <w:type w:val="continuous"/>
          <w:pgSz w:w="11900" w:h="16840"/>
          <w:pgMar w:header="971" w:footer="0" w:top="1300" w:bottom="280" w:left="1275" w:right="1275"/>
        </w:sectPr>
      </w:pPr>
    </w:p>
    <w:p>
      <w:pPr>
        <w:spacing w:line="235" w:lineRule="auto" w:before="110"/>
        <w:ind w:left="705" w:right="168" w:firstLine="0"/>
        <w:jc w:val="both"/>
        <w:rPr>
          <w:sz w:val="20"/>
        </w:rPr>
      </w:pPr>
      <w:r>
        <w:rPr>
          <w:rFonts w:ascii="Arial" w:hAnsi="Arial"/>
          <w:i/>
          <w:sz w:val="20"/>
        </w:rPr>
        <w:t>Saudi-Europe Line Ltd (The Good Helmsman) [1981] 1 Lloyd’s Rep. 377, 409</w:t>
      </w:r>
      <w:r>
        <w:rPr>
          <w:sz w:val="20"/>
        </w:rPr>
        <w:t>; </w:t>
      </w:r>
      <w:r>
        <w:rPr>
          <w:rFonts w:ascii="Arial" w:hAnsi="Arial"/>
          <w:i/>
          <w:sz w:val="20"/>
        </w:rPr>
        <w:t>Pancommerce SA v Veecheema BV [1983] 2 Lloyd’s Rep. 304, 307</w:t>
      </w:r>
      <w:r>
        <w:rPr>
          <w:sz w:val="20"/>
        </w:rPr>
        <w:t>; </w:t>
      </w:r>
      <w:r>
        <w:rPr>
          <w:rFonts w:ascii="Arial" w:hAnsi="Arial"/>
          <w:i/>
          <w:sz w:val="20"/>
        </w:rPr>
        <w:t>Cedar Trading Co Ltd v Transworld Oil</w:t>
      </w:r>
      <w:r>
        <w:rPr>
          <w:rFonts w:ascii="Arial" w:hAnsi="Arial"/>
          <w:i/>
          <w:spacing w:val="40"/>
          <w:sz w:val="20"/>
        </w:rPr>
        <w:t> </w:t>
      </w:r>
      <w:r>
        <w:rPr>
          <w:rFonts w:ascii="Arial" w:hAnsi="Arial"/>
          <w:i/>
          <w:sz w:val="20"/>
        </w:rPr>
        <w:t>Ltd (The Gudermes) [1985] 2 Lloyd’s Rep. 623</w:t>
      </w:r>
      <w:r>
        <w:rPr>
          <w:sz w:val="20"/>
        </w:rPr>
        <w:t>; </w:t>
      </w:r>
      <w:r>
        <w:rPr>
          <w:rFonts w:ascii="Arial" w:hAnsi="Arial"/>
          <w:i/>
          <w:sz w:val="20"/>
        </w:rPr>
        <w:t>iSoft Group Plc v Misys Holdings Ltd </w:t>
      </w:r>
      <w:r>
        <w:rPr>
          <w:rFonts w:ascii="Arial" w:hAnsi="Arial"/>
          <w:i/>
          <w:sz w:val="20"/>
        </w:rPr>
        <w:t>[2003] EWCA Civ 229, [2003] All E.R. (D) 438 (Feb)</w:t>
      </w:r>
      <w:r>
        <w:rPr>
          <w:sz w:val="20"/>
        </w:rPr>
        <w:t>; </w:t>
      </w:r>
      <w:r>
        <w:rPr>
          <w:rFonts w:ascii="Arial" w:hAnsi="Arial"/>
          <w:i/>
          <w:sz w:val="20"/>
        </w:rPr>
        <w:t>Minter v Julius Baer Investments Ltd [2004] EWHC</w:t>
      </w:r>
      <w:r>
        <w:rPr>
          <w:rFonts w:ascii="Arial" w:hAnsi="Arial"/>
          <w:i/>
          <w:spacing w:val="-1"/>
          <w:sz w:val="20"/>
        </w:rPr>
        <w:t> </w:t>
      </w:r>
      <w:r>
        <w:rPr>
          <w:rFonts w:ascii="Arial" w:hAnsi="Arial"/>
          <w:i/>
          <w:sz w:val="20"/>
        </w:rPr>
        <w:t>2472,</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Pens.</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73</w:t>
      </w:r>
      <w:r>
        <w:rPr>
          <w:sz w:val="20"/>
        </w:rPr>
        <w:t>;</w:t>
      </w:r>
      <w:r>
        <w:rPr>
          <w:spacing w:val="-1"/>
          <w:sz w:val="20"/>
        </w:rPr>
        <w:t> </w:t>
      </w:r>
      <w:r>
        <w:rPr>
          <w:rFonts w:ascii="Arial" w:hAnsi="Arial"/>
          <w:i/>
          <w:sz w:val="20"/>
        </w:rPr>
        <w:t>Scottish</w:t>
      </w:r>
      <w:r>
        <w:rPr>
          <w:rFonts w:ascii="Arial" w:hAnsi="Arial"/>
          <w:i/>
          <w:spacing w:val="-1"/>
          <w:sz w:val="20"/>
        </w:rPr>
        <w:t> </w:t>
      </w:r>
      <w:r>
        <w:rPr>
          <w:rFonts w:ascii="Arial" w:hAnsi="Arial"/>
          <w:i/>
          <w:sz w:val="20"/>
        </w:rPr>
        <w:t>Coal</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Danish</w:t>
      </w:r>
      <w:r>
        <w:rPr>
          <w:rFonts w:ascii="Arial" w:hAnsi="Arial"/>
          <w:i/>
          <w:spacing w:val="-1"/>
          <w:sz w:val="20"/>
        </w:rPr>
        <w:t> </w:t>
      </w:r>
      <w:r>
        <w:rPr>
          <w:rFonts w:ascii="Arial" w:hAnsi="Arial"/>
          <w:i/>
          <w:sz w:val="20"/>
        </w:rPr>
        <w:t>Forestry</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[2010]</w:t>
      </w:r>
      <w:r>
        <w:rPr>
          <w:rFonts w:ascii="Arial" w:hAnsi="Arial"/>
          <w:i/>
          <w:spacing w:val="-1"/>
          <w:sz w:val="20"/>
        </w:rPr>
        <w:t> </w:t>
      </w:r>
      <w:r>
        <w:rPr>
          <w:rFonts w:ascii="Arial" w:hAnsi="Arial"/>
          <w:i/>
          <w:sz w:val="20"/>
        </w:rPr>
        <w:t>CSJH 56, 2010 S.C. 729</w:t>
      </w:r>
      <w:r>
        <w:rPr>
          <w:sz w:val="20"/>
        </w:rPr>
        <w:t>, referring at [8] to </w:t>
      </w:r>
      <w:r>
        <w:rPr>
          <w:rFonts w:ascii="Arial" w:hAnsi="Arial"/>
          <w:i/>
          <w:sz w:val="20"/>
        </w:rPr>
        <w:t>May &amp; Butcher v R.</w:t>
      </w:r>
      <w:r>
        <w:rPr>
          <w:sz w:val="20"/>
        </w:rPr>
        <w:t>, above n.686.</w:t>
      </w:r>
    </w:p>
    <w:p>
      <w:pPr>
        <w:pStyle w:val="BodyText"/>
        <w:spacing w:before="4"/>
      </w:pPr>
    </w:p>
    <w:p>
      <w:pPr>
        <w:pStyle w:val="BodyText"/>
        <w:tabs>
          <w:tab w:pos="705" w:val="left" w:leader="none"/>
        </w:tabs>
        <w:ind w:left="165"/>
      </w:pPr>
      <w:bookmarkStart w:name="_bookmark1435" w:id="1437"/>
      <w:bookmarkEnd w:id="1437"/>
      <w:r>
        <w:rPr/>
      </w:r>
      <w:hyperlink w:history="true" w:anchor="_bookmark1235">
        <w:r>
          <w:rPr>
            <w:color w:val="005DA1"/>
            <w:spacing w:val="-4"/>
            <w:position w:val="5"/>
            <w:sz w:val="14"/>
            <w:u w:val="single" w:color="005DA1"/>
          </w:rPr>
          <w:t>704</w:t>
        </w:r>
      </w:hyperlink>
      <w:r>
        <w:rPr>
          <w:spacing w:val="-4"/>
          <w:position w:val="5"/>
          <w:sz w:val="14"/>
        </w:rPr>
        <w:t>.</w:t>
      </w:r>
      <w:r>
        <w:rPr>
          <w:position w:val="5"/>
          <w:sz w:val="14"/>
        </w:rPr>
        <w:tab/>
      </w:r>
      <w:r>
        <w:rPr/>
        <w:t>Above, para.2-120; cf. Supply of Goods and Services Act 1982 </w:t>
      </w:r>
      <w:r>
        <w:rPr>
          <w:spacing w:val="-2"/>
        </w:rPr>
        <w:t>s.15(1).</w:t>
      </w:r>
    </w:p>
    <w:p>
      <w:pPr>
        <w:pStyle w:val="BodyText"/>
        <w:spacing w:before="9"/>
      </w:pPr>
    </w:p>
    <w:p>
      <w:pPr>
        <w:spacing w:line="235" w:lineRule="auto" w:before="0"/>
        <w:ind w:left="705" w:right="167" w:hanging="541"/>
        <w:jc w:val="both"/>
        <w:rPr>
          <w:sz w:val="20"/>
        </w:rPr>
      </w:pPr>
      <w:bookmarkStart w:name="_bookmark1436" w:id="1438"/>
      <w:bookmarkEnd w:id="1438"/>
      <w:r>
        <w:rPr/>
      </w:r>
      <w:hyperlink w:history="true" w:anchor="_bookmark1236">
        <w:r>
          <w:rPr>
            <w:color w:val="005DA1"/>
            <w:position w:val="5"/>
            <w:sz w:val="14"/>
            <w:u w:val="single" w:color="005DA1"/>
          </w:rPr>
          <w:t>705</w:t>
        </w:r>
      </w:hyperlink>
      <w:r>
        <w:rPr>
          <w:position w:val="5"/>
          <w:sz w:val="14"/>
        </w:rPr>
        <w:t>.</w:t>
      </w:r>
      <w:r>
        <w:rPr>
          <w:spacing w:val="80"/>
          <w:w w:val="150"/>
          <w:position w:val="5"/>
          <w:sz w:val="14"/>
        </w:rPr>
        <w:t> </w:t>
      </w:r>
      <w:r>
        <w:rPr>
          <w:sz w:val="20"/>
        </w:rPr>
        <w:t>cf. </w:t>
      </w:r>
      <w:r>
        <w:rPr>
          <w:rFonts w:ascii="Arial" w:hAnsi="Arial"/>
          <w:i/>
          <w:sz w:val="20"/>
        </w:rPr>
        <w:t>Mamidoil-Jetoil Greek Petroleum SA v Okta Crude Oil Refinery AD [2001] EWCA Civ 406, [2001] 2 Lloyd’s Rep. 76</w:t>
      </w:r>
      <w:r>
        <w:rPr>
          <w:sz w:val="20"/>
        </w:rPr>
        <w:t>, especially at [73]; </w:t>
      </w:r>
      <w:r>
        <w:rPr>
          <w:rFonts w:ascii="Arial" w:hAnsi="Arial"/>
          <w:i/>
          <w:sz w:val="20"/>
        </w:rPr>
        <w:t>Malcolm v Chancellor, Masters &amp; Scholars of the University of Oxford, The Times, December 19, 1990</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37" w:id="1439"/>
      <w:bookmarkEnd w:id="1439"/>
      <w:r>
        <w:rPr/>
      </w:r>
      <w:hyperlink w:history="true" w:anchor="_bookmark1237">
        <w:r>
          <w:rPr>
            <w:color w:val="005DA1"/>
            <w:spacing w:val="-4"/>
            <w:position w:val="5"/>
            <w:sz w:val="14"/>
            <w:u w:val="single" w:color="005DA1"/>
          </w:rPr>
          <w:t>706</w:t>
        </w:r>
      </w:hyperlink>
      <w:r>
        <w:rPr>
          <w:spacing w:val="-4"/>
          <w:position w:val="5"/>
          <w:sz w:val="14"/>
        </w:rPr>
        <w:t>.</w:t>
      </w:r>
      <w:r>
        <w:rPr>
          <w:position w:val="5"/>
          <w:sz w:val="14"/>
        </w:rPr>
        <w:tab/>
      </w:r>
      <w:r>
        <w:rPr>
          <w:sz w:val="20"/>
        </w:rPr>
        <w:t>cf. </w:t>
      </w:r>
      <w:r>
        <w:rPr>
          <w:rFonts w:ascii="Arial" w:hAnsi="Arial"/>
          <w:i/>
          <w:sz w:val="20"/>
        </w:rPr>
        <w:t>Willis Management (Isle of Man) Ltd v Cable &amp; Wireless Plc [2005] EWCA Civ 806, [2005] </w:t>
      </w:r>
      <w:r>
        <w:rPr>
          <w:rFonts w:ascii="Arial" w:hAnsi="Arial"/>
          <w:i/>
          <w:sz w:val="20"/>
        </w:rPr>
        <w:t>2 Lloyd’s Rep. 597 </w:t>
      </w:r>
      <w:r>
        <w:rPr>
          <w:sz w:val="20"/>
        </w:rPr>
        <w:t>at [33].</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438" w:id="1440"/>
      <w:bookmarkEnd w:id="1440"/>
      <w:r>
        <w:rPr/>
      </w:r>
      <w:hyperlink w:history="true" w:anchor="_bookmark1238">
        <w:r>
          <w:rPr>
            <w:color w:val="005DA1"/>
            <w:spacing w:val="-4"/>
            <w:position w:val="5"/>
            <w:sz w:val="14"/>
            <w:u w:val="single" w:color="005DA1"/>
          </w:rPr>
          <w:t>707</w:t>
        </w:r>
      </w:hyperlink>
      <w:r>
        <w:rPr>
          <w:spacing w:val="-4"/>
          <w:position w:val="5"/>
          <w:sz w:val="14"/>
        </w:rPr>
        <w:t>.</w:t>
      </w:r>
      <w:r>
        <w:rPr>
          <w:position w:val="5"/>
          <w:sz w:val="14"/>
        </w:rPr>
        <w:tab/>
      </w:r>
      <w:r>
        <w:rPr>
          <w:rFonts w:ascii="Arial" w:hAnsi="Arial"/>
          <w:i/>
          <w:sz w:val="20"/>
        </w:rPr>
        <w:t>King’s</w:t>
      </w:r>
      <w:r>
        <w:rPr>
          <w:rFonts w:ascii="Arial" w:hAnsi="Arial"/>
          <w:i/>
          <w:spacing w:val="9"/>
          <w:sz w:val="20"/>
        </w:rPr>
        <w:t> </w:t>
      </w:r>
      <w:r>
        <w:rPr>
          <w:rFonts w:ascii="Arial" w:hAnsi="Arial"/>
          <w:i/>
          <w:sz w:val="20"/>
        </w:rPr>
        <w:t>Motors</w:t>
      </w:r>
      <w:r>
        <w:rPr>
          <w:rFonts w:ascii="Arial" w:hAnsi="Arial"/>
          <w:i/>
          <w:spacing w:val="10"/>
          <w:sz w:val="20"/>
        </w:rPr>
        <w:t> </w:t>
      </w:r>
      <w:r>
        <w:rPr>
          <w:rFonts w:ascii="Arial" w:hAnsi="Arial"/>
          <w:i/>
          <w:sz w:val="20"/>
        </w:rPr>
        <w:t>(Oxford)</w:t>
      </w:r>
      <w:r>
        <w:rPr>
          <w:rFonts w:ascii="Arial" w:hAnsi="Arial"/>
          <w:i/>
          <w:spacing w:val="10"/>
          <w:sz w:val="20"/>
        </w:rPr>
        <w:t> </w:t>
      </w:r>
      <w:r>
        <w:rPr>
          <w:rFonts w:ascii="Arial" w:hAnsi="Arial"/>
          <w:i/>
          <w:sz w:val="20"/>
        </w:rPr>
        <w:t>Ltd</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Lax</w:t>
      </w:r>
      <w:r>
        <w:rPr>
          <w:rFonts w:ascii="Arial" w:hAnsi="Arial"/>
          <w:i/>
          <w:spacing w:val="10"/>
          <w:sz w:val="20"/>
        </w:rPr>
        <w:t> </w:t>
      </w:r>
      <w:r>
        <w:rPr>
          <w:rFonts w:ascii="Arial" w:hAnsi="Arial"/>
          <w:i/>
          <w:sz w:val="20"/>
        </w:rPr>
        <w:t>[1970]</w:t>
      </w:r>
      <w:r>
        <w:rPr>
          <w:rFonts w:ascii="Arial" w:hAnsi="Arial"/>
          <w:i/>
          <w:spacing w:val="10"/>
          <w:sz w:val="20"/>
        </w:rPr>
        <w:t> </w:t>
      </w:r>
      <w:r>
        <w:rPr>
          <w:rFonts w:ascii="Arial" w:hAnsi="Arial"/>
          <w:i/>
          <w:sz w:val="20"/>
        </w:rPr>
        <w:t>1</w:t>
      </w:r>
      <w:r>
        <w:rPr>
          <w:rFonts w:ascii="Arial" w:hAnsi="Arial"/>
          <w:i/>
          <w:spacing w:val="10"/>
          <w:sz w:val="20"/>
        </w:rPr>
        <w:t> </w:t>
      </w:r>
      <w:r>
        <w:rPr>
          <w:rFonts w:ascii="Arial" w:hAnsi="Arial"/>
          <w:i/>
          <w:sz w:val="20"/>
        </w:rPr>
        <w:t>W.L.R.</w:t>
      </w:r>
      <w:r>
        <w:rPr>
          <w:rFonts w:ascii="Arial" w:hAnsi="Arial"/>
          <w:i/>
          <w:spacing w:val="10"/>
          <w:sz w:val="20"/>
        </w:rPr>
        <w:t> </w:t>
      </w:r>
      <w:r>
        <w:rPr>
          <w:rFonts w:ascii="Arial" w:hAnsi="Arial"/>
          <w:i/>
          <w:sz w:val="20"/>
        </w:rPr>
        <w:t>426</w:t>
      </w:r>
      <w:r>
        <w:rPr>
          <w:sz w:val="20"/>
        </w:rPr>
        <w:t>;</w:t>
      </w:r>
      <w:r>
        <w:rPr>
          <w:spacing w:val="10"/>
          <w:sz w:val="20"/>
        </w:rPr>
        <w:t> </w:t>
      </w:r>
      <w:r>
        <w:rPr>
          <w:sz w:val="20"/>
        </w:rPr>
        <w:t>cf.</w:t>
      </w:r>
      <w:r>
        <w:rPr>
          <w:spacing w:val="10"/>
          <w:sz w:val="20"/>
        </w:rPr>
        <w:t> </w:t>
      </w:r>
      <w:r>
        <w:rPr>
          <w:rFonts w:ascii="Arial" w:hAnsi="Arial"/>
          <w:i/>
          <w:sz w:val="20"/>
        </w:rPr>
        <w:t>King</w:t>
      </w:r>
      <w:r>
        <w:rPr>
          <w:rFonts w:ascii="Arial" w:hAnsi="Arial"/>
          <w:i/>
          <w:spacing w:val="10"/>
          <w:sz w:val="20"/>
        </w:rPr>
        <w:t> </w:t>
      </w:r>
      <w:r>
        <w:rPr>
          <w:rFonts w:ascii="Arial" w:hAnsi="Arial"/>
          <w:i/>
          <w:sz w:val="20"/>
        </w:rPr>
        <w:t>v</w:t>
      </w:r>
      <w:r>
        <w:rPr>
          <w:rFonts w:ascii="Arial" w:hAnsi="Arial"/>
          <w:i/>
          <w:spacing w:val="10"/>
          <w:sz w:val="20"/>
        </w:rPr>
        <w:t> </w:t>
      </w:r>
      <w:r>
        <w:rPr>
          <w:rFonts w:ascii="Arial" w:hAnsi="Arial"/>
          <w:i/>
          <w:sz w:val="20"/>
        </w:rPr>
        <w:t>King</w:t>
      </w:r>
      <w:r>
        <w:rPr>
          <w:rFonts w:ascii="Arial" w:hAnsi="Arial"/>
          <w:i/>
          <w:spacing w:val="10"/>
          <w:sz w:val="20"/>
        </w:rPr>
        <w:t> </w:t>
      </w:r>
      <w:r>
        <w:rPr>
          <w:rFonts w:ascii="Arial" w:hAnsi="Arial"/>
          <w:i/>
          <w:sz w:val="20"/>
        </w:rPr>
        <w:t>(1981)</w:t>
      </w:r>
      <w:r>
        <w:rPr>
          <w:rFonts w:ascii="Arial" w:hAnsi="Arial"/>
          <w:i/>
          <w:spacing w:val="10"/>
          <w:sz w:val="20"/>
        </w:rPr>
        <w:t> </w:t>
      </w:r>
      <w:r>
        <w:rPr>
          <w:rFonts w:ascii="Arial" w:hAnsi="Arial"/>
          <w:i/>
          <w:sz w:val="20"/>
        </w:rPr>
        <w:t>41</w:t>
      </w:r>
      <w:r>
        <w:rPr>
          <w:rFonts w:ascii="Arial" w:hAnsi="Arial"/>
          <w:i/>
          <w:spacing w:val="10"/>
          <w:sz w:val="20"/>
        </w:rPr>
        <w:t> </w:t>
      </w:r>
      <w:r>
        <w:rPr>
          <w:rFonts w:ascii="Arial" w:hAnsi="Arial"/>
          <w:i/>
          <w:sz w:val="20"/>
        </w:rPr>
        <w:t>P.</w:t>
      </w:r>
      <w:r>
        <w:rPr>
          <w:rFonts w:ascii="Arial" w:hAnsi="Arial"/>
          <w:i/>
          <w:spacing w:val="10"/>
          <w:sz w:val="20"/>
        </w:rPr>
        <w:t> </w:t>
      </w:r>
      <w:r>
        <w:rPr>
          <w:rFonts w:ascii="Arial" w:hAnsi="Arial"/>
          <w:i/>
          <w:sz w:val="20"/>
        </w:rPr>
        <w:t>&amp;</w:t>
      </w:r>
      <w:r>
        <w:rPr>
          <w:rFonts w:ascii="Arial" w:hAnsi="Arial"/>
          <w:i/>
          <w:spacing w:val="10"/>
          <w:sz w:val="20"/>
        </w:rPr>
        <w:t> </w:t>
      </w:r>
      <w:r>
        <w:rPr>
          <w:rFonts w:ascii="Arial" w:hAnsi="Arial"/>
          <w:i/>
          <w:sz w:val="20"/>
        </w:rPr>
        <w:t>C.R.</w:t>
      </w:r>
      <w:r>
        <w:rPr>
          <w:rFonts w:ascii="Arial" w:hAnsi="Arial"/>
          <w:i/>
          <w:spacing w:val="10"/>
          <w:sz w:val="20"/>
        </w:rPr>
        <w:t> </w:t>
      </w:r>
      <w:r>
        <w:rPr>
          <w:rFonts w:ascii="Arial" w:hAnsi="Arial"/>
          <w:i/>
          <w:spacing w:val="-5"/>
          <w:sz w:val="20"/>
        </w:rPr>
        <w:t>311</w:t>
      </w:r>
    </w:p>
    <w:p>
      <w:pPr>
        <w:pStyle w:val="BodyText"/>
        <w:spacing w:line="227" w:lineRule="exact"/>
        <w:ind w:left="705"/>
      </w:pPr>
      <w:r>
        <w:rPr/>
        <w:t>(rent review </w:t>
      </w:r>
      <w:r>
        <w:rPr>
          <w:spacing w:val="-2"/>
        </w:rPr>
        <w:t>clause).</w:t>
      </w:r>
    </w:p>
    <w:p>
      <w:pPr>
        <w:pStyle w:val="BodyText"/>
        <w:spacing w:before="9"/>
      </w:pPr>
    </w:p>
    <w:p>
      <w:pPr>
        <w:tabs>
          <w:tab w:pos="705" w:val="left" w:leader="none"/>
        </w:tabs>
        <w:spacing w:line="235" w:lineRule="auto" w:before="0"/>
        <w:ind w:left="705" w:right="168" w:hanging="541"/>
        <w:jc w:val="left"/>
        <w:rPr>
          <w:sz w:val="20"/>
        </w:rPr>
      </w:pPr>
      <w:bookmarkStart w:name="_bookmark1439" w:id="1441"/>
      <w:bookmarkEnd w:id="1441"/>
      <w:r>
        <w:rPr/>
      </w:r>
      <w:hyperlink w:history="true" w:anchor="_bookmark1239">
        <w:r>
          <w:rPr>
            <w:color w:val="005DA1"/>
            <w:spacing w:val="-4"/>
            <w:position w:val="5"/>
            <w:sz w:val="14"/>
            <w:u w:val="single" w:color="005DA1"/>
          </w:rPr>
          <w:t>708</w:t>
        </w:r>
      </w:hyperlink>
      <w:r>
        <w:rPr>
          <w:spacing w:val="-4"/>
          <w:position w:val="5"/>
          <w:sz w:val="14"/>
        </w:rPr>
        <w:t>.</w:t>
      </w:r>
      <w:r>
        <w:rPr>
          <w:position w:val="5"/>
          <w:sz w:val="14"/>
        </w:rPr>
        <w:tab/>
      </w:r>
      <w:r>
        <w:rPr>
          <w:rFonts w:ascii="Arial" w:hAnsi="Arial"/>
          <w:i/>
          <w:sz w:val="20"/>
        </w:rPr>
        <w:t>Metal</w:t>
      </w:r>
      <w:r>
        <w:rPr>
          <w:rFonts w:ascii="Arial" w:hAnsi="Arial"/>
          <w:i/>
          <w:spacing w:val="-1"/>
          <w:sz w:val="20"/>
        </w:rPr>
        <w:t> </w:t>
      </w:r>
      <w:r>
        <w:rPr>
          <w:rFonts w:ascii="Arial" w:hAnsi="Arial"/>
          <w:i/>
          <w:sz w:val="20"/>
        </w:rPr>
        <w:t>Scrap</w:t>
      </w:r>
      <w:r>
        <w:rPr>
          <w:rFonts w:ascii="Arial" w:hAnsi="Arial"/>
          <w:i/>
          <w:spacing w:val="-1"/>
          <w:sz w:val="20"/>
        </w:rPr>
        <w:t> </w:t>
      </w:r>
      <w:r>
        <w:rPr>
          <w:rFonts w:ascii="Arial" w:hAnsi="Arial"/>
          <w:i/>
          <w:sz w:val="20"/>
        </w:rPr>
        <w:t>Trade</w:t>
      </w:r>
      <w:r>
        <w:rPr>
          <w:rFonts w:ascii="Arial" w:hAnsi="Arial"/>
          <w:i/>
          <w:spacing w:val="-1"/>
          <w:sz w:val="20"/>
        </w:rPr>
        <w:t> </w:t>
      </w:r>
      <w:r>
        <w:rPr>
          <w:rFonts w:ascii="Arial" w:hAnsi="Arial"/>
          <w:i/>
          <w:sz w:val="20"/>
        </w:rPr>
        <w:t>Corporation</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Kate</w:t>
      </w:r>
      <w:r>
        <w:rPr>
          <w:rFonts w:ascii="Arial" w:hAnsi="Arial"/>
          <w:i/>
          <w:spacing w:val="-1"/>
          <w:sz w:val="20"/>
        </w:rPr>
        <w:t> </w:t>
      </w:r>
      <w:r>
        <w:rPr>
          <w:rFonts w:ascii="Arial" w:hAnsi="Arial"/>
          <w:i/>
          <w:sz w:val="20"/>
        </w:rPr>
        <w:t>Shipping</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(The</w:t>
      </w:r>
      <w:r>
        <w:rPr>
          <w:rFonts w:ascii="Arial" w:hAnsi="Arial"/>
          <w:i/>
          <w:spacing w:val="-1"/>
          <w:sz w:val="20"/>
        </w:rPr>
        <w:t> </w:t>
      </w:r>
      <w:r>
        <w:rPr>
          <w:rFonts w:ascii="Arial" w:hAnsi="Arial"/>
          <w:i/>
          <w:sz w:val="20"/>
        </w:rPr>
        <w:t>Gladys)</w:t>
      </w:r>
      <w:r>
        <w:rPr>
          <w:rFonts w:ascii="Arial" w:hAnsi="Arial"/>
          <w:i/>
          <w:spacing w:val="-1"/>
          <w:sz w:val="20"/>
        </w:rPr>
        <w:t> </w:t>
      </w:r>
      <w:r>
        <w:rPr>
          <w:rFonts w:ascii="Arial" w:hAnsi="Arial"/>
          <w:i/>
          <w:sz w:val="20"/>
        </w:rPr>
        <w:t>[1994]</w:t>
      </w:r>
      <w:r>
        <w:rPr>
          <w:rFonts w:ascii="Arial" w:hAnsi="Arial"/>
          <w:i/>
          <w:spacing w:val="-1"/>
          <w:sz w:val="20"/>
        </w:rPr>
        <w:t> </w:t>
      </w:r>
      <w:r>
        <w:rPr>
          <w:rFonts w:ascii="Arial" w:hAnsi="Arial"/>
          <w:i/>
          <w:sz w:val="20"/>
        </w:rPr>
        <w:t>2</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402</w:t>
      </w:r>
      <w:r>
        <w:rPr>
          <w:sz w:val="20"/>
        </w:rPr>
        <w:t>; </w:t>
      </w:r>
      <w:r>
        <w:rPr>
          <w:rFonts w:ascii="Arial" w:hAnsi="Arial"/>
          <w:i/>
          <w:sz w:val="20"/>
        </w:rPr>
        <w:t>Ignazio Messina &amp; Co v Polskie Linie Oceaniczne [1995] 2 Lloyd’s Rep. 566</w:t>
      </w:r>
      <w:r>
        <w:rPr>
          <w:sz w:val="20"/>
        </w:rPr>
        <w:t>.</w:t>
      </w:r>
    </w:p>
    <w:p>
      <w:pPr>
        <w:pStyle w:val="BodyText"/>
        <w:spacing w:before="5"/>
      </w:pPr>
    </w:p>
    <w:p>
      <w:pPr>
        <w:tabs>
          <w:tab w:pos="705" w:val="left" w:leader="none"/>
        </w:tabs>
        <w:spacing w:before="1"/>
        <w:ind w:left="165" w:right="0" w:firstLine="0"/>
        <w:jc w:val="left"/>
        <w:rPr>
          <w:sz w:val="20"/>
        </w:rPr>
      </w:pPr>
      <w:bookmarkStart w:name="_bookmark1440" w:id="1442"/>
      <w:bookmarkEnd w:id="1442"/>
      <w:r>
        <w:rPr/>
      </w:r>
      <w:hyperlink w:history="true" w:anchor="_bookmark1240">
        <w:r>
          <w:rPr>
            <w:color w:val="005DA1"/>
            <w:spacing w:val="-4"/>
            <w:position w:val="5"/>
            <w:sz w:val="14"/>
            <w:u w:val="single" w:color="005DA1"/>
          </w:rPr>
          <w:t>709</w:t>
        </w:r>
      </w:hyperlink>
      <w:r>
        <w:rPr>
          <w:spacing w:val="-4"/>
          <w:position w:val="5"/>
          <w:sz w:val="14"/>
        </w:rPr>
        <w:t>.</w:t>
      </w:r>
      <w:r>
        <w:rPr>
          <w:position w:val="5"/>
          <w:sz w:val="14"/>
        </w:rPr>
        <w:tab/>
      </w:r>
      <w:r>
        <w:rPr>
          <w:rFonts w:ascii="Arial" w:hAnsi="Arial"/>
          <w:i/>
          <w:sz w:val="20"/>
        </w:rPr>
        <w:t>Orion Insurance Plc v Sphere Drake Insurance Plc [1992] 1 Lloyd’s Rep. </w:t>
      </w:r>
      <w:r>
        <w:rPr>
          <w:rFonts w:ascii="Arial" w:hAnsi="Arial"/>
          <w:i/>
          <w:spacing w:val="-4"/>
          <w:sz w:val="20"/>
        </w:rPr>
        <w:t>239</w:t>
      </w:r>
      <w:r>
        <w:rPr>
          <w:spacing w:val="-4"/>
          <w:sz w:val="20"/>
        </w:rPr>
        <w:t>.</w:t>
      </w:r>
    </w:p>
    <w:p>
      <w:pPr>
        <w:pStyle w:val="BodyText"/>
        <w:spacing w:before="8"/>
      </w:pPr>
    </w:p>
    <w:p>
      <w:pPr>
        <w:pStyle w:val="BodyText"/>
        <w:tabs>
          <w:tab w:pos="705" w:val="left" w:leader="none"/>
        </w:tabs>
        <w:spacing w:line="235" w:lineRule="auto"/>
        <w:ind w:left="705" w:right="168" w:hanging="541"/>
      </w:pPr>
      <w:bookmarkStart w:name="_bookmark1441" w:id="1443"/>
      <w:bookmarkEnd w:id="1443"/>
      <w:r>
        <w:rPr/>
      </w:r>
      <w:hyperlink w:history="true" w:anchor="_bookmark1241">
        <w:r>
          <w:rPr>
            <w:color w:val="005DA1"/>
            <w:spacing w:val="-4"/>
            <w:position w:val="5"/>
            <w:sz w:val="14"/>
            <w:u w:val="single" w:color="005DA1"/>
          </w:rPr>
          <w:t>710</w:t>
        </w:r>
      </w:hyperlink>
      <w:r>
        <w:rPr>
          <w:spacing w:val="-4"/>
          <w:position w:val="5"/>
          <w:sz w:val="14"/>
        </w:rPr>
        <w:t>.</w:t>
      </w:r>
      <w:r>
        <w:rPr>
          <w:position w:val="5"/>
          <w:sz w:val="14"/>
        </w:rPr>
        <w:tab/>
      </w:r>
      <w:r>
        <w:rPr/>
        <w:t>This is assumed in </w:t>
      </w:r>
      <w:r>
        <w:rPr>
          <w:rFonts w:ascii="Arial"/>
          <w:i/>
        </w:rPr>
        <w:t>Brown v Gould [1972] Ch. 53</w:t>
      </w:r>
      <w:r>
        <w:rPr/>
        <w:t>, where, however, the option was upheld as </w:t>
      </w:r>
      <w:r>
        <w:rPr/>
        <w:t>it specified criteria for determining the price: see below, para.2-137.</w:t>
      </w:r>
    </w:p>
    <w:p>
      <w:pPr>
        <w:pStyle w:val="BodyText"/>
        <w:spacing w:before="10"/>
      </w:pPr>
    </w:p>
    <w:p>
      <w:pPr>
        <w:pStyle w:val="BodyText"/>
        <w:spacing w:line="235" w:lineRule="auto"/>
        <w:ind w:left="705" w:right="167" w:hanging="541"/>
        <w:jc w:val="both"/>
      </w:pPr>
      <w:bookmarkStart w:name="_bookmark1442" w:id="1444"/>
      <w:bookmarkEnd w:id="1444"/>
      <w:r>
        <w:rPr/>
      </w:r>
      <w:hyperlink w:history="true" w:anchor="_bookmark1242">
        <w:r>
          <w:rPr>
            <w:color w:val="005DA1"/>
            <w:position w:val="5"/>
            <w:sz w:val="14"/>
            <w:u w:val="single" w:color="005DA1"/>
          </w:rPr>
          <w:t>711</w:t>
        </w:r>
      </w:hyperlink>
      <w:r>
        <w:rPr>
          <w:position w:val="5"/>
          <w:sz w:val="14"/>
        </w:rPr>
        <w:t>.</w:t>
      </w:r>
      <w:r>
        <w:rPr>
          <w:spacing w:val="80"/>
          <w:position w:val="5"/>
          <w:sz w:val="14"/>
        </w:rPr>
        <w:t>  </w:t>
      </w:r>
      <w:r>
        <w:rPr/>
        <w:t>The word “pre-emption” would not be appropriate where the object of the term in question was</w:t>
      </w:r>
      <w:r>
        <w:rPr>
          <w:spacing w:val="40"/>
        </w:rPr>
        <w:t> </w:t>
      </w:r>
      <w:r>
        <w:rPr/>
        <w:t>to confer a right on a seller to be given the first opportunity of making a supply of goods to </w:t>
      </w:r>
      <w:r>
        <w:rPr/>
        <w:t>a buyer, as in </w:t>
      </w:r>
      <w:r>
        <w:rPr>
          <w:rFonts w:ascii="Arial" w:hAnsi="Arial"/>
          <w:i/>
        </w:rPr>
        <w:t>Astra Zeneca UK Ltd v Albemarle International Corp [2011] EWHC 1574</w:t>
      </w:r>
      <w:r>
        <w:rPr/>
        <w:t>; and this point may account for the use in that case of the expression “first opportunity and right of refusal” to refer to the opportunity of this kind there conferred by the contract on the seller. It may also account for the statement at [24] that “a right of pre-emption” was “essentially another name for a right of first refusal”. What seems to be meant is that the nature of these two rights</w:t>
      </w:r>
      <w:r>
        <w:rPr>
          <w:spacing w:val="40"/>
        </w:rPr>
        <w:t> </w:t>
      </w:r>
      <w:r>
        <w:rPr/>
        <w:t>is similar. As a matter of terminology, it is hard to see how a seller can have the first right to buy the subject-matter (or, in other words, a right of pre-emption). The phrase “right of first refusal”</w:t>
      </w:r>
      <w:r>
        <w:rPr>
          <w:spacing w:val="40"/>
        </w:rPr>
        <w:t> </w:t>
      </w:r>
      <w:r>
        <w:rPr/>
        <w:t>is more equivocal and seems to be just as capable of referring to a right conferred on a seller</w:t>
      </w:r>
      <w:r>
        <w:rPr>
          <w:spacing w:val="40"/>
        </w:rPr>
        <w:t> </w:t>
      </w:r>
      <w:r>
        <w:rPr/>
        <w:t>as to one conferred on a buyer: that is to a right of one party to an agreement to receive an</w:t>
      </w:r>
      <w:r>
        <w:rPr>
          <w:spacing w:val="40"/>
        </w:rPr>
        <w:t> </w:t>
      </w:r>
      <w:r>
        <w:rPr/>
        <w:t>offer from the other in priority to other potential offerees.</w:t>
      </w:r>
    </w:p>
    <w:p>
      <w:pPr>
        <w:pStyle w:val="BodyText"/>
        <w:spacing w:before="5"/>
      </w:pPr>
    </w:p>
    <w:p>
      <w:pPr>
        <w:tabs>
          <w:tab w:pos="705" w:val="left" w:leader="none"/>
        </w:tabs>
        <w:spacing w:line="235" w:lineRule="auto" w:before="0"/>
        <w:ind w:left="705" w:right="168" w:hanging="541"/>
        <w:jc w:val="left"/>
        <w:rPr>
          <w:sz w:val="20"/>
        </w:rPr>
      </w:pPr>
      <w:bookmarkStart w:name="_bookmark1443" w:id="1445"/>
      <w:bookmarkEnd w:id="1445"/>
      <w:r>
        <w:rPr/>
      </w:r>
      <w:hyperlink w:history="true" w:anchor="_bookmark1243">
        <w:r>
          <w:rPr>
            <w:color w:val="005DA1"/>
            <w:spacing w:val="-4"/>
            <w:position w:val="5"/>
            <w:sz w:val="14"/>
            <w:u w:val="single" w:color="005DA1"/>
          </w:rPr>
          <w:t>712</w:t>
        </w:r>
      </w:hyperlink>
      <w:r>
        <w:rPr>
          <w:spacing w:val="-4"/>
          <w:position w:val="5"/>
          <w:sz w:val="14"/>
        </w:rPr>
        <w:t>.</w:t>
      </w:r>
      <w:r>
        <w:rPr>
          <w:position w:val="5"/>
          <w:sz w:val="14"/>
        </w:rPr>
        <w:tab/>
      </w:r>
      <w:r>
        <w:rPr>
          <w:rFonts w:ascii="Arial" w:hAnsi="Arial"/>
          <w:i/>
          <w:sz w:val="20"/>
        </w:rPr>
        <w:t>Pritchard v Briggs [1980] Ch. 339</w:t>
      </w:r>
      <w:r>
        <w:rPr>
          <w:sz w:val="20"/>
        </w:rPr>
        <w:t>. For the purposes of Landlord and Tenant (Covenants) Act</w:t>
      </w:r>
      <w:r>
        <w:rPr>
          <w:spacing w:val="80"/>
          <w:sz w:val="20"/>
        </w:rPr>
        <w:t> </w:t>
      </w:r>
      <w:r>
        <w:rPr>
          <w:sz w:val="20"/>
        </w:rPr>
        <w:t>1995, </w:t>
      </w:r>
      <w:r>
        <w:rPr>
          <w:rFonts w:ascii="Arial" w:hAnsi="Arial"/>
          <w:i/>
          <w:sz w:val="20"/>
        </w:rPr>
        <w:t>"option"</w:t>
      </w:r>
      <w:r>
        <w:rPr>
          <w:rFonts w:ascii="Arial" w:hAnsi="Arial"/>
          <w:i/>
          <w:spacing w:val="40"/>
          <w:sz w:val="20"/>
        </w:rPr>
        <w:t> </w:t>
      </w:r>
      <w:r>
        <w:rPr>
          <w:sz w:val="20"/>
        </w:rPr>
        <w:t>includes “a right of first refusal”: s.1(6).</w:t>
      </w:r>
    </w:p>
    <w:p>
      <w:pPr>
        <w:pStyle w:val="BodyText"/>
        <w:spacing w:before="9"/>
      </w:pPr>
    </w:p>
    <w:p>
      <w:pPr>
        <w:tabs>
          <w:tab w:pos="705" w:val="left" w:leader="none"/>
        </w:tabs>
        <w:spacing w:line="235" w:lineRule="auto" w:before="0"/>
        <w:ind w:left="705" w:right="167" w:hanging="541"/>
        <w:jc w:val="left"/>
        <w:rPr>
          <w:rFonts w:ascii="Arial"/>
          <w:i/>
          <w:sz w:val="20"/>
        </w:rPr>
      </w:pPr>
      <w:bookmarkStart w:name="_bookmark1444" w:id="1446"/>
      <w:bookmarkEnd w:id="1446"/>
      <w:r>
        <w:rPr/>
      </w:r>
      <w:hyperlink w:history="true" w:anchor="_bookmark1244">
        <w:r>
          <w:rPr>
            <w:color w:val="005DA1"/>
            <w:spacing w:val="-4"/>
            <w:position w:val="5"/>
            <w:sz w:val="14"/>
            <w:u w:val="single" w:color="005DA1"/>
          </w:rPr>
          <w:t>713</w:t>
        </w:r>
      </w:hyperlink>
      <w:r>
        <w:rPr>
          <w:spacing w:val="-4"/>
          <w:position w:val="5"/>
          <w:sz w:val="14"/>
        </w:rPr>
        <w:t>.</w:t>
      </w:r>
      <w:r>
        <w:rPr>
          <w:position w:val="5"/>
          <w:sz w:val="14"/>
        </w:rPr>
        <w:tab/>
      </w:r>
      <w:r>
        <w:rPr>
          <w:sz w:val="20"/>
        </w:rPr>
        <w:t>Below, para.4-193 n.1234. See also </w:t>
      </w:r>
      <w:r>
        <w:rPr>
          <w:rFonts w:ascii="Arial"/>
          <w:i/>
          <w:sz w:val="20"/>
        </w:rPr>
        <w:t>Bircham &amp; Co Nominees (No.2) Ltd v Worrell Holdings Ltd [2001]</w:t>
      </w:r>
      <w:r>
        <w:rPr>
          <w:rFonts w:ascii="Arial"/>
          <w:i/>
          <w:spacing w:val="31"/>
          <w:sz w:val="20"/>
        </w:rPr>
        <w:t> </w:t>
      </w:r>
      <w:r>
        <w:rPr>
          <w:rFonts w:ascii="Arial"/>
          <w:i/>
          <w:sz w:val="20"/>
        </w:rPr>
        <w:t>EWCA</w:t>
      </w:r>
      <w:r>
        <w:rPr>
          <w:rFonts w:ascii="Arial"/>
          <w:i/>
          <w:spacing w:val="31"/>
          <w:sz w:val="20"/>
        </w:rPr>
        <w:t> </w:t>
      </w:r>
      <w:r>
        <w:rPr>
          <w:rFonts w:ascii="Arial"/>
          <w:i/>
          <w:sz w:val="20"/>
        </w:rPr>
        <w:t>Civ</w:t>
      </w:r>
      <w:r>
        <w:rPr>
          <w:rFonts w:ascii="Arial"/>
          <w:i/>
          <w:spacing w:val="31"/>
          <w:sz w:val="20"/>
        </w:rPr>
        <w:t> </w:t>
      </w:r>
      <w:r>
        <w:rPr>
          <w:rFonts w:ascii="Arial"/>
          <w:i/>
          <w:sz w:val="20"/>
        </w:rPr>
        <w:t>775,</w:t>
      </w:r>
      <w:r>
        <w:rPr>
          <w:rFonts w:ascii="Arial"/>
          <w:i/>
          <w:spacing w:val="31"/>
          <w:sz w:val="20"/>
        </w:rPr>
        <w:t> </w:t>
      </w:r>
      <w:r>
        <w:rPr>
          <w:rFonts w:ascii="Arial"/>
          <w:i/>
          <w:sz w:val="20"/>
        </w:rPr>
        <w:t>(2001)</w:t>
      </w:r>
      <w:r>
        <w:rPr>
          <w:rFonts w:ascii="Arial"/>
          <w:i/>
          <w:spacing w:val="31"/>
          <w:sz w:val="20"/>
        </w:rPr>
        <w:t> </w:t>
      </w:r>
      <w:r>
        <w:rPr>
          <w:rFonts w:ascii="Arial"/>
          <w:i/>
          <w:sz w:val="20"/>
        </w:rPr>
        <w:t>82</w:t>
      </w:r>
      <w:r>
        <w:rPr>
          <w:rFonts w:ascii="Arial"/>
          <w:i/>
          <w:spacing w:val="31"/>
          <w:sz w:val="20"/>
        </w:rPr>
        <w:t> </w:t>
      </w:r>
      <w:r>
        <w:rPr>
          <w:rFonts w:ascii="Arial"/>
          <w:i/>
          <w:sz w:val="20"/>
        </w:rPr>
        <w:t>P.</w:t>
      </w:r>
      <w:r>
        <w:rPr>
          <w:rFonts w:ascii="Arial"/>
          <w:i/>
          <w:spacing w:val="31"/>
          <w:sz w:val="20"/>
        </w:rPr>
        <w:t> </w:t>
      </w:r>
      <w:r>
        <w:rPr>
          <w:rFonts w:ascii="Arial"/>
          <w:i/>
          <w:sz w:val="20"/>
        </w:rPr>
        <w:t>&amp;</w:t>
      </w:r>
      <w:r>
        <w:rPr>
          <w:rFonts w:ascii="Arial"/>
          <w:i/>
          <w:spacing w:val="31"/>
          <w:sz w:val="20"/>
        </w:rPr>
        <w:t> </w:t>
      </w:r>
      <w:r>
        <w:rPr>
          <w:rFonts w:ascii="Arial"/>
          <w:i/>
          <w:sz w:val="20"/>
        </w:rPr>
        <w:t>C.R.</w:t>
      </w:r>
      <w:r>
        <w:rPr>
          <w:rFonts w:ascii="Arial"/>
          <w:i/>
          <w:spacing w:val="31"/>
          <w:sz w:val="20"/>
        </w:rPr>
        <w:t> </w:t>
      </w:r>
      <w:r>
        <w:rPr>
          <w:rFonts w:ascii="Arial"/>
          <w:i/>
          <w:sz w:val="20"/>
        </w:rPr>
        <w:t>427</w:t>
      </w:r>
      <w:r>
        <w:rPr>
          <w:rFonts w:ascii="Arial"/>
          <w:i/>
          <w:spacing w:val="30"/>
          <w:sz w:val="20"/>
        </w:rPr>
        <w:t> </w:t>
      </w:r>
      <w:r>
        <w:rPr>
          <w:sz w:val="20"/>
        </w:rPr>
        <w:t>at</w:t>
      </w:r>
      <w:r>
        <w:rPr>
          <w:spacing w:val="31"/>
          <w:sz w:val="20"/>
        </w:rPr>
        <w:t> </w:t>
      </w:r>
      <w:r>
        <w:rPr>
          <w:sz w:val="20"/>
        </w:rPr>
        <w:t>[41];</w:t>
      </w:r>
      <w:r>
        <w:rPr>
          <w:spacing w:val="31"/>
          <w:sz w:val="20"/>
        </w:rPr>
        <w:t> </w:t>
      </w:r>
      <w:r>
        <w:rPr>
          <w:rFonts w:ascii="Arial"/>
          <w:i/>
          <w:sz w:val="20"/>
        </w:rPr>
        <w:t>Re</w:t>
      </w:r>
      <w:r>
        <w:rPr>
          <w:rFonts w:ascii="Arial"/>
          <w:i/>
          <w:spacing w:val="31"/>
          <w:sz w:val="20"/>
        </w:rPr>
        <w:t> </w:t>
      </w:r>
      <w:r>
        <w:rPr>
          <w:rFonts w:ascii="Arial"/>
          <w:i/>
          <w:sz w:val="20"/>
        </w:rPr>
        <w:t>Gray</w:t>
      </w:r>
      <w:r>
        <w:rPr>
          <w:rFonts w:ascii="Arial"/>
          <w:i/>
          <w:spacing w:val="31"/>
          <w:sz w:val="20"/>
        </w:rPr>
        <w:t> </w:t>
      </w:r>
      <w:r>
        <w:rPr>
          <w:rFonts w:ascii="Arial"/>
          <w:i/>
          <w:sz w:val="20"/>
        </w:rPr>
        <w:t>[2004]</w:t>
      </w:r>
      <w:r>
        <w:rPr>
          <w:rFonts w:ascii="Arial"/>
          <w:i/>
          <w:spacing w:val="31"/>
          <w:sz w:val="20"/>
        </w:rPr>
        <w:t> </w:t>
      </w:r>
      <w:r>
        <w:rPr>
          <w:rFonts w:ascii="Arial"/>
          <w:i/>
          <w:sz w:val="20"/>
        </w:rPr>
        <w:t>EWHC</w:t>
      </w:r>
      <w:r>
        <w:rPr>
          <w:rFonts w:ascii="Arial"/>
          <w:i/>
          <w:spacing w:val="31"/>
          <w:sz w:val="20"/>
        </w:rPr>
        <w:t> </w:t>
      </w:r>
      <w:r>
        <w:rPr>
          <w:rFonts w:ascii="Arial"/>
          <w:i/>
          <w:sz w:val="20"/>
        </w:rPr>
        <w:t>1538</w:t>
      </w:r>
      <w:r>
        <w:rPr>
          <w:rFonts w:ascii="Arial"/>
          <w:i/>
          <w:spacing w:val="31"/>
          <w:sz w:val="20"/>
        </w:rPr>
        <w:t> </w:t>
      </w:r>
      <w:r>
        <w:rPr>
          <w:rFonts w:ascii="Arial"/>
          <w:i/>
          <w:spacing w:val="-4"/>
          <w:sz w:val="20"/>
        </w:rPr>
        <w:t>(Ch),</w:t>
      </w:r>
    </w:p>
    <w:p>
      <w:pPr>
        <w:spacing w:line="235" w:lineRule="auto" w:before="0"/>
        <w:ind w:left="705" w:right="0" w:firstLine="0"/>
        <w:jc w:val="left"/>
        <w:rPr>
          <w:sz w:val="20"/>
        </w:rPr>
      </w:pPr>
      <w:r>
        <w:rPr>
          <w:rFonts w:ascii="Arial"/>
          <w:i/>
          <w:sz w:val="20"/>
        </w:rPr>
        <w:t>[2005]</w:t>
      </w:r>
      <w:r>
        <w:rPr>
          <w:rFonts w:ascii="Arial"/>
          <w:i/>
          <w:spacing w:val="22"/>
          <w:sz w:val="20"/>
        </w:rPr>
        <w:t> </w:t>
      </w:r>
      <w:r>
        <w:rPr>
          <w:rFonts w:ascii="Arial"/>
          <w:i/>
          <w:sz w:val="20"/>
        </w:rPr>
        <w:t>1</w:t>
      </w:r>
      <w:r>
        <w:rPr>
          <w:rFonts w:ascii="Arial"/>
          <w:i/>
          <w:spacing w:val="22"/>
          <w:sz w:val="20"/>
        </w:rPr>
        <w:t> </w:t>
      </w:r>
      <w:r>
        <w:rPr>
          <w:rFonts w:ascii="Arial"/>
          <w:i/>
          <w:sz w:val="20"/>
        </w:rPr>
        <w:t>W.L.R.</w:t>
      </w:r>
      <w:r>
        <w:rPr>
          <w:rFonts w:ascii="Arial"/>
          <w:i/>
          <w:spacing w:val="22"/>
          <w:sz w:val="20"/>
        </w:rPr>
        <w:t> </w:t>
      </w:r>
      <w:r>
        <w:rPr>
          <w:rFonts w:ascii="Arial"/>
          <w:i/>
          <w:sz w:val="20"/>
        </w:rPr>
        <w:t>815</w:t>
      </w:r>
      <w:r>
        <w:rPr>
          <w:rFonts w:ascii="Arial"/>
          <w:i/>
          <w:spacing w:val="22"/>
          <w:sz w:val="20"/>
        </w:rPr>
        <w:t> </w:t>
      </w:r>
      <w:r>
        <w:rPr>
          <w:sz w:val="20"/>
        </w:rPr>
        <w:t>at</w:t>
      </w:r>
      <w:r>
        <w:rPr>
          <w:spacing w:val="22"/>
          <w:sz w:val="20"/>
        </w:rPr>
        <w:t> </w:t>
      </w:r>
      <w:r>
        <w:rPr>
          <w:sz w:val="20"/>
        </w:rPr>
        <w:t>[25].</w:t>
      </w:r>
      <w:r>
        <w:rPr>
          <w:spacing w:val="22"/>
          <w:sz w:val="20"/>
        </w:rPr>
        <w:t> </w:t>
      </w:r>
      <w:r>
        <w:rPr>
          <w:sz w:val="20"/>
        </w:rPr>
        <w:t>On</w:t>
      </w:r>
      <w:r>
        <w:rPr>
          <w:spacing w:val="22"/>
          <w:sz w:val="20"/>
        </w:rPr>
        <w:t> </w:t>
      </w:r>
      <w:r>
        <w:rPr>
          <w:sz w:val="20"/>
        </w:rPr>
        <w:t>the</w:t>
      </w:r>
      <w:r>
        <w:rPr>
          <w:spacing w:val="22"/>
          <w:sz w:val="20"/>
        </w:rPr>
        <w:t> </w:t>
      </w:r>
      <w:r>
        <w:rPr>
          <w:sz w:val="20"/>
        </w:rPr>
        <w:t>exercise</w:t>
      </w:r>
      <w:r>
        <w:rPr>
          <w:spacing w:val="22"/>
          <w:sz w:val="20"/>
        </w:rPr>
        <w:t> </w:t>
      </w:r>
      <w:r>
        <w:rPr>
          <w:sz w:val="20"/>
        </w:rPr>
        <w:t>of</w:t>
      </w:r>
      <w:r>
        <w:rPr>
          <w:spacing w:val="22"/>
          <w:sz w:val="20"/>
        </w:rPr>
        <w:t> </w:t>
      </w:r>
      <w:r>
        <w:rPr>
          <w:sz w:val="20"/>
        </w:rPr>
        <w:t>a</w:t>
      </w:r>
      <w:r>
        <w:rPr>
          <w:spacing w:val="22"/>
          <w:sz w:val="20"/>
        </w:rPr>
        <w:t> </w:t>
      </w:r>
      <w:r>
        <w:rPr>
          <w:sz w:val="20"/>
        </w:rPr>
        <w:t>right</w:t>
      </w:r>
      <w:r>
        <w:rPr>
          <w:spacing w:val="22"/>
          <w:sz w:val="20"/>
        </w:rPr>
        <w:t> </w:t>
      </w:r>
      <w:r>
        <w:rPr>
          <w:sz w:val="20"/>
        </w:rPr>
        <w:t>of</w:t>
      </w:r>
      <w:r>
        <w:rPr>
          <w:spacing w:val="22"/>
          <w:sz w:val="20"/>
        </w:rPr>
        <w:t> </w:t>
      </w:r>
      <w:r>
        <w:rPr>
          <w:sz w:val="20"/>
        </w:rPr>
        <w:t>pre-emption,</w:t>
      </w:r>
      <w:r>
        <w:rPr>
          <w:spacing w:val="22"/>
          <w:sz w:val="20"/>
        </w:rPr>
        <w:t> </w:t>
      </w:r>
      <w:r>
        <w:rPr>
          <w:sz w:val="20"/>
        </w:rPr>
        <w:t>the</w:t>
      </w:r>
      <w:r>
        <w:rPr>
          <w:spacing w:val="22"/>
          <w:sz w:val="20"/>
        </w:rPr>
        <w:t> </w:t>
      </w:r>
      <w:r>
        <w:rPr>
          <w:sz w:val="20"/>
        </w:rPr>
        <w:t>right</w:t>
      </w:r>
      <w:r>
        <w:rPr>
          <w:spacing w:val="22"/>
          <w:sz w:val="20"/>
        </w:rPr>
        <w:t> </w:t>
      </w:r>
      <w:r>
        <w:rPr>
          <w:sz w:val="20"/>
        </w:rPr>
        <w:t>may</w:t>
      </w:r>
      <w:r>
        <w:rPr>
          <w:spacing w:val="22"/>
          <w:sz w:val="20"/>
        </w:rPr>
        <w:t> </w:t>
      </w:r>
      <w:r>
        <w:rPr>
          <w:sz w:val="20"/>
        </w:rPr>
        <w:t>acquire characteristics of an option; see </w:t>
      </w:r>
      <w:r>
        <w:rPr>
          <w:rFonts w:ascii="Arial"/>
          <w:i/>
          <w:sz w:val="20"/>
        </w:rPr>
        <w:t>Cottrell v King [2004] EWHC 397, [2004] B.C.C. 309</w:t>
      </w:r>
      <w:r>
        <w:rPr>
          <w:sz w:val="20"/>
        </w:rPr>
        <w:t>.</w:t>
      </w:r>
    </w:p>
    <w:p>
      <w:pPr>
        <w:pStyle w:val="BodyText"/>
        <w:spacing w:before="9"/>
      </w:pPr>
    </w:p>
    <w:p>
      <w:pPr>
        <w:spacing w:line="235" w:lineRule="auto" w:before="0"/>
        <w:ind w:left="705" w:right="167" w:hanging="541"/>
        <w:jc w:val="both"/>
        <w:rPr>
          <w:sz w:val="20"/>
        </w:rPr>
      </w:pPr>
      <w:bookmarkStart w:name="_bookmark1445" w:id="1447"/>
      <w:bookmarkEnd w:id="1447"/>
      <w:r>
        <w:rPr/>
      </w:r>
      <w:hyperlink w:history="true" w:anchor="_bookmark1244">
        <w:r>
          <w:rPr>
            <w:color w:val="005DA1"/>
            <w:position w:val="5"/>
            <w:sz w:val="14"/>
            <w:u w:val="single" w:color="005DA1"/>
          </w:rPr>
          <w:t>714</w:t>
        </w:r>
      </w:hyperlink>
      <w:r>
        <w:rPr>
          <w:position w:val="5"/>
          <w:sz w:val="14"/>
        </w:rPr>
        <w:t>.</w:t>
      </w:r>
      <w:r>
        <w:rPr>
          <w:spacing w:val="80"/>
          <w:position w:val="5"/>
          <w:sz w:val="14"/>
        </w:rPr>
        <w:t>  </w:t>
      </w:r>
      <w:r>
        <w:rPr>
          <w:sz w:val="20"/>
        </w:rPr>
        <w:t>See</w:t>
      </w:r>
      <w:r>
        <w:rPr>
          <w:spacing w:val="16"/>
          <w:sz w:val="20"/>
        </w:rPr>
        <w:t> </w:t>
      </w:r>
      <w:r>
        <w:rPr>
          <w:rFonts w:ascii="Arial" w:hAnsi="Arial"/>
          <w:i/>
          <w:sz w:val="20"/>
        </w:rPr>
        <w:t>Coaten</w:t>
      </w:r>
      <w:r>
        <w:rPr>
          <w:rFonts w:ascii="Arial" w:hAnsi="Arial"/>
          <w:i/>
          <w:spacing w:val="16"/>
          <w:sz w:val="20"/>
        </w:rPr>
        <w:t> </w:t>
      </w:r>
      <w:r>
        <w:rPr>
          <w:rFonts w:ascii="Arial" w:hAnsi="Arial"/>
          <w:i/>
          <w:sz w:val="20"/>
        </w:rPr>
        <w:t>v</w:t>
      </w:r>
      <w:r>
        <w:rPr>
          <w:rFonts w:ascii="Arial" w:hAnsi="Arial"/>
          <w:i/>
          <w:spacing w:val="16"/>
          <w:sz w:val="20"/>
        </w:rPr>
        <w:t> </w:t>
      </w:r>
      <w:r>
        <w:rPr>
          <w:rFonts w:ascii="Arial" w:hAnsi="Arial"/>
          <w:i/>
          <w:sz w:val="20"/>
        </w:rPr>
        <w:t>PBS</w:t>
      </w:r>
      <w:r>
        <w:rPr>
          <w:rFonts w:ascii="Arial" w:hAnsi="Arial"/>
          <w:i/>
          <w:spacing w:val="16"/>
          <w:sz w:val="20"/>
        </w:rPr>
        <w:t> </w:t>
      </w:r>
      <w:r>
        <w:rPr>
          <w:rFonts w:ascii="Arial" w:hAnsi="Arial"/>
          <w:i/>
          <w:sz w:val="20"/>
        </w:rPr>
        <w:t>Corporation</w:t>
      </w:r>
      <w:r>
        <w:rPr>
          <w:rFonts w:ascii="Arial" w:hAnsi="Arial"/>
          <w:i/>
          <w:spacing w:val="16"/>
          <w:sz w:val="20"/>
        </w:rPr>
        <w:t> </w:t>
      </w:r>
      <w:r>
        <w:rPr>
          <w:rFonts w:ascii="Arial" w:hAnsi="Arial"/>
          <w:i/>
          <w:sz w:val="20"/>
        </w:rPr>
        <w:t>[2006]</w:t>
      </w:r>
      <w:r>
        <w:rPr>
          <w:rFonts w:ascii="Arial" w:hAnsi="Arial"/>
          <w:i/>
          <w:spacing w:val="16"/>
          <w:sz w:val="20"/>
        </w:rPr>
        <w:t> </w:t>
      </w:r>
      <w:r>
        <w:rPr>
          <w:rFonts w:ascii="Arial" w:hAnsi="Arial"/>
          <w:i/>
          <w:sz w:val="20"/>
        </w:rPr>
        <w:t>EWHC</w:t>
      </w:r>
      <w:r>
        <w:rPr>
          <w:rFonts w:ascii="Arial" w:hAnsi="Arial"/>
          <w:i/>
          <w:spacing w:val="16"/>
          <w:sz w:val="20"/>
        </w:rPr>
        <w:t> </w:t>
      </w:r>
      <w:r>
        <w:rPr>
          <w:rFonts w:ascii="Arial" w:hAnsi="Arial"/>
          <w:i/>
          <w:sz w:val="20"/>
        </w:rPr>
        <w:t>1781,</w:t>
      </w:r>
      <w:r>
        <w:rPr>
          <w:rFonts w:ascii="Arial" w:hAnsi="Arial"/>
          <w:i/>
          <w:spacing w:val="16"/>
          <w:sz w:val="20"/>
        </w:rPr>
        <w:t> </w:t>
      </w:r>
      <w:r>
        <w:rPr>
          <w:rFonts w:ascii="Arial" w:hAnsi="Arial"/>
          <w:i/>
          <w:sz w:val="20"/>
        </w:rPr>
        <w:t>[2006]</w:t>
      </w:r>
      <w:r>
        <w:rPr>
          <w:rFonts w:ascii="Arial" w:hAnsi="Arial"/>
          <w:i/>
          <w:spacing w:val="16"/>
          <w:sz w:val="20"/>
        </w:rPr>
        <w:t> </w:t>
      </w:r>
      <w:r>
        <w:rPr>
          <w:rFonts w:ascii="Arial" w:hAnsi="Arial"/>
          <w:i/>
          <w:sz w:val="20"/>
        </w:rPr>
        <w:t>3</w:t>
      </w:r>
      <w:r>
        <w:rPr>
          <w:rFonts w:ascii="Arial" w:hAnsi="Arial"/>
          <w:i/>
          <w:spacing w:val="16"/>
          <w:sz w:val="20"/>
        </w:rPr>
        <w:t> </w:t>
      </w:r>
      <w:r>
        <w:rPr>
          <w:rFonts w:ascii="Arial" w:hAnsi="Arial"/>
          <w:i/>
          <w:sz w:val="20"/>
        </w:rPr>
        <w:t>E.G.L.R.</w:t>
      </w:r>
      <w:r>
        <w:rPr>
          <w:rFonts w:ascii="Arial" w:hAnsi="Arial"/>
          <w:i/>
          <w:spacing w:val="16"/>
          <w:sz w:val="20"/>
        </w:rPr>
        <w:t> </w:t>
      </w:r>
      <w:r>
        <w:rPr>
          <w:rFonts w:ascii="Arial" w:hAnsi="Arial"/>
          <w:i/>
          <w:sz w:val="20"/>
        </w:rPr>
        <w:t>43 </w:t>
      </w:r>
      <w:r>
        <w:rPr>
          <w:sz w:val="20"/>
        </w:rPr>
        <w:t>(agreement</w:t>
      </w:r>
      <w:r>
        <w:rPr>
          <w:spacing w:val="16"/>
          <w:sz w:val="20"/>
        </w:rPr>
        <w:t> </w:t>
      </w:r>
      <w:r>
        <w:rPr>
          <w:sz w:val="20"/>
        </w:rPr>
        <w:t>held</w:t>
      </w:r>
      <w:r>
        <w:rPr>
          <w:spacing w:val="16"/>
          <w:sz w:val="20"/>
        </w:rPr>
        <w:t> </w:t>
      </w:r>
      <w:r>
        <w:rPr>
          <w:sz w:val="20"/>
        </w:rPr>
        <w:t>to be an option, not a right of pre-emption, as the exercise of the right conferred by it on the grantee imposed on the grantor an “immediate obligation to sell … if [the grantee] wished </w:t>
      </w:r>
      <w:r>
        <w:rPr>
          <w:sz w:val="20"/>
        </w:rPr>
        <w:t>that</w:t>
      </w:r>
      <w:r>
        <w:rPr>
          <w:spacing w:val="40"/>
          <w:sz w:val="20"/>
        </w:rPr>
        <w:t> </w:t>
      </w:r>
      <w:r>
        <w:rPr>
          <w:sz w:val="20"/>
        </w:rPr>
        <w:t>to happen” (at [35])).</w:t>
      </w:r>
    </w:p>
    <w:p>
      <w:pPr>
        <w:pStyle w:val="BodyText"/>
        <w:spacing w:before="8"/>
      </w:pPr>
    </w:p>
    <w:p>
      <w:pPr>
        <w:spacing w:line="235" w:lineRule="auto" w:before="0"/>
        <w:ind w:left="705" w:right="167" w:hanging="541"/>
        <w:jc w:val="both"/>
        <w:rPr>
          <w:sz w:val="20"/>
        </w:rPr>
      </w:pPr>
      <w:bookmarkStart w:name="_bookmark1446" w:id="1448"/>
      <w:bookmarkEnd w:id="1448"/>
      <w:r>
        <w:rPr/>
      </w:r>
      <w:hyperlink w:history="true" w:anchor="_bookmark1245">
        <w:r>
          <w:rPr>
            <w:color w:val="005DA1"/>
            <w:position w:val="5"/>
            <w:sz w:val="14"/>
            <w:u w:val="single" w:color="005DA1"/>
          </w:rPr>
          <w:t>715</w:t>
        </w:r>
      </w:hyperlink>
      <w:r>
        <w:rPr>
          <w:position w:val="5"/>
          <w:sz w:val="14"/>
        </w:rPr>
        <w:t>.</w:t>
      </w:r>
      <w:r>
        <w:rPr>
          <w:spacing w:val="40"/>
          <w:position w:val="5"/>
          <w:sz w:val="14"/>
        </w:rPr>
        <w:t>  </w:t>
      </w:r>
      <w:r>
        <w:rPr>
          <w:rFonts w:ascii="Arial"/>
          <w:i/>
          <w:sz w:val="20"/>
        </w:rPr>
        <w:t>Coaten v PBS Corporation [2006] EWHC 1781 </w:t>
      </w:r>
      <w:r>
        <w:rPr>
          <w:sz w:val="20"/>
        </w:rPr>
        <w:t>at [16], [23]; </w:t>
      </w:r>
      <w:r>
        <w:rPr>
          <w:rFonts w:ascii="Arial"/>
          <w:i/>
          <w:sz w:val="20"/>
        </w:rPr>
        <w:t>Speciality Shops Ltd v Yorkshire &amp; Metropolitan Estates Ltd [2002] EWHC 2969, [2003] 2 P. &amp; C.R. 410 </w:t>
      </w:r>
      <w:r>
        <w:rPr>
          <w:sz w:val="20"/>
        </w:rPr>
        <w:t>at [28]; for other types of rights of pre-emption, in which the offer comes from the grantee, see </w:t>
      </w:r>
      <w:r>
        <w:rPr>
          <w:rFonts w:ascii="Arial"/>
          <w:i/>
          <w:sz w:val="20"/>
        </w:rPr>
        <w:t>[2002] EWHC 2969 </w:t>
      </w:r>
      <w:r>
        <w:rPr>
          <w:sz w:val="20"/>
        </w:rPr>
        <w:t>at</w:t>
      </w:r>
      <w:r>
        <w:rPr>
          <w:spacing w:val="40"/>
          <w:sz w:val="20"/>
        </w:rPr>
        <w:t> </w:t>
      </w:r>
      <w:r>
        <w:rPr>
          <w:sz w:val="20"/>
        </w:rPr>
        <w:t>[26], [27]. For the distinction between options and rights of pre-emption, see also </w:t>
      </w:r>
      <w:r>
        <w:rPr>
          <w:rFonts w:ascii="Arial"/>
          <w:i/>
          <w:sz w:val="20"/>
        </w:rPr>
        <w:t>Tiffinany Investments Ltd v Bircham &amp; Co Nominees (No.2) [2003] EWCA Civ 1759, [2002] 2 P. &amp; C.R. 10 </w:t>
      </w:r>
      <w:r>
        <w:rPr>
          <w:sz w:val="20"/>
        </w:rPr>
        <w:t>and </w:t>
      </w:r>
      <w:r>
        <w:rPr>
          <w:rFonts w:ascii="Arial"/>
          <w:i/>
          <w:sz w:val="20"/>
        </w:rPr>
        <w:t>Coaten v PBS Corp [2006] EWHC 1781, [2006] 3 E.G.L.R. 43 </w:t>
      </w:r>
      <w:r>
        <w:rPr>
          <w:sz w:val="20"/>
        </w:rPr>
        <w:t>(above, n.697).</w:t>
      </w:r>
    </w:p>
    <w:p>
      <w:pPr>
        <w:pStyle w:val="BodyText"/>
        <w:spacing w:before="4"/>
      </w:pPr>
    </w:p>
    <w:p>
      <w:pPr>
        <w:pStyle w:val="BodyText"/>
        <w:tabs>
          <w:tab w:pos="705" w:val="left" w:leader="none"/>
        </w:tabs>
        <w:ind w:left="165"/>
      </w:pPr>
      <w:bookmarkStart w:name="_bookmark1447" w:id="1449"/>
      <w:bookmarkEnd w:id="1449"/>
      <w:r>
        <w:rPr/>
      </w:r>
      <w:hyperlink w:history="true" w:anchor="_bookmark1246">
        <w:r>
          <w:rPr>
            <w:color w:val="005DA1"/>
            <w:spacing w:val="-4"/>
            <w:position w:val="5"/>
            <w:sz w:val="14"/>
            <w:u w:val="single" w:color="005DA1"/>
          </w:rPr>
          <w:t>716</w:t>
        </w:r>
      </w:hyperlink>
      <w:r>
        <w:rPr>
          <w:spacing w:val="-4"/>
          <w:position w:val="5"/>
          <w:sz w:val="14"/>
        </w:rPr>
        <w:t>.</w:t>
      </w:r>
      <w:r>
        <w:rPr>
          <w:position w:val="5"/>
          <w:sz w:val="14"/>
        </w:rPr>
        <w:tab/>
      </w:r>
      <w:r>
        <w:rPr/>
        <w:t>Similarly,</w:t>
      </w:r>
      <w:r>
        <w:rPr>
          <w:spacing w:val="16"/>
        </w:rPr>
        <w:t> </w:t>
      </w:r>
      <w:r>
        <w:rPr/>
        <w:t>a</w:t>
      </w:r>
      <w:r>
        <w:rPr>
          <w:spacing w:val="16"/>
        </w:rPr>
        <w:t> </w:t>
      </w:r>
      <w:r>
        <w:rPr/>
        <w:t>“lock-out”</w:t>
      </w:r>
      <w:r>
        <w:rPr>
          <w:spacing w:val="16"/>
        </w:rPr>
        <w:t> </w:t>
      </w:r>
      <w:r>
        <w:rPr/>
        <w:t>agreement</w:t>
      </w:r>
      <w:r>
        <w:rPr>
          <w:spacing w:val="16"/>
        </w:rPr>
        <w:t> </w:t>
      </w:r>
      <w:r>
        <w:rPr/>
        <w:t>(above,</w:t>
      </w:r>
      <w:r>
        <w:rPr>
          <w:spacing w:val="16"/>
        </w:rPr>
        <w:t> </w:t>
      </w:r>
      <w:r>
        <w:rPr/>
        <w:t>para.2-128)</w:t>
      </w:r>
      <w:r>
        <w:rPr>
          <w:spacing w:val="16"/>
        </w:rPr>
        <w:t> </w:t>
      </w:r>
      <w:r>
        <w:rPr/>
        <w:t>does</w:t>
      </w:r>
      <w:r>
        <w:rPr>
          <w:spacing w:val="16"/>
        </w:rPr>
        <w:t> </w:t>
      </w:r>
      <w:r>
        <w:rPr/>
        <w:t>not</w:t>
      </w:r>
      <w:r>
        <w:rPr>
          <w:spacing w:val="16"/>
        </w:rPr>
        <w:t> </w:t>
      </w:r>
      <w:r>
        <w:rPr/>
        <w:t>bind</w:t>
      </w:r>
      <w:r>
        <w:rPr>
          <w:spacing w:val="16"/>
        </w:rPr>
        <w:t> </w:t>
      </w:r>
      <w:r>
        <w:rPr/>
        <w:t>the</w:t>
      </w:r>
      <w:r>
        <w:rPr>
          <w:spacing w:val="16"/>
        </w:rPr>
        <w:t> </w:t>
      </w:r>
      <w:r>
        <w:rPr/>
        <w:t>promisor</w:t>
      </w:r>
      <w:r>
        <w:rPr>
          <w:spacing w:val="16"/>
        </w:rPr>
        <w:t> </w:t>
      </w:r>
      <w:r>
        <w:rPr/>
        <w:t>to</w:t>
      </w:r>
      <w:r>
        <w:rPr>
          <w:spacing w:val="16"/>
        </w:rPr>
        <w:t> </w:t>
      </w:r>
      <w:r>
        <w:rPr/>
        <w:t>sell</w:t>
      </w:r>
      <w:r>
        <w:rPr>
          <w:spacing w:val="16"/>
        </w:rPr>
        <w:t> </w:t>
      </w:r>
      <w:r>
        <w:rPr/>
        <w:t>to</w:t>
      </w:r>
      <w:r>
        <w:rPr>
          <w:spacing w:val="16"/>
        </w:rPr>
        <w:t> </w:t>
      </w:r>
      <w:r>
        <w:rPr>
          <w:spacing w:val="-5"/>
        </w:rPr>
        <w:t>the</w:t>
      </w:r>
    </w:p>
    <w:p>
      <w:pPr>
        <w:pStyle w:val="BodyText"/>
        <w:spacing w:after="0"/>
        <w:sectPr>
          <w:pgSz w:w="11900" w:h="16840"/>
          <w:pgMar w:header="971" w:footer="0" w:top="1300" w:bottom="280" w:left="1275" w:right="1275"/>
        </w:sectPr>
      </w:pPr>
    </w:p>
    <w:p>
      <w:pPr>
        <w:spacing w:line="227" w:lineRule="exact" w:before="166"/>
        <w:ind w:left="705" w:right="0" w:firstLine="0"/>
        <w:jc w:val="left"/>
        <w:rPr>
          <w:rFonts w:ascii="Arial"/>
          <w:i/>
          <w:sz w:val="20"/>
        </w:rPr>
      </w:pPr>
      <w:r>
        <w:rPr>
          <w:sz w:val="20"/>
        </w:rPr>
        <w:t>promisee;</w:t>
      </w:r>
      <w:r>
        <w:rPr>
          <w:spacing w:val="27"/>
          <w:sz w:val="20"/>
        </w:rPr>
        <w:t> </w:t>
      </w:r>
      <w:r>
        <w:rPr>
          <w:sz w:val="20"/>
        </w:rPr>
        <w:t>it</w:t>
      </w:r>
      <w:r>
        <w:rPr>
          <w:spacing w:val="27"/>
          <w:sz w:val="20"/>
        </w:rPr>
        <w:t> </w:t>
      </w:r>
      <w:r>
        <w:rPr>
          <w:sz w:val="20"/>
        </w:rPr>
        <w:t>merely</w:t>
      </w:r>
      <w:r>
        <w:rPr>
          <w:spacing w:val="27"/>
          <w:sz w:val="20"/>
        </w:rPr>
        <w:t> </w:t>
      </w:r>
      <w:r>
        <w:rPr>
          <w:sz w:val="20"/>
        </w:rPr>
        <w:t>restricts</w:t>
      </w:r>
      <w:r>
        <w:rPr>
          <w:spacing w:val="27"/>
          <w:sz w:val="20"/>
        </w:rPr>
        <w:t> </w:t>
      </w:r>
      <w:r>
        <w:rPr>
          <w:sz w:val="20"/>
        </w:rPr>
        <w:t>his</w:t>
      </w:r>
      <w:r>
        <w:rPr>
          <w:spacing w:val="27"/>
          <w:sz w:val="20"/>
        </w:rPr>
        <w:t> </w:t>
      </w:r>
      <w:r>
        <w:rPr>
          <w:sz w:val="20"/>
        </w:rPr>
        <w:t>freedom</w:t>
      </w:r>
      <w:r>
        <w:rPr>
          <w:spacing w:val="27"/>
          <w:sz w:val="20"/>
        </w:rPr>
        <w:t> </w:t>
      </w:r>
      <w:r>
        <w:rPr>
          <w:sz w:val="20"/>
        </w:rPr>
        <w:t>to</w:t>
      </w:r>
      <w:r>
        <w:rPr>
          <w:spacing w:val="27"/>
          <w:sz w:val="20"/>
        </w:rPr>
        <w:t> </w:t>
      </w:r>
      <w:r>
        <w:rPr>
          <w:sz w:val="20"/>
        </w:rPr>
        <w:t>sell</w:t>
      </w:r>
      <w:r>
        <w:rPr>
          <w:spacing w:val="27"/>
          <w:sz w:val="20"/>
        </w:rPr>
        <w:t> </w:t>
      </w:r>
      <w:r>
        <w:rPr>
          <w:sz w:val="20"/>
        </w:rPr>
        <w:t>to</w:t>
      </w:r>
      <w:r>
        <w:rPr>
          <w:spacing w:val="27"/>
          <w:sz w:val="20"/>
        </w:rPr>
        <w:t> </w:t>
      </w:r>
      <w:r>
        <w:rPr>
          <w:sz w:val="20"/>
        </w:rPr>
        <w:t>someone</w:t>
      </w:r>
      <w:r>
        <w:rPr>
          <w:spacing w:val="27"/>
          <w:sz w:val="20"/>
        </w:rPr>
        <w:t> </w:t>
      </w:r>
      <w:r>
        <w:rPr>
          <w:sz w:val="20"/>
        </w:rPr>
        <w:t>else:</w:t>
      </w:r>
      <w:r>
        <w:rPr>
          <w:spacing w:val="27"/>
          <w:sz w:val="20"/>
        </w:rPr>
        <w:t> </w:t>
      </w:r>
      <w:r>
        <w:rPr>
          <w:sz w:val="20"/>
        </w:rPr>
        <w:t>see</w:t>
      </w:r>
      <w:r>
        <w:rPr>
          <w:spacing w:val="26"/>
          <w:sz w:val="20"/>
        </w:rPr>
        <w:t> </w:t>
      </w:r>
      <w:r>
        <w:rPr>
          <w:rFonts w:ascii="Arial"/>
          <w:i/>
          <w:sz w:val="20"/>
        </w:rPr>
        <w:t>Tye</w:t>
      </w:r>
      <w:r>
        <w:rPr>
          <w:rFonts w:ascii="Arial"/>
          <w:i/>
          <w:spacing w:val="27"/>
          <w:sz w:val="20"/>
        </w:rPr>
        <w:t> </w:t>
      </w:r>
      <w:r>
        <w:rPr>
          <w:rFonts w:ascii="Arial"/>
          <w:i/>
          <w:sz w:val="20"/>
        </w:rPr>
        <w:t>v</w:t>
      </w:r>
      <w:r>
        <w:rPr>
          <w:rFonts w:ascii="Arial"/>
          <w:i/>
          <w:spacing w:val="27"/>
          <w:sz w:val="20"/>
        </w:rPr>
        <w:t> </w:t>
      </w:r>
      <w:r>
        <w:rPr>
          <w:rFonts w:ascii="Arial"/>
          <w:i/>
          <w:sz w:val="20"/>
        </w:rPr>
        <w:t>House</w:t>
      </w:r>
      <w:r>
        <w:rPr>
          <w:rFonts w:ascii="Arial"/>
          <w:i/>
          <w:spacing w:val="27"/>
          <w:sz w:val="20"/>
        </w:rPr>
        <w:t> </w:t>
      </w:r>
      <w:r>
        <w:rPr>
          <w:rFonts w:ascii="Arial"/>
          <w:i/>
          <w:sz w:val="20"/>
        </w:rPr>
        <w:t>[1997]</w:t>
      </w:r>
      <w:r>
        <w:rPr>
          <w:rFonts w:ascii="Arial"/>
          <w:i/>
          <w:spacing w:val="27"/>
          <w:sz w:val="20"/>
        </w:rPr>
        <w:t> </w:t>
      </w:r>
      <w:r>
        <w:rPr>
          <w:rFonts w:ascii="Arial"/>
          <w:i/>
          <w:spacing w:val="-10"/>
          <w:sz w:val="20"/>
        </w:rPr>
        <w:t>2</w:t>
      </w:r>
    </w:p>
    <w:p>
      <w:pPr>
        <w:spacing w:line="227" w:lineRule="exact" w:before="0"/>
        <w:ind w:left="705" w:right="0" w:firstLine="0"/>
        <w:jc w:val="left"/>
        <w:rPr>
          <w:sz w:val="20"/>
        </w:rPr>
      </w:pPr>
      <w:r>
        <w:rPr>
          <w:rFonts w:ascii="Arial"/>
          <w:i/>
          <w:sz w:val="20"/>
        </w:rPr>
        <w:t>E.G.L.R.</w:t>
      </w:r>
      <w:r>
        <w:rPr>
          <w:rFonts w:ascii="Arial"/>
          <w:i/>
          <w:spacing w:val="-2"/>
          <w:sz w:val="20"/>
        </w:rPr>
        <w:t> </w:t>
      </w:r>
      <w:r>
        <w:rPr>
          <w:rFonts w:ascii="Arial"/>
          <w:i/>
          <w:spacing w:val="-4"/>
          <w:sz w:val="20"/>
        </w:rPr>
        <w:t>171</w:t>
      </w:r>
      <w:r>
        <w:rPr>
          <w:spacing w:val="-4"/>
          <w:sz w:val="20"/>
        </w:rPr>
        <w:t>.</w:t>
      </w:r>
    </w:p>
    <w:p>
      <w:pPr>
        <w:pStyle w:val="BodyText"/>
        <w:spacing w:before="9"/>
      </w:pPr>
    </w:p>
    <w:p>
      <w:pPr>
        <w:spacing w:line="235" w:lineRule="auto" w:before="0"/>
        <w:ind w:left="705" w:right="169" w:hanging="541"/>
        <w:jc w:val="both"/>
        <w:rPr>
          <w:sz w:val="20"/>
        </w:rPr>
      </w:pPr>
      <w:bookmarkStart w:name="_bookmark1448" w:id="1450"/>
      <w:bookmarkEnd w:id="1450"/>
      <w:r>
        <w:rPr/>
      </w:r>
      <w:hyperlink w:history="true" w:anchor="_bookmark1247">
        <w:r>
          <w:rPr>
            <w:color w:val="005DA1"/>
            <w:position w:val="5"/>
            <w:sz w:val="14"/>
            <w:u w:val="single" w:color="005DA1"/>
          </w:rPr>
          <w:t>717</w:t>
        </w:r>
      </w:hyperlink>
      <w:r>
        <w:rPr>
          <w:position w:val="5"/>
          <w:sz w:val="14"/>
        </w:rPr>
        <w:t>.</w:t>
      </w:r>
      <w:r>
        <w:rPr>
          <w:spacing w:val="40"/>
          <w:position w:val="5"/>
          <w:sz w:val="14"/>
        </w:rPr>
        <w:t>  </w:t>
      </w:r>
      <w:r>
        <w:rPr>
          <w:rFonts w:ascii="Arial"/>
          <w:i/>
          <w:sz w:val="20"/>
        </w:rPr>
        <w:t>Smith v Morgan [1971] 1 W.L.R. 803</w:t>
      </w:r>
      <w:r>
        <w:rPr>
          <w:sz w:val="20"/>
        </w:rPr>
        <w:t>; cf. </w:t>
      </w:r>
      <w:r>
        <w:rPr>
          <w:rFonts w:ascii="Arial"/>
          <w:i/>
          <w:sz w:val="20"/>
        </w:rPr>
        <w:t>Snelling v John G. Snelling Ltd [1973] 1 Q.B. 87, </w:t>
      </w:r>
      <w:r>
        <w:rPr>
          <w:rFonts w:ascii="Arial"/>
          <w:i/>
          <w:sz w:val="20"/>
        </w:rPr>
        <w:t>93</w:t>
      </w:r>
      <w:r>
        <w:rPr>
          <w:sz w:val="20"/>
        </w:rPr>
        <w:t>; </w:t>
      </w:r>
      <w:r>
        <w:rPr>
          <w:rFonts w:ascii="Arial"/>
          <w:i/>
          <w:sz w:val="20"/>
        </w:rPr>
        <w:t>Fraser v Thames Television Ltd [1984] Q.B. 44, 57</w:t>
      </w:r>
      <w:r>
        <w:rPr>
          <w:sz w:val="20"/>
        </w:rPr>
        <w:t>; </w:t>
      </w:r>
      <w:r>
        <w:rPr>
          <w:rFonts w:ascii="Arial"/>
          <w:i/>
          <w:sz w:val="20"/>
        </w:rPr>
        <w:t>Miller v Lakefield Estates Ltd, The Times, May 16, 1988</w:t>
      </w:r>
      <w:r>
        <w:rPr>
          <w:sz w:val="20"/>
        </w:rPr>
        <w:t>; </w:t>
      </w:r>
      <w:r>
        <w:rPr>
          <w:rFonts w:ascii="Arial"/>
          <w:i/>
          <w:sz w:val="20"/>
        </w:rPr>
        <w:t>Astra Zeneca UK Ltd v Albermarle International Corp [2011] EWHC 1574 (Comm) </w:t>
      </w:r>
      <w:r>
        <w:rPr>
          <w:sz w:val="20"/>
        </w:rPr>
        <w:t>at [30].</w:t>
      </w:r>
    </w:p>
    <w:p>
      <w:pPr>
        <w:pStyle w:val="BodyText"/>
        <w:spacing w:before="5"/>
      </w:pPr>
    </w:p>
    <w:p>
      <w:pPr>
        <w:tabs>
          <w:tab w:pos="705" w:val="left" w:leader="none"/>
        </w:tabs>
        <w:spacing w:before="0"/>
        <w:ind w:left="165" w:right="0" w:firstLine="0"/>
        <w:jc w:val="left"/>
        <w:rPr>
          <w:sz w:val="20"/>
        </w:rPr>
      </w:pPr>
      <w:bookmarkStart w:name="_bookmark1449" w:id="1451"/>
      <w:bookmarkEnd w:id="1451"/>
      <w:r>
        <w:rPr/>
      </w:r>
      <w:hyperlink w:history="true" w:anchor="_bookmark1248">
        <w:r>
          <w:rPr>
            <w:color w:val="005DA1"/>
            <w:spacing w:val="-4"/>
            <w:position w:val="5"/>
            <w:sz w:val="14"/>
            <w:u w:val="single" w:color="005DA1"/>
          </w:rPr>
          <w:t>718</w:t>
        </w:r>
      </w:hyperlink>
      <w:r>
        <w:rPr>
          <w:spacing w:val="-4"/>
          <w:position w:val="5"/>
          <w:sz w:val="14"/>
        </w:rPr>
        <w:t>.</w:t>
      </w:r>
      <w:r>
        <w:rPr>
          <w:position w:val="5"/>
          <w:sz w:val="14"/>
        </w:rPr>
        <w:tab/>
      </w:r>
      <w:r>
        <w:rPr>
          <w:sz w:val="20"/>
        </w:rPr>
        <w:t>See</w:t>
      </w:r>
      <w:r>
        <w:rPr>
          <w:spacing w:val="-1"/>
          <w:sz w:val="20"/>
        </w:rPr>
        <w:t> </w:t>
      </w:r>
      <w:r>
        <w:rPr>
          <w:rFonts w:ascii="Arial"/>
          <w:i/>
          <w:sz w:val="20"/>
        </w:rPr>
        <w:t>Fraser v Thames Television Ltd [1984] Q.B. </w:t>
      </w:r>
      <w:r>
        <w:rPr>
          <w:rFonts w:ascii="Arial"/>
          <w:i/>
          <w:spacing w:val="-5"/>
          <w:sz w:val="20"/>
        </w:rPr>
        <w:t>44</w:t>
      </w:r>
      <w:r>
        <w:rPr>
          <w:spacing w:val="-5"/>
          <w:sz w:val="20"/>
        </w:rPr>
        <w:t>.</w:t>
      </w:r>
    </w:p>
    <w:p>
      <w:pPr>
        <w:pStyle w:val="BodyText"/>
        <w:spacing w:before="9"/>
      </w:pPr>
    </w:p>
    <w:p>
      <w:pPr>
        <w:spacing w:line="235" w:lineRule="auto" w:before="0"/>
        <w:ind w:left="705" w:right="168" w:hanging="541"/>
        <w:jc w:val="both"/>
        <w:rPr>
          <w:rFonts w:ascii="Arial" w:hAnsi="Arial"/>
          <w:i/>
          <w:sz w:val="20"/>
        </w:rPr>
      </w:pPr>
      <w:bookmarkStart w:name="_bookmark1450" w:id="1452"/>
      <w:bookmarkEnd w:id="1452"/>
      <w:r>
        <w:rPr/>
      </w:r>
      <w:hyperlink w:history="true" w:anchor="_bookmark1249">
        <w:r>
          <w:rPr>
            <w:color w:val="005DA1"/>
            <w:position w:val="5"/>
            <w:sz w:val="14"/>
            <w:u w:val="single" w:color="005DA1"/>
          </w:rPr>
          <w:t>719</w:t>
        </w:r>
      </w:hyperlink>
      <w:r>
        <w:rPr>
          <w:position w:val="5"/>
          <w:sz w:val="14"/>
        </w:rPr>
        <w:t>.</w:t>
      </w:r>
      <w:r>
        <w:rPr>
          <w:spacing w:val="80"/>
          <w:position w:val="5"/>
          <w:sz w:val="14"/>
        </w:rPr>
        <w:t>  </w:t>
      </w:r>
      <w:r>
        <w:rPr>
          <w:rFonts w:ascii="Arial" w:hAnsi="Arial"/>
          <w:i/>
          <w:sz w:val="20"/>
        </w:rPr>
        <w:t>Brown v Gould [1972] Ch. 53, 57–58</w:t>
      </w:r>
      <w:r>
        <w:rPr>
          <w:sz w:val="20"/>
        </w:rPr>
        <w:t>; cf. </w:t>
      </w:r>
      <w:r>
        <w:rPr>
          <w:rFonts w:ascii="Arial" w:hAnsi="Arial"/>
          <w:i/>
          <w:sz w:val="20"/>
        </w:rPr>
        <w:t>Smith v Morgan [1971] 1 W.L.R. 803, 807</w:t>
      </w:r>
      <w:r>
        <w:rPr>
          <w:sz w:val="20"/>
        </w:rPr>
        <w:t>; </w:t>
      </w:r>
      <w:r>
        <w:rPr>
          <w:rFonts w:ascii="Arial" w:hAnsi="Arial"/>
          <w:i/>
          <w:sz w:val="20"/>
        </w:rPr>
        <w:t>Snelling v John G. Snelling Ltd [1973] 1 Q.B. 87, 93</w:t>
      </w:r>
      <w:r>
        <w:rPr>
          <w:sz w:val="20"/>
        </w:rPr>
        <w:t>; </w:t>
      </w:r>
      <w:r>
        <w:rPr>
          <w:rFonts w:ascii="Arial" w:hAnsi="Arial"/>
          <w:i/>
          <w:sz w:val="20"/>
        </w:rPr>
        <w:t>Queensland Electricity Generating Board v New Hope Collieries Pty Ltd [1989] 1 Lloyd’s Rep. 205, 210</w:t>
      </w:r>
      <w:r>
        <w:rPr>
          <w:sz w:val="20"/>
        </w:rPr>
        <w:t>; </w:t>
      </w:r>
      <w:r>
        <w:rPr>
          <w:rFonts w:ascii="Arial" w:hAnsi="Arial"/>
          <w:i/>
          <w:sz w:val="20"/>
        </w:rPr>
        <w:t>Global Container Lines Ltd v State</w:t>
      </w:r>
      <w:r>
        <w:rPr>
          <w:rFonts w:ascii="Arial" w:hAnsi="Arial"/>
          <w:i/>
          <w:spacing w:val="40"/>
          <w:sz w:val="20"/>
        </w:rPr>
        <w:t> </w:t>
      </w:r>
      <w:r>
        <w:rPr>
          <w:rFonts w:ascii="Arial" w:hAnsi="Arial"/>
          <w:i/>
          <w:sz w:val="20"/>
        </w:rPr>
        <w:t>Black</w:t>
      </w:r>
      <w:r>
        <w:rPr>
          <w:rFonts w:ascii="Arial" w:hAnsi="Arial"/>
          <w:i/>
          <w:spacing w:val="15"/>
          <w:sz w:val="20"/>
        </w:rPr>
        <w:t> </w:t>
      </w:r>
      <w:r>
        <w:rPr>
          <w:rFonts w:ascii="Arial" w:hAnsi="Arial"/>
          <w:i/>
          <w:sz w:val="20"/>
        </w:rPr>
        <w:t>Sea</w:t>
      </w:r>
      <w:r>
        <w:rPr>
          <w:rFonts w:ascii="Arial" w:hAnsi="Arial"/>
          <w:i/>
          <w:spacing w:val="18"/>
          <w:sz w:val="20"/>
        </w:rPr>
        <w:t> </w:t>
      </w:r>
      <w:r>
        <w:rPr>
          <w:rFonts w:ascii="Arial" w:hAnsi="Arial"/>
          <w:i/>
          <w:sz w:val="20"/>
        </w:rPr>
        <w:t>Shipping</w:t>
      </w:r>
      <w:r>
        <w:rPr>
          <w:rFonts w:ascii="Arial" w:hAnsi="Arial"/>
          <w:i/>
          <w:spacing w:val="18"/>
          <w:sz w:val="20"/>
        </w:rPr>
        <w:t> </w:t>
      </w:r>
      <w:r>
        <w:rPr>
          <w:rFonts w:ascii="Arial" w:hAnsi="Arial"/>
          <w:i/>
          <w:sz w:val="20"/>
        </w:rPr>
        <w:t>Co</w:t>
      </w:r>
      <w:r>
        <w:rPr>
          <w:rFonts w:ascii="Arial" w:hAnsi="Arial"/>
          <w:i/>
          <w:spacing w:val="18"/>
          <w:sz w:val="20"/>
        </w:rPr>
        <w:t> </w:t>
      </w:r>
      <w:r>
        <w:rPr>
          <w:rFonts w:ascii="Arial" w:hAnsi="Arial"/>
          <w:i/>
          <w:sz w:val="20"/>
        </w:rPr>
        <w:t>[1999]</w:t>
      </w:r>
      <w:r>
        <w:rPr>
          <w:rFonts w:ascii="Arial" w:hAnsi="Arial"/>
          <w:i/>
          <w:spacing w:val="18"/>
          <w:sz w:val="20"/>
        </w:rPr>
        <w:t> </w:t>
      </w:r>
      <w:r>
        <w:rPr>
          <w:rFonts w:ascii="Arial" w:hAnsi="Arial"/>
          <w:i/>
          <w:sz w:val="20"/>
        </w:rPr>
        <w:t>1</w:t>
      </w:r>
      <w:r>
        <w:rPr>
          <w:rFonts w:ascii="Arial" w:hAnsi="Arial"/>
          <w:i/>
          <w:spacing w:val="18"/>
          <w:sz w:val="20"/>
        </w:rPr>
        <w:t> </w:t>
      </w:r>
      <w:r>
        <w:rPr>
          <w:rFonts w:ascii="Arial" w:hAnsi="Arial"/>
          <w:i/>
          <w:sz w:val="20"/>
        </w:rPr>
        <w:t>Lloyd’s</w:t>
      </w:r>
      <w:r>
        <w:rPr>
          <w:rFonts w:ascii="Arial" w:hAnsi="Arial"/>
          <w:i/>
          <w:spacing w:val="18"/>
          <w:sz w:val="20"/>
        </w:rPr>
        <w:t> </w:t>
      </w:r>
      <w:r>
        <w:rPr>
          <w:rFonts w:ascii="Arial" w:hAnsi="Arial"/>
          <w:i/>
          <w:sz w:val="20"/>
        </w:rPr>
        <w:t>Rep.</w:t>
      </w:r>
      <w:r>
        <w:rPr>
          <w:rFonts w:ascii="Arial" w:hAnsi="Arial"/>
          <w:i/>
          <w:spacing w:val="18"/>
          <w:sz w:val="20"/>
        </w:rPr>
        <w:t> </w:t>
      </w:r>
      <w:r>
        <w:rPr>
          <w:rFonts w:ascii="Arial" w:hAnsi="Arial"/>
          <w:i/>
          <w:sz w:val="20"/>
        </w:rPr>
        <w:t>127,</w:t>
      </w:r>
      <w:r>
        <w:rPr>
          <w:rFonts w:ascii="Arial" w:hAnsi="Arial"/>
          <w:i/>
          <w:spacing w:val="18"/>
          <w:sz w:val="20"/>
        </w:rPr>
        <w:t> </w:t>
      </w:r>
      <w:r>
        <w:rPr>
          <w:rFonts w:ascii="Arial" w:hAnsi="Arial"/>
          <w:i/>
          <w:sz w:val="20"/>
        </w:rPr>
        <w:t>155</w:t>
      </w:r>
      <w:r>
        <w:rPr>
          <w:sz w:val="20"/>
        </w:rPr>
        <w:t>;</w:t>
      </w:r>
      <w:r>
        <w:rPr>
          <w:spacing w:val="18"/>
          <w:sz w:val="20"/>
        </w:rPr>
        <w:t> </w:t>
      </w:r>
      <w:r>
        <w:rPr>
          <w:rFonts w:ascii="Arial" w:hAnsi="Arial"/>
          <w:i/>
          <w:sz w:val="20"/>
        </w:rPr>
        <w:t>Scammell</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Dicker</w:t>
      </w:r>
      <w:r>
        <w:rPr>
          <w:rFonts w:ascii="Arial" w:hAnsi="Arial"/>
          <w:i/>
          <w:spacing w:val="18"/>
          <w:sz w:val="20"/>
        </w:rPr>
        <w:t> </w:t>
      </w:r>
      <w:r>
        <w:rPr>
          <w:rFonts w:ascii="Arial" w:hAnsi="Arial"/>
          <w:i/>
          <w:sz w:val="20"/>
        </w:rPr>
        <w:t>[2005]</w:t>
      </w:r>
      <w:r>
        <w:rPr>
          <w:rFonts w:ascii="Arial" w:hAnsi="Arial"/>
          <w:i/>
          <w:spacing w:val="18"/>
          <w:sz w:val="20"/>
        </w:rPr>
        <w:t> </w:t>
      </w:r>
      <w:r>
        <w:rPr>
          <w:rFonts w:ascii="Arial" w:hAnsi="Arial"/>
          <w:i/>
          <w:sz w:val="20"/>
        </w:rPr>
        <w:t>EWCA</w:t>
      </w:r>
      <w:r>
        <w:rPr>
          <w:rFonts w:ascii="Arial" w:hAnsi="Arial"/>
          <w:i/>
          <w:spacing w:val="18"/>
          <w:sz w:val="20"/>
        </w:rPr>
        <w:t> </w:t>
      </w:r>
      <w:r>
        <w:rPr>
          <w:rFonts w:ascii="Arial" w:hAnsi="Arial"/>
          <w:i/>
          <w:spacing w:val="-5"/>
          <w:sz w:val="20"/>
        </w:rPr>
        <w:t>Civ</w:t>
      </w:r>
    </w:p>
    <w:p>
      <w:pPr>
        <w:spacing w:line="222" w:lineRule="exact" w:before="0"/>
        <w:ind w:left="705" w:right="0" w:firstLine="0"/>
        <w:jc w:val="both"/>
        <w:rPr>
          <w:rFonts w:ascii="Arial"/>
          <w:i/>
          <w:sz w:val="20"/>
        </w:rPr>
      </w:pPr>
      <w:r>
        <w:rPr>
          <w:rFonts w:ascii="Arial"/>
          <w:i/>
          <w:sz w:val="20"/>
        </w:rPr>
        <w:t>405,</w:t>
      </w:r>
      <w:r>
        <w:rPr>
          <w:rFonts w:ascii="Arial"/>
          <w:i/>
          <w:spacing w:val="17"/>
          <w:sz w:val="20"/>
        </w:rPr>
        <w:t> </w:t>
      </w:r>
      <w:r>
        <w:rPr>
          <w:rFonts w:ascii="Arial"/>
          <w:i/>
          <w:sz w:val="20"/>
        </w:rPr>
        <w:t>[2005]</w:t>
      </w:r>
      <w:r>
        <w:rPr>
          <w:rFonts w:ascii="Arial"/>
          <w:i/>
          <w:spacing w:val="17"/>
          <w:sz w:val="20"/>
        </w:rPr>
        <w:t> </w:t>
      </w:r>
      <w:r>
        <w:rPr>
          <w:rFonts w:ascii="Arial"/>
          <w:i/>
          <w:sz w:val="20"/>
        </w:rPr>
        <w:t>3</w:t>
      </w:r>
      <w:r>
        <w:rPr>
          <w:rFonts w:ascii="Arial"/>
          <w:i/>
          <w:spacing w:val="17"/>
          <w:sz w:val="20"/>
        </w:rPr>
        <w:t> </w:t>
      </w:r>
      <w:r>
        <w:rPr>
          <w:rFonts w:ascii="Arial"/>
          <w:i/>
          <w:sz w:val="20"/>
        </w:rPr>
        <w:t>All</w:t>
      </w:r>
      <w:r>
        <w:rPr>
          <w:rFonts w:ascii="Arial"/>
          <w:i/>
          <w:spacing w:val="17"/>
          <w:sz w:val="20"/>
        </w:rPr>
        <w:t> </w:t>
      </w:r>
      <w:r>
        <w:rPr>
          <w:rFonts w:ascii="Arial"/>
          <w:i/>
          <w:sz w:val="20"/>
        </w:rPr>
        <w:t>E.R.</w:t>
      </w:r>
      <w:r>
        <w:rPr>
          <w:rFonts w:ascii="Arial"/>
          <w:i/>
          <w:spacing w:val="17"/>
          <w:sz w:val="20"/>
        </w:rPr>
        <w:t> </w:t>
      </w:r>
      <w:r>
        <w:rPr>
          <w:rFonts w:ascii="Arial"/>
          <w:i/>
          <w:sz w:val="20"/>
        </w:rPr>
        <w:t>838</w:t>
      </w:r>
      <w:r>
        <w:rPr>
          <w:rFonts w:ascii="Arial"/>
          <w:i/>
          <w:spacing w:val="17"/>
          <w:sz w:val="20"/>
        </w:rPr>
        <w:t> </w:t>
      </w:r>
      <w:r>
        <w:rPr>
          <w:sz w:val="20"/>
        </w:rPr>
        <w:t>at</w:t>
      </w:r>
      <w:r>
        <w:rPr>
          <w:spacing w:val="17"/>
          <w:sz w:val="20"/>
        </w:rPr>
        <w:t> </w:t>
      </w:r>
      <w:r>
        <w:rPr>
          <w:sz w:val="20"/>
        </w:rPr>
        <w:t>[31],</w:t>
      </w:r>
      <w:r>
        <w:rPr>
          <w:spacing w:val="17"/>
          <w:sz w:val="20"/>
        </w:rPr>
        <w:t> </w:t>
      </w:r>
      <w:r>
        <w:rPr>
          <w:sz w:val="20"/>
        </w:rPr>
        <w:t>[40];</w:t>
      </w:r>
      <w:r>
        <w:rPr>
          <w:spacing w:val="17"/>
          <w:sz w:val="20"/>
        </w:rPr>
        <w:t> </w:t>
      </w:r>
      <w:r>
        <w:rPr>
          <w:rFonts w:ascii="Arial"/>
          <w:i/>
          <w:sz w:val="20"/>
        </w:rPr>
        <w:t>Durham</w:t>
      </w:r>
      <w:r>
        <w:rPr>
          <w:rFonts w:ascii="Arial"/>
          <w:i/>
          <w:spacing w:val="17"/>
          <w:sz w:val="20"/>
        </w:rPr>
        <w:t> </w:t>
      </w:r>
      <w:r>
        <w:rPr>
          <w:rFonts w:ascii="Arial"/>
          <w:i/>
          <w:sz w:val="20"/>
        </w:rPr>
        <w:t>Tees</w:t>
      </w:r>
      <w:r>
        <w:rPr>
          <w:rFonts w:ascii="Arial"/>
          <w:i/>
          <w:spacing w:val="17"/>
          <w:sz w:val="20"/>
        </w:rPr>
        <w:t> </w:t>
      </w:r>
      <w:r>
        <w:rPr>
          <w:rFonts w:ascii="Arial"/>
          <w:i/>
          <w:sz w:val="20"/>
        </w:rPr>
        <w:t>Valley</w:t>
      </w:r>
      <w:r>
        <w:rPr>
          <w:rFonts w:ascii="Arial"/>
          <w:i/>
          <w:spacing w:val="17"/>
          <w:sz w:val="20"/>
        </w:rPr>
        <w:t> </w:t>
      </w:r>
      <w:r>
        <w:rPr>
          <w:rFonts w:ascii="Arial"/>
          <w:i/>
          <w:sz w:val="20"/>
        </w:rPr>
        <w:t>Airport</w:t>
      </w:r>
      <w:r>
        <w:rPr>
          <w:rFonts w:ascii="Arial"/>
          <w:i/>
          <w:spacing w:val="17"/>
          <w:sz w:val="20"/>
        </w:rPr>
        <w:t> </w:t>
      </w:r>
      <w:r>
        <w:rPr>
          <w:rFonts w:ascii="Arial"/>
          <w:i/>
          <w:sz w:val="20"/>
        </w:rPr>
        <w:t>Ltd</w:t>
      </w:r>
      <w:r>
        <w:rPr>
          <w:rFonts w:ascii="Arial"/>
          <w:i/>
          <w:spacing w:val="17"/>
          <w:sz w:val="20"/>
        </w:rPr>
        <w:t> </w:t>
      </w:r>
      <w:r>
        <w:rPr>
          <w:rFonts w:ascii="Arial"/>
          <w:i/>
          <w:sz w:val="20"/>
        </w:rPr>
        <w:t>v</w:t>
      </w:r>
      <w:r>
        <w:rPr>
          <w:rFonts w:ascii="Arial"/>
          <w:i/>
          <w:spacing w:val="17"/>
          <w:sz w:val="20"/>
        </w:rPr>
        <w:t> </w:t>
      </w:r>
      <w:r>
        <w:rPr>
          <w:rFonts w:ascii="Arial"/>
          <w:i/>
          <w:sz w:val="20"/>
        </w:rPr>
        <w:t>Bmibaby</w:t>
      </w:r>
      <w:r>
        <w:rPr>
          <w:rFonts w:ascii="Arial"/>
          <w:i/>
          <w:spacing w:val="17"/>
          <w:sz w:val="20"/>
        </w:rPr>
        <w:t> </w:t>
      </w:r>
      <w:r>
        <w:rPr>
          <w:rFonts w:ascii="Arial"/>
          <w:i/>
          <w:sz w:val="20"/>
        </w:rPr>
        <w:t>Ltd</w:t>
      </w:r>
      <w:r>
        <w:rPr>
          <w:rFonts w:ascii="Arial"/>
          <w:i/>
          <w:spacing w:val="17"/>
          <w:sz w:val="20"/>
        </w:rPr>
        <w:t> </w:t>
      </w:r>
      <w:r>
        <w:rPr>
          <w:rFonts w:ascii="Arial"/>
          <w:i/>
          <w:spacing w:val="-2"/>
          <w:sz w:val="20"/>
        </w:rPr>
        <w:t>[2010]</w:t>
      </w:r>
    </w:p>
    <w:p>
      <w:pPr>
        <w:spacing w:line="225" w:lineRule="exact" w:before="0"/>
        <w:ind w:left="705" w:right="0" w:firstLine="0"/>
        <w:jc w:val="both"/>
        <w:rPr>
          <w:sz w:val="20"/>
        </w:rPr>
      </w:pPr>
      <w:r>
        <w:rPr>
          <w:rFonts w:ascii="Arial" w:hAnsi="Arial"/>
          <w:i/>
          <w:sz w:val="20"/>
        </w:rPr>
        <w:t>EWCA</w:t>
      </w:r>
      <w:r>
        <w:rPr>
          <w:rFonts w:ascii="Arial" w:hAnsi="Arial"/>
          <w:i/>
          <w:spacing w:val="9"/>
          <w:sz w:val="20"/>
        </w:rPr>
        <w:t> </w:t>
      </w:r>
      <w:r>
        <w:rPr>
          <w:rFonts w:ascii="Arial" w:hAnsi="Arial"/>
          <w:i/>
          <w:sz w:val="20"/>
        </w:rPr>
        <w:t>Civ</w:t>
      </w:r>
      <w:r>
        <w:rPr>
          <w:rFonts w:ascii="Arial" w:hAnsi="Arial"/>
          <w:i/>
          <w:spacing w:val="9"/>
          <w:sz w:val="20"/>
        </w:rPr>
        <w:t> </w:t>
      </w:r>
      <w:r>
        <w:rPr>
          <w:rFonts w:ascii="Arial" w:hAnsi="Arial"/>
          <w:i/>
          <w:sz w:val="20"/>
        </w:rPr>
        <w:t>485,</w:t>
      </w:r>
      <w:r>
        <w:rPr>
          <w:rFonts w:ascii="Arial" w:hAnsi="Arial"/>
          <w:i/>
          <w:spacing w:val="9"/>
          <w:sz w:val="20"/>
        </w:rPr>
        <w:t> </w:t>
      </w:r>
      <w:r>
        <w:rPr>
          <w:rFonts w:ascii="Arial" w:hAnsi="Arial"/>
          <w:i/>
          <w:sz w:val="20"/>
        </w:rPr>
        <w:t>[2011]</w:t>
      </w:r>
      <w:r>
        <w:rPr>
          <w:rFonts w:ascii="Arial" w:hAnsi="Arial"/>
          <w:i/>
          <w:spacing w:val="9"/>
          <w:sz w:val="20"/>
        </w:rPr>
        <w:t> </w:t>
      </w:r>
      <w:r>
        <w:rPr>
          <w:rFonts w:ascii="Arial" w:hAnsi="Arial"/>
          <w:i/>
          <w:sz w:val="20"/>
        </w:rPr>
        <w:t>1</w:t>
      </w:r>
      <w:r>
        <w:rPr>
          <w:rFonts w:ascii="Arial" w:hAnsi="Arial"/>
          <w:i/>
          <w:spacing w:val="9"/>
          <w:sz w:val="20"/>
        </w:rPr>
        <w:t> </w:t>
      </w:r>
      <w:r>
        <w:rPr>
          <w:rFonts w:ascii="Arial" w:hAnsi="Arial"/>
          <w:i/>
          <w:sz w:val="20"/>
        </w:rPr>
        <w:t>Lloyd’s</w:t>
      </w:r>
      <w:r>
        <w:rPr>
          <w:rFonts w:ascii="Arial" w:hAnsi="Arial"/>
          <w:i/>
          <w:spacing w:val="9"/>
          <w:sz w:val="20"/>
        </w:rPr>
        <w:t> </w:t>
      </w:r>
      <w:r>
        <w:rPr>
          <w:rFonts w:ascii="Arial" w:hAnsi="Arial"/>
          <w:i/>
          <w:sz w:val="20"/>
        </w:rPr>
        <w:t>Rep.</w:t>
      </w:r>
      <w:r>
        <w:rPr>
          <w:rFonts w:ascii="Arial" w:hAnsi="Arial"/>
          <w:i/>
          <w:spacing w:val="9"/>
          <w:sz w:val="20"/>
        </w:rPr>
        <w:t> </w:t>
      </w:r>
      <w:r>
        <w:rPr>
          <w:rFonts w:ascii="Arial" w:hAnsi="Arial"/>
          <w:i/>
          <w:sz w:val="20"/>
        </w:rPr>
        <w:t>68</w:t>
      </w:r>
      <w:r>
        <w:rPr>
          <w:rFonts w:ascii="Arial" w:hAnsi="Arial"/>
          <w:i/>
          <w:spacing w:val="8"/>
          <w:sz w:val="20"/>
        </w:rPr>
        <w:t> </w:t>
      </w:r>
      <w:r>
        <w:rPr>
          <w:sz w:val="20"/>
        </w:rPr>
        <w:t>at</w:t>
      </w:r>
      <w:r>
        <w:rPr>
          <w:spacing w:val="9"/>
          <w:sz w:val="20"/>
        </w:rPr>
        <w:t> </w:t>
      </w:r>
      <w:r>
        <w:rPr>
          <w:sz w:val="20"/>
        </w:rPr>
        <w:t>[54]</w:t>
      </w:r>
      <w:r>
        <w:rPr>
          <w:spacing w:val="9"/>
          <w:sz w:val="20"/>
        </w:rPr>
        <w:t> </w:t>
      </w:r>
      <w:r>
        <w:rPr>
          <w:sz w:val="20"/>
        </w:rPr>
        <w:t>(and</w:t>
      </w:r>
      <w:r>
        <w:rPr>
          <w:spacing w:val="9"/>
          <w:sz w:val="20"/>
        </w:rPr>
        <w:t> </w:t>
      </w:r>
      <w:r>
        <w:rPr>
          <w:sz w:val="20"/>
        </w:rPr>
        <w:t>see</w:t>
      </w:r>
      <w:r>
        <w:rPr>
          <w:spacing w:val="9"/>
          <w:sz w:val="20"/>
        </w:rPr>
        <w:t> </w:t>
      </w:r>
      <w:r>
        <w:rPr>
          <w:sz w:val="20"/>
        </w:rPr>
        <w:t>para.2-122</w:t>
      </w:r>
      <w:r>
        <w:rPr>
          <w:spacing w:val="9"/>
          <w:sz w:val="20"/>
        </w:rPr>
        <w:t> </w:t>
      </w:r>
      <w:r>
        <w:rPr>
          <w:sz w:val="20"/>
        </w:rPr>
        <w:t>above</w:t>
      </w:r>
      <w:r>
        <w:rPr>
          <w:spacing w:val="9"/>
          <w:sz w:val="20"/>
        </w:rPr>
        <w:t> </w:t>
      </w:r>
      <w:r>
        <w:rPr>
          <w:sz w:val="20"/>
        </w:rPr>
        <w:t>and</w:t>
      </w:r>
      <w:r>
        <w:rPr>
          <w:spacing w:val="9"/>
          <w:sz w:val="20"/>
        </w:rPr>
        <w:t> </w:t>
      </w:r>
      <w:r>
        <w:rPr>
          <w:sz w:val="20"/>
        </w:rPr>
        <w:t>2-151</w:t>
      </w:r>
      <w:r>
        <w:rPr>
          <w:spacing w:val="9"/>
          <w:sz w:val="20"/>
        </w:rPr>
        <w:t> </w:t>
      </w:r>
      <w:r>
        <w:rPr>
          <w:spacing w:val="-2"/>
          <w:sz w:val="20"/>
        </w:rPr>
        <w:t>below);</w:t>
      </w:r>
    </w:p>
    <w:p>
      <w:pPr>
        <w:spacing w:line="227" w:lineRule="exact" w:before="0"/>
        <w:ind w:left="705" w:right="0" w:firstLine="0"/>
        <w:jc w:val="both"/>
        <w:rPr>
          <w:sz w:val="20"/>
        </w:rPr>
      </w:pPr>
      <w:r>
        <w:rPr>
          <w:rFonts w:ascii="Arial"/>
          <w:i/>
          <w:sz w:val="20"/>
        </w:rPr>
        <w:t>Astra Zeneca UK Ltd v Albermarle International Corp [2011] EWHC 1574 (Comm)</w:t>
      </w:r>
      <w:r>
        <w:rPr>
          <w:rFonts w:ascii="Arial"/>
          <w:i/>
          <w:spacing w:val="-1"/>
          <w:sz w:val="20"/>
        </w:rPr>
        <w:t> </w:t>
      </w:r>
      <w:r>
        <w:rPr>
          <w:sz w:val="20"/>
        </w:rPr>
        <w:t>at </w:t>
      </w:r>
      <w:r>
        <w:rPr>
          <w:spacing w:val="-2"/>
          <w:sz w:val="20"/>
        </w:rPr>
        <w:t>[31].</w:t>
      </w:r>
    </w:p>
    <w:p>
      <w:pPr>
        <w:pStyle w:val="BodyText"/>
        <w:spacing w:before="5"/>
      </w:pPr>
    </w:p>
    <w:p>
      <w:pPr>
        <w:tabs>
          <w:tab w:pos="705" w:val="left" w:leader="none"/>
        </w:tabs>
        <w:spacing w:before="0"/>
        <w:ind w:left="165" w:right="0" w:firstLine="0"/>
        <w:jc w:val="left"/>
        <w:rPr>
          <w:sz w:val="20"/>
        </w:rPr>
      </w:pPr>
      <w:bookmarkStart w:name="_bookmark1451" w:id="1453"/>
      <w:bookmarkEnd w:id="1453"/>
      <w:r>
        <w:rPr/>
      </w:r>
      <w:hyperlink w:history="true" w:anchor="_bookmark1250">
        <w:r>
          <w:rPr>
            <w:color w:val="005DA1"/>
            <w:spacing w:val="-4"/>
            <w:position w:val="5"/>
            <w:sz w:val="14"/>
            <w:u w:val="single" w:color="005DA1"/>
          </w:rPr>
          <w:t>720</w:t>
        </w:r>
      </w:hyperlink>
      <w:r>
        <w:rPr>
          <w:spacing w:val="-4"/>
          <w:position w:val="5"/>
          <w:sz w:val="14"/>
        </w:rPr>
        <w:t>.</w:t>
      </w:r>
      <w:r>
        <w:rPr>
          <w:position w:val="5"/>
          <w:sz w:val="14"/>
        </w:rPr>
        <w:tab/>
      </w:r>
      <w:r>
        <w:rPr>
          <w:rFonts w:ascii="Arial"/>
          <w:i/>
          <w:sz w:val="20"/>
        </w:rPr>
        <w:t>[1934] 2 K.B. </w:t>
      </w:r>
      <w:r>
        <w:rPr>
          <w:rFonts w:ascii="Arial"/>
          <w:i/>
          <w:spacing w:val="-5"/>
          <w:sz w:val="20"/>
        </w:rPr>
        <w:t>1</w:t>
      </w:r>
      <w:r>
        <w:rPr>
          <w:spacing w:val="-5"/>
          <w:sz w:val="20"/>
        </w:rPr>
        <w:t>.</w:t>
      </w:r>
    </w:p>
    <w:p>
      <w:pPr>
        <w:pStyle w:val="BodyText"/>
        <w:spacing w:before="5"/>
      </w:pPr>
    </w:p>
    <w:p>
      <w:pPr>
        <w:spacing w:line="227" w:lineRule="exact" w:before="0"/>
        <w:ind w:left="165" w:right="0" w:firstLine="0"/>
        <w:jc w:val="both"/>
        <w:rPr>
          <w:rFonts w:ascii="Arial"/>
          <w:i/>
          <w:sz w:val="20"/>
        </w:rPr>
      </w:pPr>
      <w:bookmarkStart w:name="_bookmark1452" w:id="1454"/>
      <w:bookmarkEnd w:id="1454"/>
      <w:r>
        <w:rPr/>
      </w:r>
      <w:hyperlink w:history="true" w:anchor="_bookmark1251">
        <w:r>
          <w:rPr>
            <w:color w:val="005DA1"/>
            <w:position w:val="5"/>
            <w:sz w:val="14"/>
            <w:u w:val="single" w:color="005DA1"/>
          </w:rPr>
          <w:t>721</w:t>
        </w:r>
      </w:hyperlink>
      <w:r>
        <w:rPr>
          <w:position w:val="5"/>
          <w:sz w:val="14"/>
        </w:rPr>
        <w:t>.</w:t>
      </w:r>
      <w:r>
        <w:rPr>
          <w:spacing w:val="75"/>
          <w:w w:val="150"/>
          <w:position w:val="5"/>
          <w:sz w:val="14"/>
        </w:rPr>
        <w:t>  </w:t>
      </w:r>
      <w:r>
        <w:rPr>
          <w:sz w:val="20"/>
        </w:rPr>
        <w:t>cf.</w:t>
      </w:r>
      <w:r>
        <w:rPr>
          <w:spacing w:val="5"/>
          <w:sz w:val="20"/>
        </w:rPr>
        <w:t> </w:t>
      </w:r>
      <w:r>
        <w:rPr>
          <w:rFonts w:ascii="Arial"/>
          <w:i/>
          <w:sz w:val="20"/>
        </w:rPr>
        <w:t>British</w:t>
      </w:r>
      <w:r>
        <w:rPr>
          <w:rFonts w:ascii="Arial"/>
          <w:i/>
          <w:spacing w:val="5"/>
          <w:sz w:val="20"/>
        </w:rPr>
        <w:t> </w:t>
      </w:r>
      <w:r>
        <w:rPr>
          <w:rFonts w:ascii="Arial"/>
          <w:i/>
          <w:sz w:val="20"/>
        </w:rPr>
        <w:t>Bank</w:t>
      </w:r>
      <w:r>
        <w:rPr>
          <w:rFonts w:ascii="Arial"/>
          <w:i/>
          <w:spacing w:val="5"/>
          <w:sz w:val="20"/>
        </w:rPr>
        <w:t> </w:t>
      </w:r>
      <w:r>
        <w:rPr>
          <w:rFonts w:ascii="Arial"/>
          <w:i/>
          <w:sz w:val="20"/>
        </w:rPr>
        <w:t>for</w:t>
      </w:r>
      <w:r>
        <w:rPr>
          <w:rFonts w:ascii="Arial"/>
          <w:i/>
          <w:spacing w:val="5"/>
          <w:sz w:val="20"/>
        </w:rPr>
        <w:t> </w:t>
      </w:r>
      <w:r>
        <w:rPr>
          <w:rFonts w:ascii="Arial"/>
          <w:i/>
          <w:sz w:val="20"/>
        </w:rPr>
        <w:t>Foreign</w:t>
      </w:r>
      <w:r>
        <w:rPr>
          <w:rFonts w:ascii="Arial"/>
          <w:i/>
          <w:spacing w:val="5"/>
          <w:sz w:val="20"/>
        </w:rPr>
        <w:t> </w:t>
      </w:r>
      <w:r>
        <w:rPr>
          <w:rFonts w:ascii="Arial"/>
          <w:i/>
          <w:sz w:val="20"/>
        </w:rPr>
        <w:t>Trade</w:t>
      </w:r>
      <w:r>
        <w:rPr>
          <w:rFonts w:ascii="Arial"/>
          <w:i/>
          <w:spacing w:val="5"/>
          <w:sz w:val="20"/>
        </w:rPr>
        <w:t> </w:t>
      </w:r>
      <w:r>
        <w:rPr>
          <w:rFonts w:ascii="Arial"/>
          <w:i/>
          <w:sz w:val="20"/>
        </w:rPr>
        <w:t>v</w:t>
      </w:r>
      <w:r>
        <w:rPr>
          <w:rFonts w:ascii="Arial"/>
          <w:i/>
          <w:spacing w:val="5"/>
          <w:sz w:val="20"/>
        </w:rPr>
        <w:t> </w:t>
      </w:r>
      <w:r>
        <w:rPr>
          <w:rFonts w:ascii="Arial"/>
          <w:i/>
          <w:sz w:val="20"/>
        </w:rPr>
        <w:t>Novinex</w:t>
      </w:r>
      <w:r>
        <w:rPr>
          <w:rFonts w:ascii="Arial"/>
          <w:i/>
          <w:spacing w:val="5"/>
          <w:sz w:val="20"/>
        </w:rPr>
        <w:t> </w:t>
      </w:r>
      <w:r>
        <w:rPr>
          <w:rFonts w:ascii="Arial"/>
          <w:i/>
          <w:sz w:val="20"/>
        </w:rPr>
        <w:t>[1949]</w:t>
      </w:r>
      <w:r>
        <w:rPr>
          <w:rFonts w:ascii="Arial"/>
          <w:i/>
          <w:spacing w:val="4"/>
          <w:sz w:val="20"/>
        </w:rPr>
        <w:t> </w:t>
      </w:r>
      <w:r>
        <w:rPr>
          <w:rFonts w:ascii="Arial"/>
          <w:i/>
          <w:sz w:val="20"/>
        </w:rPr>
        <w:t>1</w:t>
      </w:r>
      <w:r>
        <w:rPr>
          <w:rFonts w:ascii="Arial"/>
          <w:i/>
          <w:spacing w:val="5"/>
          <w:sz w:val="20"/>
        </w:rPr>
        <w:t> </w:t>
      </w:r>
      <w:r>
        <w:rPr>
          <w:rFonts w:ascii="Arial"/>
          <w:i/>
          <w:sz w:val="20"/>
        </w:rPr>
        <w:t>K.B.</w:t>
      </w:r>
      <w:r>
        <w:rPr>
          <w:rFonts w:ascii="Arial"/>
          <w:i/>
          <w:spacing w:val="5"/>
          <w:sz w:val="20"/>
        </w:rPr>
        <w:t> </w:t>
      </w:r>
      <w:r>
        <w:rPr>
          <w:rFonts w:ascii="Arial"/>
          <w:i/>
          <w:sz w:val="20"/>
        </w:rPr>
        <w:t>623</w:t>
      </w:r>
      <w:r>
        <w:rPr>
          <w:sz w:val="20"/>
        </w:rPr>
        <w:t>;</w:t>
      </w:r>
      <w:r>
        <w:rPr>
          <w:spacing w:val="5"/>
          <w:sz w:val="20"/>
        </w:rPr>
        <w:t> </w:t>
      </w:r>
      <w:r>
        <w:rPr>
          <w:rFonts w:ascii="Arial"/>
          <w:i/>
          <w:sz w:val="20"/>
        </w:rPr>
        <w:t>Beer</w:t>
      </w:r>
      <w:r>
        <w:rPr>
          <w:rFonts w:ascii="Arial"/>
          <w:i/>
          <w:spacing w:val="5"/>
          <w:sz w:val="20"/>
        </w:rPr>
        <w:t> </w:t>
      </w:r>
      <w:r>
        <w:rPr>
          <w:rFonts w:ascii="Arial"/>
          <w:i/>
          <w:sz w:val="20"/>
        </w:rPr>
        <w:t>v</w:t>
      </w:r>
      <w:r>
        <w:rPr>
          <w:rFonts w:ascii="Arial"/>
          <w:i/>
          <w:spacing w:val="5"/>
          <w:sz w:val="20"/>
        </w:rPr>
        <w:t> </w:t>
      </w:r>
      <w:r>
        <w:rPr>
          <w:rFonts w:ascii="Arial"/>
          <w:i/>
          <w:sz w:val="20"/>
        </w:rPr>
        <w:t>Bowden</w:t>
      </w:r>
      <w:r>
        <w:rPr>
          <w:rFonts w:ascii="Arial"/>
          <w:i/>
          <w:spacing w:val="5"/>
          <w:sz w:val="20"/>
        </w:rPr>
        <w:t> </w:t>
      </w:r>
      <w:r>
        <w:rPr>
          <w:rFonts w:ascii="Arial"/>
          <w:i/>
          <w:sz w:val="20"/>
        </w:rPr>
        <w:t>[1981]</w:t>
      </w:r>
      <w:r>
        <w:rPr>
          <w:rFonts w:ascii="Arial"/>
          <w:i/>
          <w:spacing w:val="5"/>
          <w:sz w:val="20"/>
        </w:rPr>
        <w:t> </w:t>
      </w:r>
      <w:r>
        <w:rPr>
          <w:rFonts w:ascii="Arial"/>
          <w:i/>
          <w:sz w:val="20"/>
        </w:rPr>
        <w:t>1</w:t>
      </w:r>
      <w:r>
        <w:rPr>
          <w:rFonts w:ascii="Arial"/>
          <w:i/>
          <w:spacing w:val="5"/>
          <w:sz w:val="20"/>
        </w:rPr>
        <w:t> </w:t>
      </w:r>
      <w:r>
        <w:rPr>
          <w:rFonts w:ascii="Arial"/>
          <w:i/>
          <w:spacing w:val="-2"/>
          <w:sz w:val="20"/>
        </w:rPr>
        <w:t>W.L.R.</w:t>
      </w:r>
    </w:p>
    <w:p>
      <w:pPr>
        <w:spacing w:line="235" w:lineRule="auto" w:before="1"/>
        <w:ind w:left="705" w:right="167" w:firstLine="0"/>
        <w:jc w:val="both"/>
        <w:rPr>
          <w:sz w:val="20"/>
        </w:rPr>
      </w:pPr>
      <w:r>
        <w:rPr>
          <w:rFonts w:ascii="Arial" w:hAnsi="Arial"/>
          <w:i/>
          <w:sz w:val="20"/>
        </w:rPr>
        <w:t>522</w:t>
      </w:r>
      <w:r>
        <w:rPr>
          <w:sz w:val="20"/>
        </w:rPr>
        <w:t>; </w:t>
      </w:r>
      <w:r>
        <w:rPr>
          <w:rFonts w:ascii="Arial" w:hAnsi="Arial"/>
          <w:i/>
          <w:sz w:val="20"/>
        </w:rPr>
        <w:t>Thomas Bates &amp; Son Ltd v Wyndham’s (Lingerie) Ltd [1981] 1 W.L.R. 505, 518–519</w:t>
      </w:r>
      <w:r>
        <w:rPr>
          <w:sz w:val="20"/>
        </w:rPr>
        <w:t>; </w:t>
      </w:r>
      <w:r>
        <w:rPr>
          <w:rFonts w:ascii="Arial" w:hAnsi="Arial"/>
          <w:i/>
          <w:sz w:val="20"/>
        </w:rPr>
        <w:t>Tropwood A.G. of Zug v Jade Enterprises (The Tropwind) [1982] 2 Lloyd’s Rep. 233, </w:t>
      </w:r>
      <w:r>
        <w:rPr>
          <w:rFonts w:ascii="Arial" w:hAnsi="Arial"/>
          <w:i/>
          <w:sz w:val="20"/>
        </w:rPr>
        <w:t>236</w:t>
      </w:r>
      <w:r>
        <w:rPr>
          <w:sz w:val="20"/>
        </w:rPr>
        <w:t>; </w:t>
      </w:r>
      <w:r>
        <w:rPr>
          <w:rFonts w:ascii="Arial" w:hAnsi="Arial"/>
          <w:i/>
          <w:sz w:val="20"/>
        </w:rPr>
        <w:t>Pagnan SpA v Feed Products Ltd [1987] 2 Lloyd’s Rep. 601</w:t>
      </w:r>
      <w:r>
        <w:rPr>
          <w:sz w:val="20"/>
        </w:rPr>
        <w:t>; </w:t>
      </w:r>
      <w:r>
        <w:rPr>
          <w:rFonts w:ascii="Arial" w:hAnsi="Arial"/>
          <w:i/>
          <w:sz w:val="20"/>
        </w:rPr>
        <w:t>Granit SA v Benship International SA [1994] 1 Lloyd’s Rep. 526</w:t>
      </w:r>
      <w:r>
        <w:rPr>
          <w:sz w:val="20"/>
        </w:rPr>
        <w:t>; </w:t>
      </w:r>
      <w:r>
        <w:rPr>
          <w:rFonts w:ascii="Arial" w:hAnsi="Arial"/>
          <w:i/>
          <w:sz w:val="20"/>
        </w:rPr>
        <w:t>Mitsui Babcock Engineering Ltd v John Brown Engineering Ltd (1996) 51 Const. L.R. 129</w:t>
      </w:r>
      <w:r>
        <w:rPr>
          <w:sz w:val="20"/>
        </w:rPr>
        <w:t>; </w:t>
      </w:r>
      <w:r>
        <w:rPr>
          <w:rFonts w:ascii="Arial" w:hAnsi="Arial"/>
          <w:i/>
          <w:sz w:val="20"/>
        </w:rPr>
        <w:t>Mamidoil-Jetoil Greek Petroleum SA v Okta Crude Oil Refinery AD [2001] EWCA Civ 406, [2001] 2 Lloyd’s Rep. 76</w:t>
      </w:r>
      <w:r>
        <w:rPr>
          <w:sz w:val="20"/>
        </w:rPr>
        <w:t>; for further proceedings, see n.706 below.</w:t>
      </w:r>
    </w:p>
    <w:p>
      <w:pPr>
        <w:pStyle w:val="BodyText"/>
        <w:spacing w:before="4"/>
      </w:pPr>
    </w:p>
    <w:p>
      <w:pPr>
        <w:tabs>
          <w:tab w:pos="705" w:val="left" w:leader="none"/>
        </w:tabs>
        <w:spacing w:before="0"/>
        <w:ind w:left="165" w:right="0" w:firstLine="0"/>
        <w:jc w:val="left"/>
        <w:rPr>
          <w:sz w:val="20"/>
        </w:rPr>
      </w:pPr>
      <w:bookmarkStart w:name="_bookmark1453" w:id="1455"/>
      <w:bookmarkEnd w:id="1455"/>
      <w:r>
        <w:rPr/>
      </w:r>
      <w:hyperlink w:history="true" w:anchor="_bookmark1251">
        <w:r>
          <w:rPr>
            <w:color w:val="005DA1"/>
            <w:spacing w:val="-4"/>
            <w:position w:val="5"/>
            <w:sz w:val="14"/>
            <w:u w:val="single" w:color="005DA1"/>
          </w:rPr>
          <w:t>722</w:t>
        </w:r>
      </w:hyperlink>
      <w:r>
        <w:rPr>
          <w:spacing w:val="-4"/>
          <w:position w:val="5"/>
          <w:sz w:val="14"/>
        </w:rPr>
        <w:t>.</w:t>
      </w:r>
      <w:r>
        <w:rPr>
          <w:position w:val="5"/>
          <w:sz w:val="14"/>
        </w:rPr>
        <w:tab/>
      </w:r>
      <w:r>
        <w:rPr>
          <w:rFonts w:ascii="Arial"/>
          <w:i/>
          <w:sz w:val="20"/>
        </w:rPr>
        <w:t>[1934]</w:t>
      </w:r>
      <w:r>
        <w:rPr>
          <w:rFonts w:ascii="Arial"/>
          <w:i/>
          <w:spacing w:val="-1"/>
          <w:sz w:val="20"/>
        </w:rPr>
        <w:t> </w:t>
      </w:r>
      <w:r>
        <w:rPr>
          <w:rFonts w:ascii="Arial"/>
          <w:i/>
          <w:sz w:val="20"/>
        </w:rPr>
        <w:t>2 K.B. 17n</w:t>
      </w:r>
      <w:r>
        <w:rPr>
          <w:sz w:val="20"/>
        </w:rPr>
        <w:t>; above, para.2-</w:t>
      </w:r>
      <w:r>
        <w:rPr>
          <w:spacing w:val="-4"/>
          <w:sz w:val="20"/>
        </w:rPr>
        <w:t>133.</w:t>
      </w:r>
    </w:p>
    <w:p>
      <w:pPr>
        <w:pStyle w:val="BodyText"/>
        <w:spacing w:before="9"/>
      </w:pPr>
    </w:p>
    <w:p>
      <w:pPr>
        <w:tabs>
          <w:tab w:pos="705" w:val="left" w:leader="none"/>
        </w:tabs>
        <w:spacing w:line="235" w:lineRule="auto" w:before="0"/>
        <w:ind w:left="705" w:right="168" w:hanging="541"/>
        <w:jc w:val="left"/>
        <w:rPr>
          <w:sz w:val="20"/>
        </w:rPr>
      </w:pPr>
      <w:bookmarkStart w:name="_bookmark1454" w:id="1456"/>
      <w:bookmarkEnd w:id="1456"/>
      <w:r>
        <w:rPr/>
      </w:r>
      <w:hyperlink w:history="true" w:anchor="_bookmark1252">
        <w:r>
          <w:rPr>
            <w:color w:val="005DA1"/>
            <w:spacing w:val="-4"/>
            <w:position w:val="5"/>
            <w:sz w:val="14"/>
            <w:u w:val="single" w:color="005DA1"/>
          </w:rPr>
          <w:t>723</w:t>
        </w:r>
      </w:hyperlink>
      <w:r>
        <w:rPr>
          <w:spacing w:val="-4"/>
          <w:position w:val="5"/>
          <w:sz w:val="14"/>
        </w:rPr>
        <w:t>.</w:t>
      </w:r>
      <w:r>
        <w:rPr>
          <w:position w:val="5"/>
          <w:sz w:val="14"/>
        </w:rPr>
        <w:tab/>
      </w:r>
      <w:r>
        <w:rPr>
          <w:sz w:val="20"/>
        </w:rPr>
        <w:t>cf. </w:t>
      </w:r>
      <w:r>
        <w:rPr>
          <w:rFonts w:ascii="Arial"/>
          <w:i/>
          <w:sz w:val="20"/>
        </w:rPr>
        <w:t>Mamidoil-Jetoil Greek Petroleum SA v Okta Crude Oil Refinery AD (No.3) [2003] EWCA Civ 1031, [2003] 2 All E.R. (Comm) 640 </w:t>
      </w:r>
      <w:r>
        <w:rPr>
          <w:sz w:val="20"/>
        </w:rPr>
        <w:t>at [38].</w:t>
      </w:r>
    </w:p>
    <w:p>
      <w:pPr>
        <w:pStyle w:val="BodyText"/>
        <w:spacing w:before="9"/>
      </w:pPr>
    </w:p>
    <w:p>
      <w:pPr>
        <w:spacing w:line="235" w:lineRule="auto" w:before="0"/>
        <w:ind w:left="705" w:right="167" w:hanging="541"/>
        <w:jc w:val="both"/>
        <w:rPr>
          <w:sz w:val="20"/>
        </w:rPr>
      </w:pPr>
      <w:bookmarkStart w:name="_bookmark1455" w:id="1457"/>
      <w:bookmarkEnd w:id="1457"/>
      <w:r>
        <w:rPr/>
      </w:r>
      <w:hyperlink w:history="true" w:anchor="_bookmark1253">
        <w:r>
          <w:rPr>
            <w:color w:val="005DA1"/>
            <w:position w:val="5"/>
            <w:sz w:val="14"/>
            <w:u w:val="single" w:color="005DA1"/>
          </w:rPr>
          <w:t>724</w:t>
        </w:r>
      </w:hyperlink>
      <w:r>
        <w:rPr>
          <w:position w:val="5"/>
          <w:sz w:val="14"/>
        </w:rPr>
        <w:t>.</w:t>
      </w:r>
      <w:r>
        <w:rPr>
          <w:spacing w:val="40"/>
          <w:position w:val="5"/>
          <w:sz w:val="14"/>
        </w:rPr>
        <w:t>  </w:t>
      </w:r>
      <w:r>
        <w:rPr>
          <w:rFonts w:ascii="Arial" w:hAnsi="Arial"/>
          <w:i/>
          <w:sz w:val="20"/>
        </w:rPr>
        <w:t>[1934] 2 K.B. 1, 10</w:t>
      </w:r>
      <w:r>
        <w:rPr>
          <w:sz w:val="20"/>
        </w:rPr>
        <w:t>; the clause covered disputes as to “the </w:t>
      </w:r>
      <w:r>
        <w:rPr>
          <w:rFonts w:ascii="Arial" w:hAnsi="Arial"/>
          <w:i/>
          <w:sz w:val="20"/>
        </w:rPr>
        <w:t>subject-matter or </w:t>
      </w:r>
      <w:r>
        <w:rPr>
          <w:sz w:val="20"/>
        </w:rPr>
        <w:t>construction of this agreement,” while the arbitration clause in </w:t>
      </w:r>
      <w:r>
        <w:rPr>
          <w:rFonts w:ascii="Arial" w:hAnsi="Arial"/>
          <w:i/>
          <w:sz w:val="20"/>
        </w:rPr>
        <w:t>May &amp; Butcher v R </w:t>
      </w:r>
      <w:r>
        <w:rPr>
          <w:sz w:val="20"/>
        </w:rPr>
        <w:t>covered “disputes with reference to or arising out of this agreement”. For the distinction between the two forms of clause, see </w:t>
      </w:r>
      <w:r>
        <w:rPr>
          <w:rFonts w:ascii="Arial" w:hAnsi="Arial"/>
          <w:i/>
          <w:sz w:val="20"/>
        </w:rPr>
        <w:t>Heyman v Darwins [1942] A.C. 356, 385, 392</w:t>
      </w:r>
      <w:r>
        <w:rPr>
          <w:sz w:val="20"/>
        </w:rPr>
        <w:t>. cf. also </w:t>
      </w:r>
      <w:r>
        <w:rPr>
          <w:rFonts w:ascii="Arial" w:hAnsi="Arial"/>
          <w:i/>
          <w:sz w:val="20"/>
        </w:rPr>
        <w:t>Sykes (Wessex) Ltd v Fine Fare Ltd [1967] 1 Lloyd’s Rep. 53</w:t>
      </w:r>
      <w:r>
        <w:rPr>
          <w:sz w:val="20"/>
        </w:rPr>
        <w:t>; </w:t>
      </w:r>
      <w:r>
        <w:rPr>
          <w:rFonts w:ascii="Arial" w:hAnsi="Arial"/>
          <w:i/>
          <w:sz w:val="20"/>
        </w:rPr>
        <w:t>Voest Alpine Intertrading GmbH v Chevron International Oil Co Ltd [1985] 2 Lloyd’s Rep. 547</w:t>
      </w:r>
      <w:r>
        <w:rPr>
          <w:sz w:val="20"/>
        </w:rPr>
        <w:t>; and see </w:t>
      </w:r>
      <w:r>
        <w:rPr>
          <w:rFonts w:ascii="Arial" w:hAnsi="Arial"/>
          <w:i/>
          <w:sz w:val="20"/>
        </w:rPr>
        <w:t>Vosper Thorneycroft Ltd v Ministry of Defence [1976] 1 Lloyd’s Rep. 58 </w:t>
      </w:r>
      <w:r>
        <w:rPr>
          <w:sz w:val="20"/>
        </w:rPr>
        <w:t>where the existence of a contract was admitted and the arbitration </w:t>
      </w:r>
      <w:r>
        <w:rPr>
          <w:sz w:val="20"/>
        </w:rPr>
        <w:t>clause referred to “any dispute or </w:t>
      </w:r>
      <w:r>
        <w:rPr>
          <w:rFonts w:ascii="Arial" w:hAnsi="Arial"/>
          <w:i/>
          <w:sz w:val="20"/>
        </w:rPr>
        <w:t>difference </w:t>
      </w:r>
      <w:r>
        <w:rPr>
          <w:sz w:val="20"/>
        </w:rPr>
        <w:t>… ”.</w:t>
      </w:r>
    </w:p>
    <w:p>
      <w:pPr>
        <w:pStyle w:val="BodyText"/>
        <w:spacing w:before="7"/>
      </w:pPr>
    </w:p>
    <w:p>
      <w:pPr>
        <w:pStyle w:val="BodyText"/>
        <w:tabs>
          <w:tab w:pos="705" w:val="left" w:leader="none"/>
        </w:tabs>
        <w:spacing w:line="235" w:lineRule="auto"/>
        <w:ind w:left="705" w:right="168" w:hanging="541"/>
      </w:pPr>
      <w:bookmarkStart w:name="_bookmark1456" w:id="1458"/>
      <w:bookmarkEnd w:id="1458"/>
      <w:r>
        <w:rPr/>
      </w:r>
      <w:hyperlink w:history="true" w:anchor="_bookmark1254">
        <w:r>
          <w:rPr>
            <w:color w:val="005DA1"/>
            <w:spacing w:val="-4"/>
            <w:position w:val="5"/>
            <w:sz w:val="14"/>
            <w:u w:val="single" w:color="005DA1"/>
          </w:rPr>
          <w:t>725</w:t>
        </w:r>
      </w:hyperlink>
      <w:r>
        <w:rPr>
          <w:spacing w:val="-4"/>
          <w:position w:val="5"/>
          <w:sz w:val="14"/>
        </w:rPr>
        <w:t>.</w:t>
      </w:r>
      <w:r>
        <w:rPr>
          <w:position w:val="5"/>
          <w:sz w:val="14"/>
        </w:rPr>
        <w:tab/>
      </w:r>
      <w:r>
        <w:rPr/>
        <w:t>Scrutton</w:t>
      </w:r>
      <w:r>
        <w:rPr>
          <w:spacing w:val="18"/>
        </w:rPr>
        <w:t> </w:t>
      </w:r>
      <w:r>
        <w:rPr/>
        <w:t>L.J.</w:t>
      </w:r>
      <w:r>
        <w:rPr>
          <w:spacing w:val="18"/>
        </w:rPr>
        <w:t> </w:t>
      </w:r>
      <w:r>
        <w:rPr/>
        <w:t>said</w:t>
      </w:r>
      <w:r>
        <w:rPr>
          <w:spacing w:val="18"/>
        </w:rPr>
        <w:t> </w:t>
      </w:r>
      <w:r>
        <w:rPr/>
        <w:t>at</w:t>
      </w:r>
      <w:r>
        <w:rPr>
          <w:spacing w:val="18"/>
        </w:rPr>
        <w:t> </w:t>
      </w:r>
      <w:r>
        <w:rPr/>
        <w:t>7</w:t>
      </w:r>
      <w:r>
        <w:rPr>
          <w:spacing w:val="18"/>
        </w:rPr>
        <w:t> </w:t>
      </w:r>
      <w:r>
        <w:rPr/>
        <w:t>that</w:t>
      </w:r>
      <w:r>
        <w:rPr>
          <w:spacing w:val="18"/>
        </w:rPr>
        <w:t> </w:t>
      </w:r>
      <w:r>
        <w:rPr/>
        <w:t>he</w:t>
      </w:r>
      <w:r>
        <w:rPr>
          <w:spacing w:val="18"/>
        </w:rPr>
        <w:t> </w:t>
      </w:r>
      <w:r>
        <w:rPr/>
        <w:t>was</w:t>
      </w:r>
      <w:r>
        <w:rPr>
          <w:spacing w:val="18"/>
        </w:rPr>
        <w:t> </w:t>
      </w:r>
      <w:r>
        <w:rPr/>
        <w:t>glad</w:t>
      </w:r>
      <w:r>
        <w:rPr>
          <w:spacing w:val="18"/>
        </w:rPr>
        <w:t> </w:t>
      </w:r>
      <w:r>
        <w:rPr/>
        <w:t>to</w:t>
      </w:r>
      <w:r>
        <w:rPr>
          <w:spacing w:val="18"/>
        </w:rPr>
        <w:t> </w:t>
      </w:r>
      <w:r>
        <w:rPr/>
        <w:t>decide</w:t>
      </w:r>
      <w:r>
        <w:rPr>
          <w:spacing w:val="18"/>
        </w:rPr>
        <w:t> </w:t>
      </w:r>
      <w:r>
        <w:rPr/>
        <w:t>in</w:t>
      </w:r>
      <w:r>
        <w:rPr>
          <w:spacing w:val="18"/>
        </w:rPr>
        <w:t> </w:t>
      </w:r>
      <w:r>
        <w:rPr/>
        <w:t>favour</w:t>
      </w:r>
      <w:r>
        <w:rPr>
          <w:spacing w:val="18"/>
        </w:rPr>
        <w:t> </w:t>
      </w:r>
      <w:r>
        <w:rPr/>
        <w:t>of</w:t>
      </w:r>
      <w:r>
        <w:rPr>
          <w:spacing w:val="18"/>
        </w:rPr>
        <w:t> </w:t>
      </w:r>
      <w:r>
        <w:rPr/>
        <w:t>the</w:t>
      </w:r>
      <w:r>
        <w:rPr>
          <w:spacing w:val="18"/>
        </w:rPr>
        <w:t> </w:t>
      </w:r>
      <w:r>
        <w:rPr/>
        <w:t>claimant</w:t>
      </w:r>
      <w:r>
        <w:rPr>
          <w:spacing w:val="18"/>
        </w:rPr>
        <w:t> </w:t>
      </w:r>
      <w:r>
        <w:rPr/>
        <w:t>“because</w:t>
      </w:r>
      <w:r>
        <w:rPr>
          <w:spacing w:val="18"/>
        </w:rPr>
        <w:t> </w:t>
      </w:r>
      <w:r>
        <w:rPr/>
        <w:t>I</w:t>
      </w:r>
      <w:r>
        <w:rPr>
          <w:spacing w:val="18"/>
        </w:rPr>
        <w:t> </w:t>
      </w:r>
      <w:r>
        <w:rPr/>
        <w:t>do</w:t>
      </w:r>
      <w:r>
        <w:rPr>
          <w:spacing w:val="18"/>
        </w:rPr>
        <w:t> </w:t>
      </w:r>
      <w:r>
        <w:rPr/>
        <w:t>not regard the appellants’ [defendants’] contention as an honest one”.</w:t>
      </w:r>
    </w:p>
    <w:p>
      <w:pPr>
        <w:pStyle w:val="BodyText"/>
        <w:spacing w:before="5"/>
      </w:pPr>
    </w:p>
    <w:p>
      <w:pPr>
        <w:pStyle w:val="BodyText"/>
        <w:tabs>
          <w:tab w:pos="705" w:val="left" w:leader="none"/>
        </w:tabs>
        <w:spacing w:before="1"/>
        <w:ind w:left="165"/>
      </w:pPr>
      <w:bookmarkStart w:name="_bookmark1457" w:id="1459"/>
      <w:bookmarkEnd w:id="1459"/>
      <w:r>
        <w:rPr/>
      </w:r>
      <w:hyperlink w:history="true" w:anchor="_bookmark1254">
        <w:r>
          <w:rPr>
            <w:color w:val="005DA1"/>
            <w:spacing w:val="-4"/>
            <w:position w:val="5"/>
            <w:sz w:val="14"/>
            <w:u w:val="single" w:color="005DA1"/>
          </w:rPr>
          <w:t>726</w:t>
        </w:r>
      </w:hyperlink>
      <w:r>
        <w:rPr>
          <w:spacing w:val="-4"/>
          <w:position w:val="5"/>
          <w:sz w:val="14"/>
        </w:rPr>
        <w:t>.</w:t>
      </w:r>
      <w:r>
        <w:rPr>
          <w:position w:val="5"/>
          <w:sz w:val="14"/>
        </w:rPr>
        <w:tab/>
      </w:r>
      <w:r>
        <w:rPr/>
        <w:t>R.S.T.C. (1933) 49 L.Q.R. at </w:t>
      </w:r>
      <w:r>
        <w:rPr>
          <w:spacing w:val="-4"/>
        </w:rPr>
        <w:t>316.</w:t>
      </w:r>
    </w:p>
    <w:p>
      <w:pPr>
        <w:pStyle w:val="BodyText"/>
        <w:spacing w:before="8"/>
      </w:pPr>
    </w:p>
    <w:p>
      <w:pPr>
        <w:tabs>
          <w:tab w:pos="705" w:val="left" w:leader="none"/>
        </w:tabs>
        <w:spacing w:line="235" w:lineRule="auto" w:before="0"/>
        <w:ind w:left="705" w:right="168" w:hanging="541"/>
        <w:jc w:val="left"/>
        <w:rPr>
          <w:sz w:val="20"/>
        </w:rPr>
      </w:pPr>
      <w:bookmarkStart w:name="_bookmark1458" w:id="1460"/>
      <w:bookmarkEnd w:id="1460"/>
      <w:r>
        <w:rPr/>
      </w:r>
      <w:hyperlink w:history="true" w:anchor="_bookmark1255">
        <w:r>
          <w:rPr>
            <w:color w:val="005DA1"/>
            <w:spacing w:val="-4"/>
            <w:position w:val="5"/>
            <w:sz w:val="14"/>
            <w:u w:val="single" w:color="005DA1"/>
          </w:rPr>
          <w:t>727</w:t>
        </w:r>
      </w:hyperlink>
      <w:r>
        <w:rPr>
          <w:spacing w:val="-4"/>
          <w:position w:val="5"/>
          <w:sz w:val="14"/>
        </w:rPr>
        <w:t>.</w:t>
      </w:r>
      <w:r>
        <w:rPr>
          <w:position w:val="5"/>
          <w:sz w:val="14"/>
        </w:rPr>
        <w:tab/>
      </w:r>
      <w:r>
        <w:rPr>
          <w:rFonts w:ascii="Arial" w:hAnsi="Arial"/>
          <w:i/>
          <w:sz w:val="20"/>
        </w:rPr>
        <w:t>Foley’s </w:t>
      </w:r>
      <w:r>
        <w:rPr>
          <w:sz w:val="20"/>
        </w:rPr>
        <w:t>case, above, n.703 was approved by the House of Lords in </w:t>
      </w:r>
      <w:r>
        <w:rPr>
          <w:rFonts w:ascii="Arial" w:hAnsi="Arial"/>
          <w:i/>
          <w:sz w:val="20"/>
        </w:rPr>
        <w:t>G. Scammell &amp; Nephew Ltd v Ouston [1941] A.C. 251</w:t>
      </w:r>
      <w:r>
        <w:rPr>
          <w:sz w:val="20"/>
        </w:rPr>
        <w:t>.</w:t>
      </w:r>
    </w:p>
    <w:p>
      <w:pPr>
        <w:pStyle w:val="BodyText"/>
        <w:spacing w:before="6"/>
      </w:pPr>
    </w:p>
    <w:p>
      <w:pPr>
        <w:tabs>
          <w:tab w:pos="705" w:val="left" w:leader="none"/>
        </w:tabs>
        <w:spacing w:before="0"/>
        <w:ind w:left="165" w:right="0" w:firstLine="0"/>
        <w:jc w:val="left"/>
        <w:rPr>
          <w:sz w:val="20"/>
        </w:rPr>
      </w:pPr>
      <w:bookmarkStart w:name="_bookmark1459" w:id="1461"/>
      <w:bookmarkEnd w:id="1461"/>
      <w:r>
        <w:rPr/>
      </w:r>
      <w:hyperlink w:history="true" w:anchor="_bookmark1256">
        <w:r>
          <w:rPr>
            <w:color w:val="005DA1"/>
            <w:spacing w:val="-4"/>
            <w:position w:val="5"/>
            <w:sz w:val="14"/>
            <w:u w:val="single" w:color="005DA1"/>
          </w:rPr>
          <w:t>728</w:t>
        </w:r>
      </w:hyperlink>
      <w:r>
        <w:rPr>
          <w:spacing w:val="-4"/>
          <w:position w:val="5"/>
          <w:sz w:val="14"/>
        </w:rPr>
        <w:t>.</w:t>
      </w:r>
      <w:r>
        <w:rPr>
          <w:position w:val="5"/>
          <w:sz w:val="14"/>
        </w:rPr>
        <w:tab/>
      </w:r>
      <w:r>
        <w:rPr>
          <w:rFonts w:ascii="Arial" w:hAnsi="Arial"/>
          <w:i/>
          <w:sz w:val="20"/>
        </w:rPr>
        <w:t>Pagnan SpA v Feed Products Ltd [1987] 2 Lloyd’s Rep. 601, </w:t>
      </w:r>
      <w:r>
        <w:rPr>
          <w:rFonts w:ascii="Arial" w:hAnsi="Arial"/>
          <w:i/>
          <w:spacing w:val="-4"/>
          <w:sz w:val="20"/>
        </w:rPr>
        <w:t>619</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60" w:id="1462"/>
      <w:bookmarkEnd w:id="1462"/>
      <w:r>
        <w:rPr/>
      </w:r>
      <w:hyperlink w:history="true" w:anchor="_bookmark1257">
        <w:r>
          <w:rPr>
            <w:color w:val="005DA1"/>
            <w:spacing w:val="-4"/>
            <w:position w:val="5"/>
            <w:sz w:val="14"/>
            <w:u w:val="single" w:color="005DA1"/>
          </w:rPr>
          <w:t>729</w:t>
        </w:r>
      </w:hyperlink>
      <w:r>
        <w:rPr>
          <w:spacing w:val="-4"/>
          <w:position w:val="5"/>
          <w:sz w:val="14"/>
        </w:rPr>
        <w:t>.</w:t>
      </w:r>
      <w:r>
        <w:rPr>
          <w:position w:val="5"/>
          <w:sz w:val="14"/>
        </w:rPr>
        <w:tab/>
      </w:r>
      <w:r>
        <w:rPr>
          <w:sz w:val="20"/>
        </w:rPr>
        <w:t>Above,</w:t>
      </w:r>
      <w:r>
        <w:rPr>
          <w:spacing w:val="34"/>
          <w:sz w:val="20"/>
        </w:rPr>
        <w:t> </w:t>
      </w:r>
      <w:r>
        <w:rPr>
          <w:sz w:val="20"/>
        </w:rPr>
        <w:t>para.2-120;</w:t>
      </w:r>
      <w:r>
        <w:rPr>
          <w:spacing w:val="34"/>
          <w:sz w:val="20"/>
        </w:rPr>
        <w:t> </w:t>
      </w:r>
      <w:r>
        <w:rPr>
          <w:sz w:val="20"/>
        </w:rPr>
        <w:t>below,</w:t>
      </w:r>
      <w:r>
        <w:rPr>
          <w:spacing w:val="34"/>
          <w:sz w:val="20"/>
        </w:rPr>
        <w:t> </w:t>
      </w:r>
      <w:r>
        <w:rPr>
          <w:sz w:val="20"/>
        </w:rPr>
        <w:t>para.2-150;</w:t>
      </w:r>
      <w:r>
        <w:rPr>
          <w:spacing w:val="34"/>
          <w:sz w:val="20"/>
        </w:rPr>
        <w:t> </w:t>
      </w:r>
      <w:r>
        <w:rPr>
          <w:sz w:val="20"/>
        </w:rPr>
        <w:t>or</w:t>
      </w:r>
      <w:r>
        <w:rPr>
          <w:spacing w:val="34"/>
          <w:sz w:val="20"/>
        </w:rPr>
        <w:t> </w:t>
      </w:r>
      <w:r>
        <w:rPr>
          <w:sz w:val="20"/>
        </w:rPr>
        <w:t>by</w:t>
      </w:r>
      <w:r>
        <w:rPr>
          <w:spacing w:val="34"/>
          <w:sz w:val="20"/>
        </w:rPr>
        <w:t> </w:t>
      </w:r>
      <w:r>
        <w:rPr>
          <w:sz w:val="20"/>
        </w:rPr>
        <w:t>imposing</w:t>
      </w:r>
      <w:r>
        <w:rPr>
          <w:spacing w:val="34"/>
          <w:sz w:val="20"/>
        </w:rPr>
        <w:t> </w:t>
      </w:r>
      <w:r>
        <w:rPr>
          <w:sz w:val="20"/>
        </w:rPr>
        <w:t>on</w:t>
      </w:r>
      <w:r>
        <w:rPr>
          <w:spacing w:val="34"/>
          <w:sz w:val="20"/>
        </w:rPr>
        <w:t> </w:t>
      </w:r>
      <w:r>
        <w:rPr>
          <w:sz w:val="20"/>
        </w:rPr>
        <w:t>one</w:t>
      </w:r>
      <w:r>
        <w:rPr>
          <w:spacing w:val="34"/>
          <w:sz w:val="20"/>
        </w:rPr>
        <w:t> </w:t>
      </w:r>
      <w:r>
        <w:rPr>
          <w:sz w:val="20"/>
        </w:rPr>
        <w:t>party</w:t>
      </w:r>
      <w:r>
        <w:rPr>
          <w:spacing w:val="34"/>
          <w:sz w:val="20"/>
        </w:rPr>
        <w:t> </w:t>
      </w:r>
      <w:r>
        <w:rPr>
          <w:sz w:val="20"/>
        </w:rPr>
        <w:t>the</w:t>
      </w:r>
      <w:r>
        <w:rPr>
          <w:spacing w:val="34"/>
          <w:sz w:val="20"/>
        </w:rPr>
        <w:t> </w:t>
      </w:r>
      <w:r>
        <w:rPr>
          <w:sz w:val="20"/>
        </w:rPr>
        <w:t>duty</w:t>
      </w:r>
      <w:r>
        <w:rPr>
          <w:spacing w:val="34"/>
          <w:sz w:val="20"/>
        </w:rPr>
        <w:t> </w:t>
      </w:r>
      <w:r>
        <w:rPr>
          <w:sz w:val="20"/>
        </w:rPr>
        <w:t>to</w:t>
      </w:r>
      <w:r>
        <w:rPr>
          <w:spacing w:val="34"/>
          <w:sz w:val="20"/>
        </w:rPr>
        <w:t> </w:t>
      </w:r>
      <w:r>
        <w:rPr>
          <w:sz w:val="20"/>
        </w:rPr>
        <w:t>resolve</w:t>
      </w:r>
      <w:r>
        <w:rPr>
          <w:spacing w:val="34"/>
          <w:sz w:val="20"/>
        </w:rPr>
        <w:t> </w:t>
      </w:r>
      <w:r>
        <w:rPr>
          <w:sz w:val="20"/>
        </w:rPr>
        <w:t>the uncertainty: below, para.2-151; </w:t>
      </w:r>
      <w:r>
        <w:rPr>
          <w:rFonts w:ascii="Arial"/>
          <w:i/>
          <w:sz w:val="20"/>
        </w:rPr>
        <w:t>Pagnan SpA v Feed Products Ltd</w:t>
      </w:r>
      <w:r>
        <w:rPr>
          <w:sz w:val="20"/>
        </w:rPr>
        <w:t>, above n.711.</w:t>
      </w:r>
    </w:p>
    <w:p>
      <w:pPr>
        <w:pStyle w:val="BodyText"/>
        <w:spacing w:before="5"/>
      </w:pPr>
    </w:p>
    <w:p>
      <w:pPr>
        <w:pStyle w:val="BodyText"/>
        <w:tabs>
          <w:tab w:pos="705" w:val="left" w:leader="none"/>
        </w:tabs>
        <w:ind w:left="165"/>
      </w:pPr>
      <w:bookmarkStart w:name="_bookmark1461" w:id="1463"/>
      <w:bookmarkEnd w:id="1463"/>
      <w:r>
        <w:rPr/>
      </w:r>
      <w:hyperlink w:history="true" w:anchor="_bookmark1258">
        <w:r>
          <w:rPr>
            <w:color w:val="005DA1"/>
            <w:spacing w:val="-4"/>
            <w:position w:val="5"/>
            <w:sz w:val="14"/>
            <w:u w:val="single" w:color="005DA1"/>
          </w:rPr>
          <w:t>730</w:t>
        </w:r>
      </w:hyperlink>
      <w:r>
        <w:rPr>
          <w:spacing w:val="-4"/>
          <w:position w:val="5"/>
          <w:sz w:val="14"/>
        </w:rPr>
        <w:t>.</w:t>
      </w:r>
      <w:r>
        <w:rPr>
          <w:position w:val="5"/>
          <w:sz w:val="14"/>
        </w:rPr>
        <w:tab/>
      </w:r>
      <w:r>
        <w:rPr/>
        <w:t>Though this point is not decisive: see above, para.2-133 at </w:t>
      </w:r>
      <w:r>
        <w:rPr>
          <w:spacing w:val="-2"/>
        </w:rPr>
        <w:t>n.691.</w:t>
      </w:r>
    </w:p>
    <w:p>
      <w:pPr>
        <w:pStyle w:val="BodyText"/>
        <w:spacing w:before="5"/>
      </w:pPr>
    </w:p>
    <w:p>
      <w:pPr>
        <w:tabs>
          <w:tab w:pos="705" w:val="left" w:leader="none"/>
        </w:tabs>
        <w:spacing w:before="0"/>
        <w:ind w:left="165" w:right="0" w:firstLine="0"/>
        <w:jc w:val="left"/>
        <w:rPr>
          <w:sz w:val="20"/>
        </w:rPr>
      </w:pPr>
      <w:bookmarkStart w:name="_bookmark1462" w:id="1464"/>
      <w:bookmarkEnd w:id="1464"/>
      <w:r>
        <w:rPr/>
      </w:r>
      <w:hyperlink w:history="true" w:anchor="_bookmark1259">
        <w:r>
          <w:rPr>
            <w:color w:val="005DA1"/>
            <w:spacing w:val="-4"/>
            <w:position w:val="5"/>
            <w:sz w:val="14"/>
            <w:u w:val="single" w:color="005DA1"/>
          </w:rPr>
          <w:t>731</w:t>
        </w:r>
      </w:hyperlink>
      <w:r>
        <w:rPr>
          <w:spacing w:val="-4"/>
          <w:position w:val="5"/>
          <w:sz w:val="14"/>
        </w:rPr>
        <w:t>.</w:t>
      </w:r>
      <w:r>
        <w:rPr>
          <w:position w:val="5"/>
          <w:sz w:val="14"/>
        </w:rPr>
        <w:tab/>
      </w:r>
      <w:r>
        <w:rPr>
          <w:rFonts w:ascii="Arial"/>
          <w:i/>
          <w:sz w:val="20"/>
        </w:rPr>
        <w:t>(1991)</w:t>
      </w:r>
      <w:r>
        <w:rPr>
          <w:rFonts w:ascii="Arial"/>
          <w:i/>
          <w:spacing w:val="-2"/>
          <w:sz w:val="20"/>
        </w:rPr>
        <w:t> </w:t>
      </w:r>
      <w:r>
        <w:rPr>
          <w:rFonts w:ascii="Arial"/>
          <w:i/>
          <w:sz w:val="20"/>
        </w:rPr>
        <w:t>S.L.T. </w:t>
      </w:r>
      <w:r>
        <w:rPr>
          <w:rFonts w:ascii="Arial"/>
          <w:i/>
          <w:spacing w:val="-4"/>
          <w:sz w:val="20"/>
        </w:rPr>
        <w:t>523</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63" w:id="1465"/>
      <w:bookmarkEnd w:id="1465"/>
      <w:r>
        <w:rPr/>
      </w:r>
      <w:hyperlink w:history="true" w:anchor="_bookmark1260">
        <w:r>
          <w:rPr>
            <w:color w:val="005DA1"/>
            <w:spacing w:val="-4"/>
            <w:position w:val="5"/>
            <w:sz w:val="14"/>
            <w:u w:val="single" w:color="005DA1"/>
          </w:rPr>
          <w:t>732</w:t>
        </w:r>
      </w:hyperlink>
      <w:r>
        <w:rPr>
          <w:spacing w:val="-4"/>
          <w:position w:val="5"/>
          <w:sz w:val="14"/>
        </w:rPr>
        <w:t>.</w:t>
      </w:r>
      <w:r>
        <w:rPr>
          <w:position w:val="5"/>
          <w:sz w:val="14"/>
        </w:rPr>
        <w:tab/>
      </w:r>
      <w:r>
        <w:rPr>
          <w:rFonts w:ascii="Arial"/>
          <w:i/>
          <w:sz w:val="20"/>
        </w:rPr>
        <w:t>[2010] UKSC 14, [2010] 1 W.L.R. </w:t>
      </w:r>
      <w:r>
        <w:rPr>
          <w:rFonts w:ascii="Arial"/>
          <w:i/>
          <w:spacing w:val="-4"/>
          <w:sz w:val="20"/>
        </w:rPr>
        <w:t>753</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261">
        <w:r>
          <w:rPr>
            <w:color w:val="005DA1"/>
            <w:spacing w:val="-4"/>
            <w:position w:val="5"/>
            <w:sz w:val="14"/>
            <w:u w:val="single" w:color="005DA1"/>
          </w:rPr>
          <w:t>733</w:t>
        </w:r>
      </w:hyperlink>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UKSC 14</w:t>
      </w:r>
      <w:r>
        <w:rPr>
          <w:rFonts w:ascii="Arial"/>
          <w:i/>
          <w:spacing w:val="-1"/>
          <w:sz w:val="20"/>
        </w:rPr>
        <w:t> </w:t>
      </w:r>
      <w:r>
        <w:rPr>
          <w:sz w:val="20"/>
        </w:rPr>
        <w:t>at </w:t>
      </w:r>
      <w:r>
        <w:rPr>
          <w:spacing w:val="-2"/>
          <w:sz w:val="20"/>
        </w:rPr>
        <w:t>[61].</w:t>
      </w:r>
    </w:p>
    <w:p>
      <w:pPr>
        <w:pStyle w:val="BodyText"/>
        <w:spacing w:before="9"/>
      </w:pPr>
    </w:p>
    <w:p>
      <w:pPr>
        <w:pStyle w:val="BodyText"/>
        <w:spacing w:line="235" w:lineRule="auto"/>
        <w:ind w:left="705" w:right="167" w:hanging="541"/>
        <w:jc w:val="both"/>
      </w:pPr>
      <w:bookmarkStart w:name="_bookmark1464" w:id="1466"/>
      <w:bookmarkEnd w:id="1466"/>
      <w:r>
        <w:rPr/>
      </w:r>
      <w:hyperlink w:history="true" w:anchor="_bookmark1261">
        <w:r>
          <w:rPr>
            <w:color w:val="005DA1"/>
            <w:position w:val="5"/>
            <w:sz w:val="14"/>
            <w:u w:val="single" w:color="005DA1"/>
          </w:rPr>
          <w:t>734</w:t>
        </w:r>
      </w:hyperlink>
      <w:r>
        <w:rPr>
          <w:position w:val="5"/>
          <w:sz w:val="14"/>
        </w:rPr>
        <w:t>.</w:t>
      </w:r>
      <w:r>
        <w:rPr>
          <w:spacing w:val="40"/>
          <w:position w:val="5"/>
          <w:sz w:val="14"/>
        </w:rPr>
        <w:t>  </w:t>
      </w:r>
      <w:r>
        <w:rPr>
          <w:rFonts w:ascii="Arial" w:hAnsi="Arial"/>
          <w:i/>
        </w:rPr>
        <w:t>[2010] UKSC 14 </w:t>
      </w:r>
      <w:r>
        <w:rPr/>
        <w:t>at [61]. And see </w:t>
      </w:r>
      <w:r>
        <w:rPr>
          <w:rFonts w:ascii="Arial" w:hAnsi="Arial"/>
          <w:i/>
        </w:rPr>
        <w:t>MRI Trading AG v Erdenet Mining Corporation LLC [2013] EWCA Civ 156, [2013] 1 Lloyd’s Rep. 638</w:t>
      </w:r>
      <w:r>
        <w:rPr/>
        <w:t>. In that case a “Settlement Agreement” left a number of issues (such as shipping schedules, treatment charges (TC) and refining charges (RC)) </w:t>
      </w:r>
      <w:r>
        <w:rPr/>
        <w:t>“to</w:t>
      </w:r>
      <w:r>
        <w:rPr>
          <w:spacing w:val="40"/>
        </w:rPr>
        <w:t> </w:t>
      </w:r>
      <w:r>
        <w:rPr/>
        <w:t>be</w:t>
      </w:r>
      <w:r>
        <w:rPr>
          <w:spacing w:val="-1"/>
        </w:rPr>
        <w:t> </w:t>
      </w:r>
      <w:r>
        <w:rPr/>
        <w:t>agreed”</w:t>
      </w:r>
      <w:r>
        <w:rPr>
          <w:spacing w:val="-1"/>
        </w:rPr>
        <w:t> </w:t>
      </w:r>
      <w:r>
        <w:rPr/>
        <w:t>between</w:t>
      </w:r>
      <w:r>
        <w:rPr>
          <w:spacing w:val="-1"/>
        </w:rPr>
        <w:t> </w:t>
      </w:r>
      <w:r>
        <w:rPr/>
        <w:t>the</w:t>
      </w:r>
      <w:r>
        <w:rPr>
          <w:spacing w:val="-1"/>
        </w:rPr>
        <w:t> </w:t>
      </w:r>
      <w:r>
        <w:rPr/>
        <w:t>parties.</w:t>
      </w:r>
      <w:r>
        <w:rPr>
          <w:spacing w:val="-1"/>
        </w:rPr>
        <w:t> </w:t>
      </w:r>
      <w:r>
        <w:rPr/>
        <w:t>Tomlinson</w:t>
      </w:r>
      <w:r>
        <w:rPr>
          <w:spacing w:val="-1"/>
        </w:rPr>
        <w:t> </w:t>
      </w:r>
      <w:r>
        <w:rPr/>
        <w:t>L.J.</w:t>
      </w:r>
      <w:r>
        <w:rPr>
          <w:spacing w:val="-1"/>
        </w:rPr>
        <w:t> </w:t>
      </w:r>
      <w:r>
        <w:rPr/>
        <w:t>held</w:t>
      </w:r>
      <w:r>
        <w:rPr>
          <w:spacing w:val="-1"/>
        </w:rPr>
        <w:t> </w:t>
      </w:r>
      <w:r>
        <w:rPr/>
        <w:t>the</w:t>
      </w:r>
      <w:r>
        <w:rPr>
          <w:spacing w:val="-1"/>
        </w:rPr>
        <w:t> </w:t>
      </w:r>
      <w:r>
        <w:rPr/>
        <w:t>settlement</w:t>
      </w:r>
      <w:r>
        <w:rPr>
          <w:spacing w:val="-1"/>
        </w:rPr>
        <w:t> </w:t>
      </w:r>
      <w:r>
        <w:rPr/>
        <w:t>to</w:t>
      </w:r>
      <w:r>
        <w:rPr>
          <w:spacing w:val="-1"/>
        </w:rPr>
        <w:t> </w:t>
      </w:r>
      <w:r>
        <w:rPr/>
        <w:t>be</w:t>
      </w:r>
      <w:r>
        <w:rPr>
          <w:spacing w:val="-1"/>
        </w:rPr>
        <w:t> </w:t>
      </w:r>
      <w:r>
        <w:rPr/>
        <w:t>enforceable</w:t>
      </w:r>
      <w:r>
        <w:rPr>
          <w:spacing w:val="-1"/>
        </w:rPr>
        <w:t> </w:t>
      </w:r>
      <w:r>
        <w:rPr/>
        <w:t>since</w:t>
      </w:r>
      <w:r>
        <w:rPr>
          <w:spacing w:val="-1"/>
        </w:rPr>
        <w:t> </w:t>
      </w:r>
      <w:r>
        <w:rPr/>
        <w:t>“the language used by the parties” showed that “they did not intend that” “they should remain free to agree</w:t>
      </w:r>
      <w:r>
        <w:rPr>
          <w:spacing w:val="-2"/>
        </w:rPr>
        <w:t> </w:t>
      </w:r>
      <w:r>
        <w:rPr/>
        <w:t>or</w:t>
      </w:r>
      <w:r>
        <w:rPr>
          <w:spacing w:val="-2"/>
        </w:rPr>
        <w:t> </w:t>
      </w:r>
      <w:r>
        <w:rPr/>
        <w:t>disagree”</w:t>
      </w:r>
      <w:r>
        <w:rPr>
          <w:spacing w:val="-2"/>
        </w:rPr>
        <w:t> </w:t>
      </w:r>
      <w:r>
        <w:rPr/>
        <w:t>about</w:t>
      </w:r>
      <w:r>
        <w:rPr>
          <w:spacing w:val="-2"/>
        </w:rPr>
        <w:t> </w:t>
      </w:r>
      <w:r>
        <w:rPr/>
        <w:t>the</w:t>
      </w:r>
      <w:r>
        <w:rPr>
          <w:spacing w:val="-2"/>
        </w:rPr>
        <w:t> </w:t>
      </w:r>
      <w:r>
        <w:rPr/>
        <w:t>points</w:t>
      </w:r>
      <w:r>
        <w:rPr>
          <w:spacing w:val="-2"/>
        </w:rPr>
        <w:t> </w:t>
      </w:r>
      <w:r>
        <w:rPr/>
        <w:t>which</w:t>
      </w:r>
      <w:r>
        <w:rPr>
          <w:spacing w:val="-2"/>
        </w:rPr>
        <w:t> </w:t>
      </w:r>
      <w:r>
        <w:rPr/>
        <w:t>were</w:t>
      </w:r>
      <w:r>
        <w:rPr>
          <w:spacing w:val="-2"/>
        </w:rPr>
        <w:t> </w:t>
      </w:r>
      <w:r>
        <w:rPr/>
        <w:t>“to</w:t>
      </w:r>
      <w:r>
        <w:rPr>
          <w:spacing w:val="-2"/>
        </w:rPr>
        <w:t> </w:t>
      </w:r>
      <w:r>
        <w:rPr/>
        <w:t>be</w:t>
      </w:r>
      <w:r>
        <w:rPr>
          <w:spacing w:val="-2"/>
        </w:rPr>
        <w:t> </w:t>
      </w:r>
      <w:r>
        <w:rPr/>
        <w:t>agreed”;</w:t>
      </w:r>
      <w:r>
        <w:rPr>
          <w:spacing w:val="-2"/>
        </w:rPr>
        <w:t> </w:t>
      </w:r>
      <w:r>
        <w:rPr/>
        <w:t>rather,</w:t>
      </w:r>
      <w:r>
        <w:rPr>
          <w:spacing w:val="-2"/>
        </w:rPr>
        <w:t> </w:t>
      </w:r>
      <w:r>
        <w:rPr/>
        <w:t>a</w:t>
      </w:r>
      <w:r>
        <w:rPr>
          <w:spacing w:val="-2"/>
        </w:rPr>
        <w:t> </w:t>
      </w:r>
      <w:r>
        <w:rPr/>
        <w:t>term</w:t>
      </w:r>
      <w:r>
        <w:rPr>
          <w:spacing w:val="-2"/>
        </w:rPr>
        <w:t> </w:t>
      </w:r>
      <w:r>
        <w:rPr/>
        <w:t>was</w:t>
      </w:r>
      <w:r>
        <w:rPr>
          <w:spacing w:val="-2"/>
        </w:rPr>
        <w:t> </w:t>
      </w:r>
      <w:r>
        <w:rPr/>
        <w:t>“to</w:t>
      </w:r>
      <w:r>
        <w:rPr>
          <w:spacing w:val="-2"/>
        </w:rPr>
        <w:t> </w:t>
      </w:r>
      <w:r>
        <w:rPr/>
        <w:t>be</w:t>
      </w:r>
      <w:r>
        <w:rPr>
          <w:spacing w:val="-2"/>
        </w:rPr>
        <w:t> </w:t>
      </w:r>
      <w:r>
        <w:rPr/>
        <w:t>implied that</w:t>
      </w:r>
      <w:r>
        <w:rPr>
          <w:spacing w:val="3"/>
        </w:rPr>
        <w:t> </w:t>
      </w:r>
      <w:r>
        <w:rPr/>
        <w:t>the</w:t>
      </w:r>
      <w:r>
        <w:rPr>
          <w:spacing w:val="5"/>
        </w:rPr>
        <w:t> </w:t>
      </w:r>
      <w:r>
        <w:rPr/>
        <w:t>TC/RC</w:t>
      </w:r>
      <w:r>
        <w:rPr>
          <w:spacing w:val="5"/>
        </w:rPr>
        <w:t> </w:t>
      </w:r>
      <w:r>
        <w:rPr/>
        <w:t>and</w:t>
      </w:r>
      <w:r>
        <w:rPr>
          <w:spacing w:val="5"/>
        </w:rPr>
        <w:t> </w:t>
      </w:r>
      <w:r>
        <w:rPr/>
        <w:t>shipping</w:t>
      </w:r>
      <w:r>
        <w:rPr>
          <w:spacing w:val="5"/>
        </w:rPr>
        <w:t> </w:t>
      </w:r>
      <w:r>
        <w:rPr/>
        <w:t>schedule</w:t>
      </w:r>
      <w:r>
        <w:rPr>
          <w:spacing w:val="5"/>
        </w:rPr>
        <w:t> </w:t>
      </w:r>
      <w:r>
        <w:rPr/>
        <w:t>shall</w:t>
      </w:r>
      <w:r>
        <w:rPr>
          <w:spacing w:val="5"/>
        </w:rPr>
        <w:t> </w:t>
      </w:r>
      <w:r>
        <w:rPr/>
        <w:t>be</w:t>
      </w:r>
      <w:r>
        <w:rPr>
          <w:spacing w:val="5"/>
        </w:rPr>
        <w:t> </w:t>
      </w:r>
      <w:r>
        <w:rPr/>
        <w:t>reasonable,</w:t>
      </w:r>
      <w:r>
        <w:rPr>
          <w:spacing w:val="5"/>
        </w:rPr>
        <w:t> </w:t>
      </w:r>
      <w:r>
        <w:rPr/>
        <w:t>and</w:t>
      </w:r>
      <w:r>
        <w:rPr>
          <w:spacing w:val="5"/>
        </w:rPr>
        <w:t> </w:t>
      </w:r>
      <w:r>
        <w:rPr/>
        <w:t>that</w:t>
      </w:r>
      <w:r>
        <w:rPr>
          <w:spacing w:val="5"/>
        </w:rPr>
        <w:t> </w:t>
      </w:r>
      <w:r>
        <w:rPr/>
        <w:t>in</w:t>
      </w:r>
      <w:r>
        <w:rPr>
          <w:spacing w:val="5"/>
        </w:rPr>
        <w:t> </w:t>
      </w:r>
      <w:r>
        <w:rPr/>
        <w:t>the</w:t>
      </w:r>
      <w:r>
        <w:rPr>
          <w:spacing w:val="5"/>
        </w:rPr>
        <w:t> </w:t>
      </w:r>
      <w:r>
        <w:rPr/>
        <w:t>event</w:t>
      </w:r>
      <w:r>
        <w:rPr>
          <w:spacing w:val="5"/>
        </w:rPr>
        <w:t> </w:t>
      </w:r>
      <w:r>
        <w:rPr/>
        <w:t>of</w:t>
      </w:r>
      <w:r>
        <w:rPr>
          <w:spacing w:val="5"/>
        </w:rPr>
        <w:t> </w:t>
      </w:r>
      <w:r>
        <w:rPr/>
        <w:t>any</w:t>
      </w:r>
      <w:r>
        <w:rPr>
          <w:spacing w:val="5"/>
        </w:rPr>
        <w:t> </w:t>
      </w:r>
      <w:r>
        <w:rPr>
          <w:spacing w:val="-2"/>
        </w:rPr>
        <w:t>dispute</w:t>
      </w:r>
    </w:p>
    <w:p>
      <w:pPr>
        <w:spacing w:line="235" w:lineRule="auto" w:before="0"/>
        <w:ind w:left="705" w:right="167" w:firstLine="0"/>
        <w:jc w:val="both"/>
        <w:rPr>
          <w:rFonts w:ascii="Arial" w:hAnsi="Arial"/>
          <w:i/>
          <w:sz w:val="20"/>
        </w:rPr>
      </w:pPr>
      <w:r>
        <w:rPr>
          <w:sz w:val="20"/>
        </w:rPr>
        <w:t>… [the matter was] to be determined by arbitration” (at [19]). At [20]–[22] Tomlinson </w:t>
      </w:r>
      <w:r>
        <w:rPr>
          <w:sz w:val="20"/>
        </w:rPr>
        <w:t>L.J. expressed</w:t>
      </w:r>
      <w:r>
        <w:rPr>
          <w:spacing w:val="-1"/>
          <w:sz w:val="20"/>
        </w:rPr>
        <w:t> </w:t>
      </w:r>
      <w:r>
        <w:rPr>
          <w:sz w:val="20"/>
        </w:rPr>
        <w:t>his</w:t>
      </w:r>
      <w:r>
        <w:rPr>
          <w:spacing w:val="-1"/>
          <w:sz w:val="20"/>
        </w:rPr>
        <w:t> </w:t>
      </w:r>
      <w:r>
        <w:rPr>
          <w:sz w:val="20"/>
        </w:rPr>
        <w:t>agreement</w:t>
      </w:r>
      <w:r>
        <w:rPr>
          <w:spacing w:val="-1"/>
          <w:sz w:val="20"/>
        </w:rPr>
        <w:t> </w:t>
      </w:r>
      <w:r>
        <w:rPr>
          <w:sz w:val="20"/>
        </w:rPr>
        <w:t>with</w:t>
      </w:r>
      <w:r>
        <w:rPr>
          <w:spacing w:val="-1"/>
          <w:sz w:val="20"/>
        </w:rPr>
        <w:t> </w:t>
      </w:r>
      <w:r>
        <w:rPr>
          <w:sz w:val="20"/>
        </w:rPr>
        <w:t>Eder</w:t>
      </w:r>
      <w:r>
        <w:rPr>
          <w:spacing w:val="-1"/>
          <w:sz w:val="20"/>
        </w:rPr>
        <w:t> </w:t>
      </w:r>
      <w:r>
        <w:rPr>
          <w:sz w:val="20"/>
        </w:rPr>
        <w:t>J.</w:t>
      </w:r>
      <w:r>
        <w:rPr>
          <w:spacing w:val="-1"/>
          <w:sz w:val="20"/>
        </w:rPr>
        <w:t> </w:t>
      </w:r>
      <w:r>
        <w:rPr>
          <w:sz w:val="20"/>
        </w:rPr>
        <w:t>who</w:t>
      </w:r>
      <w:r>
        <w:rPr>
          <w:spacing w:val="-1"/>
          <w:sz w:val="20"/>
        </w:rPr>
        <w:t> </w:t>
      </w:r>
      <w:r>
        <w:rPr>
          <w:sz w:val="20"/>
        </w:rPr>
        <w:t>had,</w:t>
      </w:r>
      <w:r>
        <w:rPr>
          <w:spacing w:val="-1"/>
          <w:sz w:val="20"/>
        </w:rPr>
        <w:t> </w:t>
      </w:r>
      <w:r>
        <w:rPr>
          <w:sz w:val="20"/>
        </w:rPr>
        <w:t>in</w:t>
      </w:r>
      <w:r>
        <w:rPr>
          <w:spacing w:val="-1"/>
          <w:sz w:val="20"/>
        </w:rPr>
        <w:t> </w:t>
      </w:r>
      <w:r>
        <w:rPr>
          <w:sz w:val="20"/>
        </w:rPr>
        <w:t>the</w:t>
      </w:r>
      <w:r>
        <w:rPr>
          <w:spacing w:val="-1"/>
          <w:sz w:val="20"/>
        </w:rPr>
        <w:t> </w:t>
      </w:r>
      <w:r>
        <w:rPr>
          <w:sz w:val="20"/>
        </w:rPr>
        <w:t>court</w:t>
      </w:r>
      <w:r>
        <w:rPr>
          <w:spacing w:val="-1"/>
          <w:sz w:val="20"/>
        </w:rPr>
        <w:t> </w:t>
      </w:r>
      <w:r>
        <w:rPr>
          <w:sz w:val="20"/>
        </w:rPr>
        <w:t>below</w:t>
      </w:r>
      <w:r>
        <w:rPr>
          <w:spacing w:val="-2"/>
          <w:sz w:val="20"/>
        </w:rPr>
        <w:t> </w:t>
      </w:r>
      <w:r>
        <w:rPr>
          <w:rFonts w:ascii="Arial" w:hAnsi="Arial"/>
          <w:i/>
          <w:sz w:val="20"/>
        </w:rPr>
        <w:t>[2012]</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1988,</w:t>
      </w:r>
      <w:r>
        <w:rPr>
          <w:rFonts w:ascii="Arial" w:hAnsi="Arial"/>
          <w:i/>
          <w:spacing w:val="-1"/>
          <w:sz w:val="20"/>
        </w:rPr>
        <w:t> </w:t>
      </w:r>
      <w:r>
        <w:rPr>
          <w:rFonts w:ascii="Arial" w:hAnsi="Arial"/>
          <w:i/>
          <w:sz w:val="20"/>
        </w:rPr>
        <w:t>[2012]</w:t>
      </w:r>
      <w:r>
        <w:rPr>
          <w:rFonts w:ascii="Arial" w:hAnsi="Arial"/>
          <w:i/>
          <w:spacing w:val="-1"/>
          <w:sz w:val="20"/>
        </w:rPr>
        <w:t> </w:t>
      </w:r>
      <w:r>
        <w:rPr>
          <w:rFonts w:ascii="Arial" w:hAnsi="Arial"/>
          <w:i/>
          <w:sz w:val="20"/>
        </w:rPr>
        <w:t>2 Lloyd’s Rep. 638</w:t>
      </w:r>
      <w:r>
        <w:rPr>
          <w:rFonts w:ascii="Arial" w:hAnsi="Arial"/>
          <w:i/>
          <w:spacing w:val="-1"/>
          <w:sz w:val="20"/>
        </w:rPr>
        <w:t> </w:t>
      </w:r>
      <w:r>
        <w:rPr>
          <w:sz w:val="20"/>
        </w:rPr>
        <w:t>at [30] and [31] relied on the mandatory language and other expressions used by the parties to show that the parties intended the agreements in question to be legally</w:t>
      </w:r>
      <w:r>
        <w:rPr>
          <w:spacing w:val="40"/>
          <w:sz w:val="20"/>
        </w:rPr>
        <w:t> </w:t>
      </w:r>
      <w:r>
        <w:rPr>
          <w:sz w:val="20"/>
        </w:rPr>
        <w:t>binding. For the application of the standard of reasonableness, cf. para.2-135 at n.704. See</w:t>
      </w:r>
      <w:r>
        <w:rPr>
          <w:spacing w:val="40"/>
          <w:sz w:val="20"/>
        </w:rPr>
        <w:t> </w:t>
      </w:r>
      <w:r>
        <w:rPr>
          <w:sz w:val="20"/>
        </w:rPr>
        <w:t>also</w:t>
      </w:r>
      <w:r>
        <w:rPr>
          <w:spacing w:val="14"/>
          <w:sz w:val="20"/>
        </w:rPr>
        <w:t> </w:t>
      </w:r>
      <w:r>
        <w:rPr>
          <w:rFonts w:ascii="Arial" w:hAnsi="Arial"/>
          <w:i/>
          <w:sz w:val="20"/>
        </w:rPr>
        <w:t>Glencore</w:t>
      </w:r>
      <w:r>
        <w:rPr>
          <w:rFonts w:ascii="Arial" w:hAnsi="Arial"/>
          <w:i/>
          <w:spacing w:val="14"/>
          <w:sz w:val="20"/>
        </w:rPr>
        <w:t> </w:t>
      </w:r>
      <w:r>
        <w:rPr>
          <w:rFonts w:ascii="Arial" w:hAnsi="Arial"/>
          <w:i/>
          <w:sz w:val="20"/>
        </w:rPr>
        <w:t>Energy</w:t>
      </w:r>
      <w:r>
        <w:rPr>
          <w:rFonts w:ascii="Arial" w:hAnsi="Arial"/>
          <w:i/>
          <w:spacing w:val="14"/>
          <w:sz w:val="20"/>
        </w:rPr>
        <w:t> </w:t>
      </w:r>
      <w:r>
        <w:rPr>
          <w:rFonts w:ascii="Arial" w:hAnsi="Arial"/>
          <w:i/>
          <w:sz w:val="20"/>
        </w:rPr>
        <w:t>UK</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v</w:t>
      </w:r>
      <w:r>
        <w:rPr>
          <w:rFonts w:ascii="Arial" w:hAnsi="Arial"/>
          <w:i/>
          <w:spacing w:val="14"/>
          <w:sz w:val="20"/>
        </w:rPr>
        <w:t> </w:t>
      </w:r>
      <w:r>
        <w:rPr>
          <w:rFonts w:ascii="Arial" w:hAnsi="Arial"/>
          <w:i/>
          <w:sz w:val="20"/>
        </w:rPr>
        <w:t>Cirrus</w:t>
      </w:r>
      <w:r>
        <w:rPr>
          <w:rFonts w:ascii="Arial" w:hAnsi="Arial"/>
          <w:i/>
          <w:spacing w:val="14"/>
          <w:sz w:val="20"/>
        </w:rPr>
        <w:t> </w:t>
      </w:r>
      <w:r>
        <w:rPr>
          <w:rFonts w:ascii="Arial" w:hAnsi="Arial"/>
          <w:i/>
          <w:sz w:val="20"/>
        </w:rPr>
        <w:t>Oil</w:t>
      </w:r>
      <w:r>
        <w:rPr>
          <w:rFonts w:ascii="Arial" w:hAnsi="Arial"/>
          <w:i/>
          <w:spacing w:val="14"/>
          <w:sz w:val="20"/>
        </w:rPr>
        <w:t> </w:t>
      </w:r>
      <w:r>
        <w:rPr>
          <w:rFonts w:ascii="Arial" w:hAnsi="Arial"/>
          <w:i/>
          <w:sz w:val="20"/>
        </w:rPr>
        <w:t>Services</w:t>
      </w:r>
      <w:r>
        <w:rPr>
          <w:rFonts w:ascii="Arial" w:hAnsi="Arial"/>
          <w:i/>
          <w:spacing w:val="14"/>
          <w:sz w:val="20"/>
        </w:rPr>
        <w:t> </w:t>
      </w:r>
      <w:r>
        <w:rPr>
          <w:rFonts w:ascii="Arial" w:hAnsi="Arial"/>
          <w:i/>
          <w:sz w:val="20"/>
        </w:rPr>
        <w:t>Ltd</w:t>
      </w:r>
      <w:r>
        <w:rPr>
          <w:rFonts w:ascii="Arial" w:hAnsi="Arial"/>
          <w:i/>
          <w:spacing w:val="14"/>
          <w:sz w:val="20"/>
        </w:rPr>
        <w:t> </w:t>
      </w:r>
      <w:r>
        <w:rPr>
          <w:rFonts w:ascii="Arial" w:hAnsi="Arial"/>
          <w:i/>
          <w:sz w:val="20"/>
        </w:rPr>
        <w:t>[2014]</w:t>
      </w:r>
      <w:r>
        <w:rPr>
          <w:rFonts w:ascii="Arial" w:hAnsi="Arial"/>
          <w:i/>
          <w:spacing w:val="14"/>
          <w:sz w:val="20"/>
        </w:rPr>
        <w:t> </w:t>
      </w:r>
      <w:r>
        <w:rPr>
          <w:rFonts w:ascii="Arial" w:hAnsi="Arial"/>
          <w:i/>
          <w:sz w:val="20"/>
        </w:rPr>
        <w:t>EWHC</w:t>
      </w:r>
      <w:r>
        <w:rPr>
          <w:rFonts w:ascii="Arial" w:hAnsi="Arial"/>
          <w:i/>
          <w:spacing w:val="14"/>
          <w:sz w:val="20"/>
        </w:rPr>
        <w:t> </w:t>
      </w:r>
      <w:r>
        <w:rPr>
          <w:rFonts w:ascii="Arial" w:hAnsi="Arial"/>
          <w:i/>
          <w:sz w:val="20"/>
        </w:rPr>
        <w:t>87</w:t>
      </w:r>
      <w:r>
        <w:rPr>
          <w:rFonts w:ascii="Arial" w:hAnsi="Arial"/>
          <w:i/>
          <w:spacing w:val="14"/>
          <w:sz w:val="20"/>
        </w:rPr>
        <w:t> </w:t>
      </w:r>
      <w:r>
        <w:rPr>
          <w:rFonts w:ascii="Arial" w:hAnsi="Arial"/>
          <w:i/>
          <w:sz w:val="20"/>
        </w:rPr>
        <w:t>(Comm),</w:t>
      </w:r>
      <w:r>
        <w:rPr>
          <w:rFonts w:ascii="Arial" w:hAnsi="Arial"/>
          <w:i/>
          <w:spacing w:val="14"/>
          <w:sz w:val="20"/>
        </w:rPr>
        <w:t> </w:t>
      </w:r>
      <w:r>
        <w:rPr>
          <w:rFonts w:ascii="Arial" w:hAnsi="Arial"/>
          <w:i/>
          <w:sz w:val="20"/>
        </w:rPr>
        <w:t>[2014]</w:t>
      </w:r>
      <w:r>
        <w:rPr>
          <w:rFonts w:ascii="Arial" w:hAnsi="Arial"/>
          <w:i/>
          <w:spacing w:val="14"/>
          <w:sz w:val="20"/>
        </w:rPr>
        <w:t> </w:t>
      </w:r>
      <w:r>
        <w:rPr>
          <w:rFonts w:ascii="Arial" w:hAnsi="Arial"/>
          <w:i/>
          <w:sz w:val="20"/>
        </w:rPr>
        <w:t>1</w:t>
      </w:r>
      <w:r>
        <w:rPr>
          <w:rFonts w:ascii="Arial" w:hAnsi="Arial"/>
          <w:i/>
          <w:spacing w:val="14"/>
          <w:sz w:val="20"/>
        </w:rPr>
        <w:t> </w:t>
      </w:r>
      <w:r>
        <w:rPr>
          <w:rFonts w:ascii="Arial" w:hAnsi="Arial"/>
          <w:i/>
          <w:spacing w:val="-5"/>
          <w:sz w:val="20"/>
        </w:rPr>
        <w:t>All</w:t>
      </w:r>
    </w:p>
    <w:p>
      <w:pPr>
        <w:pStyle w:val="BodyText"/>
        <w:spacing w:line="235" w:lineRule="auto"/>
        <w:ind w:left="705" w:right="167"/>
        <w:jc w:val="both"/>
      </w:pPr>
      <w:r>
        <w:rPr>
          <w:rFonts w:ascii="Arial" w:hAnsi="Arial"/>
          <w:i/>
        </w:rPr>
        <w:t>E.R. (Comm) 513 </w:t>
      </w:r>
      <w:r>
        <w:rPr/>
        <w:t>at [61], [64], where acceptance of an offer (see paras 2-003, 2-027) was </w:t>
      </w:r>
      <w:r>
        <w:rPr/>
        <w:t>held to have concluded a contract even though the acceptance envisaged further “fine tuning” of detailed terms.</w:t>
      </w:r>
    </w:p>
    <w:p>
      <w:pPr>
        <w:pStyle w:val="BodyText"/>
        <w:spacing w:before="4"/>
      </w:pPr>
    </w:p>
    <w:p>
      <w:pPr>
        <w:spacing w:line="235" w:lineRule="auto" w:before="0"/>
        <w:ind w:left="705" w:right="167" w:hanging="541"/>
        <w:jc w:val="both"/>
        <w:rPr>
          <w:sz w:val="20"/>
        </w:rPr>
      </w:pPr>
      <w:bookmarkStart w:name="_bookmark1465" w:id="1467"/>
      <w:bookmarkEnd w:id="1467"/>
      <w:r>
        <w:rPr/>
      </w:r>
      <w:hyperlink w:history="true" w:anchor="_bookmark1262">
        <w:r>
          <w:rPr>
            <w:color w:val="005DA1"/>
            <w:position w:val="5"/>
            <w:sz w:val="14"/>
            <w:u w:val="single" w:color="005DA1"/>
          </w:rPr>
          <w:t>735</w:t>
        </w:r>
      </w:hyperlink>
      <w:r>
        <w:rPr>
          <w:position w:val="5"/>
          <w:sz w:val="14"/>
        </w:rPr>
        <w:t>.</w:t>
      </w:r>
      <w:r>
        <w:rPr>
          <w:spacing w:val="80"/>
          <w:position w:val="5"/>
          <w:sz w:val="14"/>
        </w:rPr>
        <w:t>  </w:t>
      </w:r>
      <w:r>
        <w:rPr>
          <w:rFonts w:ascii="Arial" w:hAnsi="Arial"/>
          <w:i/>
          <w:sz w:val="20"/>
        </w:rPr>
        <w:t>Gliksten &amp; Son Ltd v State Assurance Co (1922) 10 Ll.L. Rep. 604</w:t>
      </w:r>
      <w:r>
        <w:rPr>
          <w:sz w:val="20"/>
        </w:rPr>
        <w:t>; cf. Marine Insurance Act 1906 s.31(2); and </w:t>
      </w:r>
      <w:r>
        <w:rPr>
          <w:rFonts w:ascii="Arial" w:hAnsi="Arial"/>
          <w:i/>
          <w:sz w:val="20"/>
        </w:rPr>
        <w:t>American Airline Inc v Hope [1973] 1 Lloyd’s Rep. 233; affirmed [1974] </w:t>
      </w:r>
      <w:r>
        <w:rPr>
          <w:rFonts w:ascii="Arial" w:hAnsi="Arial"/>
          <w:i/>
          <w:sz w:val="20"/>
        </w:rPr>
        <w:t>2 Lloyd’s Rep. 301 </w:t>
      </w:r>
      <w:r>
        <w:rPr>
          <w:sz w:val="20"/>
        </w:rPr>
        <w:t>(“at an additional premium </w:t>
      </w:r>
      <w:r>
        <w:rPr>
          <w:rFonts w:ascii="Arial" w:hAnsi="Arial"/>
          <w:i/>
          <w:sz w:val="20"/>
        </w:rPr>
        <w:t>and geographical area </w:t>
      </w:r>
      <w:r>
        <w:rPr>
          <w:sz w:val="20"/>
        </w:rPr>
        <w:t>to be agreed”).</w:t>
      </w:r>
    </w:p>
    <w:p>
      <w:pPr>
        <w:pStyle w:val="BodyText"/>
        <w:spacing w:before="9"/>
      </w:pPr>
    </w:p>
    <w:p>
      <w:pPr>
        <w:spacing w:line="235" w:lineRule="auto" w:before="0"/>
        <w:ind w:left="705" w:right="168" w:hanging="541"/>
        <w:jc w:val="both"/>
        <w:rPr>
          <w:rFonts w:ascii="Arial" w:hAnsi="Arial"/>
          <w:i/>
          <w:sz w:val="20"/>
        </w:rPr>
      </w:pPr>
      <w:bookmarkStart w:name="_bookmark1466" w:id="1468"/>
      <w:bookmarkEnd w:id="1468"/>
      <w:r>
        <w:rPr/>
      </w:r>
      <w:hyperlink w:history="true" w:anchor="_bookmark1263">
        <w:r>
          <w:rPr>
            <w:color w:val="005DA1"/>
            <w:position w:val="5"/>
            <w:sz w:val="14"/>
            <w:u w:val="single" w:color="005DA1"/>
          </w:rPr>
          <w:t>736</w:t>
        </w:r>
      </w:hyperlink>
      <w:r>
        <w:rPr>
          <w:position w:val="5"/>
          <w:sz w:val="14"/>
        </w:rPr>
        <w:t>.</w:t>
      </w:r>
      <w:r>
        <w:rPr>
          <w:spacing w:val="80"/>
          <w:position w:val="5"/>
          <w:sz w:val="14"/>
        </w:rPr>
        <w:t>  </w:t>
      </w:r>
      <w:r>
        <w:rPr>
          <w:sz w:val="20"/>
        </w:rPr>
        <w:t>e.g. </w:t>
      </w:r>
      <w:r>
        <w:rPr>
          <w:rFonts w:ascii="Arial" w:hAnsi="Arial"/>
          <w:i/>
          <w:sz w:val="20"/>
        </w:rPr>
        <w:t>Shakleford’s Case (1866) L.R. 1 Ch. App. 567</w:t>
      </w:r>
      <w:r>
        <w:rPr>
          <w:sz w:val="20"/>
        </w:rPr>
        <w:t>; </w:t>
      </w:r>
      <w:r>
        <w:rPr>
          <w:rFonts w:ascii="Arial" w:hAnsi="Arial"/>
          <w:i/>
          <w:sz w:val="20"/>
        </w:rPr>
        <w:t>Bertel v Neveux (1878) 39 L.T. 257</w:t>
      </w:r>
      <w:r>
        <w:rPr>
          <w:sz w:val="20"/>
        </w:rPr>
        <w:t>; </w:t>
      </w:r>
      <w:r>
        <w:rPr>
          <w:rFonts w:ascii="Arial" w:hAnsi="Arial"/>
          <w:i/>
          <w:sz w:val="20"/>
        </w:rPr>
        <w:t>Loftus</w:t>
      </w:r>
      <w:r>
        <w:rPr>
          <w:rFonts w:ascii="Arial" w:hAnsi="Arial"/>
          <w:i/>
          <w:spacing w:val="80"/>
          <w:sz w:val="20"/>
        </w:rPr>
        <w:t> </w:t>
      </w:r>
      <w:r>
        <w:rPr>
          <w:rFonts w:ascii="Arial" w:hAnsi="Arial"/>
          <w:i/>
          <w:sz w:val="20"/>
        </w:rPr>
        <w:t>v Roberts (1902) 18 T.L.R. 532</w:t>
      </w:r>
      <w:r>
        <w:rPr>
          <w:sz w:val="20"/>
        </w:rPr>
        <w:t>; </w:t>
      </w:r>
      <w:r>
        <w:rPr>
          <w:rFonts w:ascii="Arial" w:hAnsi="Arial"/>
          <w:i/>
          <w:sz w:val="20"/>
        </w:rPr>
        <w:t>Hofflinghouse SpA v C-Trade SA (The Intra Transporter)</w:t>
      </w:r>
      <w:r>
        <w:rPr>
          <w:rFonts w:ascii="Arial" w:hAnsi="Arial"/>
          <w:i/>
          <w:spacing w:val="40"/>
          <w:sz w:val="20"/>
        </w:rPr>
        <w:t> </w:t>
      </w:r>
      <w:r>
        <w:rPr>
          <w:rFonts w:ascii="Arial" w:hAnsi="Arial"/>
          <w:i/>
          <w:sz w:val="20"/>
        </w:rPr>
        <w:t>[1986]</w:t>
      </w:r>
      <w:r>
        <w:rPr>
          <w:rFonts w:ascii="Arial" w:hAnsi="Arial"/>
          <w:i/>
          <w:spacing w:val="45"/>
          <w:sz w:val="20"/>
        </w:rPr>
        <w:t> </w:t>
      </w:r>
      <w:r>
        <w:rPr>
          <w:rFonts w:ascii="Arial" w:hAnsi="Arial"/>
          <w:i/>
          <w:sz w:val="20"/>
        </w:rPr>
        <w:t>2</w:t>
      </w:r>
      <w:r>
        <w:rPr>
          <w:rFonts w:ascii="Arial" w:hAnsi="Arial"/>
          <w:i/>
          <w:spacing w:val="46"/>
          <w:sz w:val="20"/>
        </w:rPr>
        <w:t> </w:t>
      </w:r>
      <w:r>
        <w:rPr>
          <w:rFonts w:ascii="Arial" w:hAnsi="Arial"/>
          <w:i/>
          <w:sz w:val="20"/>
        </w:rPr>
        <w:t>Lloyd’s</w:t>
      </w:r>
      <w:r>
        <w:rPr>
          <w:rFonts w:ascii="Arial" w:hAnsi="Arial"/>
          <w:i/>
          <w:spacing w:val="46"/>
          <w:sz w:val="20"/>
        </w:rPr>
        <w:t> </w:t>
      </w:r>
      <w:r>
        <w:rPr>
          <w:rFonts w:ascii="Arial" w:hAnsi="Arial"/>
          <w:i/>
          <w:sz w:val="20"/>
        </w:rPr>
        <w:t>Rep.</w:t>
      </w:r>
      <w:r>
        <w:rPr>
          <w:rFonts w:ascii="Arial" w:hAnsi="Arial"/>
          <w:i/>
          <w:spacing w:val="46"/>
          <w:sz w:val="20"/>
        </w:rPr>
        <w:t> </w:t>
      </w:r>
      <w:r>
        <w:rPr>
          <w:rFonts w:ascii="Arial" w:hAnsi="Arial"/>
          <w:i/>
          <w:sz w:val="20"/>
        </w:rPr>
        <w:t>132</w:t>
      </w:r>
      <w:r>
        <w:rPr>
          <w:sz w:val="20"/>
        </w:rPr>
        <w:t>;</w:t>
      </w:r>
      <w:r>
        <w:rPr>
          <w:spacing w:val="46"/>
          <w:sz w:val="20"/>
        </w:rPr>
        <w:t> </w:t>
      </w:r>
      <w:r>
        <w:rPr>
          <w:rFonts w:ascii="Arial" w:hAnsi="Arial"/>
          <w:i/>
          <w:sz w:val="20"/>
        </w:rPr>
        <w:t>Pagnan</w:t>
      </w:r>
      <w:r>
        <w:rPr>
          <w:rFonts w:ascii="Arial" w:hAnsi="Arial"/>
          <w:i/>
          <w:spacing w:val="46"/>
          <w:sz w:val="20"/>
        </w:rPr>
        <w:t> </w:t>
      </w:r>
      <w:r>
        <w:rPr>
          <w:rFonts w:ascii="Arial" w:hAnsi="Arial"/>
          <w:i/>
          <w:sz w:val="20"/>
        </w:rPr>
        <w:t>SpA</w:t>
      </w:r>
      <w:r>
        <w:rPr>
          <w:rFonts w:ascii="Arial" w:hAnsi="Arial"/>
          <w:i/>
          <w:spacing w:val="46"/>
          <w:sz w:val="20"/>
        </w:rPr>
        <w:t> </w:t>
      </w:r>
      <w:r>
        <w:rPr>
          <w:rFonts w:ascii="Arial" w:hAnsi="Arial"/>
          <w:i/>
          <w:sz w:val="20"/>
        </w:rPr>
        <w:t>v</w:t>
      </w:r>
      <w:r>
        <w:rPr>
          <w:rFonts w:ascii="Arial" w:hAnsi="Arial"/>
          <w:i/>
          <w:spacing w:val="45"/>
          <w:sz w:val="20"/>
        </w:rPr>
        <w:t> </w:t>
      </w:r>
      <w:r>
        <w:rPr>
          <w:rFonts w:ascii="Arial" w:hAnsi="Arial"/>
          <w:i/>
          <w:sz w:val="20"/>
        </w:rPr>
        <w:t>Granaria</w:t>
      </w:r>
      <w:r>
        <w:rPr>
          <w:rFonts w:ascii="Arial" w:hAnsi="Arial"/>
          <w:i/>
          <w:spacing w:val="46"/>
          <w:sz w:val="20"/>
        </w:rPr>
        <w:t> </w:t>
      </w:r>
      <w:r>
        <w:rPr>
          <w:rFonts w:ascii="Arial" w:hAnsi="Arial"/>
          <w:i/>
          <w:sz w:val="20"/>
        </w:rPr>
        <w:t>BV</w:t>
      </w:r>
      <w:r>
        <w:rPr>
          <w:rFonts w:ascii="Arial" w:hAnsi="Arial"/>
          <w:i/>
          <w:spacing w:val="46"/>
          <w:sz w:val="20"/>
        </w:rPr>
        <w:t> </w:t>
      </w:r>
      <w:r>
        <w:rPr>
          <w:rFonts w:ascii="Arial" w:hAnsi="Arial"/>
          <w:i/>
          <w:sz w:val="20"/>
        </w:rPr>
        <w:t>[1986]</w:t>
      </w:r>
      <w:r>
        <w:rPr>
          <w:rFonts w:ascii="Arial" w:hAnsi="Arial"/>
          <w:i/>
          <w:spacing w:val="46"/>
          <w:sz w:val="20"/>
        </w:rPr>
        <w:t> </w:t>
      </w:r>
      <w:r>
        <w:rPr>
          <w:rFonts w:ascii="Arial" w:hAnsi="Arial"/>
          <w:i/>
          <w:sz w:val="20"/>
        </w:rPr>
        <w:t>2</w:t>
      </w:r>
      <w:r>
        <w:rPr>
          <w:rFonts w:ascii="Arial" w:hAnsi="Arial"/>
          <w:i/>
          <w:spacing w:val="46"/>
          <w:sz w:val="20"/>
        </w:rPr>
        <w:t> </w:t>
      </w:r>
      <w:r>
        <w:rPr>
          <w:rFonts w:ascii="Arial" w:hAnsi="Arial"/>
          <w:i/>
          <w:sz w:val="20"/>
        </w:rPr>
        <w:t>Lloyd’s</w:t>
      </w:r>
      <w:r>
        <w:rPr>
          <w:rFonts w:ascii="Arial" w:hAnsi="Arial"/>
          <w:i/>
          <w:spacing w:val="46"/>
          <w:sz w:val="20"/>
        </w:rPr>
        <w:t> </w:t>
      </w:r>
      <w:r>
        <w:rPr>
          <w:rFonts w:ascii="Arial" w:hAnsi="Arial"/>
          <w:i/>
          <w:sz w:val="20"/>
        </w:rPr>
        <w:t>Rep.</w:t>
      </w:r>
      <w:r>
        <w:rPr>
          <w:rFonts w:ascii="Arial" w:hAnsi="Arial"/>
          <w:i/>
          <w:spacing w:val="46"/>
          <w:sz w:val="20"/>
        </w:rPr>
        <w:t> </w:t>
      </w:r>
      <w:r>
        <w:rPr>
          <w:rFonts w:ascii="Arial" w:hAnsi="Arial"/>
          <w:i/>
          <w:sz w:val="20"/>
        </w:rPr>
        <w:t>547</w:t>
      </w:r>
      <w:r>
        <w:rPr>
          <w:sz w:val="20"/>
        </w:rPr>
        <w:t>;</w:t>
      </w:r>
      <w:r>
        <w:rPr>
          <w:spacing w:val="46"/>
          <w:sz w:val="20"/>
        </w:rPr>
        <w:t> </w:t>
      </w:r>
      <w:r>
        <w:rPr>
          <w:rFonts w:ascii="Arial" w:hAnsi="Arial"/>
          <w:i/>
          <w:spacing w:val="-2"/>
          <w:sz w:val="20"/>
        </w:rPr>
        <w:t>Alfred</w:t>
      </w:r>
    </w:p>
    <w:p>
      <w:pPr>
        <w:spacing w:line="223" w:lineRule="exact" w:before="0"/>
        <w:ind w:left="705" w:right="0" w:firstLine="0"/>
        <w:jc w:val="both"/>
        <w:rPr>
          <w:sz w:val="20"/>
        </w:rPr>
      </w:pPr>
      <w:r>
        <w:rPr>
          <w:rFonts w:ascii="Arial"/>
          <w:i/>
          <w:sz w:val="20"/>
        </w:rPr>
        <w:t>McAlpine</w:t>
      </w:r>
      <w:r>
        <w:rPr>
          <w:rFonts w:ascii="Arial"/>
          <w:i/>
          <w:spacing w:val="15"/>
          <w:sz w:val="20"/>
        </w:rPr>
        <w:t> </w:t>
      </w:r>
      <w:r>
        <w:rPr>
          <w:rFonts w:ascii="Arial"/>
          <w:i/>
          <w:sz w:val="20"/>
        </w:rPr>
        <w:t>Construction</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Panatown</w:t>
      </w:r>
      <w:r>
        <w:rPr>
          <w:rFonts w:ascii="Arial"/>
          <w:i/>
          <w:spacing w:val="15"/>
          <w:sz w:val="20"/>
        </w:rPr>
        <w:t> </w:t>
      </w:r>
      <w:r>
        <w:rPr>
          <w:rFonts w:ascii="Arial"/>
          <w:i/>
          <w:sz w:val="20"/>
        </w:rPr>
        <w:t>Ltd</w:t>
      </w:r>
      <w:r>
        <w:rPr>
          <w:rFonts w:ascii="Arial"/>
          <w:i/>
          <w:spacing w:val="15"/>
          <w:sz w:val="20"/>
        </w:rPr>
        <w:t> </w:t>
      </w:r>
      <w:r>
        <w:rPr>
          <w:rFonts w:ascii="Arial"/>
          <w:i/>
          <w:sz w:val="20"/>
        </w:rPr>
        <w:t>[2001]</w:t>
      </w:r>
      <w:r>
        <w:rPr>
          <w:rFonts w:ascii="Arial"/>
          <w:i/>
          <w:spacing w:val="15"/>
          <w:sz w:val="20"/>
        </w:rPr>
        <w:t> </w:t>
      </w:r>
      <w:r>
        <w:rPr>
          <w:rFonts w:ascii="Arial"/>
          <w:i/>
          <w:sz w:val="20"/>
        </w:rPr>
        <w:t>EWCA</w:t>
      </w:r>
      <w:r>
        <w:rPr>
          <w:rFonts w:ascii="Arial"/>
          <w:i/>
          <w:spacing w:val="15"/>
          <w:sz w:val="20"/>
        </w:rPr>
        <w:t> </w:t>
      </w:r>
      <w:r>
        <w:rPr>
          <w:rFonts w:ascii="Arial"/>
          <w:i/>
          <w:sz w:val="20"/>
        </w:rPr>
        <w:t>Civ</w:t>
      </w:r>
      <w:r>
        <w:rPr>
          <w:rFonts w:ascii="Arial"/>
          <w:i/>
          <w:spacing w:val="15"/>
          <w:sz w:val="20"/>
        </w:rPr>
        <w:t> </w:t>
      </w:r>
      <w:r>
        <w:rPr>
          <w:rFonts w:ascii="Arial"/>
          <w:i/>
          <w:sz w:val="20"/>
        </w:rPr>
        <w:t>485,</w:t>
      </w:r>
      <w:r>
        <w:rPr>
          <w:rFonts w:ascii="Arial"/>
          <w:i/>
          <w:spacing w:val="15"/>
          <w:sz w:val="20"/>
        </w:rPr>
        <w:t> </w:t>
      </w:r>
      <w:r>
        <w:rPr>
          <w:rFonts w:ascii="Arial"/>
          <w:i/>
          <w:sz w:val="20"/>
        </w:rPr>
        <w:t>(2001)</w:t>
      </w:r>
      <w:r>
        <w:rPr>
          <w:rFonts w:ascii="Arial"/>
          <w:i/>
          <w:spacing w:val="15"/>
          <w:sz w:val="20"/>
        </w:rPr>
        <w:t> </w:t>
      </w:r>
      <w:r>
        <w:rPr>
          <w:rFonts w:ascii="Arial"/>
          <w:i/>
          <w:sz w:val="20"/>
        </w:rPr>
        <w:t>76</w:t>
      </w:r>
      <w:r>
        <w:rPr>
          <w:rFonts w:ascii="Arial"/>
          <w:i/>
          <w:spacing w:val="15"/>
          <w:sz w:val="20"/>
        </w:rPr>
        <w:t> </w:t>
      </w:r>
      <w:r>
        <w:rPr>
          <w:rFonts w:ascii="Arial"/>
          <w:i/>
          <w:sz w:val="20"/>
        </w:rPr>
        <w:t>Con.</w:t>
      </w:r>
      <w:r>
        <w:rPr>
          <w:rFonts w:ascii="Arial"/>
          <w:i/>
          <w:spacing w:val="15"/>
          <w:sz w:val="20"/>
        </w:rPr>
        <w:t> </w:t>
      </w:r>
      <w:r>
        <w:rPr>
          <w:rFonts w:ascii="Arial"/>
          <w:i/>
          <w:sz w:val="20"/>
        </w:rPr>
        <w:t>L.R.</w:t>
      </w:r>
      <w:r>
        <w:rPr>
          <w:rFonts w:ascii="Arial"/>
          <w:i/>
          <w:spacing w:val="15"/>
          <w:sz w:val="20"/>
        </w:rPr>
        <w:t> </w:t>
      </w:r>
      <w:r>
        <w:rPr>
          <w:rFonts w:ascii="Arial"/>
          <w:i/>
          <w:sz w:val="20"/>
        </w:rPr>
        <w:t>224</w:t>
      </w:r>
      <w:r>
        <w:rPr>
          <w:rFonts w:ascii="Arial"/>
          <w:i/>
          <w:spacing w:val="14"/>
          <w:sz w:val="20"/>
        </w:rPr>
        <w:t> </w:t>
      </w:r>
      <w:r>
        <w:rPr>
          <w:spacing w:val="-5"/>
          <w:sz w:val="20"/>
        </w:rPr>
        <w:t>at</w:t>
      </w:r>
    </w:p>
    <w:p>
      <w:pPr>
        <w:pStyle w:val="BodyText"/>
        <w:spacing w:line="235" w:lineRule="auto" w:before="1"/>
        <w:ind w:left="705" w:right="167"/>
        <w:jc w:val="both"/>
      </w:pPr>
      <w:r>
        <w:rPr/>
        <w:t>[35]; </w:t>
      </w:r>
      <w:r>
        <w:rPr>
          <w:rFonts w:ascii="Arial" w:hAnsi="Arial"/>
          <w:i/>
        </w:rPr>
        <w:t>Midgulf International Ltd v Groupe Chimiche Tunisien [2010] EWCA Civ 66 </w:t>
      </w:r>
      <w:r>
        <w:rPr/>
        <w:t>at [40] (“It </w:t>
      </w:r>
      <w:r>
        <w:rPr/>
        <w:t>is</w:t>
      </w:r>
      <w:r>
        <w:rPr>
          <w:spacing w:val="40"/>
        </w:rPr>
        <w:t> </w:t>
      </w:r>
      <w:r>
        <w:rPr/>
        <w:t>not</w:t>
      </w:r>
      <w:r>
        <w:rPr>
          <w:spacing w:val="-1"/>
        </w:rPr>
        <w:t> </w:t>
      </w:r>
      <w:r>
        <w:rPr/>
        <w:t>commercially</w:t>
      </w:r>
      <w:r>
        <w:rPr>
          <w:spacing w:val="-1"/>
        </w:rPr>
        <w:t> </w:t>
      </w:r>
      <w:r>
        <w:rPr/>
        <w:t>sensible</w:t>
      </w:r>
      <w:r>
        <w:rPr>
          <w:spacing w:val="-1"/>
        </w:rPr>
        <w:t> </w:t>
      </w:r>
      <w:r>
        <w:rPr/>
        <w:t>to</w:t>
      </w:r>
      <w:r>
        <w:rPr>
          <w:spacing w:val="-1"/>
        </w:rPr>
        <w:t> </w:t>
      </w:r>
      <w:r>
        <w:rPr/>
        <w:t>suppose</w:t>
      </w:r>
      <w:r>
        <w:rPr>
          <w:spacing w:val="-1"/>
        </w:rPr>
        <w:t> </w:t>
      </w:r>
      <w:r>
        <w:rPr/>
        <w:t>that</w:t>
      </w:r>
      <w:r>
        <w:rPr>
          <w:spacing w:val="-1"/>
        </w:rPr>
        <w:t> </w:t>
      </w:r>
      <w:r>
        <w:rPr/>
        <w:t>the</w:t>
      </w:r>
      <w:r>
        <w:rPr>
          <w:spacing w:val="-1"/>
        </w:rPr>
        <w:t> </w:t>
      </w:r>
      <w:r>
        <w:rPr/>
        <w:t>parties</w:t>
      </w:r>
      <w:r>
        <w:rPr>
          <w:spacing w:val="-1"/>
        </w:rPr>
        <w:t> </w:t>
      </w:r>
      <w:r>
        <w:rPr/>
        <w:t>can</w:t>
      </w:r>
      <w:r>
        <w:rPr>
          <w:spacing w:val="-1"/>
        </w:rPr>
        <w:t> </w:t>
      </w:r>
      <w:r>
        <w:rPr/>
        <w:t>have</w:t>
      </w:r>
      <w:r>
        <w:rPr>
          <w:spacing w:val="-1"/>
        </w:rPr>
        <w:t> </w:t>
      </w:r>
      <w:r>
        <w:rPr/>
        <w:t>intended</w:t>
      </w:r>
      <w:r>
        <w:rPr>
          <w:spacing w:val="-1"/>
        </w:rPr>
        <w:t> </w:t>
      </w:r>
      <w:r>
        <w:rPr/>
        <w:t>to</w:t>
      </w:r>
      <w:r>
        <w:rPr>
          <w:spacing w:val="-1"/>
        </w:rPr>
        <w:t> </w:t>
      </w:r>
      <w:r>
        <w:rPr/>
        <w:t>enter</w:t>
      </w:r>
      <w:r>
        <w:rPr>
          <w:spacing w:val="-1"/>
        </w:rPr>
        <w:t> </w:t>
      </w:r>
      <w:r>
        <w:rPr/>
        <w:t>into</w:t>
      </w:r>
      <w:r>
        <w:rPr>
          <w:spacing w:val="-1"/>
        </w:rPr>
        <w:t> </w:t>
      </w:r>
      <w:r>
        <w:rPr/>
        <w:t>a</w:t>
      </w:r>
      <w:r>
        <w:rPr>
          <w:spacing w:val="-1"/>
        </w:rPr>
        <w:t> </w:t>
      </w:r>
      <w:r>
        <w:rPr/>
        <w:t>contract of this size for sulphur of indeterminate quantity, to be delivered over an indeterminate period and with no provision as to payment.” At a later stage an agreement not open to this objection was reached: see at [48]).</w:t>
      </w:r>
    </w:p>
    <w:p>
      <w:pPr>
        <w:pStyle w:val="BodyText"/>
        <w:spacing w:before="8"/>
      </w:pPr>
    </w:p>
    <w:p>
      <w:pPr>
        <w:spacing w:line="235" w:lineRule="auto" w:before="0"/>
        <w:ind w:left="705" w:right="167" w:hanging="541"/>
        <w:jc w:val="both"/>
        <w:rPr>
          <w:rFonts w:ascii="Arial" w:hAnsi="Arial"/>
          <w:i/>
          <w:sz w:val="20"/>
        </w:rPr>
      </w:pPr>
      <w:bookmarkStart w:name="_bookmark1467" w:id="1469"/>
      <w:bookmarkEnd w:id="1469"/>
      <w:r>
        <w:rPr/>
      </w:r>
      <w:hyperlink w:history="true" w:anchor="_bookmark1264">
        <w:r>
          <w:rPr>
            <w:color w:val="005DA1"/>
            <w:position w:val="5"/>
            <w:sz w:val="14"/>
            <w:u w:val="single" w:color="005DA1"/>
          </w:rPr>
          <w:t>737</w:t>
        </w:r>
      </w:hyperlink>
      <w:r>
        <w:rPr>
          <w:position w:val="5"/>
          <w:sz w:val="14"/>
        </w:rPr>
        <w:t>.</w:t>
      </w:r>
      <w:r>
        <w:rPr>
          <w:spacing w:val="80"/>
          <w:w w:val="150"/>
          <w:position w:val="5"/>
          <w:sz w:val="14"/>
        </w:rPr>
        <w:t> </w:t>
      </w:r>
      <w:r>
        <w:rPr>
          <w:rFonts w:ascii="Arial" w:hAnsi="Arial"/>
          <w:i/>
          <w:sz w:val="20"/>
        </w:rPr>
        <w:t>Voest Alpine Intertrading GmbH v Chevron International Oil Co Ltd [1987] 2 Lloyd’s Rep. 547</w:t>
      </w:r>
      <w:r>
        <w:rPr>
          <w:sz w:val="20"/>
        </w:rPr>
        <w:t>; </w:t>
      </w:r>
      <w:r>
        <w:rPr>
          <w:rFonts w:ascii="Arial" w:hAnsi="Arial"/>
          <w:i/>
          <w:sz w:val="20"/>
        </w:rPr>
        <w:t>Maple Leaf Volatility Master Fund v Rouvroy [2009] EWHC 257 (Comm), [2009] 1 Lloyd’s </w:t>
      </w:r>
      <w:r>
        <w:rPr>
          <w:rFonts w:ascii="Arial" w:hAnsi="Arial"/>
          <w:i/>
          <w:sz w:val="20"/>
        </w:rPr>
        <w:t>Rep. 475</w:t>
      </w:r>
      <w:r>
        <w:rPr>
          <w:rFonts w:ascii="Arial" w:hAnsi="Arial"/>
          <w:i/>
          <w:spacing w:val="1"/>
          <w:sz w:val="20"/>
        </w:rPr>
        <w:t> </w:t>
      </w:r>
      <w:r>
        <w:rPr>
          <w:sz w:val="20"/>
        </w:rPr>
        <w:t>at</w:t>
      </w:r>
      <w:r>
        <w:rPr>
          <w:spacing w:val="3"/>
          <w:sz w:val="20"/>
        </w:rPr>
        <w:t> </w:t>
      </w:r>
      <w:r>
        <w:rPr>
          <w:sz w:val="20"/>
        </w:rPr>
        <w:t>[223];</w:t>
      </w:r>
      <w:r>
        <w:rPr>
          <w:spacing w:val="3"/>
          <w:sz w:val="20"/>
        </w:rPr>
        <w:t> </w:t>
      </w:r>
      <w:r>
        <w:rPr>
          <w:sz w:val="20"/>
        </w:rPr>
        <w:t>affirmed</w:t>
      </w:r>
      <w:r>
        <w:rPr>
          <w:spacing w:val="3"/>
          <w:sz w:val="20"/>
        </w:rPr>
        <w:t> </w:t>
      </w:r>
      <w:r>
        <w:rPr>
          <w:sz w:val="20"/>
        </w:rPr>
        <w:t>without</w:t>
      </w:r>
      <w:r>
        <w:rPr>
          <w:spacing w:val="3"/>
          <w:sz w:val="20"/>
        </w:rPr>
        <w:t> </w:t>
      </w:r>
      <w:r>
        <w:rPr>
          <w:sz w:val="20"/>
        </w:rPr>
        <w:t>further</w:t>
      </w:r>
      <w:r>
        <w:rPr>
          <w:spacing w:val="3"/>
          <w:sz w:val="20"/>
        </w:rPr>
        <w:t> </w:t>
      </w:r>
      <w:r>
        <w:rPr>
          <w:sz w:val="20"/>
        </w:rPr>
        <w:t>reference</w:t>
      </w:r>
      <w:r>
        <w:rPr>
          <w:spacing w:val="3"/>
          <w:sz w:val="20"/>
        </w:rPr>
        <w:t> </w:t>
      </w:r>
      <w:r>
        <w:rPr>
          <w:sz w:val="20"/>
        </w:rPr>
        <w:t>to</w:t>
      </w:r>
      <w:r>
        <w:rPr>
          <w:spacing w:val="3"/>
          <w:sz w:val="20"/>
        </w:rPr>
        <w:t> </w:t>
      </w:r>
      <w:r>
        <w:rPr>
          <w:sz w:val="20"/>
        </w:rPr>
        <w:t>this</w:t>
      </w:r>
      <w:r>
        <w:rPr>
          <w:spacing w:val="3"/>
          <w:sz w:val="20"/>
        </w:rPr>
        <w:t> </w:t>
      </w:r>
      <w:r>
        <w:rPr>
          <w:sz w:val="20"/>
        </w:rPr>
        <w:t>point</w:t>
      </w:r>
      <w:r>
        <w:rPr>
          <w:spacing w:val="3"/>
          <w:sz w:val="20"/>
        </w:rPr>
        <w:t> </w:t>
      </w:r>
      <w:r>
        <w:rPr>
          <w:rFonts w:ascii="Arial" w:hAnsi="Arial"/>
          <w:i/>
          <w:sz w:val="20"/>
        </w:rPr>
        <w:t>[2009]</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1334,</w:t>
      </w:r>
      <w:r>
        <w:rPr>
          <w:rFonts w:ascii="Arial" w:hAnsi="Arial"/>
          <w:i/>
          <w:spacing w:val="3"/>
          <w:sz w:val="20"/>
        </w:rPr>
        <w:t> </w:t>
      </w:r>
      <w:r>
        <w:rPr>
          <w:rFonts w:ascii="Arial" w:hAnsi="Arial"/>
          <w:i/>
          <w:sz w:val="20"/>
        </w:rPr>
        <w:t>[2010]</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pacing w:val="-5"/>
          <w:sz w:val="20"/>
        </w:rPr>
        <w:t>All</w:t>
      </w:r>
    </w:p>
    <w:p>
      <w:pPr>
        <w:spacing w:line="225" w:lineRule="exact" w:before="0"/>
        <w:ind w:left="705" w:right="0" w:firstLine="0"/>
        <w:jc w:val="left"/>
        <w:rPr>
          <w:sz w:val="20"/>
        </w:rPr>
      </w:pPr>
      <w:r>
        <w:rPr>
          <w:rFonts w:ascii="Arial"/>
          <w:i/>
          <w:sz w:val="20"/>
        </w:rPr>
        <w:t>E.R. (Comm) 788</w:t>
      </w:r>
      <w:r>
        <w:rPr>
          <w:rFonts w:ascii="Arial"/>
          <w:i/>
          <w:spacing w:val="-1"/>
          <w:sz w:val="20"/>
        </w:rPr>
        <w:t> </w:t>
      </w:r>
      <w:r>
        <w:rPr>
          <w:sz w:val="20"/>
        </w:rPr>
        <w:t>(for this case, see also above, para.2-004 </w:t>
      </w:r>
      <w:r>
        <w:rPr>
          <w:spacing w:val="-2"/>
          <w:sz w:val="20"/>
        </w:rPr>
        <w:t>n.22).</w:t>
      </w:r>
    </w:p>
    <w:p>
      <w:pPr>
        <w:pStyle w:val="BodyText"/>
        <w:spacing w:before="9"/>
      </w:pPr>
    </w:p>
    <w:p>
      <w:pPr>
        <w:spacing w:line="235" w:lineRule="auto" w:before="0"/>
        <w:ind w:left="705" w:right="168" w:hanging="541"/>
        <w:jc w:val="both"/>
        <w:rPr>
          <w:sz w:val="20"/>
        </w:rPr>
      </w:pPr>
      <w:bookmarkStart w:name="_bookmark1468" w:id="1470"/>
      <w:bookmarkEnd w:id="1470"/>
      <w:r>
        <w:rPr/>
      </w:r>
      <w:hyperlink w:history="true" w:anchor="_bookmark1265">
        <w:r>
          <w:rPr>
            <w:color w:val="005DA1"/>
            <w:position w:val="5"/>
            <w:sz w:val="14"/>
            <w:u w:val="single" w:color="005DA1"/>
          </w:rPr>
          <w:t>738</w:t>
        </w:r>
      </w:hyperlink>
      <w:r>
        <w:rPr>
          <w:position w:val="5"/>
          <w:sz w:val="14"/>
        </w:rPr>
        <w:t>.</w:t>
      </w:r>
      <w:r>
        <w:rPr>
          <w:spacing w:val="80"/>
          <w:position w:val="5"/>
          <w:sz w:val="14"/>
        </w:rPr>
        <w:t>  </w:t>
      </w:r>
      <w:r>
        <w:rPr>
          <w:rFonts w:ascii="Arial" w:hAnsi="Arial"/>
          <w:i/>
          <w:sz w:val="20"/>
        </w:rPr>
        <w:t>(1932) 147 L.T. 503</w:t>
      </w:r>
      <w:r>
        <w:rPr>
          <w:sz w:val="20"/>
        </w:rPr>
        <w:t>; cf. </w:t>
      </w:r>
      <w:r>
        <w:rPr>
          <w:rFonts w:ascii="Arial" w:hAnsi="Arial"/>
          <w:i/>
          <w:sz w:val="20"/>
        </w:rPr>
        <w:t>Miller v F.A. Sadd &amp; Son Ltd [1981] 3 All E.R. 265</w:t>
      </w:r>
      <w:r>
        <w:rPr>
          <w:sz w:val="20"/>
        </w:rPr>
        <w:t>; </w:t>
      </w:r>
      <w:r>
        <w:rPr>
          <w:rFonts w:ascii="Arial" w:hAnsi="Arial"/>
          <w:i/>
          <w:sz w:val="20"/>
        </w:rPr>
        <w:t>Mamidoil-Jetoil Greek Petroleum SA v Okta Crude Oil Refinery AD (No.3) [2003] 1 Lloyd’s Rep. 1 </w:t>
      </w:r>
      <w:r>
        <w:rPr>
          <w:sz w:val="20"/>
        </w:rPr>
        <w:t>at [161]–[165]; affirmed </w:t>
      </w:r>
      <w:r>
        <w:rPr>
          <w:rFonts w:ascii="Arial" w:hAnsi="Arial"/>
          <w:i/>
          <w:sz w:val="20"/>
        </w:rPr>
        <w:t>[2003] EWCA Civ 1031, [2003] 2 All E.R. (Comm) 640 </w:t>
      </w:r>
      <w:r>
        <w:rPr>
          <w:sz w:val="20"/>
        </w:rPr>
        <w:t>at [36]–[41].</w:t>
      </w:r>
    </w:p>
    <w:p>
      <w:pPr>
        <w:pStyle w:val="BodyText"/>
        <w:spacing w:before="9"/>
      </w:pPr>
    </w:p>
    <w:p>
      <w:pPr>
        <w:spacing w:line="235" w:lineRule="auto" w:before="0"/>
        <w:ind w:left="705" w:right="167" w:hanging="541"/>
        <w:jc w:val="both"/>
        <w:rPr>
          <w:sz w:val="20"/>
        </w:rPr>
      </w:pPr>
      <w:bookmarkStart w:name="_bookmark1469" w:id="1471"/>
      <w:bookmarkEnd w:id="1471"/>
      <w:r>
        <w:rPr/>
      </w:r>
      <w:hyperlink w:history="true" w:anchor="_bookmark1266">
        <w:r>
          <w:rPr>
            <w:color w:val="005DA1"/>
            <w:position w:val="5"/>
            <w:sz w:val="14"/>
            <w:u w:val="single" w:color="005DA1"/>
          </w:rPr>
          <w:t>739</w:t>
        </w:r>
      </w:hyperlink>
      <w:r>
        <w:rPr>
          <w:position w:val="5"/>
          <w:sz w:val="14"/>
        </w:rPr>
        <w:t>.</w:t>
      </w:r>
      <w:r>
        <w:rPr>
          <w:spacing w:val="80"/>
          <w:position w:val="5"/>
          <w:sz w:val="14"/>
        </w:rPr>
        <w:t>  </w:t>
      </w:r>
      <w:r>
        <w:rPr>
          <w:sz w:val="20"/>
        </w:rPr>
        <w:t>cf. </w:t>
      </w:r>
      <w:r>
        <w:rPr>
          <w:rFonts w:ascii="Arial" w:hAnsi="Arial"/>
          <w:i/>
          <w:sz w:val="20"/>
        </w:rPr>
        <w:t>Multi-Link Leisure Developments Ltd v North Lanarkshire Council [2010] UKSC 47, [2011] 1 All E.R. 175 </w:t>
      </w:r>
      <w:r>
        <w:rPr>
          <w:sz w:val="20"/>
        </w:rPr>
        <w:t>for a difficult question of construction arising from the obscurity of a formula by which the price at which an option to purchase became exercisable was to be determined. The Supreme Court’s decision was unanimous with regard to the outcome but (arguably) not with respect to the reasons for that outcome.</w:t>
      </w:r>
    </w:p>
    <w:p>
      <w:pPr>
        <w:pStyle w:val="BodyText"/>
        <w:spacing w:before="4"/>
      </w:pPr>
    </w:p>
    <w:p>
      <w:pPr>
        <w:tabs>
          <w:tab w:pos="705" w:val="left" w:leader="none"/>
        </w:tabs>
        <w:spacing w:before="0"/>
        <w:ind w:left="165" w:right="0" w:firstLine="0"/>
        <w:jc w:val="left"/>
        <w:rPr>
          <w:sz w:val="20"/>
        </w:rPr>
      </w:pPr>
      <w:bookmarkStart w:name="_bookmark1470" w:id="1472"/>
      <w:bookmarkEnd w:id="1472"/>
      <w:r>
        <w:rPr/>
      </w:r>
      <w:hyperlink w:history="true" w:anchor="_bookmark1266">
        <w:r>
          <w:rPr>
            <w:color w:val="005DA1"/>
            <w:spacing w:val="-4"/>
            <w:position w:val="5"/>
            <w:sz w:val="14"/>
            <w:u w:val="single" w:color="005DA1"/>
          </w:rPr>
          <w:t>740</w:t>
        </w:r>
      </w:hyperlink>
      <w:r>
        <w:rPr>
          <w:spacing w:val="-4"/>
          <w:position w:val="5"/>
          <w:sz w:val="14"/>
        </w:rPr>
        <w:t>.</w:t>
      </w:r>
      <w:r>
        <w:rPr>
          <w:position w:val="5"/>
          <w:sz w:val="14"/>
        </w:rPr>
        <w:tab/>
      </w:r>
      <w:r>
        <w:rPr>
          <w:rFonts w:ascii="Arial"/>
          <w:i/>
          <w:sz w:val="20"/>
        </w:rPr>
        <w:t>Brown v Gould [1972] Ch. </w:t>
      </w:r>
      <w:r>
        <w:rPr>
          <w:rFonts w:ascii="Arial"/>
          <w:i/>
          <w:spacing w:val="-5"/>
          <w:sz w:val="20"/>
        </w:rPr>
        <w:t>53</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71" w:id="1473"/>
      <w:bookmarkEnd w:id="1473"/>
      <w:r>
        <w:rPr/>
      </w:r>
      <w:hyperlink w:history="true" w:anchor="_bookmark1267">
        <w:r>
          <w:rPr>
            <w:color w:val="005DA1"/>
            <w:spacing w:val="-4"/>
            <w:position w:val="5"/>
            <w:sz w:val="14"/>
            <w:u w:val="single" w:color="005DA1"/>
          </w:rPr>
          <w:t>741</w:t>
        </w:r>
      </w:hyperlink>
      <w:r>
        <w:rPr>
          <w:spacing w:val="-4"/>
          <w:position w:val="5"/>
          <w:sz w:val="14"/>
        </w:rPr>
        <w:t>.</w:t>
      </w:r>
      <w:r>
        <w:rPr>
          <w:position w:val="5"/>
          <w:sz w:val="14"/>
        </w:rPr>
        <w:tab/>
      </w:r>
      <w:r>
        <w:rPr>
          <w:rFonts w:ascii="Arial" w:hAnsi="Arial"/>
          <w:i/>
          <w:sz w:val="20"/>
        </w:rPr>
        <w:t>Didymi</w:t>
      </w:r>
      <w:r>
        <w:rPr>
          <w:rFonts w:ascii="Arial" w:hAnsi="Arial"/>
          <w:i/>
          <w:spacing w:val="26"/>
          <w:sz w:val="20"/>
        </w:rPr>
        <w:t> </w:t>
      </w:r>
      <w:r>
        <w:rPr>
          <w:rFonts w:ascii="Arial" w:hAnsi="Arial"/>
          <w:i/>
          <w:sz w:val="20"/>
        </w:rPr>
        <w:t>Corp</w:t>
      </w:r>
      <w:r>
        <w:rPr>
          <w:rFonts w:ascii="Arial" w:hAnsi="Arial"/>
          <w:i/>
          <w:spacing w:val="26"/>
          <w:sz w:val="20"/>
        </w:rPr>
        <w:t> </w:t>
      </w:r>
      <w:r>
        <w:rPr>
          <w:rFonts w:ascii="Arial" w:hAnsi="Arial"/>
          <w:i/>
          <w:sz w:val="20"/>
        </w:rPr>
        <w:t>v</w:t>
      </w:r>
      <w:r>
        <w:rPr>
          <w:rFonts w:ascii="Arial" w:hAnsi="Arial"/>
          <w:i/>
          <w:spacing w:val="26"/>
          <w:sz w:val="20"/>
        </w:rPr>
        <w:t> </w:t>
      </w:r>
      <w:r>
        <w:rPr>
          <w:rFonts w:ascii="Arial" w:hAnsi="Arial"/>
          <w:i/>
          <w:sz w:val="20"/>
        </w:rPr>
        <w:t>Atlantic</w:t>
      </w:r>
      <w:r>
        <w:rPr>
          <w:rFonts w:ascii="Arial" w:hAnsi="Arial"/>
          <w:i/>
          <w:spacing w:val="26"/>
          <w:sz w:val="20"/>
        </w:rPr>
        <w:t> </w:t>
      </w:r>
      <w:r>
        <w:rPr>
          <w:rFonts w:ascii="Arial" w:hAnsi="Arial"/>
          <w:i/>
          <w:sz w:val="20"/>
        </w:rPr>
        <w:t>Lines</w:t>
      </w:r>
      <w:r>
        <w:rPr>
          <w:rFonts w:ascii="Arial" w:hAnsi="Arial"/>
          <w:i/>
          <w:spacing w:val="26"/>
          <w:sz w:val="20"/>
        </w:rPr>
        <w:t> </w:t>
      </w:r>
      <w:r>
        <w:rPr>
          <w:rFonts w:ascii="Arial" w:hAnsi="Arial"/>
          <w:i/>
          <w:sz w:val="20"/>
        </w:rPr>
        <w:t>&amp;</w:t>
      </w:r>
      <w:r>
        <w:rPr>
          <w:rFonts w:ascii="Arial" w:hAnsi="Arial"/>
          <w:i/>
          <w:spacing w:val="26"/>
          <w:sz w:val="20"/>
        </w:rPr>
        <w:t> </w:t>
      </w:r>
      <w:r>
        <w:rPr>
          <w:rFonts w:ascii="Arial" w:hAnsi="Arial"/>
          <w:i/>
          <w:sz w:val="20"/>
        </w:rPr>
        <w:t>Navigation</w:t>
      </w:r>
      <w:r>
        <w:rPr>
          <w:rFonts w:ascii="Arial" w:hAnsi="Arial"/>
          <w:i/>
          <w:spacing w:val="26"/>
          <w:sz w:val="20"/>
        </w:rPr>
        <w:t> </w:t>
      </w:r>
      <w:r>
        <w:rPr>
          <w:rFonts w:ascii="Arial" w:hAnsi="Arial"/>
          <w:i/>
          <w:sz w:val="20"/>
        </w:rPr>
        <w:t>Co</w:t>
      </w:r>
      <w:r>
        <w:rPr>
          <w:rFonts w:ascii="Arial" w:hAnsi="Arial"/>
          <w:i/>
          <w:spacing w:val="26"/>
          <w:sz w:val="20"/>
        </w:rPr>
        <w:t> </w:t>
      </w:r>
      <w:r>
        <w:rPr>
          <w:rFonts w:ascii="Arial" w:hAnsi="Arial"/>
          <w:i/>
          <w:sz w:val="20"/>
        </w:rPr>
        <w:t>Inc</w:t>
      </w:r>
      <w:r>
        <w:rPr>
          <w:rFonts w:ascii="Arial" w:hAnsi="Arial"/>
          <w:i/>
          <w:spacing w:val="26"/>
          <w:sz w:val="20"/>
        </w:rPr>
        <w:t> </w:t>
      </w:r>
      <w:r>
        <w:rPr>
          <w:rFonts w:ascii="Arial" w:hAnsi="Arial"/>
          <w:i/>
          <w:sz w:val="20"/>
        </w:rPr>
        <w:t>[1987]</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166,</w:t>
      </w:r>
      <w:r>
        <w:rPr>
          <w:rFonts w:ascii="Arial" w:hAnsi="Arial"/>
          <w:i/>
          <w:spacing w:val="26"/>
          <w:sz w:val="20"/>
        </w:rPr>
        <w:t> </w:t>
      </w:r>
      <w:r>
        <w:rPr>
          <w:rFonts w:ascii="Arial" w:hAnsi="Arial"/>
          <w:i/>
          <w:sz w:val="20"/>
        </w:rPr>
        <w:t>169</w:t>
      </w:r>
      <w:r>
        <w:rPr>
          <w:sz w:val="20"/>
        </w:rPr>
        <w:t>;</w:t>
      </w:r>
      <w:r>
        <w:rPr>
          <w:spacing w:val="26"/>
          <w:sz w:val="20"/>
        </w:rPr>
        <w:t> </w:t>
      </w:r>
      <w:r>
        <w:rPr>
          <w:sz w:val="20"/>
        </w:rPr>
        <w:t>Reynolds (1988) 104 L.Q.R. 353; affirmed </w:t>
      </w:r>
      <w:r>
        <w:rPr>
          <w:rFonts w:ascii="Arial" w:hAnsi="Arial"/>
          <w:i/>
          <w:sz w:val="20"/>
        </w:rPr>
        <w:t>[1988] 2 Lloyd’s Rep. 108</w:t>
      </w:r>
      <w:r>
        <w:rPr>
          <w:sz w:val="20"/>
        </w:rPr>
        <w:t>; cf. below, para.2-149.</w:t>
      </w:r>
    </w:p>
    <w:p>
      <w:pPr>
        <w:pStyle w:val="BodyText"/>
        <w:spacing w:before="6"/>
      </w:pPr>
    </w:p>
    <w:p>
      <w:pPr>
        <w:tabs>
          <w:tab w:pos="705" w:val="left" w:leader="none"/>
        </w:tabs>
        <w:spacing w:before="0"/>
        <w:ind w:left="165" w:right="0" w:firstLine="0"/>
        <w:jc w:val="left"/>
        <w:rPr>
          <w:sz w:val="20"/>
        </w:rPr>
      </w:pPr>
      <w:bookmarkStart w:name="_bookmark1472" w:id="1474"/>
      <w:bookmarkEnd w:id="1474"/>
      <w:r>
        <w:rPr/>
      </w:r>
      <w:hyperlink w:history="true" w:anchor="_bookmark1268">
        <w:r>
          <w:rPr>
            <w:color w:val="005DA1"/>
            <w:spacing w:val="-4"/>
            <w:position w:val="5"/>
            <w:sz w:val="14"/>
            <w:u w:val="single" w:color="005DA1"/>
          </w:rPr>
          <w:t>742</w:t>
        </w:r>
      </w:hyperlink>
      <w:r>
        <w:rPr>
          <w:spacing w:val="-4"/>
          <w:position w:val="5"/>
          <w:sz w:val="14"/>
        </w:rPr>
        <w:t>.</w:t>
      </w:r>
      <w:r>
        <w:rPr>
          <w:position w:val="5"/>
          <w:sz w:val="14"/>
        </w:rPr>
        <w:tab/>
      </w:r>
      <w:r>
        <w:rPr>
          <w:sz w:val="20"/>
        </w:rPr>
        <w:t>At </w:t>
      </w:r>
      <w:r>
        <w:rPr>
          <w:spacing w:val="-4"/>
          <w:sz w:val="20"/>
        </w:rPr>
        <w:t>117.</w:t>
      </w:r>
    </w:p>
    <w:p>
      <w:pPr>
        <w:pStyle w:val="BodyText"/>
        <w:spacing w:before="5"/>
      </w:pPr>
    </w:p>
    <w:p>
      <w:pPr>
        <w:tabs>
          <w:tab w:pos="705" w:val="left" w:leader="none"/>
        </w:tabs>
        <w:spacing w:before="0"/>
        <w:ind w:left="165" w:right="0" w:firstLine="0"/>
        <w:jc w:val="left"/>
        <w:rPr>
          <w:sz w:val="20"/>
        </w:rPr>
      </w:pPr>
      <w:bookmarkStart w:name="_bookmark1473" w:id="1475"/>
      <w:bookmarkEnd w:id="1475"/>
      <w:r>
        <w:rPr/>
      </w:r>
      <w:hyperlink w:history="true" w:anchor="_bookmark1269">
        <w:r>
          <w:rPr>
            <w:color w:val="005DA1"/>
            <w:spacing w:val="-4"/>
            <w:position w:val="5"/>
            <w:sz w:val="14"/>
            <w:u w:val="single" w:color="005DA1"/>
          </w:rPr>
          <w:t>743</w:t>
        </w:r>
      </w:hyperlink>
      <w:r>
        <w:rPr>
          <w:spacing w:val="-4"/>
          <w:position w:val="5"/>
          <w:sz w:val="14"/>
        </w:rPr>
        <w:t>.</w:t>
      </w:r>
      <w:r>
        <w:rPr>
          <w:position w:val="5"/>
          <w:sz w:val="14"/>
        </w:rPr>
        <w:tab/>
      </w:r>
      <w:r>
        <w:rPr>
          <w:rFonts w:ascii="Arial"/>
          <w:i/>
          <w:sz w:val="20"/>
        </w:rPr>
        <w:t>Gillatt v Sky Television Ltd [2000] 1 All E.R. (Comm) </w:t>
      </w:r>
      <w:r>
        <w:rPr>
          <w:rFonts w:ascii="Arial"/>
          <w:i/>
          <w:spacing w:val="-4"/>
          <w:sz w:val="20"/>
        </w:rPr>
        <w:t>461</w:t>
      </w:r>
      <w:r>
        <w:rPr>
          <w:spacing w:val="-4"/>
          <w:sz w:val="20"/>
        </w:rPr>
        <w:t>.</w:t>
      </w:r>
    </w:p>
    <w:p>
      <w:pPr>
        <w:pStyle w:val="BodyText"/>
        <w:spacing w:before="8"/>
      </w:pPr>
    </w:p>
    <w:p>
      <w:pPr>
        <w:tabs>
          <w:tab w:pos="705" w:val="left" w:leader="none"/>
        </w:tabs>
        <w:spacing w:line="235" w:lineRule="auto" w:before="1"/>
        <w:ind w:left="705" w:right="168" w:hanging="541"/>
        <w:jc w:val="left"/>
        <w:rPr>
          <w:sz w:val="20"/>
        </w:rPr>
      </w:pPr>
      <w:bookmarkStart w:name="_bookmark1474" w:id="1476"/>
      <w:bookmarkEnd w:id="1476"/>
      <w:r>
        <w:rPr/>
      </w:r>
      <w:hyperlink w:history="true" w:anchor="_bookmark1270">
        <w:r>
          <w:rPr>
            <w:color w:val="005DA1"/>
            <w:spacing w:val="-4"/>
            <w:position w:val="5"/>
            <w:sz w:val="14"/>
            <w:u w:val="single" w:color="005DA1"/>
          </w:rPr>
          <w:t>744</w:t>
        </w:r>
      </w:hyperlink>
      <w:r>
        <w:rPr>
          <w:spacing w:val="-4"/>
          <w:position w:val="5"/>
          <w:sz w:val="14"/>
        </w:rPr>
        <w:t>.</w:t>
      </w:r>
      <w:r>
        <w:rPr>
          <w:position w:val="5"/>
          <w:sz w:val="14"/>
        </w:rPr>
        <w:tab/>
      </w:r>
      <w:r>
        <w:rPr>
          <w:rFonts w:ascii="Arial" w:hAnsi="Arial"/>
          <w:i/>
          <w:sz w:val="20"/>
        </w:rPr>
        <w:t>Willis Management (Isle of Man) Ltd v Cable and Wireless Plc [2005] EWCA Civ 1287, [2005] 2 Lloyd’s Rep. 597</w:t>
      </w:r>
      <w:r>
        <w:rPr>
          <w:sz w:val="20"/>
        </w:rPr>
        <w:t>; below para.2-150.</w:t>
      </w:r>
    </w:p>
    <w:p>
      <w:pPr>
        <w:spacing w:after="0" w:line="235" w:lineRule="auto"/>
        <w:jc w:val="left"/>
        <w:rPr>
          <w:sz w:val="20"/>
        </w:rPr>
        <w:sectPr>
          <w:pgSz w:w="11900" w:h="16840"/>
          <w:pgMar w:header="971" w:footer="0" w:top="1300" w:bottom="280" w:left="1275" w:right="1275"/>
        </w:sectPr>
      </w:pPr>
    </w:p>
    <w:p>
      <w:pPr>
        <w:pStyle w:val="BodyText"/>
        <w:spacing w:line="235" w:lineRule="auto" w:before="170"/>
        <w:ind w:left="705" w:right="167" w:hanging="541"/>
        <w:jc w:val="both"/>
      </w:pPr>
      <w:hyperlink w:history="true" w:anchor="_bookmark1271">
        <w:r>
          <w:rPr>
            <w:color w:val="005DA1"/>
            <w:position w:val="5"/>
            <w:sz w:val="14"/>
            <w:u w:val="single" w:color="005DA1"/>
          </w:rPr>
          <w:t>745</w:t>
        </w:r>
      </w:hyperlink>
      <w:r>
        <w:rPr>
          <w:position w:val="5"/>
          <w:sz w:val="14"/>
        </w:rPr>
        <w:t>.</w:t>
      </w:r>
      <w:r>
        <w:rPr>
          <w:spacing w:val="80"/>
          <w:position w:val="5"/>
          <w:sz w:val="14"/>
        </w:rPr>
        <w:t>  </w:t>
      </w:r>
      <w:r>
        <w:rPr/>
        <w:t>The requirement of certainty may be satisfied even though the operation of the machinery </w:t>
      </w:r>
      <w:r>
        <w:rPr/>
        <w:t>still lay in the future when the agreement was made. In </w:t>
      </w:r>
      <w:r>
        <w:rPr>
          <w:rFonts w:ascii="Arial" w:hAnsi="Arial"/>
          <w:i/>
        </w:rPr>
        <w:t>Anderson v London Fire and Emergency Planning Authority [2012] I.R.L.R. 888 (EAT)</w:t>
      </w:r>
      <w:r>
        <w:rPr/>
        <w:t>, a collective agreement incorporated into</w:t>
      </w:r>
      <w:r>
        <w:rPr>
          <w:spacing w:val="40"/>
        </w:rPr>
        <w:t> </w:t>
      </w:r>
      <w:r>
        <w:rPr/>
        <w:t>individual employment contracts (see para.2-187) provided for pay to be increased by 2.5 per cent or by the amount of a National Joint Committee (NJC) settlement plus 1 per cent. The fact that the agreement left open which of these two alternatives was to apply did not deprive it of contractual force. Maurice Kay L.J. said at [9], it “was an agreement for pay to be determined in accordance with agreed terms, properly construed”. Nor did the existence of choice render the agreement too uncertain to be enforced if (as was the case here) “the choices are clear” (at [10]). </w:t>
      </w:r>
      <w:r>
        <w:rPr>
          <w:rFonts w:ascii="Arial" w:hAnsi="Arial"/>
          <w:i/>
        </w:rPr>
        <w:t>Machinery </w:t>
      </w:r>
      <w:r>
        <w:rPr/>
        <w:t>for resolving matters left open must be distinguished from </w:t>
      </w:r>
      <w:r>
        <w:rPr>
          <w:rFonts w:ascii="Arial" w:hAnsi="Arial"/>
          <w:i/>
        </w:rPr>
        <w:t>mechanism </w:t>
      </w:r>
      <w:r>
        <w:rPr/>
        <w:t>in the sense</w:t>
      </w:r>
      <w:r>
        <w:rPr>
          <w:spacing w:val="-3"/>
        </w:rPr>
        <w:t> </w:t>
      </w:r>
      <w:r>
        <w:rPr/>
        <w:t>of</w:t>
      </w:r>
      <w:r>
        <w:rPr>
          <w:spacing w:val="-3"/>
        </w:rPr>
        <w:t> </w:t>
      </w:r>
      <w:r>
        <w:rPr/>
        <w:t>an</w:t>
      </w:r>
      <w:r>
        <w:rPr>
          <w:spacing w:val="-3"/>
        </w:rPr>
        <w:t> </w:t>
      </w:r>
      <w:r>
        <w:rPr/>
        <w:t>agreed</w:t>
      </w:r>
      <w:r>
        <w:rPr>
          <w:spacing w:val="-3"/>
        </w:rPr>
        <w:t> </w:t>
      </w:r>
      <w:r>
        <w:rPr/>
        <w:t>formula</w:t>
      </w:r>
      <w:r>
        <w:rPr>
          <w:spacing w:val="-3"/>
        </w:rPr>
        <w:t> </w:t>
      </w:r>
      <w:r>
        <w:rPr/>
        <w:t>for</w:t>
      </w:r>
      <w:r>
        <w:rPr>
          <w:spacing w:val="-3"/>
        </w:rPr>
        <w:t> </w:t>
      </w:r>
      <w:r>
        <w:rPr/>
        <w:t>determining</w:t>
      </w:r>
      <w:r>
        <w:rPr>
          <w:spacing w:val="-3"/>
        </w:rPr>
        <w:t> </w:t>
      </w:r>
      <w:r>
        <w:rPr/>
        <w:t>the</w:t>
      </w:r>
      <w:r>
        <w:rPr>
          <w:spacing w:val="-3"/>
        </w:rPr>
        <w:t> </w:t>
      </w:r>
      <w:r>
        <w:rPr/>
        <w:t>price</w:t>
      </w:r>
      <w:r>
        <w:rPr>
          <w:spacing w:val="-3"/>
        </w:rPr>
        <w:t> </w:t>
      </w:r>
      <w:r>
        <w:rPr/>
        <w:t>(or</w:t>
      </w:r>
      <w:r>
        <w:rPr>
          <w:spacing w:val="-3"/>
        </w:rPr>
        <w:t> </w:t>
      </w:r>
      <w:r>
        <w:rPr/>
        <w:t>other</w:t>
      </w:r>
      <w:r>
        <w:rPr>
          <w:spacing w:val="-3"/>
        </w:rPr>
        <w:t> </w:t>
      </w:r>
      <w:r>
        <w:rPr/>
        <w:t>matters):</w:t>
      </w:r>
      <w:r>
        <w:rPr>
          <w:spacing w:val="-3"/>
        </w:rPr>
        <w:t> </w:t>
      </w:r>
      <w:r>
        <w:rPr/>
        <w:t>e.g.</w:t>
      </w:r>
      <w:r>
        <w:rPr>
          <w:spacing w:val="-3"/>
        </w:rPr>
        <w:t> </w:t>
      </w:r>
      <w:r>
        <w:rPr/>
        <w:t>where</w:t>
      </w:r>
      <w:r>
        <w:rPr>
          <w:spacing w:val="-3"/>
        </w:rPr>
        <w:t> </w:t>
      </w:r>
      <w:r>
        <w:rPr/>
        <w:t>work</w:t>
      </w:r>
      <w:r>
        <w:rPr>
          <w:spacing w:val="-3"/>
        </w:rPr>
        <w:t> </w:t>
      </w:r>
      <w:r>
        <w:rPr/>
        <w:t>is</w:t>
      </w:r>
      <w:r>
        <w:rPr>
          <w:spacing w:val="-3"/>
        </w:rPr>
        <w:t> </w:t>
      </w:r>
      <w:r>
        <w:rPr/>
        <w:t>done on a “cost plus” basis. The purpose of such a “mechanism” is not to resolve matters originally left open. The already agreed mechanism merely has to be </w:t>
      </w:r>
      <w:r>
        <w:rPr>
          <w:rFonts w:ascii="Arial" w:hAnsi="Arial"/>
          <w:i/>
        </w:rPr>
        <w:t>applied </w:t>
      </w:r>
      <w:r>
        <w:rPr/>
        <w:t>to determine the matter governed by it. It is in this sense that the word “mechanism” is used in </w:t>
      </w:r>
      <w:r>
        <w:rPr>
          <w:rFonts w:ascii="Arial" w:hAnsi="Arial"/>
          <w:i/>
        </w:rPr>
        <w:t>Coaten v PBX Corporation [2006] EWHC 1781 (Ch), [2006] 3 E.G.L.R. 43 </w:t>
      </w:r>
      <w:r>
        <w:rPr/>
        <w:t>at [13].</w:t>
      </w:r>
    </w:p>
    <w:p>
      <w:pPr>
        <w:pStyle w:val="BodyText"/>
        <w:spacing w:before="4"/>
      </w:pPr>
    </w:p>
    <w:p>
      <w:pPr>
        <w:pStyle w:val="BodyText"/>
        <w:spacing w:line="235" w:lineRule="auto" w:before="1"/>
        <w:ind w:left="705" w:right="167" w:hanging="541"/>
        <w:jc w:val="both"/>
      </w:pPr>
      <w:bookmarkStart w:name="_bookmark1475" w:id="1477"/>
      <w:bookmarkEnd w:id="1477"/>
      <w:r>
        <w:rPr/>
      </w:r>
      <w:hyperlink w:history="true" w:anchor="_bookmark1272">
        <w:r>
          <w:rPr>
            <w:color w:val="005DA1"/>
            <w:position w:val="5"/>
            <w:sz w:val="14"/>
            <w:u w:val="single" w:color="005DA1"/>
          </w:rPr>
          <w:t>746</w:t>
        </w:r>
      </w:hyperlink>
      <w:r>
        <w:rPr>
          <w:position w:val="5"/>
          <w:sz w:val="14"/>
        </w:rPr>
        <w:t>.</w:t>
      </w:r>
      <w:r>
        <w:rPr>
          <w:spacing w:val="80"/>
          <w:position w:val="5"/>
          <w:sz w:val="14"/>
        </w:rPr>
        <w:t>  </w:t>
      </w:r>
      <w:r>
        <w:rPr>
          <w:rFonts w:ascii="Arial" w:hAnsi="Arial"/>
          <w:i/>
        </w:rPr>
        <w:t>Lombard Tricity Finance Ltd v Paton [1989] 1 All E.R. 918</w:t>
      </w:r>
      <w:r>
        <w:rPr/>
        <w:t>. Such terms may be unenforceable</w:t>
      </w:r>
      <w:r>
        <w:rPr>
          <w:spacing w:val="40"/>
        </w:rPr>
        <w:t> </w:t>
      </w:r>
      <w:r>
        <w:rPr/>
        <w:t>for unfairness under the Unfair Terms in Consumer Contracts Regulations 1999 (SI 1999/2083) reg.5(5) and Sch.2 para.2(b). These Regulations are replaced by the Consumer Rights Act 2015: s.75 and Sch.4 para.34, s.63 and Sch.2 paras 11, 22–24.</w:t>
      </w:r>
    </w:p>
    <w:p>
      <w:pPr>
        <w:pStyle w:val="BodyText"/>
        <w:spacing w:before="8"/>
      </w:pPr>
    </w:p>
    <w:p>
      <w:pPr>
        <w:spacing w:line="235" w:lineRule="auto" w:before="0"/>
        <w:ind w:left="705" w:right="167" w:hanging="541"/>
        <w:jc w:val="both"/>
        <w:rPr>
          <w:sz w:val="20"/>
        </w:rPr>
      </w:pPr>
      <w:bookmarkStart w:name="_bookmark1476" w:id="1478"/>
      <w:bookmarkEnd w:id="1478"/>
      <w:r>
        <w:rPr/>
      </w:r>
      <w:hyperlink w:history="true" w:anchor="_bookmark1273">
        <w:r>
          <w:rPr>
            <w:color w:val="005DA1"/>
            <w:position w:val="5"/>
            <w:sz w:val="14"/>
            <w:u w:val="single" w:color="005DA1"/>
          </w:rPr>
          <w:t>747</w:t>
        </w:r>
      </w:hyperlink>
      <w:r>
        <w:rPr>
          <w:position w:val="5"/>
          <w:sz w:val="14"/>
        </w:rPr>
        <w:t>.</w:t>
      </w:r>
      <w:r>
        <w:rPr>
          <w:spacing w:val="80"/>
          <w:position w:val="5"/>
          <w:sz w:val="14"/>
        </w:rPr>
        <w:t>  </w:t>
      </w:r>
      <w:r>
        <w:rPr>
          <w:rFonts w:ascii="Arial"/>
          <w:i/>
          <w:sz w:val="20"/>
        </w:rPr>
        <w:t>Paragon</w:t>
      </w:r>
      <w:r>
        <w:rPr>
          <w:rFonts w:ascii="Arial"/>
          <w:i/>
          <w:spacing w:val="-2"/>
          <w:sz w:val="20"/>
        </w:rPr>
        <w:t> </w:t>
      </w:r>
      <w:r>
        <w:rPr>
          <w:rFonts w:ascii="Arial"/>
          <w:i/>
          <w:sz w:val="20"/>
        </w:rPr>
        <w:t>Finance</w:t>
      </w:r>
      <w:r>
        <w:rPr>
          <w:rFonts w:ascii="Arial"/>
          <w:i/>
          <w:spacing w:val="-2"/>
          <w:sz w:val="20"/>
        </w:rPr>
        <w:t> </w:t>
      </w:r>
      <w:r>
        <w:rPr>
          <w:rFonts w:ascii="Arial"/>
          <w:i/>
          <w:sz w:val="20"/>
        </w:rPr>
        <w:t>Ltd</w:t>
      </w:r>
      <w:r>
        <w:rPr>
          <w:rFonts w:ascii="Arial"/>
          <w:i/>
          <w:spacing w:val="-2"/>
          <w:sz w:val="20"/>
        </w:rPr>
        <w:t> </w:t>
      </w:r>
      <w:r>
        <w:rPr>
          <w:rFonts w:ascii="Arial"/>
          <w:i/>
          <w:sz w:val="20"/>
        </w:rPr>
        <w:t>v</w:t>
      </w:r>
      <w:r>
        <w:rPr>
          <w:rFonts w:ascii="Arial"/>
          <w:i/>
          <w:spacing w:val="-2"/>
          <w:sz w:val="20"/>
        </w:rPr>
        <w:t> </w:t>
      </w:r>
      <w:r>
        <w:rPr>
          <w:rFonts w:ascii="Arial"/>
          <w:i/>
          <w:sz w:val="20"/>
        </w:rPr>
        <w:t>Staunton</w:t>
      </w:r>
      <w:r>
        <w:rPr>
          <w:rFonts w:ascii="Arial"/>
          <w:i/>
          <w:spacing w:val="-2"/>
          <w:sz w:val="20"/>
        </w:rPr>
        <w:t> </w:t>
      </w:r>
      <w:r>
        <w:rPr>
          <w:rFonts w:ascii="Arial"/>
          <w:i/>
          <w:sz w:val="20"/>
        </w:rPr>
        <w:t>[2001]</w:t>
      </w:r>
      <w:r>
        <w:rPr>
          <w:rFonts w:ascii="Arial"/>
          <w:i/>
          <w:spacing w:val="-2"/>
          <w:sz w:val="20"/>
        </w:rPr>
        <w:t> </w:t>
      </w:r>
      <w:r>
        <w:rPr>
          <w:rFonts w:ascii="Arial"/>
          <w:i/>
          <w:sz w:val="20"/>
        </w:rPr>
        <w:t>EWCA</w:t>
      </w:r>
      <w:r>
        <w:rPr>
          <w:rFonts w:ascii="Arial"/>
          <w:i/>
          <w:spacing w:val="-2"/>
          <w:sz w:val="20"/>
        </w:rPr>
        <w:t> </w:t>
      </w:r>
      <w:r>
        <w:rPr>
          <w:rFonts w:ascii="Arial"/>
          <w:i/>
          <w:sz w:val="20"/>
        </w:rPr>
        <w:t>Civ</w:t>
      </w:r>
      <w:r>
        <w:rPr>
          <w:rFonts w:ascii="Arial"/>
          <w:i/>
          <w:spacing w:val="-2"/>
          <w:sz w:val="20"/>
        </w:rPr>
        <w:t> </w:t>
      </w:r>
      <w:r>
        <w:rPr>
          <w:rFonts w:ascii="Arial"/>
          <w:i/>
          <w:sz w:val="20"/>
        </w:rPr>
        <w:t>1466,</w:t>
      </w:r>
      <w:r>
        <w:rPr>
          <w:rFonts w:ascii="Arial"/>
          <w:i/>
          <w:spacing w:val="-2"/>
          <w:sz w:val="20"/>
        </w:rPr>
        <w:t> </w:t>
      </w:r>
      <w:r>
        <w:rPr>
          <w:rFonts w:ascii="Arial"/>
          <w:i/>
          <w:sz w:val="20"/>
        </w:rPr>
        <w:t>[2001]</w:t>
      </w:r>
      <w:r>
        <w:rPr>
          <w:rFonts w:ascii="Arial"/>
          <w:i/>
          <w:spacing w:val="-2"/>
          <w:sz w:val="20"/>
        </w:rPr>
        <w:t> </w:t>
      </w:r>
      <w:r>
        <w:rPr>
          <w:rFonts w:ascii="Arial"/>
          <w:i/>
          <w:sz w:val="20"/>
        </w:rPr>
        <w:t>1</w:t>
      </w:r>
      <w:r>
        <w:rPr>
          <w:rFonts w:ascii="Arial"/>
          <w:i/>
          <w:spacing w:val="-2"/>
          <w:sz w:val="20"/>
        </w:rPr>
        <w:t> </w:t>
      </w:r>
      <w:r>
        <w:rPr>
          <w:rFonts w:ascii="Arial"/>
          <w:i/>
          <w:sz w:val="20"/>
        </w:rPr>
        <w:t>W.L.R.</w:t>
      </w:r>
      <w:r>
        <w:rPr>
          <w:rFonts w:ascii="Arial"/>
          <w:i/>
          <w:spacing w:val="-2"/>
          <w:sz w:val="20"/>
        </w:rPr>
        <w:t> </w:t>
      </w:r>
      <w:r>
        <w:rPr>
          <w:rFonts w:ascii="Arial"/>
          <w:i/>
          <w:sz w:val="20"/>
        </w:rPr>
        <w:t>685</w:t>
      </w:r>
      <w:r>
        <w:rPr>
          <w:rFonts w:ascii="Arial"/>
          <w:i/>
          <w:spacing w:val="-3"/>
          <w:sz w:val="20"/>
        </w:rPr>
        <w:t> </w:t>
      </w:r>
      <w:r>
        <w:rPr>
          <w:sz w:val="20"/>
        </w:rPr>
        <w:t>at</w:t>
      </w:r>
      <w:r>
        <w:rPr>
          <w:spacing w:val="-2"/>
          <w:sz w:val="20"/>
        </w:rPr>
        <w:t> </w:t>
      </w:r>
      <w:r>
        <w:rPr>
          <w:sz w:val="20"/>
        </w:rPr>
        <w:t>[36];</w:t>
      </w:r>
      <w:r>
        <w:rPr>
          <w:spacing w:val="-2"/>
          <w:sz w:val="20"/>
        </w:rPr>
        <w:t> </w:t>
      </w:r>
      <w:r>
        <w:rPr>
          <w:sz w:val="20"/>
        </w:rPr>
        <w:t>the</w:t>
      </w:r>
      <w:r>
        <w:rPr>
          <w:spacing w:val="-2"/>
          <w:sz w:val="20"/>
        </w:rPr>
        <w:t> </w:t>
      </w:r>
      <w:r>
        <w:rPr>
          <w:sz w:val="20"/>
        </w:rPr>
        <w:t>power (to maintain interest rates at a level above that charged by other lenders) had in that case been validly exercised. For similar restrictions on the exercise of contractually reserved discretions, see</w:t>
      </w:r>
      <w:r>
        <w:rPr>
          <w:spacing w:val="1"/>
          <w:sz w:val="20"/>
        </w:rPr>
        <w:t> </w:t>
      </w:r>
      <w:r>
        <w:rPr>
          <w:sz w:val="20"/>
        </w:rPr>
        <w:t>also</w:t>
      </w:r>
      <w:r>
        <w:rPr>
          <w:spacing w:val="1"/>
          <w:sz w:val="20"/>
        </w:rPr>
        <w:t> </w:t>
      </w:r>
      <w:r>
        <w:rPr>
          <w:rFonts w:ascii="Arial"/>
          <w:i/>
          <w:sz w:val="20"/>
        </w:rPr>
        <w:t>Horkulak</w:t>
      </w:r>
      <w:r>
        <w:rPr>
          <w:rFonts w:ascii="Arial"/>
          <w:i/>
          <w:spacing w:val="1"/>
          <w:sz w:val="20"/>
        </w:rPr>
        <w:t> </w:t>
      </w:r>
      <w:r>
        <w:rPr>
          <w:rFonts w:ascii="Arial"/>
          <w:i/>
          <w:sz w:val="20"/>
        </w:rPr>
        <w:t>v</w:t>
      </w:r>
      <w:r>
        <w:rPr>
          <w:rFonts w:ascii="Arial"/>
          <w:i/>
          <w:spacing w:val="1"/>
          <w:sz w:val="20"/>
        </w:rPr>
        <w:t> </w:t>
      </w:r>
      <w:r>
        <w:rPr>
          <w:rFonts w:ascii="Arial"/>
          <w:i/>
          <w:sz w:val="20"/>
        </w:rPr>
        <w:t>Cantor</w:t>
      </w:r>
      <w:r>
        <w:rPr>
          <w:rFonts w:ascii="Arial"/>
          <w:i/>
          <w:spacing w:val="1"/>
          <w:sz w:val="20"/>
        </w:rPr>
        <w:t> </w:t>
      </w:r>
      <w:r>
        <w:rPr>
          <w:rFonts w:ascii="Arial"/>
          <w:i/>
          <w:sz w:val="20"/>
        </w:rPr>
        <w:t>Fitzgerald</w:t>
      </w:r>
      <w:r>
        <w:rPr>
          <w:rFonts w:ascii="Arial"/>
          <w:i/>
          <w:spacing w:val="1"/>
          <w:sz w:val="20"/>
        </w:rPr>
        <w:t> </w:t>
      </w:r>
      <w:r>
        <w:rPr>
          <w:rFonts w:ascii="Arial"/>
          <w:i/>
          <w:sz w:val="20"/>
        </w:rPr>
        <w:t>International</w:t>
      </w:r>
      <w:r>
        <w:rPr>
          <w:rFonts w:ascii="Arial"/>
          <w:i/>
          <w:spacing w:val="1"/>
          <w:sz w:val="20"/>
        </w:rPr>
        <w:t> </w:t>
      </w:r>
      <w:r>
        <w:rPr>
          <w:rFonts w:ascii="Arial"/>
          <w:i/>
          <w:sz w:val="20"/>
        </w:rPr>
        <w:t>[2004]</w:t>
      </w:r>
      <w:r>
        <w:rPr>
          <w:rFonts w:ascii="Arial"/>
          <w:i/>
          <w:spacing w:val="1"/>
          <w:sz w:val="20"/>
        </w:rPr>
        <w:t> </w:t>
      </w:r>
      <w:r>
        <w:rPr>
          <w:rFonts w:ascii="Arial"/>
          <w:i/>
          <w:sz w:val="20"/>
        </w:rPr>
        <w:t>EWCA</w:t>
      </w:r>
      <w:r>
        <w:rPr>
          <w:rFonts w:ascii="Arial"/>
          <w:i/>
          <w:spacing w:val="1"/>
          <w:sz w:val="20"/>
        </w:rPr>
        <w:t> </w:t>
      </w:r>
      <w:r>
        <w:rPr>
          <w:rFonts w:ascii="Arial"/>
          <w:i/>
          <w:sz w:val="20"/>
        </w:rPr>
        <w:t>Civ</w:t>
      </w:r>
      <w:r>
        <w:rPr>
          <w:rFonts w:ascii="Arial"/>
          <w:i/>
          <w:spacing w:val="1"/>
          <w:sz w:val="20"/>
        </w:rPr>
        <w:t> </w:t>
      </w:r>
      <w:r>
        <w:rPr>
          <w:rFonts w:ascii="Arial"/>
          <w:i/>
          <w:sz w:val="20"/>
        </w:rPr>
        <w:t>1287,</w:t>
      </w:r>
      <w:r>
        <w:rPr>
          <w:rFonts w:ascii="Arial"/>
          <w:i/>
          <w:spacing w:val="1"/>
          <w:sz w:val="20"/>
        </w:rPr>
        <w:t> </w:t>
      </w:r>
      <w:r>
        <w:rPr>
          <w:rFonts w:ascii="Arial"/>
          <w:i/>
          <w:sz w:val="20"/>
        </w:rPr>
        <w:t>[2005]</w:t>
      </w:r>
      <w:r>
        <w:rPr>
          <w:rFonts w:ascii="Arial"/>
          <w:i/>
          <w:spacing w:val="1"/>
          <w:sz w:val="20"/>
        </w:rPr>
        <w:t> </w:t>
      </w:r>
      <w:r>
        <w:rPr>
          <w:rFonts w:ascii="Arial"/>
          <w:i/>
          <w:sz w:val="20"/>
        </w:rPr>
        <w:t>I.C.R.</w:t>
      </w:r>
      <w:r>
        <w:rPr>
          <w:rFonts w:ascii="Arial"/>
          <w:i/>
          <w:spacing w:val="1"/>
          <w:sz w:val="20"/>
        </w:rPr>
        <w:t> </w:t>
      </w:r>
      <w:r>
        <w:rPr>
          <w:rFonts w:ascii="Arial"/>
          <w:i/>
          <w:sz w:val="20"/>
        </w:rPr>
        <w:t>402 </w:t>
      </w:r>
      <w:r>
        <w:rPr>
          <w:spacing w:val="-5"/>
          <w:sz w:val="20"/>
        </w:rPr>
        <w:t>at</w:t>
      </w:r>
    </w:p>
    <w:p>
      <w:pPr>
        <w:spacing w:line="235" w:lineRule="auto" w:before="0"/>
        <w:ind w:left="705" w:right="168" w:firstLine="0"/>
        <w:jc w:val="both"/>
        <w:rPr>
          <w:rFonts w:ascii="Arial"/>
          <w:i/>
          <w:sz w:val="20"/>
        </w:rPr>
      </w:pPr>
      <w:r>
        <w:rPr>
          <w:sz w:val="20"/>
        </w:rPr>
        <w:t>[48] (below, para.2-185); cf. </w:t>
      </w:r>
      <w:r>
        <w:rPr>
          <w:rFonts w:ascii="Arial"/>
          <w:i/>
          <w:sz w:val="20"/>
        </w:rPr>
        <w:t>Lymington Marina Ltd v Macnamara [2007] EWCA Civ 151, [2007] 2</w:t>
      </w:r>
      <w:r>
        <w:rPr>
          <w:rFonts w:ascii="Arial"/>
          <w:i/>
          <w:spacing w:val="12"/>
          <w:sz w:val="20"/>
        </w:rPr>
        <w:t> </w:t>
      </w:r>
      <w:r>
        <w:rPr>
          <w:rFonts w:ascii="Arial"/>
          <w:i/>
          <w:sz w:val="20"/>
        </w:rPr>
        <w:t>All</w:t>
      </w:r>
      <w:r>
        <w:rPr>
          <w:rFonts w:ascii="Arial"/>
          <w:i/>
          <w:spacing w:val="13"/>
          <w:sz w:val="20"/>
        </w:rPr>
        <w:t> </w:t>
      </w:r>
      <w:r>
        <w:rPr>
          <w:rFonts w:ascii="Arial"/>
          <w:i/>
          <w:sz w:val="20"/>
        </w:rPr>
        <w:t>E.R.</w:t>
      </w:r>
      <w:r>
        <w:rPr>
          <w:rFonts w:ascii="Arial"/>
          <w:i/>
          <w:spacing w:val="13"/>
          <w:sz w:val="20"/>
        </w:rPr>
        <w:t> </w:t>
      </w:r>
      <w:r>
        <w:rPr>
          <w:rFonts w:ascii="Arial"/>
          <w:i/>
          <w:sz w:val="20"/>
        </w:rPr>
        <w:t>(Comm)</w:t>
      </w:r>
      <w:r>
        <w:rPr>
          <w:rFonts w:ascii="Arial"/>
          <w:i/>
          <w:spacing w:val="13"/>
          <w:sz w:val="20"/>
        </w:rPr>
        <w:t> </w:t>
      </w:r>
      <w:r>
        <w:rPr>
          <w:rFonts w:ascii="Arial"/>
          <w:i/>
          <w:sz w:val="20"/>
        </w:rPr>
        <w:t>825</w:t>
      </w:r>
      <w:r>
        <w:rPr>
          <w:sz w:val="20"/>
        </w:rPr>
        <w:t>;</w:t>
      </w:r>
      <w:r>
        <w:rPr>
          <w:spacing w:val="13"/>
          <w:sz w:val="20"/>
        </w:rPr>
        <w:t> </w:t>
      </w:r>
      <w:r>
        <w:rPr>
          <w:rFonts w:ascii="Arial"/>
          <w:i/>
          <w:sz w:val="20"/>
        </w:rPr>
        <w:t>McCarthy</w:t>
      </w:r>
      <w:r>
        <w:rPr>
          <w:rFonts w:ascii="Arial"/>
          <w:i/>
          <w:spacing w:val="13"/>
          <w:sz w:val="20"/>
        </w:rPr>
        <w:t> </w:t>
      </w:r>
      <w:r>
        <w:rPr>
          <w:rFonts w:ascii="Arial"/>
          <w:i/>
          <w:sz w:val="20"/>
        </w:rPr>
        <w:t>v</w:t>
      </w:r>
      <w:r>
        <w:rPr>
          <w:rFonts w:ascii="Arial"/>
          <w:i/>
          <w:spacing w:val="13"/>
          <w:sz w:val="20"/>
        </w:rPr>
        <w:t> </w:t>
      </w:r>
      <w:r>
        <w:rPr>
          <w:rFonts w:ascii="Arial"/>
          <w:i/>
          <w:sz w:val="20"/>
        </w:rPr>
        <w:t>McCarthy</w:t>
      </w:r>
      <w:r>
        <w:rPr>
          <w:rFonts w:ascii="Arial"/>
          <w:i/>
          <w:spacing w:val="13"/>
          <w:sz w:val="20"/>
        </w:rPr>
        <w:t> </w:t>
      </w:r>
      <w:r>
        <w:rPr>
          <w:rFonts w:ascii="Arial"/>
          <w:i/>
          <w:sz w:val="20"/>
        </w:rPr>
        <w:t>&amp;</w:t>
      </w:r>
      <w:r>
        <w:rPr>
          <w:rFonts w:ascii="Arial"/>
          <w:i/>
          <w:spacing w:val="13"/>
          <w:sz w:val="20"/>
        </w:rPr>
        <w:t> </w:t>
      </w:r>
      <w:r>
        <w:rPr>
          <w:rFonts w:ascii="Arial"/>
          <w:i/>
          <w:sz w:val="20"/>
        </w:rPr>
        <w:t>Stone</w:t>
      </w:r>
      <w:r>
        <w:rPr>
          <w:rFonts w:ascii="Arial"/>
          <w:i/>
          <w:spacing w:val="13"/>
          <w:sz w:val="20"/>
        </w:rPr>
        <w:t> </w:t>
      </w:r>
      <w:r>
        <w:rPr>
          <w:rFonts w:ascii="Arial"/>
          <w:i/>
          <w:sz w:val="20"/>
        </w:rPr>
        <w:t>Plc</w:t>
      </w:r>
      <w:r>
        <w:rPr>
          <w:rFonts w:ascii="Arial"/>
          <w:i/>
          <w:spacing w:val="13"/>
          <w:sz w:val="20"/>
        </w:rPr>
        <w:t> </w:t>
      </w:r>
      <w:r>
        <w:rPr>
          <w:rFonts w:ascii="Arial"/>
          <w:i/>
          <w:sz w:val="20"/>
        </w:rPr>
        <w:t>[2007]</w:t>
      </w:r>
      <w:r>
        <w:rPr>
          <w:rFonts w:ascii="Arial"/>
          <w:i/>
          <w:spacing w:val="13"/>
          <w:sz w:val="20"/>
        </w:rPr>
        <w:t> </w:t>
      </w:r>
      <w:r>
        <w:rPr>
          <w:rFonts w:ascii="Arial"/>
          <w:i/>
          <w:sz w:val="20"/>
        </w:rPr>
        <w:t>EWCA</w:t>
      </w:r>
      <w:r>
        <w:rPr>
          <w:rFonts w:ascii="Arial"/>
          <w:i/>
          <w:spacing w:val="13"/>
          <w:sz w:val="20"/>
        </w:rPr>
        <w:t> </w:t>
      </w:r>
      <w:r>
        <w:rPr>
          <w:rFonts w:ascii="Arial"/>
          <w:i/>
          <w:sz w:val="20"/>
        </w:rPr>
        <w:t>Civ</w:t>
      </w:r>
      <w:r>
        <w:rPr>
          <w:rFonts w:ascii="Arial"/>
          <w:i/>
          <w:spacing w:val="13"/>
          <w:sz w:val="20"/>
        </w:rPr>
        <w:t> </w:t>
      </w:r>
      <w:r>
        <w:rPr>
          <w:rFonts w:ascii="Arial"/>
          <w:i/>
          <w:sz w:val="20"/>
        </w:rPr>
        <w:t>664,</w:t>
      </w:r>
      <w:r>
        <w:rPr>
          <w:rFonts w:ascii="Arial"/>
          <w:i/>
          <w:spacing w:val="13"/>
          <w:sz w:val="20"/>
        </w:rPr>
        <w:t> </w:t>
      </w:r>
      <w:r>
        <w:rPr>
          <w:rFonts w:ascii="Arial"/>
          <w:i/>
          <w:sz w:val="20"/>
        </w:rPr>
        <w:t>[2008]</w:t>
      </w:r>
      <w:r>
        <w:rPr>
          <w:rFonts w:ascii="Arial"/>
          <w:i/>
          <w:spacing w:val="13"/>
          <w:sz w:val="20"/>
        </w:rPr>
        <w:t> </w:t>
      </w:r>
      <w:r>
        <w:rPr>
          <w:rFonts w:ascii="Arial"/>
          <w:i/>
          <w:sz w:val="20"/>
        </w:rPr>
        <w:t>1</w:t>
      </w:r>
      <w:r>
        <w:rPr>
          <w:rFonts w:ascii="Arial"/>
          <w:i/>
          <w:spacing w:val="13"/>
          <w:sz w:val="20"/>
        </w:rPr>
        <w:t> </w:t>
      </w:r>
      <w:r>
        <w:rPr>
          <w:rFonts w:ascii="Arial"/>
          <w:i/>
          <w:spacing w:val="-5"/>
          <w:sz w:val="20"/>
        </w:rPr>
        <w:t>Al</w:t>
      </w:r>
      <w:r>
        <w:rPr>
          <w:rFonts w:ascii="Arial"/>
          <w:i/>
          <w:spacing w:val="-5"/>
          <w:sz w:val="20"/>
        </w:rPr>
        <w:t>l</w:t>
      </w:r>
    </w:p>
    <w:p>
      <w:pPr>
        <w:spacing w:line="235" w:lineRule="auto" w:before="0"/>
        <w:ind w:left="705" w:right="167" w:firstLine="0"/>
        <w:jc w:val="both"/>
        <w:rPr>
          <w:sz w:val="20"/>
        </w:rPr>
      </w:pPr>
      <w:r>
        <w:rPr>
          <w:rFonts w:ascii="Arial" w:hAnsi="Arial"/>
          <w:i/>
          <w:sz w:val="20"/>
        </w:rPr>
        <w:t>E.R. (Comm) 221 </w:t>
      </w:r>
      <w:r>
        <w:rPr>
          <w:sz w:val="20"/>
        </w:rPr>
        <w:t>at [54]; </w:t>
      </w:r>
      <w:r>
        <w:rPr>
          <w:rFonts w:ascii="Arial" w:hAnsi="Arial"/>
          <w:i/>
          <w:sz w:val="20"/>
        </w:rPr>
        <w:t>Socimer International Bank Ltd v Standard Bank (London) Ltd [2008] EWCA Civ 116, [2008] 1 Lloyd’s Rep. 558 </w:t>
      </w:r>
      <w:r>
        <w:rPr>
          <w:sz w:val="20"/>
        </w:rPr>
        <w:t>at [60], [66]; </w:t>
      </w:r>
      <w:r>
        <w:rPr>
          <w:rFonts w:ascii="Arial" w:hAnsi="Arial"/>
          <w:i/>
          <w:sz w:val="20"/>
        </w:rPr>
        <w:t>Attrill v Dresdner Kleinwort Ltd </w:t>
      </w:r>
      <w:r>
        <w:rPr>
          <w:rFonts w:ascii="Arial" w:hAnsi="Arial"/>
          <w:i/>
          <w:sz w:val="20"/>
        </w:rPr>
        <w:t>[2013] EWCA Civ 394 </w:t>
      </w:r>
      <w:r>
        <w:rPr>
          <w:sz w:val="20"/>
        </w:rPr>
        <w:t>at [57] (where one party’s contractual rights depend, at least to some extent, on the exercise by the other of a discretion, then it is “implied that the exercise of discretion shall not be carried out arbitrarily or in bad faith”).</w:t>
      </w:r>
    </w:p>
    <w:p>
      <w:pPr>
        <w:pStyle w:val="BodyText"/>
        <w:spacing w:before="6"/>
      </w:pPr>
    </w:p>
    <w:p>
      <w:pPr>
        <w:spacing w:line="235" w:lineRule="auto" w:before="0"/>
        <w:ind w:left="705" w:right="167" w:hanging="541"/>
        <w:jc w:val="both"/>
        <w:rPr>
          <w:sz w:val="20"/>
        </w:rPr>
      </w:pPr>
      <w:bookmarkStart w:name="_bookmark1477" w:id="1479"/>
      <w:bookmarkEnd w:id="1479"/>
      <w:r>
        <w:rPr/>
      </w:r>
      <w:hyperlink w:history="true" w:anchor="_bookmark1274">
        <w:r>
          <w:rPr>
            <w:color w:val="005DA1"/>
            <w:position w:val="5"/>
            <w:sz w:val="14"/>
            <w:u w:val="single" w:color="005DA1"/>
          </w:rPr>
          <w:t>748</w:t>
        </w:r>
      </w:hyperlink>
      <w:r>
        <w:rPr>
          <w:position w:val="5"/>
          <w:sz w:val="14"/>
        </w:rPr>
        <w:t>.</w:t>
      </w:r>
      <w:r>
        <w:rPr>
          <w:spacing w:val="80"/>
          <w:position w:val="5"/>
          <w:sz w:val="14"/>
        </w:rPr>
        <w:t>  </w:t>
      </w:r>
      <w:r>
        <w:rPr>
          <w:rFonts w:ascii="Arial" w:hAnsi="Arial"/>
          <w:i/>
          <w:sz w:val="20"/>
        </w:rPr>
        <w:t>Star Shipping AS v China National Foreign Trade Transportation Corp (The Star Texas) [1993]</w:t>
      </w:r>
      <w:r>
        <w:rPr>
          <w:rFonts w:ascii="Arial" w:hAnsi="Arial"/>
          <w:i/>
          <w:spacing w:val="40"/>
          <w:sz w:val="20"/>
        </w:rPr>
        <w:t> </w:t>
      </w:r>
      <w:r>
        <w:rPr>
          <w:rFonts w:ascii="Arial" w:hAnsi="Arial"/>
          <w:i/>
          <w:sz w:val="20"/>
        </w:rPr>
        <w:t>2 Lloyd’s Rep. 445</w:t>
      </w:r>
      <w:r>
        <w:rPr>
          <w:sz w:val="20"/>
        </w:rPr>
        <w:t>. See also the </w:t>
      </w:r>
      <w:r>
        <w:rPr>
          <w:rFonts w:ascii="Arial" w:hAnsi="Arial"/>
          <w:i/>
          <w:sz w:val="20"/>
        </w:rPr>
        <w:t>Anderson </w:t>
      </w:r>
      <w:r>
        <w:rPr>
          <w:sz w:val="20"/>
        </w:rPr>
        <w:t>case, the facts of which are summarised in n.728. </w:t>
      </w:r>
      <w:r>
        <w:rPr>
          <w:sz w:val="20"/>
        </w:rPr>
        <w:t>It was further held that the agreement gave the employer a choice between two methods of calculating the pay increases (at [25]; see also [28], [32]).</w:t>
      </w:r>
    </w:p>
    <w:p>
      <w:pPr>
        <w:pStyle w:val="BodyText"/>
        <w:spacing w:before="4"/>
      </w:pPr>
    </w:p>
    <w:p>
      <w:pPr>
        <w:tabs>
          <w:tab w:pos="705" w:val="left" w:leader="none"/>
        </w:tabs>
        <w:spacing w:before="1"/>
        <w:ind w:left="165" w:right="0" w:firstLine="0"/>
        <w:jc w:val="left"/>
        <w:rPr>
          <w:sz w:val="20"/>
        </w:rPr>
      </w:pPr>
      <w:bookmarkStart w:name="_bookmark1478" w:id="1480"/>
      <w:bookmarkEnd w:id="1480"/>
      <w:r>
        <w:rPr/>
      </w:r>
      <w:hyperlink w:history="true" w:anchor="_bookmark1275">
        <w:r>
          <w:rPr>
            <w:color w:val="005DA1"/>
            <w:spacing w:val="-4"/>
            <w:position w:val="5"/>
            <w:sz w:val="14"/>
            <w:u w:val="single" w:color="005DA1"/>
          </w:rPr>
          <w:t>749</w:t>
        </w:r>
      </w:hyperlink>
      <w:r>
        <w:rPr>
          <w:spacing w:val="-4"/>
          <w:position w:val="5"/>
          <w:sz w:val="14"/>
        </w:rPr>
        <w:t>.</w:t>
      </w:r>
      <w:r>
        <w:rPr>
          <w:position w:val="5"/>
          <w:sz w:val="14"/>
        </w:rPr>
        <w:tab/>
      </w:r>
      <w:r>
        <w:rPr>
          <w:rFonts w:ascii="Arial"/>
          <w:i/>
          <w:sz w:val="20"/>
        </w:rPr>
        <w:t>Halpern v Halpern [2007] EWCA Civ 291, [2007] 3 All E.R. 478</w:t>
      </w:r>
      <w:r>
        <w:rPr>
          <w:rFonts w:ascii="Arial"/>
          <w:i/>
          <w:spacing w:val="-1"/>
          <w:sz w:val="20"/>
        </w:rPr>
        <w:t> </w:t>
      </w:r>
      <w:r>
        <w:rPr>
          <w:sz w:val="20"/>
        </w:rPr>
        <w:t>at </w:t>
      </w:r>
      <w:r>
        <w:rPr>
          <w:spacing w:val="-2"/>
          <w:sz w:val="20"/>
        </w:rPr>
        <w:t>[50].</w:t>
      </w:r>
    </w:p>
    <w:p>
      <w:pPr>
        <w:pStyle w:val="BodyText"/>
        <w:spacing w:before="8"/>
      </w:pPr>
    </w:p>
    <w:p>
      <w:pPr>
        <w:tabs>
          <w:tab w:pos="705" w:val="left" w:leader="none"/>
        </w:tabs>
        <w:spacing w:line="235" w:lineRule="auto" w:before="0"/>
        <w:ind w:left="705" w:right="168" w:hanging="541"/>
        <w:jc w:val="left"/>
        <w:rPr>
          <w:sz w:val="20"/>
        </w:rPr>
      </w:pPr>
      <w:bookmarkStart w:name="_bookmark1479" w:id="1481"/>
      <w:bookmarkEnd w:id="1481"/>
      <w:r>
        <w:rPr/>
      </w:r>
      <w:hyperlink w:history="true" w:anchor="_bookmark1276">
        <w:r>
          <w:rPr>
            <w:color w:val="005DA1"/>
            <w:spacing w:val="-4"/>
            <w:position w:val="5"/>
            <w:sz w:val="14"/>
            <w:u w:val="single" w:color="005DA1"/>
          </w:rPr>
          <w:t>750</w:t>
        </w:r>
      </w:hyperlink>
      <w:r>
        <w:rPr>
          <w:spacing w:val="-4"/>
          <w:position w:val="5"/>
          <w:sz w:val="14"/>
        </w:rPr>
        <w:t>.</w:t>
      </w:r>
      <w:r>
        <w:rPr>
          <w:position w:val="5"/>
          <w:sz w:val="14"/>
        </w:rPr>
        <w:tab/>
      </w:r>
      <w:r>
        <w:rPr>
          <w:rFonts w:ascii="Arial"/>
          <w:i/>
          <w:sz w:val="20"/>
        </w:rPr>
        <w:t>Bateman v Asda Stores Ltd [2010] I.R.L.R. 370</w:t>
      </w:r>
      <w:r>
        <w:rPr>
          <w:rFonts w:ascii="Arial"/>
          <w:i/>
          <w:spacing w:val="-1"/>
          <w:sz w:val="20"/>
        </w:rPr>
        <w:t> </w:t>
      </w:r>
      <w:r>
        <w:rPr>
          <w:sz w:val="20"/>
        </w:rPr>
        <w:t>(where the question was not whether a </w:t>
      </w:r>
      <w:r>
        <w:rPr>
          <w:sz w:val="20"/>
        </w:rPr>
        <w:t>contract had been made, but was whether an undoubtedly existing contract had been varied).</w:t>
      </w:r>
    </w:p>
    <w:p>
      <w:pPr>
        <w:pStyle w:val="BodyText"/>
        <w:spacing w:before="9"/>
      </w:pPr>
    </w:p>
    <w:p>
      <w:pPr>
        <w:spacing w:line="235" w:lineRule="auto" w:before="1"/>
        <w:ind w:left="705" w:right="168" w:hanging="541"/>
        <w:jc w:val="both"/>
        <w:rPr>
          <w:sz w:val="20"/>
        </w:rPr>
      </w:pPr>
      <w:bookmarkStart w:name="_bookmark1480" w:id="1482"/>
      <w:bookmarkEnd w:id="1482"/>
      <w:r>
        <w:rPr/>
      </w:r>
      <w:hyperlink w:history="true" w:anchor="_bookmark1277">
        <w:r>
          <w:rPr>
            <w:color w:val="005DA1"/>
            <w:position w:val="5"/>
            <w:sz w:val="14"/>
            <w:u w:val="single" w:color="005DA1"/>
          </w:rPr>
          <w:t>751</w:t>
        </w:r>
      </w:hyperlink>
      <w:r>
        <w:rPr>
          <w:position w:val="5"/>
          <w:sz w:val="14"/>
        </w:rPr>
        <w:t>.</w:t>
      </w:r>
      <w:r>
        <w:rPr>
          <w:spacing w:val="40"/>
          <w:position w:val="5"/>
          <w:sz w:val="14"/>
        </w:rPr>
        <w:t>  </w:t>
      </w:r>
      <w:r>
        <w:rPr>
          <w:rFonts w:ascii="Arial" w:hAnsi="Arial"/>
          <w:i/>
          <w:sz w:val="20"/>
        </w:rPr>
        <w:t>Arcos Ltd v Aronson (1930) 36 Ll.L. Rep. 108</w:t>
      </w:r>
      <w:r>
        <w:rPr>
          <w:sz w:val="20"/>
        </w:rPr>
        <w:t>; cf. </w:t>
      </w:r>
      <w:r>
        <w:rPr>
          <w:rFonts w:ascii="Arial" w:hAnsi="Arial"/>
          <w:i/>
          <w:sz w:val="20"/>
        </w:rPr>
        <w:t>Campbell v Edwards [1976] 1 W.L.R. 403</w:t>
      </w:r>
      <w:r>
        <w:rPr>
          <w:sz w:val="20"/>
        </w:rPr>
        <w:t>; </w:t>
      </w:r>
      <w:r>
        <w:rPr>
          <w:rFonts w:ascii="Arial" w:hAnsi="Arial"/>
          <w:i/>
          <w:sz w:val="20"/>
        </w:rPr>
        <w:t>Buber v Kenwood Mfg Co Ltd [1978] 1 Lloyd’s Rep. 175</w:t>
      </w:r>
      <w:r>
        <w:rPr>
          <w:sz w:val="20"/>
        </w:rPr>
        <w:t>; </w:t>
      </w:r>
      <w:r>
        <w:rPr>
          <w:rFonts w:ascii="Arial" w:hAnsi="Arial"/>
          <w:i/>
          <w:sz w:val="20"/>
        </w:rPr>
        <w:t>Queensland Electricity Generating Board v New Hope Collieries Pty Ltd [1989] 1 Lloyd’s Rep. 205</w:t>
      </w:r>
      <w:r>
        <w:rPr>
          <w:sz w:val="20"/>
        </w:rPr>
        <w:t>.</w:t>
      </w:r>
    </w:p>
    <w:p>
      <w:pPr>
        <w:pStyle w:val="BodyText"/>
        <w:spacing w:before="8"/>
      </w:pPr>
    </w:p>
    <w:p>
      <w:pPr>
        <w:tabs>
          <w:tab w:pos="705" w:val="left" w:leader="none"/>
        </w:tabs>
        <w:spacing w:line="235" w:lineRule="auto" w:before="1"/>
        <w:ind w:left="705" w:right="167" w:hanging="541"/>
        <w:jc w:val="left"/>
        <w:rPr>
          <w:sz w:val="20"/>
        </w:rPr>
      </w:pPr>
      <w:bookmarkStart w:name="_bookmark1481" w:id="1483"/>
      <w:bookmarkEnd w:id="1483"/>
      <w:r>
        <w:rPr/>
      </w:r>
      <w:hyperlink w:history="true" w:anchor="_bookmark1278">
        <w:r>
          <w:rPr>
            <w:color w:val="005DA1"/>
            <w:spacing w:val="-4"/>
            <w:position w:val="5"/>
            <w:sz w:val="14"/>
            <w:u w:val="single" w:color="005DA1"/>
          </w:rPr>
          <w:t>752</w:t>
        </w:r>
      </w:hyperlink>
      <w:r>
        <w:rPr>
          <w:spacing w:val="-4"/>
          <w:position w:val="5"/>
          <w:sz w:val="14"/>
        </w:rPr>
        <w:t>.</w:t>
      </w:r>
      <w:r>
        <w:rPr>
          <w:position w:val="5"/>
          <w:sz w:val="14"/>
        </w:rPr>
        <w:tab/>
      </w:r>
      <w:r>
        <w:rPr>
          <w:rFonts w:ascii="Arial"/>
          <w:i/>
          <w:sz w:val="20"/>
        </w:rPr>
        <w:t>Cable &amp; Wireless Plc v IBM United Kingdom Ltd [2002] EWHC 2059 (Comm), [2002] 2 All </w:t>
      </w:r>
      <w:r>
        <w:rPr>
          <w:rFonts w:ascii="Arial"/>
          <w:i/>
          <w:sz w:val="20"/>
        </w:rPr>
        <w:t>E.R. (Comm) 1041</w:t>
      </w:r>
      <w:r>
        <w:rPr>
          <w:sz w:val="20"/>
        </w:rPr>
        <w:t>;</w:t>
      </w:r>
      <w:r>
        <w:rPr>
          <w:spacing w:val="1"/>
          <w:sz w:val="20"/>
        </w:rPr>
        <w:t> </w:t>
      </w:r>
      <w:r>
        <w:rPr>
          <w:rFonts w:ascii="Arial"/>
          <w:i/>
          <w:sz w:val="20"/>
        </w:rPr>
        <w:t>Alstom</w:t>
      </w:r>
      <w:r>
        <w:rPr>
          <w:rFonts w:ascii="Arial"/>
          <w:i/>
          <w:spacing w:val="1"/>
          <w:sz w:val="20"/>
        </w:rPr>
        <w:t> </w:t>
      </w:r>
      <w:r>
        <w:rPr>
          <w:rFonts w:ascii="Arial"/>
          <w:i/>
          <w:sz w:val="20"/>
        </w:rPr>
        <w:t>Signalling</w:t>
      </w:r>
      <w:r>
        <w:rPr>
          <w:rFonts w:ascii="Arial"/>
          <w:i/>
          <w:spacing w:val="1"/>
          <w:sz w:val="20"/>
        </w:rPr>
        <w:t> </w:t>
      </w:r>
      <w:r>
        <w:rPr>
          <w:rFonts w:ascii="Arial"/>
          <w:i/>
          <w:sz w:val="20"/>
        </w:rPr>
        <w:t>Ltd</w:t>
      </w:r>
      <w:r>
        <w:rPr>
          <w:rFonts w:ascii="Arial"/>
          <w:i/>
          <w:spacing w:val="1"/>
          <w:sz w:val="20"/>
        </w:rPr>
        <w:t> </w:t>
      </w:r>
      <w:r>
        <w:rPr>
          <w:rFonts w:ascii="Arial"/>
          <w:i/>
          <w:sz w:val="20"/>
        </w:rPr>
        <w:t>v</w:t>
      </w:r>
      <w:r>
        <w:rPr>
          <w:rFonts w:ascii="Arial"/>
          <w:i/>
          <w:spacing w:val="1"/>
          <w:sz w:val="20"/>
        </w:rPr>
        <w:t> </w:t>
      </w:r>
      <w:r>
        <w:rPr>
          <w:rFonts w:ascii="Arial"/>
          <w:i/>
          <w:sz w:val="20"/>
        </w:rPr>
        <w:t>Jarvis</w:t>
      </w:r>
      <w:r>
        <w:rPr>
          <w:rFonts w:ascii="Arial"/>
          <w:i/>
          <w:spacing w:val="1"/>
          <w:sz w:val="20"/>
        </w:rPr>
        <w:t> </w:t>
      </w:r>
      <w:r>
        <w:rPr>
          <w:rFonts w:ascii="Arial"/>
          <w:i/>
          <w:sz w:val="20"/>
        </w:rPr>
        <w:t>Facilities</w:t>
      </w:r>
      <w:r>
        <w:rPr>
          <w:rFonts w:ascii="Arial"/>
          <w:i/>
          <w:spacing w:val="1"/>
          <w:sz w:val="20"/>
        </w:rPr>
        <w:t> </w:t>
      </w:r>
      <w:r>
        <w:rPr>
          <w:rFonts w:ascii="Arial"/>
          <w:i/>
          <w:sz w:val="20"/>
        </w:rPr>
        <w:t>Ltd</w:t>
      </w:r>
      <w:r>
        <w:rPr>
          <w:rFonts w:ascii="Arial"/>
          <w:i/>
          <w:spacing w:val="1"/>
          <w:sz w:val="20"/>
        </w:rPr>
        <w:t> </w:t>
      </w:r>
      <w:r>
        <w:rPr>
          <w:rFonts w:ascii="Arial"/>
          <w:i/>
          <w:sz w:val="20"/>
        </w:rPr>
        <w:t>[2004]</w:t>
      </w:r>
      <w:r>
        <w:rPr>
          <w:rFonts w:ascii="Arial"/>
          <w:i/>
          <w:spacing w:val="1"/>
          <w:sz w:val="20"/>
        </w:rPr>
        <w:t> </w:t>
      </w:r>
      <w:r>
        <w:rPr>
          <w:rFonts w:ascii="Arial"/>
          <w:i/>
          <w:sz w:val="20"/>
        </w:rPr>
        <w:t>EWHC</w:t>
      </w:r>
      <w:r>
        <w:rPr>
          <w:rFonts w:ascii="Arial"/>
          <w:i/>
          <w:spacing w:val="1"/>
          <w:sz w:val="20"/>
        </w:rPr>
        <w:t> </w:t>
      </w:r>
      <w:r>
        <w:rPr>
          <w:rFonts w:ascii="Arial"/>
          <w:i/>
          <w:sz w:val="20"/>
        </w:rPr>
        <w:t>1232,</w:t>
      </w:r>
      <w:r>
        <w:rPr>
          <w:rFonts w:ascii="Arial"/>
          <w:i/>
          <w:spacing w:val="1"/>
          <w:sz w:val="20"/>
        </w:rPr>
        <w:t> </w:t>
      </w:r>
      <w:r>
        <w:rPr>
          <w:rFonts w:ascii="Arial"/>
          <w:i/>
          <w:sz w:val="20"/>
        </w:rPr>
        <w:t>95</w:t>
      </w:r>
      <w:r>
        <w:rPr>
          <w:rFonts w:ascii="Arial"/>
          <w:i/>
          <w:spacing w:val="1"/>
          <w:sz w:val="20"/>
        </w:rPr>
        <w:t> </w:t>
      </w:r>
      <w:r>
        <w:rPr>
          <w:rFonts w:ascii="Arial"/>
          <w:i/>
          <w:sz w:val="20"/>
        </w:rPr>
        <w:t>Con.</w:t>
      </w:r>
      <w:r>
        <w:rPr>
          <w:rFonts w:ascii="Arial"/>
          <w:i/>
          <w:spacing w:val="1"/>
          <w:sz w:val="20"/>
        </w:rPr>
        <w:t> </w:t>
      </w:r>
      <w:r>
        <w:rPr>
          <w:rFonts w:ascii="Arial"/>
          <w:i/>
          <w:sz w:val="20"/>
        </w:rPr>
        <w:t>L.R.</w:t>
      </w:r>
      <w:r>
        <w:rPr>
          <w:rFonts w:ascii="Arial"/>
          <w:i/>
          <w:spacing w:val="1"/>
          <w:sz w:val="20"/>
        </w:rPr>
        <w:t> </w:t>
      </w:r>
      <w:r>
        <w:rPr>
          <w:rFonts w:ascii="Arial"/>
          <w:i/>
          <w:spacing w:val="-5"/>
          <w:sz w:val="20"/>
        </w:rPr>
        <w:t>55</w:t>
      </w:r>
      <w:r>
        <w:rPr>
          <w:spacing w:val="-5"/>
          <w:sz w:val="20"/>
        </w:rPr>
        <w:t>;</w:t>
      </w:r>
    </w:p>
    <w:p>
      <w:pPr>
        <w:spacing w:line="223" w:lineRule="exact" w:before="0"/>
        <w:ind w:left="705" w:right="0" w:firstLine="0"/>
        <w:jc w:val="left"/>
        <w:rPr>
          <w:sz w:val="20"/>
        </w:rPr>
      </w:pPr>
      <w:r>
        <w:rPr>
          <w:rFonts w:ascii="Arial"/>
          <w:i/>
          <w:sz w:val="20"/>
        </w:rPr>
        <w:t>Holloway</w:t>
      </w:r>
      <w:r>
        <w:rPr>
          <w:rFonts w:ascii="Arial"/>
          <w:i/>
          <w:spacing w:val="25"/>
          <w:sz w:val="20"/>
        </w:rPr>
        <w:t> </w:t>
      </w:r>
      <w:r>
        <w:rPr>
          <w:rFonts w:ascii="Arial"/>
          <w:i/>
          <w:sz w:val="20"/>
        </w:rPr>
        <w:t>v</w:t>
      </w:r>
      <w:r>
        <w:rPr>
          <w:rFonts w:ascii="Arial"/>
          <w:i/>
          <w:spacing w:val="25"/>
          <w:sz w:val="20"/>
        </w:rPr>
        <w:t> </w:t>
      </w:r>
      <w:r>
        <w:rPr>
          <w:rFonts w:ascii="Arial"/>
          <w:i/>
          <w:sz w:val="20"/>
        </w:rPr>
        <w:t>Chancery</w:t>
      </w:r>
      <w:r>
        <w:rPr>
          <w:rFonts w:ascii="Arial"/>
          <w:i/>
          <w:spacing w:val="25"/>
          <w:sz w:val="20"/>
        </w:rPr>
        <w:t> </w:t>
      </w:r>
      <w:r>
        <w:rPr>
          <w:rFonts w:ascii="Arial"/>
          <w:i/>
          <w:sz w:val="20"/>
        </w:rPr>
        <w:t>Mead</w:t>
      </w:r>
      <w:r>
        <w:rPr>
          <w:rFonts w:ascii="Arial"/>
          <w:i/>
          <w:spacing w:val="25"/>
          <w:sz w:val="20"/>
        </w:rPr>
        <w:t> </w:t>
      </w:r>
      <w:r>
        <w:rPr>
          <w:rFonts w:ascii="Arial"/>
          <w:i/>
          <w:sz w:val="20"/>
        </w:rPr>
        <w:t>Ltd</w:t>
      </w:r>
      <w:r>
        <w:rPr>
          <w:rFonts w:ascii="Arial"/>
          <w:i/>
          <w:spacing w:val="25"/>
          <w:sz w:val="20"/>
        </w:rPr>
        <w:t> </w:t>
      </w:r>
      <w:r>
        <w:rPr>
          <w:rFonts w:ascii="Arial"/>
          <w:i/>
          <w:sz w:val="20"/>
        </w:rPr>
        <w:t>[2007]</w:t>
      </w:r>
      <w:r>
        <w:rPr>
          <w:rFonts w:ascii="Arial"/>
          <w:i/>
          <w:spacing w:val="25"/>
          <w:sz w:val="20"/>
        </w:rPr>
        <w:t> </w:t>
      </w:r>
      <w:r>
        <w:rPr>
          <w:rFonts w:ascii="Arial"/>
          <w:i/>
          <w:sz w:val="20"/>
        </w:rPr>
        <w:t>EWHC</w:t>
      </w:r>
      <w:r>
        <w:rPr>
          <w:rFonts w:ascii="Arial"/>
          <w:i/>
          <w:spacing w:val="25"/>
          <w:sz w:val="20"/>
        </w:rPr>
        <w:t> </w:t>
      </w:r>
      <w:r>
        <w:rPr>
          <w:rFonts w:ascii="Arial"/>
          <w:i/>
          <w:sz w:val="20"/>
        </w:rPr>
        <w:t>2495</w:t>
      </w:r>
      <w:r>
        <w:rPr>
          <w:rFonts w:ascii="Arial"/>
          <w:i/>
          <w:spacing w:val="25"/>
          <w:sz w:val="20"/>
        </w:rPr>
        <w:t> </w:t>
      </w:r>
      <w:r>
        <w:rPr>
          <w:rFonts w:ascii="Arial"/>
          <w:i/>
          <w:sz w:val="20"/>
        </w:rPr>
        <w:t>(TCC),</w:t>
      </w:r>
      <w:r>
        <w:rPr>
          <w:rFonts w:ascii="Arial"/>
          <w:i/>
          <w:spacing w:val="25"/>
          <w:sz w:val="20"/>
        </w:rPr>
        <w:t> </w:t>
      </w:r>
      <w:r>
        <w:rPr>
          <w:rFonts w:ascii="Arial"/>
          <w:i/>
          <w:sz w:val="20"/>
        </w:rPr>
        <w:t>[2008]</w:t>
      </w:r>
      <w:r>
        <w:rPr>
          <w:rFonts w:ascii="Arial"/>
          <w:i/>
          <w:spacing w:val="25"/>
          <w:sz w:val="20"/>
        </w:rPr>
        <w:t> </w:t>
      </w:r>
      <w:r>
        <w:rPr>
          <w:rFonts w:ascii="Arial"/>
          <w:i/>
          <w:sz w:val="20"/>
        </w:rPr>
        <w:t>1</w:t>
      </w:r>
      <w:r>
        <w:rPr>
          <w:rFonts w:ascii="Arial"/>
          <w:i/>
          <w:spacing w:val="25"/>
          <w:sz w:val="20"/>
        </w:rPr>
        <w:t> </w:t>
      </w:r>
      <w:r>
        <w:rPr>
          <w:rFonts w:ascii="Arial"/>
          <w:i/>
          <w:sz w:val="20"/>
        </w:rPr>
        <w:t>All</w:t>
      </w:r>
      <w:r>
        <w:rPr>
          <w:rFonts w:ascii="Arial"/>
          <w:i/>
          <w:spacing w:val="25"/>
          <w:sz w:val="20"/>
        </w:rPr>
        <w:t> </w:t>
      </w:r>
      <w:r>
        <w:rPr>
          <w:rFonts w:ascii="Arial"/>
          <w:i/>
          <w:sz w:val="20"/>
        </w:rPr>
        <w:t>E.R.</w:t>
      </w:r>
      <w:r>
        <w:rPr>
          <w:rFonts w:ascii="Arial"/>
          <w:i/>
          <w:spacing w:val="25"/>
          <w:sz w:val="20"/>
        </w:rPr>
        <w:t> </w:t>
      </w:r>
      <w:r>
        <w:rPr>
          <w:rFonts w:ascii="Arial"/>
          <w:i/>
          <w:sz w:val="20"/>
        </w:rPr>
        <w:t>(Comm)</w:t>
      </w:r>
      <w:r>
        <w:rPr>
          <w:rFonts w:ascii="Arial"/>
          <w:i/>
          <w:spacing w:val="25"/>
          <w:sz w:val="20"/>
        </w:rPr>
        <w:t> </w:t>
      </w:r>
      <w:r>
        <w:rPr>
          <w:rFonts w:ascii="Arial"/>
          <w:i/>
          <w:sz w:val="20"/>
        </w:rPr>
        <w:t>653</w:t>
      </w:r>
      <w:r>
        <w:rPr>
          <w:rFonts w:ascii="Arial"/>
          <w:i/>
          <w:spacing w:val="24"/>
          <w:sz w:val="20"/>
        </w:rPr>
        <w:t> </w:t>
      </w:r>
      <w:r>
        <w:rPr>
          <w:spacing w:val="-5"/>
          <w:sz w:val="20"/>
        </w:rPr>
        <w:t>at</w:t>
      </w:r>
    </w:p>
    <w:p>
      <w:pPr>
        <w:pStyle w:val="BodyText"/>
        <w:spacing w:line="227" w:lineRule="exact"/>
        <w:ind w:left="705"/>
      </w:pPr>
      <w:r>
        <w:rPr>
          <w:spacing w:val="-2"/>
        </w:rPr>
        <w:t>[66]–[85].</w:t>
      </w:r>
    </w:p>
    <w:p>
      <w:pPr>
        <w:pStyle w:val="BodyText"/>
        <w:spacing w:before="8"/>
      </w:pPr>
    </w:p>
    <w:p>
      <w:pPr>
        <w:tabs>
          <w:tab w:pos="705" w:val="left" w:leader="none"/>
        </w:tabs>
        <w:spacing w:line="235" w:lineRule="auto" w:before="0"/>
        <w:ind w:left="705" w:right="168" w:hanging="541"/>
        <w:jc w:val="left"/>
        <w:rPr>
          <w:sz w:val="20"/>
        </w:rPr>
      </w:pPr>
      <w:bookmarkStart w:name="_bookmark1482" w:id="1484"/>
      <w:bookmarkEnd w:id="1484"/>
      <w:r>
        <w:rPr/>
      </w:r>
      <w:hyperlink w:history="true" w:anchor="_bookmark1278">
        <w:r>
          <w:rPr>
            <w:color w:val="005DA1"/>
            <w:spacing w:val="-4"/>
            <w:position w:val="5"/>
            <w:sz w:val="14"/>
            <w:u w:val="single" w:color="005DA1"/>
          </w:rPr>
          <w:t>753</w:t>
        </w:r>
      </w:hyperlink>
      <w:r>
        <w:rPr>
          <w:spacing w:val="-4"/>
          <w:position w:val="5"/>
          <w:sz w:val="14"/>
        </w:rPr>
        <w:t>.</w:t>
      </w:r>
      <w:r>
        <w:rPr>
          <w:position w:val="5"/>
          <w:sz w:val="14"/>
        </w:rPr>
        <w:tab/>
      </w:r>
      <w:r>
        <w:rPr>
          <w:rFonts w:ascii="Arial" w:hAnsi="Arial"/>
          <w:i/>
          <w:sz w:val="20"/>
        </w:rPr>
        <w:t>Halpern</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Halpern</w:t>
      </w:r>
      <w:r>
        <w:rPr>
          <w:rFonts w:ascii="Arial" w:hAnsi="Arial"/>
          <w:i/>
          <w:spacing w:val="40"/>
          <w:sz w:val="20"/>
        </w:rPr>
        <w:t> </w:t>
      </w:r>
      <w:r>
        <w:rPr>
          <w:rFonts w:ascii="Arial" w:hAnsi="Arial"/>
          <w:i/>
          <w:sz w:val="20"/>
        </w:rPr>
        <w:t>[2007]</w:t>
      </w:r>
      <w:r>
        <w:rPr>
          <w:rFonts w:ascii="Arial" w:hAnsi="Arial"/>
          <w:i/>
          <w:spacing w:val="40"/>
          <w:sz w:val="20"/>
        </w:rPr>
        <w:t> </w:t>
      </w:r>
      <w:r>
        <w:rPr>
          <w:rFonts w:ascii="Arial" w:hAnsi="Arial"/>
          <w:i/>
          <w:sz w:val="20"/>
        </w:rPr>
        <w:t>EWCA</w:t>
      </w:r>
      <w:r>
        <w:rPr>
          <w:rFonts w:ascii="Arial" w:hAnsi="Arial"/>
          <w:i/>
          <w:spacing w:val="40"/>
          <w:sz w:val="20"/>
        </w:rPr>
        <w:t> </w:t>
      </w:r>
      <w:r>
        <w:rPr>
          <w:rFonts w:ascii="Arial" w:hAnsi="Arial"/>
          <w:i/>
          <w:sz w:val="20"/>
        </w:rPr>
        <w:t>Civ</w:t>
      </w:r>
      <w:r>
        <w:rPr>
          <w:rFonts w:ascii="Arial" w:hAnsi="Arial"/>
          <w:i/>
          <w:spacing w:val="40"/>
          <w:sz w:val="20"/>
        </w:rPr>
        <w:t> </w:t>
      </w:r>
      <w:r>
        <w:rPr>
          <w:rFonts w:ascii="Arial" w:hAnsi="Arial"/>
          <w:i/>
          <w:sz w:val="20"/>
        </w:rPr>
        <w:t>291,</w:t>
      </w:r>
      <w:r>
        <w:rPr>
          <w:rFonts w:ascii="Arial" w:hAnsi="Arial"/>
          <w:i/>
          <w:spacing w:val="40"/>
          <w:sz w:val="20"/>
        </w:rPr>
        <w:t> </w:t>
      </w:r>
      <w:r>
        <w:rPr>
          <w:rFonts w:ascii="Arial" w:hAnsi="Arial"/>
          <w:i/>
          <w:sz w:val="20"/>
        </w:rPr>
        <w:t>[2007]</w:t>
      </w:r>
      <w:r>
        <w:rPr>
          <w:rFonts w:ascii="Arial" w:hAnsi="Arial"/>
          <w:i/>
          <w:spacing w:val="40"/>
          <w:sz w:val="20"/>
        </w:rPr>
        <w:t> </w:t>
      </w:r>
      <w:r>
        <w:rPr>
          <w:rFonts w:ascii="Arial" w:hAnsi="Arial"/>
          <w:i/>
          <w:sz w:val="20"/>
        </w:rPr>
        <w:t>3</w:t>
      </w:r>
      <w:r>
        <w:rPr>
          <w:rFonts w:ascii="Arial" w:hAnsi="Arial"/>
          <w:i/>
          <w:spacing w:val="40"/>
          <w:sz w:val="20"/>
        </w:rPr>
        <w:t> </w:t>
      </w:r>
      <w:r>
        <w:rPr>
          <w:rFonts w:ascii="Arial" w:hAnsi="Arial"/>
          <w:i/>
          <w:sz w:val="20"/>
        </w:rPr>
        <w:t>All</w:t>
      </w:r>
      <w:r>
        <w:rPr>
          <w:rFonts w:ascii="Arial" w:hAnsi="Arial"/>
          <w:i/>
          <w:spacing w:val="40"/>
          <w:sz w:val="20"/>
        </w:rPr>
        <w:t> </w:t>
      </w:r>
      <w:r>
        <w:rPr>
          <w:rFonts w:ascii="Arial" w:hAnsi="Arial"/>
          <w:i/>
          <w:sz w:val="20"/>
        </w:rPr>
        <w:t>E.R.</w:t>
      </w:r>
      <w:r>
        <w:rPr>
          <w:rFonts w:ascii="Arial" w:hAnsi="Arial"/>
          <w:i/>
          <w:spacing w:val="40"/>
          <w:sz w:val="20"/>
        </w:rPr>
        <w:t> </w:t>
      </w:r>
      <w:r>
        <w:rPr>
          <w:rFonts w:ascii="Arial" w:hAnsi="Arial"/>
          <w:i/>
          <w:sz w:val="20"/>
        </w:rPr>
        <w:t>478</w:t>
      </w:r>
      <w:r>
        <w:rPr>
          <w:rFonts w:ascii="Arial" w:hAnsi="Arial"/>
          <w:i/>
          <w:spacing w:val="40"/>
          <w:sz w:val="20"/>
        </w:rPr>
        <w:t> </w:t>
      </w:r>
      <w:r>
        <w:rPr>
          <w:sz w:val="20"/>
        </w:rPr>
        <w:t>at</w:t>
      </w:r>
      <w:r>
        <w:rPr>
          <w:spacing w:val="40"/>
          <w:sz w:val="20"/>
        </w:rPr>
        <w:t> </w:t>
      </w:r>
      <w:r>
        <w:rPr>
          <w:sz w:val="20"/>
        </w:rPr>
        <w:t>[50]</w:t>
      </w:r>
      <w:r>
        <w:rPr>
          <w:spacing w:val="40"/>
          <w:sz w:val="20"/>
        </w:rPr>
        <w:t> </w:t>
      </w:r>
      <w:r>
        <w:rPr>
          <w:sz w:val="20"/>
        </w:rPr>
        <w:t>(“machinery</w:t>
      </w:r>
      <w:r>
        <w:rPr>
          <w:spacing w:val="40"/>
          <w:sz w:val="20"/>
        </w:rPr>
        <w:t> </w:t>
      </w:r>
      <w:r>
        <w:rPr>
          <w:sz w:val="20"/>
        </w:rPr>
        <w:t>for</w:t>
      </w:r>
      <w:r>
        <w:rPr>
          <w:spacing w:val="80"/>
          <w:sz w:val="20"/>
        </w:rPr>
        <w:t> </w:t>
      </w:r>
      <w:r>
        <w:rPr>
          <w:spacing w:val="-2"/>
          <w:sz w:val="20"/>
        </w:rPr>
        <w:t>valuation”).</w:t>
      </w:r>
    </w:p>
    <w:p>
      <w:pPr>
        <w:pStyle w:val="BodyText"/>
        <w:spacing w:before="6"/>
      </w:pPr>
    </w:p>
    <w:p>
      <w:pPr>
        <w:tabs>
          <w:tab w:pos="705" w:val="left" w:leader="none"/>
        </w:tabs>
        <w:spacing w:before="0"/>
        <w:ind w:left="165" w:right="0" w:firstLine="0"/>
        <w:jc w:val="left"/>
        <w:rPr>
          <w:sz w:val="20"/>
        </w:rPr>
      </w:pPr>
      <w:bookmarkStart w:name="_bookmark1483" w:id="1485"/>
      <w:bookmarkEnd w:id="1485"/>
      <w:r>
        <w:rPr/>
      </w:r>
      <w:hyperlink w:history="true" w:anchor="_bookmark1278">
        <w:r>
          <w:rPr>
            <w:color w:val="005DA1"/>
            <w:spacing w:val="-4"/>
            <w:position w:val="5"/>
            <w:sz w:val="14"/>
            <w:u w:val="single" w:color="005DA1"/>
          </w:rPr>
          <w:t>754</w:t>
        </w:r>
      </w:hyperlink>
      <w:r>
        <w:rPr>
          <w:spacing w:val="-4"/>
          <w:position w:val="5"/>
          <w:sz w:val="14"/>
        </w:rPr>
        <w:t>.</w:t>
      </w:r>
      <w:r>
        <w:rPr>
          <w:position w:val="5"/>
          <w:sz w:val="14"/>
        </w:rPr>
        <w:tab/>
      </w:r>
      <w:r>
        <w:rPr>
          <w:rFonts w:ascii="Arial" w:hAnsi="Arial"/>
          <w:i/>
          <w:sz w:val="20"/>
        </w:rPr>
        <w:t>Premier Telecom Communications Group Ltd v Webb [2014] EWCA Civ 994</w:t>
      </w:r>
      <w:r>
        <w:rPr>
          <w:rFonts w:ascii="Arial" w:hAnsi="Arial"/>
          <w:i/>
          <w:spacing w:val="-1"/>
          <w:sz w:val="20"/>
        </w:rPr>
        <w:t> </w:t>
      </w:r>
      <w:r>
        <w:rPr>
          <w:sz w:val="20"/>
        </w:rPr>
        <w:t>(“expert </w:t>
      </w:r>
      <w:r>
        <w:rPr>
          <w:spacing w:val="-2"/>
          <w:sz w:val="20"/>
        </w:rPr>
        <w:t>valuer”).</w:t>
      </w:r>
    </w:p>
    <w:p>
      <w:pPr>
        <w:pStyle w:val="BodyText"/>
        <w:spacing w:before="5"/>
      </w:pPr>
    </w:p>
    <w:p>
      <w:pPr>
        <w:tabs>
          <w:tab w:pos="705" w:val="left" w:leader="none"/>
        </w:tabs>
        <w:spacing w:before="0"/>
        <w:ind w:left="165" w:right="0" w:firstLine="0"/>
        <w:jc w:val="left"/>
        <w:rPr>
          <w:sz w:val="20"/>
        </w:rPr>
      </w:pPr>
      <w:bookmarkStart w:name="_bookmark1484" w:id="1486"/>
      <w:bookmarkEnd w:id="1486"/>
      <w:r>
        <w:rPr/>
      </w:r>
      <w:hyperlink w:history="true" w:anchor="_bookmark1279">
        <w:r>
          <w:rPr>
            <w:color w:val="005DA1"/>
            <w:spacing w:val="-4"/>
            <w:position w:val="5"/>
            <w:sz w:val="14"/>
            <w:u w:val="single" w:color="005DA1"/>
          </w:rPr>
          <w:t>755</w:t>
        </w:r>
      </w:hyperlink>
      <w:r>
        <w:rPr>
          <w:spacing w:val="-4"/>
          <w:position w:val="5"/>
          <w:sz w:val="14"/>
        </w:rPr>
        <w:t>.</w:t>
      </w:r>
      <w:r>
        <w:rPr>
          <w:position w:val="5"/>
          <w:sz w:val="14"/>
        </w:rPr>
        <w:tab/>
      </w:r>
      <w:r>
        <w:rPr>
          <w:sz w:val="20"/>
        </w:rPr>
        <w:t>Sale of Goods Act 1979 s.9(1); cf.</w:t>
      </w:r>
      <w:r>
        <w:rPr>
          <w:spacing w:val="-1"/>
          <w:sz w:val="20"/>
        </w:rPr>
        <w:t> </w:t>
      </w:r>
      <w:r>
        <w:rPr>
          <w:rFonts w:ascii="Arial"/>
          <w:i/>
          <w:sz w:val="20"/>
        </w:rPr>
        <w:t>Pym v Campbell (1856) 6 E. &amp; B. </w:t>
      </w:r>
      <w:r>
        <w:rPr>
          <w:rFonts w:ascii="Arial"/>
          <w:i/>
          <w:spacing w:val="-4"/>
          <w:sz w:val="20"/>
        </w:rPr>
        <w:t>370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85" w:id="1487"/>
      <w:bookmarkEnd w:id="1487"/>
      <w:r>
        <w:rPr/>
      </w:r>
      <w:hyperlink w:history="true" w:anchor="_bookmark1280">
        <w:r>
          <w:rPr>
            <w:color w:val="005DA1"/>
            <w:spacing w:val="-4"/>
            <w:position w:val="5"/>
            <w:sz w:val="14"/>
            <w:u w:val="single" w:color="005DA1"/>
          </w:rPr>
          <w:t>756</w:t>
        </w:r>
      </w:hyperlink>
      <w:r>
        <w:rPr>
          <w:spacing w:val="-4"/>
          <w:position w:val="5"/>
          <w:sz w:val="14"/>
        </w:rPr>
        <w:t>.</w:t>
      </w:r>
      <w:r>
        <w:rPr>
          <w:position w:val="5"/>
          <w:sz w:val="14"/>
        </w:rPr>
        <w:tab/>
      </w:r>
      <w:r>
        <w:rPr>
          <w:rFonts w:ascii="Arial"/>
          <w:i/>
          <w:sz w:val="20"/>
        </w:rPr>
        <w:t>[1982]</w:t>
      </w:r>
      <w:r>
        <w:rPr>
          <w:rFonts w:ascii="Arial"/>
          <w:i/>
          <w:spacing w:val="-1"/>
          <w:sz w:val="20"/>
        </w:rPr>
        <w:t> </w:t>
      </w:r>
      <w:r>
        <w:rPr>
          <w:rFonts w:ascii="Arial"/>
          <w:i/>
          <w:sz w:val="20"/>
        </w:rPr>
        <w:t>1 A.C. 493</w:t>
      </w:r>
      <w:r>
        <w:rPr>
          <w:sz w:val="20"/>
        </w:rPr>
        <w:t>; Robertshaw (1982) 46 M.L.R. at </w:t>
      </w:r>
      <w:r>
        <w:rPr>
          <w:spacing w:val="-4"/>
          <w:sz w:val="20"/>
        </w:rPr>
        <w:t>493.</w:t>
      </w:r>
    </w:p>
    <w:p>
      <w:pPr>
        <w:spacing w:after="0"/>
        <w:jc w:val="left"/>
        <w:rPr>
          <w:sz w:val="20"/>
        </w:rPr>
        <w:sectPr>
          <w:pgSz w:w="11900" w:h="16840"/>
          <w:pgMar w:header="971" w:footer="0" w:top="1300" w:bottom="280" w:left="1275" w:right="1275"/>
        </w:sectPr>
      </w:pPr>
    </w:p>
    <w:p>
      <w:pPr>
        <w:tabs>
          <w:tab w:pos="705" w:val="left" w:leader="none"/>
        </w:tabs>
        <w:spacing w:line="227" w:lineRule="exact" w:before="166"/>
        <w:ind w:left="165" w:right="0" w:firstLine="0"/>
        <w:jc w:val="left"/>
        <w:rPr>
          <w:rFonts w:ascii="Arial"/>
          <w:i/>
          <w:sz w:val="20"/>
        </w:rPr>
      </w:pPr>
      <w:hyperlink w:history="true" w:anchor="_bookmark1281">
        <w:r>
          <w:rPr>
            <w:color w:val="005DA1"/>
            <w:spacing w:val="-4"/>
            <w:position w:val="5"/>
            <w:sz w:val="14"/>
            <w:u w:val="single" w:color="005DA1"/>
          </w:rPr>
          <w:t>757</w:t>
        </w:r>
      </w:hyperlink>
      <w:r>
        <w:rPr>
          <w:spacing w:val="-4"/>
          <w:position w:val="5"/>
          <w:sz w:val="14"/>
        </w:rPr>
        <w:t>.</w:t>
      </w:r>
      <w:r>
        <w:rPr>
          <w:position w:val="5"/>
          <w:sz w:val="14"/>
        </w:rPr>
        <w:tab/>
      </w:r>
      <w:r>
        <w:rPr>
          <w:rFonts w:ascii="Arial"/>
          <w:i/>
          <w:sz w:val="20"/>
        </w:rPr>
        <w:t>Re</w:t>
      </w:r>
      <w:r>
        <w:rPr>
          <w:rFonts w:ascii="Arial"/>
          <w:i/>
          <w:spacing w:val="27"/>
          <w:sz w:val="20"/>
        </w:rPr>
        <w:t> </w:t>
      </w:r>
      <w:r>
        <w:rPr>
          <w:rFonts w:ascii="Arial"/>
          <w:i/>
          <w:sz w:val="20"/>
        </w:rPr>
        <w:t>Malpas</w:t>
      </w:r>
      <w:r>
        <w:rPr>
          <w:rFonts w:ascii="Arial"/>
          <w:i/>
          <w:spacing w:val="28"/>
          <w:sz w:val="20"/>
        </w:rPr>
        <w:t> </w:t>
      </w:r>
      <w:r>
        <w:rPr>
          <w:rFonts w:ascii="Arial"/>
          <w:i/>
          <w:sz w:val="20"/>
        </w:rPr>
        <w:t>[1985]</w:t>
      </w:r>
      <w:r>
        <w:rPr>
          <w:rFonts w:ascii="Arial"/>
          <w:i/>
          <w:spacing w:val="28"/>
          <w:sz w:val="20"/>
        </w:rPr>
        <w:t> </w:t>
      </w:r>
      <w:r>
        <w:rPr>
          <w:rFonts w:ascii="Arial"/>
          <w:i/>
          <w:sz w:val="20"/>
        </w:rPr>
        <w:t>Ch.</w:t>
      </w:r>
      <w:r>
        <w:rPr>
          <w:rFonts w:ascii="Arial"/>
          <w:i/>
          <w:spacing w:val="28"/>
          <w:sz w:val="20"/>
        </w:rPr>
        <w:t> </w:t>
      </w:r>
      <w:r>
        <w:rPr>
          <w:rFonts w:ascii="Arial"/>
          <w:i/>
          <w:sz w:val="20"/>
        </w:rPr>
        <w:t>42,</w:t>
      </w:r>
      <w:r>
        <w:rPr>
          <w:rFonts w:ascii="Arial"/>
          <w:i/>
          <w:spacing w:val="28"/>
          <w:sz w:val="20"/>
        </w:rPr>
        <w:t> </w:t>
      </w:r>
      <w:r>
        <w:rPr>
          <w:rFonts w:ascii="Arial"/>
          <w:i/>
          <w:sz w:val="20"/>
        </w:rPr>
        <w:t>50</w:t>
      </w:r>
      <w:r>
        <w:rPr>
          <w:sz w:val="20"/>
        </w:rPr>
        <w:t>;</w:t>
      </w:r>
      <w:r>
        <w:rPr>
          <w:spacing w:val="28"/>
          <w:sz w:val="20"/>
        </w:rPr>
        <w:t> </w:t>
      </w:r>
      <w:r>
        <w:rPr>
          <w:sz w:val="20"/>
        </w:rPr>
        <w:t>cf.</w:t>
      </w:r>
      <w:r>
        <w:rPr>
          <w:spacing w:val="28"/>
          <w:sz w:val="20"/>
        </w:rPr>
        <w:t> </w:t>
      </w:r>
      <w:r>
        <w:rPr>
          <w:rFonts w:ascii="Arial"/>
          <w:i/>
          <w:sz w:val="20"/>
        </w:rPr>
        <w:t>Tito</w:t>
      </w:r>
      <w:r>
        <w:rPr>
          <w:rFonts w:ascii="Arial"/>
          <w:i/>
          <w:spacing w:val="28"/>
          <w:sz w:val="20"/>
        </w:rPr>
        <w:t> </w:t>
      </w:r>
      <w:r>
        <w:rPr>
          <w:rFonts w:ascii="Arial"/>
          <w:i/>
          <w:sz w:val="20"/>
        </w:rPr>
        <w:t>v</w:t>
      </w:r>
      <w:r>
        <w:rPr>
          <w:rFonts w:ascii="Arial"/>
          <w:i/>
          <w:spacing w:val="27"/>
          <w:sz w:val="20"/>
        </w:rPr>
        <w:t> </w:t>
      </w:r>
      <w:r>
        <w:rPr>
          <w:rFonts w:ascii="Arial"/>
          <w:i/>
          <w:sz w:val="20"/>
        </w:rPr>
        <w:t>Waddell</w:t>
      </w:r>
      <w:r>
        <w:rPr>
          <w:rFonts w:ascii="Arial"/>
          <w:i/>
          <w:spacing w:val="28"/>
          <w:sz w:val="20"/>
        </w:rPr>
        <w:t> </w:t>
      </w:r>
      <w:r>
        <w:rPr>
          <w:rFonts w:ascii="Arial"/>
          <w:i/>
          <w:sz w:val="20"/>
        </w:rPr>
        <w:t>(No.2)</w:t>
      </w:r>
      <w:r>
        <w:rPr>
          <w:rFonts w:ascii="Arial"/>
          <w:i/>
          <w:spacing w:val="28"/>
          <w:sz w:val="20"/>
        </w:rPr>
        <w:t> </w:t>
      </w:r>
      <w:r>
        <w:rPr>
          <w:rFonts w:ascii="Arial"/>
          <w:i/>
          <w:sz w:val="20"/>
        </w:rPr>
        <w:t>[1877]</w:t>
      </w:r>
      <w:r>
        <w:rPr>
          <w:rFonts w:ascii="Arial"/>
          <w:i/>
          <w:spacing w:val="28"/>
          <w:sz w:val="20"/>
        </w:rPr>
        <w:t> </w:t>
      </w:r>
      <w:r>
        <w:rPr>
          <w:rFonts w:ascii="Arial"/>
          <w:i/>
          <w:sz w:val="20"/>
        </w:rPr>
        <w:t>Ch.</w:t>
      </w:r>
      <w:r>
        <w:rPr>
          <w:rFonts w:ascii="Arial"/>
          <w:i/>
          <w:spacing w:val="28"/>
          <w:sz w:val="20"/>
        </w:rPr>
        <w:t> </w:t>
      </w:r>
      <w:r>
        <w:rPr>
          <w:rFonts w:ascii="Arial"/>
          <w:i/>
          <w:sz w:val="20"/>
        </w:rPr>
        <w:t>106,</w:t>
      </w:r>
      <w:r>
        <w:rPr>
          <w:rFonts w:ascii="Arial"/>
          <w:i/>
          <w:spacing w:val="28"/>
          <w:sz w:val="20"/>
        </w:rPr>
        <w:t> </w:t>
      </w:r>
      <w:r>
        <w:rPr>
          <w:rFonts w:ascii="Arial"/>
          <w:i/>
          <w:sz w:val="20"/>
        </w:rPr>
        <w:t>314</w:t>
      </w:r>
      <w:r>
        <w:rPr>
          <w:sz w:val="20"/>
        </w:rPr>
        <w:t>;</w:t>
      </w:r>
      <w:r>
        <w:rPr>
          <w:spacing w:val="28"/>
          <w:sz w:val="20"/>
        </w:rPr>
        <w:t> </w:t>
      </w:r>
      <w:r>
        <w:rPr>
          <w:rFonts w:ascii="Arial"/>
          <w:i/>
          <w:sz w:val="20"/>
        </w:rPr>
        <w:t>Didymi</w:t>
      </w:r>
      <w:r>
        <w:rPr>
          <w:rFonts w:ascii="Arial"/>
          <w:i/>
          <w:spacing w:val="28"/>
          <w:sz w:val="20"/>
        </w:rPr>
        <w:t> </w:t>
      </w:r>
      <w:r>
        <w:rPr>
          <w:rFonts w:ascii="Arial"/>
          <w:i/>
          <w:sz w:val="20"/>
        </w:rPr>
        <w:t>Corp</w:t>
      </w:r>
      <w:r>
        <w:rPr>
          <w:rFonts w:ascii="Arial"/>
          <w:i/>
          <w:spacing w:val="28"/>
          <w:sz w:val="20"/>
        </w:rPr>
        <w:t> </w:t>
      </w:r>
      <w:r>
        <w:rPr>
          <w:rFonts w:ascii="Arial"/>
          <w:i/>
          <w:spacing w:val="-10"/>
          <w:sz w:val="20"/>
        </w:rPr>
        <w:t>v</w:t>
      </w:r>
    </w:p>
    <w:p>
      <w:pPr>
        <w:spacing w:line="227" w:lineRule="exact" w:before="0"/>
        <w:ind w:left="705" w:right="0" w:firstLine="0"/>
        <w:jc w:val="left"/>
        <w:rPr>
          <w:sz w:val="20"/>
        </w:rPr>
      </w:pPr>
      <w:r>
        <w:rPr>
          <w:rFonts w:ascii="Arial" w:hAnsi="Arial"/>
          <w:i/>
          <w:sz w:val="20"/>
        </w:rPr>
        <w:t>Atlantic Lines &amp; Navigation Co Ltd [1988] 2 Lloyd’s Rep. 108, </w:t>
      </w:r>
      <w:r>
        <w:rPr>
          <w:rFonts w:ascii="Arial" w:hAnsi="Arial"/>
          <w:i/>
          <w:spacing w:val="-4"/>
          <w:sz w:val="20"/>
        </w:rPr>
        <w:t>115</w:t>
      </w:r>
      <w:r>
        <w:rPr>
          <w:spacing w:val="-4"/>
          <w:sz w:val="20"/>
        </w:rPr>
        <w:t>.</w:t>
      </w:r>
    </w:p>
    <w:p>
      <w:pPr>
        <w:pStyle w:val="BodyText"/>
        <w:spacing w:before="9"/>
      </w:pPr>
    </w:p>
    <w:p>
      <w:pPr>
        <w:pStyle w:val="BodyText"/>
        <w:spacing w:line="235" w:lineRule="auto"/>
        <w:ind w:left="705" w:right="167" w:hanging="541"/>
        <w:jc w:val="both"/>
      </w:pPr>
      <w:bookmarkStart w:name="_bookmark1486" w:id="1488"/>
      <w:bookmarkEnd w:id="1488"/>
      <w:r>
        <w:rPr/>
      </w:r>
      <w:hyperlink w:history="true" w:anchor="_bookmark1282">
        <w:r>
          <w:rPr>
            <w:color w:val="005DA1"/>
            <w:position w:val="5"/>
            <w:sz w:val="14"/>
            <w:u w:val="single" w:color="005DA1"/>
          </w:rPr>
          <w:t>758</w:t>
        </w:r>
      </w:hyperlink>
      <w:r>
        <w:rPr>
          <w:position w:val="5"/>
          <w:sz w:val="14"/>
        </w:rPr>
        <w:t>.</w:t>
      </w:r>
      <w:r>
        <w:rPr>
          <w:spacing w:val="80"/>
          <w:position w:val="5"/>
          <w:sz w:val="14"/>
        </w:rPr>
        <w:t>  </w:t>
      </w:r>
      <w:r>
        <w:rPr/>
        <w:t>i.e. not if it is “an integral and essential part of the definition of the payments to be made”:</w:t>
      </w:r>
      <w:r>
        <w:rPr>
          <w:spacing w:val="-1"/>
        </w:rPr>
        <w:t> </w:t>
      </w:r>
      <w:r>
        <w:rPr>
          <w:rFonts w:ascii="Arial" w:hAnsi="Arial"/>
          <w:i/>
        </w:rPr>
        <w:t>Gillatt v Sky Television Ltd [2000] 1 All E.R. (Comm) 461 </w:t>
      </w:r>
      <w:r>
        <w:rPr/>
        <w:t>at 419. In that case, the machinery was </w:t>
      </w:r>
      <w:r>
        <w:rPr/>
        <w:t>of this kind so that, neither party having taken any steps to bring it into operation, it was held that the court could not intervene by making its own valuation.</w:t>
      </w:r>
    </w:p>
    <w:p>
      <w:pPr>
        <w:pStyle w:val="BodyText"/>
        <w:spacing w:before="9"/>
      </w:pPr>
    </w:p>
    <w:p>
      <w:pPr>
        <w:pStyle w:val="BodyText"/>
        <w:spacing w:line="235" w:lineRule="auto"/>
        <w:ind w:left="705" w:right="167" w:hanging="541"/>
        <w:jc w:val="both"/>
      </w:pPr>
      <w:bookmarkStart w:name="_bookmark1487" w:id="1489"/>
      <w:bookmarkEnd w:id="1489"/>
      <w:r>
        <w:rPr/>
      </w:r>
      <w:hyperlink w:history="true" w:anchor="_bookmark1283">
        <w:r>
          <w:rPr>
            <w:color w:val="005DA1"/>
            <w:position w:val="5"/>
            <w:sz w:val="14"/>
            <w:u w:val="single" w:color="005DA1"/>
          </w:rPr>
          <w:t>759</w:t>
        </w:r>
      </w:hyperlink>
      <w:r>
        <w:rPr>
          <w:position w:val="5"/>
          <w:sz w:val="14"/>
        </w:rPr>
        <w:t>.</w:t>
      </w:r>
      <w:r>
        <w:rPr>
          <w:spacing w:val="40"/>
          <w:position w:val="5"/>
          <w:sz w:val="14"/>
        </w:rPr>
        <w:t>  </w:t>
      </w:r>
      <w:r>
        <w:rPr>
          <w:rFonts w:ascii="Arial" w:hAnsi="Arial"/>
          <w:i/>
        </w:rPr>
        <w:t>Herbert v Doyle [2010] EWCA Civ 1095 </w:t>
      </w:r>
      <w:r>
        <w:rPr/>
        <w:t>at [87] (court applying “objective criteria which </w:t>
      </w:r>
      <w:r>
        <w:rPr/>
        <w:t>the</w:t>
      </w:r>
      <w:r>
        <w:rPr>
          <w:spacing w:val="40"/>
        </w:rPr>
        <w:t> </w:t>
      </w:r>
      <w:r>
        <w:rPr/>
        <w:t>parties had agreed” for making a choice left by the contract to one of them, who had failed</w:t>
      </w:r>
      <w:r>
        <w:rPr>
          <w:spacing w:val="40"/>
        </w:rPr>
        <w:t> </w:t>
      </w:r>
      <w:r>
        <w:rPr/>
        <w:t>within a reasonable time to make it). For this case, see also para.4-160 below.</w:t>
      </w:r>
    </w:p>
    <w:p>
      <w:pPr>
        <w:pStyle w:val="BodyText"/>
        <w:spacing w:before="5"/>
      </w:pPr>
    </w:p>
    <w:p>
      <w:pPr>
        <w:tabs>
          <w:tab w:pos="705" w:val="left" w:leader="none"/>
        </w:tabs>
        <w:spacing w:before="0"/>
        <w:ind w:left="165" w:right="0" w:firstLine="0"/>
        <w:jc w:val="left"/>
        <w:rPr>
          <w:sz w:val="20"/>
        </w:rPr>
      </w:pPr>
      <w:bookmarkStart w:name="_bookmark1488" w:id="1490"/>
      <w:bookmarkEnd w:id="1490"/>
      <w:r>
        <w:rPr/>
      </w:r>
      <w:hyperlink w:history="true" w:anchor="_bookmark1283">
        <w:r>
          <w:rPr>
            <w:color w:val="005DA1"/>
            <w:spacing w:val="-4"/>
            <w:position w:val="5"/>
            <w:sz w:val="14"/>
            <w:u w:val="single" w:color="005DA1"/>
          </w:rPr>
          <w:t>760</w:t>
        </w:r>
      </w:hyperlink>
      <w:r>
        <w:rPr>
          <w:spacing w:val="-4"/>
          <w:position w:val="5"/>
          <w:sz w:val="14"/>
        </w:rPr>
        <w:t>.</w:t>
      </w:r>
      <w:r>
        <w:rPr>
          <w:position w:val="5"/>
          <w:sz w:val="14"/>
        </w:rPr>
        <w:tab/>
      </w:r>
      <w:r>
        <w:rPr>
          <w:sz w:val="20"/>
        </w:rPr>
        <w:t>As in</w:t>
      </w:r>
      <w:r>
        <w:rPr>
          <w:spacing w:val="-1"/>
          <w:sz w:val="20"/>
        </w:rPr>
        <w:t> </w:t>
      </w:r>
      <w:r>
        <w:rPr>
          <w:rFonts w:ascii="Arial"/>
          <w:i/>
          <w:sz w:val="20"/>
        </w:rPr>
        <w:t>Sudbrook Trading Estate Ltd v Eggleton [1982] 1 A.C. 493</w:t>
      </w:r>
      <w:r>
        <w:rPr>
          <w:rFonts w:ascii="Arial"/>
          <w:i/>
          <w:spacing w:val="-1"/>
          <w:sz w:val="20"/>
        </w:rPr>
        <w:t> </w:t>
      </w:r>
      <w:r>
        <w:rPr>
          <w:sz w:val="20"/>
        </w:rPr>
        <w:t>(above, </w:t>
      </w:r>
      <w:r>
        <w:rPr>
          <w:spacing w:val="-2"/>
          <w:sz w:val="20"/>
        </w:rPr>
        <w:t>n.739).</w:t>
      </w:r>
    </w:p>
    <w:p>
      <w:pPr>
        <w:pStyle w:val="BodyText"/>
        <w:spacing w:before="8"/>
      </w:pPr>
    </w:p>
    <w:p>
      <w:pPr>
        <w:spacing w:line="235" w:lineRule="auto" w:before="1"/>
        <w:ind w:left="705" w:right="167" w:hanging="541"/>
        <w:jc w:val="both"/>
        <w:rPr>
          <w:sz w:val="20"/>
        </w:rPr>
      </w:pPr>
      <w:bookmarkStart w:name="_bookmark1489" w:id="1491"/>
      <w:bookmarkEnd w:id="1491"/>
      <w:r>
        <w:rPr/>
      </w:r>
      <w:hyperlink w:history="true" w:anchor="_bookmark1284">
        <w:r>
          <w:rPr>
            <w:color w:val="005DA1"/>
            <w:position w:val="5"/>
            <w:sz w:val="14"/>
            <w:u w:val="single" w:color="005DA1"/>
          </w:rPr>
          <w:t>761</w:t>
        </w:r>
      </w:hyperlink>
      <w:r>
        <w:rPr>
          <w:position w:val="5"/>
          <w:sz w:val="14"/>
        </w:rPr>
        <w:t>.</w:t>
      </w:r>
      <w:r>
        <w:rPr>
          <w:spacing w:val="40"/>
          <w:position w:val="5"/>
          <w:sz w:val="14"/>
        </w:rPr>
        <w:t>  </w:t>
      </w:r>
      <w:r>
        <w:rPr>
          <w:sz w:val="20"/>
        </w:rPr>
        <w:t>As in </w:t>
      </w:r>
      <w:r>
        <w:rPr>
          <w:rFonts w:ascii="Arial" w:hAnsi="Arial"/>
          <w:i/>
          <w:sz w:val="20"/>
        </w:rPr>
        <w:t>Re Malpas</w:t>
      </w:r>
      <w:r>
        <w:rPr>
          <w:sz w:val="20"/>
        </w:rPr>
        <w:t>, above; cf. </w:t>
      </w:r>
      <w:r>
        <w:rPr>
          <w:rFonts w:ascii="Arial" w:hAnsi="Arial"/>
          <w:i/>
          <w:sz w:val="20"/>
        </w:rPr>
        <w:t>Royal Bank of Scotland v Jennings [1996] E.G.C.S. 168</w:t>
      </w:r>
      <w:r>
        <w:rPr>
          <w:sz w:val="20"/>
        </w:rPr>
        <w:t>; </w:t>
      </w:r>
      <w:r>
        <w:rPr>
          <w:rFonts w:ascii="Arial" w:hAnsi="Arial"/>
          <w:i/>
          <w:sz w:val="20"/>
        </w:rPr>
        <w:t>Anthracite Rated Investments (Jersey) Ltd v Lehman Brothers Finance SA [2011] EWHC 1822 (Ch),</w:t>
      </w:r>
      <w:r>
        <w:rPr>
          <w:rFonts w:ascii="Arial" w:hAnsi="Arial"/>
          <w:i/>
          <w:spacing w:val="40"/>
          <w:sz w:val="20"/>
        </w:rPr>
        <w:t> </w:t>
      </w:r>
      <w:r>
        <w:rPr>
          <w:rFonts w:ascii="Arial" w:hAnsi="Arial"/>
          <w:i/>
          <w:sz w:val="20"/>
        </w:rPr>
        <w:t>[2011] 2 Lloyd’s Rep. 538 </w:t>
      </w:r>
      <w:r>
        <w:rPr>
          <w:sz w:val="20"/>
        </w:rPr>
        <w:t>at [72].</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490" w:id="1492"/>
      <w:bookmarkEnd w:id="1492"/>
      <w:r>
        <w:rPr/>
      </w:r>
      <w:hyperlink w:history="true" w:anchor="_bookmark1285">
        <w:r>
          <w:rPr>
            <w:color w:val="005DA1"/>
            <w:spacing w:val="-4"/>
            <w:sz w:val="14"/>
            <w:u w:val="single" w:color="005DA1"/>
          </w:rPr>
          <w:t>762</w:t>
        </w:r>
      </w:hyperlink>
      <w:r>
        <w:rPr>
          <w:spacing w:val="-4"/>
          <w:sz w:val="14"/>
        </w:rPr>
        <w:t>.</w:t>
      </w:r>
    </w:p>
    <w:p>
      <w:pPr>
        <w:spacing w:before="209"/>
        <w:ind w:left="335" w:right="0" w:firstLine="0"/>
        <w:jc w:val="left"/>
        <w:rPr>
          <w:sz w:val="20"/>
        </w:rPr>
      </w:pPr>
      <w:r>
        <w:rPr/>
        <w:br w:type="column"/>
      </w:r>
      <w:r>
        <w:rPr>
          <w:rFonts w:ascii="Arial"/>
          <w:i/>
          <w:sz w:val="20"/>
        </w:rPr>
        <w:t>Manchester</w:t>
      </w:r>
      <w:r>
        <w:rPr>
          <w:rFonts w:ascii="Arial"/>
          <w:i/>
          <w:spacing w:val="-2"/>
          <w:sz w:val="20"/>
        </w:rPr>
        <w:t> </w:t>
      </w:r>
      <w:r>
        <w:rPr>
          <w:rFonts w:ascii="Arial"/>
          <w:i/>
          <w:sz w:val="20"/>
        </w:rPr>
        <w:t>Ship Canal Co Ltd v Environment Agency [2017] EWHC 1340 </w:t>
      </w:r>
      <w:r>
        <w:rPr>
          <w:rFonts w:ascii="Arial"/>
          <w:i/>
          <w:spacing w:val="-2"/>
          <w:sz w:val="20"/>
        </w:rPr>
        <w:t>(QB)</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5"/>
      </w:pPr>
    </w:p>
    <w:p>
      <w:pPr>
        <w:tabs>
          <w:tab w:pos="705" w:val="left" w:leader="none"/>
        </w:tabs>
        <w:spacing w:before="0"/>
        <w:ind w:left="165" w:right="0" w:firstLine="0"/>
        <w:jc w:val="left"/>
        <w:rPr>
          <w:sz w:val="20"/>
        </w:rPr>
      </w:pPr>
      <w:r>
        <w:rPr>
          <w:sz w:val="20"/>
        </w:rPr>
        <w:drawing>
          <wp:anchor distT="0" distB="0" distL="0" distR="0" allowOverlap="1" layoutInCell="1" locked="0" behindDoc="0" simplePos="0" relativeHeight="15758848">
            <wp:simplePos x="0" y="0"/>
            <wp:positionH relativeFrom="page">
              <wp:posOffset>1257846</wp:posOffset>
            </wp:positionH>
            <wp:positionV relativeFrom="paragraph">
              <wp:posOffset>-267251</wp:posOffset>
            </wp:positionV>
            <wp:extent cx="107988" cy="107988"/>
            <wp:effectExtent l="0" t="0" r="0" b="0"/>
            <wp:wrapNone/>
            <wp:docPr id="118" name="Image 118"/>
            <wp:cNvGraphicFramePr>
              <a:graphicFrameLocks/>
            </wp:cNvGraphicFramePr>
            <a:graphic>
              <a:graphicData uri="http://schemas.openxmlformats.org/drawingml/2006/picture">
                <pic:pic>
                  <pic:nvPicPr>
                    <pic:cNvPr id="118" name="Image 118"/>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491" w:id="1493"/>
      <w:bookmarkEnd w:id="1493"/>
      <w:r>
        <w:rPr/>
      </w:r>
      <w:hyperlink w:history="true" w:anchor="_bookmark1286">
        <w:r>
          <w:rPr>
            <w:color w:val="005DA1"/>
            <w:spacing w:val="-4"/>
            <w:position w:val="5"/>
            <w:sz w:val="14"/>
            <w:u w:val="single" w:color="005DA1"/>
          </w:rPr>
          <w:t>763</w:t>
        </w:r>
      </w:hyperlink>
      <w:r>
        <w:rPr>
          <w:spacing w:val="-4"/>
          <w:position w:val="5"/>
          <w:sz w:val="14"/>
        </w:rPr>
        <w:t>.</w:t>
      </w:r>
      <w:r>
        <w:rPr>
          <w:position w:val="5"/>
          <w:sz w:val="14"/>
        </w:rPr>
        <w:tab/>
      </w:r>
      <w:r>
        <w:rPr>
          <w:rFonts w:ascii="Arial"/>
          <w:i/>
          <w:sz w:val="20"/>
        </w:rPr>
        <w:t>King v King (1981) 41 P. &amp; C.R. </w:t>
      </w:r>
      <w:r>
        <w:rPr>
          <w:rFonts w:ascii="Arial"/>
          <w:i/>
          <w:spacing w:val="-4"/>
          <w:sz w:val="20"/>
        </w:rPr>
        <w:t>311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92" w:id="1494"/>
      <w:bookmarkEnd w:id="1494"/>
      <w:r>
        <w:rPr/>
      </w:r>
      <w:hyperlink w:history="true" w:anchor="_bookmark1287">
        <w:r>
          <w:rPr>
            <w:color w:val="005DA1"/>
            <w:spacing w:val="-4"/>
            <w:position w:val="5"/>
            <w:sz w:val="14"/>
            <w:u w:val="single" w:color="005DA1"/>
          </w:rPr>
          <w:t>764</w:t>
        </w:r>
      </w:hyperlink>
      <w:r>
        <w:rPr>
          <w:spacing w:val="-4"/>
          <w:position w:val="5"/>
          <w:sz w:val="14"/>
        </w:rPr>
        <w:t>.</w:t>
      </w:r>
      <w:r>
        <w:rPr>
          <w:position w:val="5"/>
          <w:sz w:val="14"/>
        </w:rPr>
        <w:tab/>
      </w:r>
      <w:r>
        <w:rPr>
          <w:sz w:val="20"/>
        </w:rPr>
        <w:t>See</w:t>
      </w:r>
      <w:r>
        <w:rPr>
          <w:spacing w:val="-1"/>
          <w:sz w:val="20"/>
        </w:rPr>
        <w:t> </w:t>
      </w:r>
      <w:r>
        <w:rPr>
          <w:rFonts w:ascii="Arial"/>
          <w:i/>
          <w:sz w:val="20"/>
        </w:rPr>
        <w:t>Beer v Bowden [1981] 1 W.L.R. 522, </w:t>
      </w:r>
      <w:r>
        <w:rPr>
          <w:rFonts w:ascii="Arial"/>
          <w:i/>
          <w:spacing w:val="-4"/>
          <w:sz w:val="20"/>
        </w:rPr>
        <w:t>525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493" w:id="1495"/>
      <w:bookmarkEnd w:id="1495"/>
      <w:r>
        <w:rPr/>
      </w:r>
      <w:hyperlink w:history="true" w:anchor="_bookmark1288">
        <w:r>
          <w:rPr>
            <w:color w:val="005DA1"/>
            <w:spacing w:val="-4"/>
            <w:position w:val="5"/>
            <w:sz w:val="14"/>
            <w:u w:val="single" w:color="005DA1"/>
          </w:rPr>
          <w:t>765</w:t>
        </w:r>
      </w:hyperlink>
      <w:r>
        <w:rPr>
          <w:spacing w:val="-4"/>
          <w:position w:val="5"/>
          <w:sz w:val="14"/>
        </w:rPr>
        <w:t>.</w:t>
      </w:r>
      <w:r>
        <w:rPr>
          <w:position w:val="5"/>
          <w:sz w:val="14"/>
        </w:rPr>
        <w:tab/>
      </w:r>
      <w:r>
        <w:rPr>
          <w:rFonts w:ascii="Arial"/>
          <w:i/>
          <w:sz w:val="20"/>
        </w:rPr>
        <w:t>King</w:t>
      </w:r>
      <w:r>
        <w:rPr>
          <w:rFonts w:ascii="Arial"/>
          <w:i/>
          <w:spacing w:val="-1"/>
          <w:sz w:val="20"/>
        </w:rPr>
        <w:t> </w:t>
      </w:r>
      <w:r>
        <w:rPr>
          <w:rFonts w:ascii="Arial"/>
          <w:i/>
          <w:sz w:val="20"/>
        </w:rPr>
        <w:t>v King</w:t>
      </w:r>
      <w:r>
        <w:rPr>
          <w:sz w:val="20"/>
        </w:rPr>
        <w:t>,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1494" w:id="1496"/>
      <w:bookmarkEnd w:id="1496"/>
      <w:r>
        <w:rPr/>
      </w:r>
      <w:hyperlink w:history="true" w:anchor="_bookmark1289">
        <w:r>
          <w:rPr>
            <w:color w:val="005DA1"/>
            <w:spacing w:val="-4"/>
            <w:position w:val="5"/>
            <w:sz w:val="14"/>
            <w:u w:val="single" w:color="005DA1"/>
          </w:rPr>
          <w:t>766</w:t>
        </w:r>
      </w:hyperlink>
      <w:r>
        <w:rPr>
          <w:spacing w:val="-4"/>
          <w:position w:val="5"/>
          <w:sz w:val="14"/>
        </w:rPr>
        <w:t>.</w:t>
      </w:r>
      <w:r>
        <w:rPr>
          <w:position w:val="5"/>
          <w:sz w:val="14"/>
        </w:rPr>
        <w:tab/>
      </w:r>
      <w:r>
        <w:rPr>
          <w:rFonts w:ascii="Arial"/>
          <w:i/>
          <w:sz w:val="20"/>
        </w:rPr>
        <w:t>Beer</w:t>
      </w:r>
      <w:r>
        <w:rPr>
          <w:rFonts w:ascii="Arial"/>
          <w:i/>
          <w:spacing w:val="-1"/>
          <w:sz w:val="20"/>
        </w:rPr>
        <w:t> </w:t>
      </w:r>
      <w:r>
        <w:rPr>
          <w:rFonts w:ascii="Arial"/>
          <w:i/>
          <w:sz w:val="20"/>
        </w:rPr>
        <w:t>v Bowden</w:t>
      </w:r>
      <w:r>
        <w:rPr>
          <w:sz w:val="20"/>
        </w:rPr>
        <w:t>, </w:t>
      </w:r>
      <w:r>
        <w:rPr>
          <w:spacing w:val="-2"/>
          <w:sz w:val="20"/>
        </w:rPr>
        <w:t>above.</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495" w:id="1497"/>
      <w:bookmarkEnd w:id="1497"/>
      <w:r>
        <w:rPr/>
      </w:r>
      <w:hyperlink w:history="true" w:anchor="_bookmark1290">
        <w:r>
          <w:rPr>
            <w:color w:val="005DA1"/>
            <w:spacing w:val="-4"/>
            <w:position w:val="5"/>
            <w:sz w:val="14"/>
            <w:u w:val="single" w:color="005DA1"/>
          </w:rPr>
          <w:t>767</w:t>
        </w:r>
      </w:hyperlink>
      <w:r>
        <w:rPr>
          <w:spacing w:val="-4"/>
          <w:position w:val="5"/>
          <w:sz w:val="14"/>
        </w:rPr>
        <w:t>.</w:t>
      </w:r>
      <w:r>
        <w:rPr>
          <w:position w:val="5"/>
          <w:sz w:val="14"/>
        </w:rPr>
        <w:tab/>
      </w:r>
      <w:r>
        <w:rPr>
          <w:rFonts w:ascii="Arial" w:hAnsi="Arial"/>
          <w:i/>
          <w:sz w:val="20"/>
        </w:rPr>
        <w:t>Beer</w:t>
      </w:r>
      <w:r>
        <w:rPr>
          <w:rFonts w:ascii="Arial" w:hAnsi="Arial"/>
          <w:i/>
          <w:spacing w:val="11"/>
          <w:sz w:val="20"/>
        </w:rPr>
        <w:t> </w:t>
      </w:r>
      <w:r>
        <w:rPr>
          <w:rFonts w:ascii="Arial" w:hAnsi="Arial"/>
          <w:i/>
          <w:sz w:val="20"/>
        </w:rPr>
        <w:t>v</w:t>
      </w:r>
      <w:r>
        <w:rPr>
          <w:rFonts w:ascii="Arial" w:hAnsi="Arial"/>
          <w:i/>
          <w:spacing w:val="12"/>
          <w:sz w:val="20"/>
        </w:rPr>
        <w:t> </w:t>
      </w:r>
      <w:r>
        <w:rPr>
          <w:rFonts w:ascii="Arial" w:hAnsi="Arial"/>
          <w:i/>
          <w:sz w:val="20"/>
        </w:rPr>
        <w:t>Bowden</w:t>
      </w:r>
      <w:r>
        <w:rPr>
          <w:sz w:val="20"/>
        </w:rPr>
        <w:t>,</w:t>
      </w:r>
      <w:r>
        <w:rPr>
          <w:spacing w:val="12"/>
          <w:sz w:val="20"/>
        </w:rPr>
        <w:t> </w:t>
      </w:r>
      <w:r>
        <w:rPr>
          <w:sz w:val="20"/>
        </w:rPr>
        <w:t>above;</w:t>
      </w:r>
      <w:r>
        <w:rPr>
          <w:spacing w:val="12"/>
          <w:sz w:val="20"/>
        </w:rPr>
        <w:t> </w:t>
      </w:r>
      <w:r>
        <w:rPr>
          <w:rFonts w:ascii="Arial" w:hAnsi="Arial"/>
          <w:i/>
          <w:sz w:val="20"/>
        </w:rPr>
        <w:t>Thomas</w:t>
      </w:r>
      <w:r>
        <w:rPr>
          <w:rFonts w:ascii="Arial" w:hAnsi="Arial"/>
          <w:i/>
          <w:spacing w:val="12"/>
          <w:sz w:val="20"/>
        </w:rPr>
        <w:t> </w:t>
      </w:r>
      <w:r>
        <w:rPr>
          <w:rFonts w:ascii="Arial" w:hAnsi="Arial"/>
          <w:i/>
          <w:sz w:val="20"/>
        </w:rPr>
        <w:t>Bates</w:t>
      </w:r>
      <w:r>
        <w:rPr>
          <w:rFonts w:ascii="Arial" w:hAnsi="Arial"/>
          <w:i/>
          <w:spacing w:val="12"/>
          <w:sz w:val="20"/>
        </w:rPr>
        <w:t> </w:t>
      </w:r>
      <w:r>
        <w:rPr>
          <w:rFonts w:ascii="Arial" w:hAnsi="Arial"/>
          <w:i/>
          <w:sz w:val="20"/>
        </w:rPr>
        <w:t>&amp;</w:t>
      </w:r>
      <w:r>
        <w:rPr>
          <w:rFonts w:ascii="Arial" w:hAnsi="Arial"/>
          <w:i/>
          <w:spacing w:val="12"/>
          <w:sz w:val="20"/>
        </w:rPr>
        <w:t> </w:t>
      </w:r>
      <w:r>
        <w:rPr>
          <w:rFonts w:ascii="Arial" w:hAnsi="Arial"/>
          <w:i/>
          <w:sz w:val="20"/>
        </w:rPr>
        <w:t>Son</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Wyndham’s</w:t>
      </w:r>
      <w:r>
        <w:rPr>
          <w:rFonts w:ascii="Arial" w:hAnsi="Arial"/>
          <w:i/>
          <w:spacing w:val="12"/>
          <w:sz w:val="20"/>
        </w:rPr>
        <w:t> </w:t>
      </w:r>
      <w:r>
        <w:rPr>
          <w:rFonts w:ascii="Arial" w:hAnsi="Arial"/>
          <w:i/>
          <w:sz w:val="20"/>
        </w:rPr>
        <w:t>(Lingerie)</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[1981]</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pacing w:val="-2"/>
          <w:sz w:val="20"/>
        </w:rPr>
        <w:t>W.L.R.</w:t>
      </w:r>
    </w:p>
    <w:p>
      <w:pPr>
        <w:pStyle w:val="BodyText"/>
        <w:spacing w:line="227" w:lineRule="exact"/>
        <w:ind w:left="705"/>
      </w:pPr>
      <w:r>
        <w:rPr>
          <w:rFonts w:ascii="Arial"/>
          <w:i/>
        </w:rPr>
        <w:t>505</w:t>
      </w:r>
      <w:r>
        <w:rPr/>
        <w:t>;</w:t>
      </w:r>
      <w:r>
        <w:rPr>
          <w:spacing w:val="-1"/>
        </w:rPr>
        <w:t> </w:t>
      </w:r>
      <w:r>
        <w:rPr/>
        <w:t>cf. above, para.2-</w:t>
      </w:r>
      <w:r>
        <w:rPr>
          <w:spacing w:val="-4"/>
        </w:rPr>
        <w:t>122.</w:t>
      </w:r>
    </w:p>
    <w:p>
      <w:pPr>
        <w:pStyle w:val="BodyText"/>
        <w:spacing w:before="5"/>
      </w:pPr>
    </w:p>
    <w:p>
      <w:pPr>
        <w:tabs>
          <w:tab w:pos="705" w:val="left" w:leader="none"/>
        </w:tabs>
        <w:spacing w:before="0"/>
        <w:ind w:left="165" w:right="0" w:firstLine="0"/>
        <w:jc w:val="left"/>
        <w:rPr>
          <w:sz w:val="20"/>
        </w:rPr>
      </w:pPr>
      <w:bookmarkStart w:name="_bookmark1496" w:id="1498"/>
      <w:bookmarkEnd w:id="1498"/>
      <w:r>
        <w:rPr/>
      </w:r>
      <w:hyperlink w:history="true" w:anchor="_bookmark1291">
        <w:r>
          <w:rPr>
            <w:color w:val="005DA1"/>
            <w:spacing w:val="-4"/>
            <w:position w:val="5"/>
            <w:sz w:val="14"/>
            <w:u w:val="single" w:color="005DA1"/>
          </w:rPr>
          <w:t>768</w:t>
        </w:r>
      </w:hyperlink>
      <w:r>
        <w:rPr>
          <w:spacing w:val="-4"/>
          <w:position w:val="5"/>
          <w:sz w:val="14"/>
        </w:rPr>
        <w:t>.</w:t>
      </w:r>
      <w:r>
        <w:rPr>
          <w:position w:val="5"/>
          <w:sz w:val="14"/>
        </w:rPr>
        <w:tab/>
      </w:r>
      <w:r>
        <w:rPr>
          <w:sz w:val="20"/>
        </w:rPr>
        <w:t>See</w:t>
      </w:r>
      <w:r>
        <w:rPr>
          <w:spacing w:val="-1"/>
          <w:sz w:val="20"/>
        </w:rPr>
        <w:t> </w:t>
      </w:r>
      <w:r>
        <w:rPr>
          <w:rFonts w:ascii="Arial"/>
          <w:i/>
          <w:sz w:val="20"/>
        </w:rPr>
        <w:t>Brown v Gould [1972] Ch. </w:t>
      </w:r>
      <w:r>
        <w:rPr>
          <w:rFonts w:ascii="Arial"/>
          <w:i/>
          <w:spacing w:val="-5"/>
          <w:sz w:val="20"/>
        </w:rPr>
        <w:t>53</w:t>
      </w:r>
      <w:r>
        <w:rPr>
          <w:spacing w:val="-5"/>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497" w:id="1499"/>
      <w:bookmarkEnd w:id="1499"/>
      <w:r>
        <w:rPr/>
      </w:r>
      <w:hyperlink w:history="true" w:anchor="_bookmark1292">
        <w:r>
          <w:rPr>
            <w:color w:val="005DA1"/>
            <w:spacing w:val="-4"/>
            <w:position w:val="5"/>
            <w:sz w:val="14"/>
            <w:u w:val="single" w:color="005DA1"/>
          </w:rPr>
          <w:t>769</w:t>
        </w:r>
      </w:hyperlink>
      <w:r>
        <w:rPr>
          <w:spacing w:val="-4"/>
          <w:position w:val="5"/>
          <w:sz w:val="14"/>
        </w:rPr>
        <w:t>.</w:t>
      </w:r>
      <w:r>
        <w:rPr>
          <w:position w:val="5"/>
          <w:sz w:val="14"/>
        </w:rPr>
        <w:tab/>
      </w:r>
      <w:r>
        <w:rPr>
          <w:sz w:val="20"/>
        </w:rPr>
        <w:t>In</w:t>
      </w:r>
      <w:r>
        <w:rPr>
          <w:spacing w:val="28"/>
          <w:sz w:val="20"/>
        </w:rPr>
        <w:t> </w:t>
      </w:r>
      <w:r>
        <w:rPr>
          <w:rFonts w:ascii="Arial" w:hAnsi="Arial"/>
          <w:i/>
          <w:sz w:val="20"/>
        </w:rPr>
        <w:t>Thomas</w:t>
      </w:r>
      <w:r>
        <w:rPr>
          <w:rFonts w:ascii="Arial" w:hAnsi="Arial"/>
          <w:i/>
          <w:spacing w:val="28"/>
          <w:sz w:val="20"/>
        </w:rPr>
        <w:t> </w:t>
      </w:r>
      <w:r>
        <w:rPr>
          <w:rFonts w:ascii="Arial" w:hAnsi="Arial"/>
          <w:i/>
          <w:sz w:val="20"/>
        </w:rPr>
        <w:t>Bates</w:t>
      </w:r>
      <w:r>
        <w:rPr>
          <w:rFonts w:ascii="Arial" w:hAnsi="Arial"/>
          <w:i/>
          <w:spacing w:val="28"/>
          <w:sz w:val="20"/>
        </w:rPr>
        <w:t> </w:t>
      </w:r>
      <w:r>
        <w:rPr>
          <w:rFonts w:ascii="Arial" w:hAnsi="Arial"/>
          <w:i/>
          <w:sz w:val="20"/>
        </w:rPr>
        <w:t>&amp;</w:t>
      </w:r>
      <w:r>
        <w:rPr>
          <w:rFonts w:ascii="Arial" w:hAnsi="Arial"/>
          <w:i/>
          <w:spacing w:val="28"/>
          <w:sz w:val="20"/>
        </w:rPr>
        <w:t> </w:t>
      </w:r>
      <w:r>
        <w:rPr>
          <w:rFonts w:ascii="Arial" w:hAnsi="Arial"/>
          <w:i/>
          <w:sz w:val="20"/>
        </w:rPr>
        <w:t>Sons</w:t>
      </w:r>
      <w:r>
        <w:rPr>
          <w:rFonts w:ascii="Arial" w:hAnsi="Arial"/>
          <w:i/>
          <w:spacing w:val="28"/>
          <w:sz w:val="20"/>
        </w:rPr>
        <w:t> </w:t>
      </w:r>
      <w:r>
        <w:rPr>
          <w:rFonts w:ascii="Arial" w:hAnsi="Arial"/>
          <w:i/>
          <w:sz w:val="20"/>
        </w:rPr>
        <w:t>Ltd</w:t>
      </w:r>
      <w:r>
        <w:rPr>
          <w:rFonts w:ascii="Arial" w:hAnsi="Arial"/>
          <w:i/>
          <w:spacing w:val="28"/>
          <w:sz w:val="20"/>
        </w:rPr>
        <w:t> </w:t>
      </w:r>
      <w:r>
        <w:rPr>
          <w:rFonts w:ascii="Arial" w:hAnsi="Arial"/>
          <w:i/>
          <w:sz w:val="20"/>
        </w:rPr>
        <w:t>v</w:t>
      </w:r>
      <w:r>
        <w:rPr>
          <w:rFonts w:ascii="Arial" w:hAnsi="Arial"/>
          <w:i/>
          <w:spacing w:val="28"/>
          <w:sz w:val="20"/>
        </w:rPr>
        <w:t> </w:t>
      </w:r>
      <w:r>
        <w:rPr>
          <w:rFonts w:ascii="Arial" w:hAnsi="Arial"/>
          <w:i/>
          <w:sz w:val="20"/>
        </w:rPr>
        <w:t>Wyndham’s</w:t>
      </w:r>
      <w:r>
        <w:rPr>
          <w:rFonts w:ascii="Arial" w:hAnsi="Arial"/>
          <w:i/>
          <w:spacing w:val="28"/>
          <w:sz w:val="20"/>
        </w:rPr>
        <w:t> </w:t>
      </w:r>
      <w:r>
        <w:rPr>
          <w:rFonts w:ascii="Arial" w:hAnsi="Arial"/>
          <w:i/>
          <w:sz w:val="20"/>
        </w:rPr>
        <w:t>(Lingerie)</w:t>
      </w:r>
      <w:r>
        <w:rPr>
          <w:rFonts w:ascii="Arial" w:hAnsi="Arial"/>
          <w:i/>
          <w:spacing w:val="28"/>
          <w:sz w:val="20"/>
        </w:rPr>
        <w:t> </w:t>
      </w:r>
      <w:r>
        <w:rPr>
          <w:rFonts w:ascii="Arial" w:hAnsi="Arial"/>
          <w:i/>
          <w:sz w:val="20"/>
        </w:rPr>
        <w:t>Ltd</w:t>
      </w:r>
      <w:r>
        <w:rPr>
          <w:sz w:val="20"/>
        </w:rPr>
        <w:t>,</w:t>
      </w:r>
      <w:r>
        <w:rPr>
          <w:spacing w:val="28"/>
          <w:sz w:val="20"/>
        </w:rPr>
        <w:t> </w:t>
      </w:r>
      <w:r>
        <w:rPr>
          <w:sz w:val="20"/>
        </w:rPr>
        <w:t>above,</w:t>
      </w:r>
      <w:r>
        <w:rPr>
          <w:spacing w:val="28"/>
          <w:sz w:val="20"/>
        </w:rPr>
        <w:t> </w:t>
      </w:r>
      <w:r>
        <w:rPr>
          <w:sz w:val="20"/>
        </w:rPr>
        <w:t>the</w:t>
      </w:r>
      <w:r>
        <w:rPr>
          <w:spacing w:val="28"/>
          <w:sz w:val="20"/>
        </w:rPr>
        <w:t> </w:t>
      </w:r>
      <w:r>
        <w:rPr>
          <w:sz w:val="20"/>
        </w:rPr>
        <w:t>lease</w:t>
      </w:r>
      <w:r>
        <w:rPr>
          <w:spacing w:val="28"/>
          <w:sz w:val="20"/>
        </w:rPr>
        <w:t> </w:t>
      </w:r>
      <w:r>
        <w:rPr>
          <w:sz w:val="20"/>
        </w:rPr>
        <w:t>was</w:t>
      </w:r>
      <w:r>
        <w:rPr>
          <w:spacing w:val="28"/>
          <w:sz w:val="20"/>
        </w:rPr>
        <w:t> </w:t>
      </w:r>
      <w:r>
        <w:rPr>
          <w:sz w:val="20"/>
        </w:rPr>
        <w:t>rectified</w:t>
      </w:r>
      <w:r>
        <w:rPr>
          <w:spacing w:val="28"/>
          <w:sz w:val="20"/>
        </w:rPr>
        <w:t> </w:t>
      </w:r>
      <w:r>
        <w:rPr>
          <w:sz w:val="20"/>
        </w:rPr>
        <w:t>to include such a term.</w:t>
      </w:r>
    </w:p>
    <w:p>
      <w:pPr>
        <w:pStyle w:val="BodyText"/>
        <w:spacing w:before="9"/>
      </w:pPr>
    </w:p>
    <w:p>
      <w:pPr>
        <w:tabs>
          <w:tab w:pos="705" w:val="left" w:leader="none"/>
        </w:tabs>
        <w:spacing w:line="235" w:lineRule="auto" w:before="0"/>
        <w:ind w:left="705" w:right="168" w:hanging="541"/>
        <w:jc w:val="left"/>
        <w:rPr>
          <w:rFonts w:ascii="Arial"/>
          <w:i/>
          <w:sz w:val="20"/>
        </w:rPr>
      </w:pPr>
      <w:bookmarkStart w:name="_bookmark1498" w:id="1500"/>
      <w:bookmarkEnd w:id="1500"/>
      <w:r>
        <w:rPr/>
      </w:r>
      <w:hyperlink w:history="true" w:anchor="_bookmark1293">
        <w:r>
          <w:rPr>
            <w:color w:val="005DA1"/>
            <w:spacing w:val="-4"/>
            <w:position w:val="5"/>
            <w:sz w:val="14"/>
            <w:u w:val="single" w:color="005DA1"/>
          </w:rPr>
          <w:t>770</w:t>
        </w:r>
      </w:hyperlink>
      <w:r>
        <w:rPr>
          <w:spacing w:val="-4"/>
          <w:position w:val="5"/>
          <w:sz w:val="14"/>
        </w:rPr>
        <w:t>.</w:t>
      </w:r>
      <w:r>
        <w:rPr>
          <w:position w:val="5"/>
          <w:sz w:val="14"/>
        </w:rPr>
        <w:tab/>
      </w:r>
      <w:r>
        <w:rPr>
          <w:rFonts w:ascii="Arial"/>
          <w:i/>
          <w:sz w:val="20"/>
        </w:rPr>
        <w:t>Weller v Akehurst [1981] 3 All E.R. 411 </w:t>
      </w:r>
      <w:r>
        <w:rPr>
          <w:sz w:val="20"/>
        </w:rPr>
        <w:t>(where the rent review clause was invoked too late </w:t>
      </w:r>
      <w:r>
        <w:rPr>
          <w:sz w:val="20"/>
        </w:rPr>
        <w:t>and time</w:t>
      </w:r>
      <w:r>
        <w:rPr>
          <w:spacing w:val="6"/>
          <w:sz w:val="20"/>
        </w:rPr>
        <w:t> </w:t>
      </w:r>
      <w:r>
        <w:rPr>
          <w:sz w:val="20"/>
        </w:rPr>
        <w:t>was</w:t>
      </w:r>
      <w:r>
        <w:rPr>
          <w:spacing w:val="6"/>
          <w:sz w:val="20"/>
        </w:rPr>
        <w:t> </w:t>
      </w:r>
      <w:r>
        <w:rPr>
          <w:sz w:val="20"/>
        </w:rPr>
        <w:t>expressly</w:t>
      </w:r>
      <w:r>
        <w:rPr>
          <w:spacing w:val="6"/>
          <w:sz w:val="20"/>
        </w:rPr>
        <w:t> </w:t>
      </w:r>
      <w:r>
        <w:rPr>
          <w:sz w:val="20"/>
        </w:rPr>
        <w:t>made</w:t>
      </w:r>
      <w:r>
        <w:rPr>
          <w:spacing w:val="6"/>
          <w:sz w:val="20"/>
        </w:rPr>
        <w:t> </w:t>
      </w:r>
      <w:r>
        <w:rPr>
          <w:sz w:val="20"/>
        </w:rPr>
        <w:t>of</w:t>
      </w:r>
      <w:r>
        <w:rPr>
          <w:spacing w:val="6"/>
          <w:sz w:val="20"/>
        </w:rPr>
        <w:t> </w:t>
      </w:r>
      <w:r>
        <w:rPr>
          <w:sz w:val="20"/>
        </w:rPr>
        <w:t>the</w:t>
      </w:r>
      <w:r>
        <w:rPr>
          <w:spacing w:val="6"/>
          <w:sz w:val="20"/>
        </w:rPr>
        <w:t> </w:t>
      </w:r>
      <w:r>
        <w:rPr>
          <w:sz w:val="20"/>
        </w:rPr>
        <w:t>essence</w:t>
      </w:r>
      <w:r>
        <w:rPr>
          <w:spacing w:val="6"/>
          <w:sz w:val="20"/>
        </w:rPr>
        <w:t> </w:t>
      </w:r>
      <w:r>
        <w:rPr>
          <w:sz w:val="20"/>
        </w:rPr>
        <w:t>of</w:t>
      </w:r>
      <w:r>
        <w:rPr>
          <w:spacing w:val="6"/>
          <w:sz w:val="20"/>
        </w:rPr>
        <w:t> </w:t>
      </w:r>
      <w:r>
        <w:rPr>
          <w:sz w:val="20"/>
        </w:rPr>
        <w:t>the</w:t>
      </w:r>
      <w:r>
        <w:rPr>
          <w:spacing w:val="6"/>
          <w:sz w:val="20"/>
        </w:rPr>
        <w:t> </w:t>
      </w:r>
      <w:r>
        <w:rPr>
          <w:sz w:val="20"/>
        </w:rPr>
        <w:t>contract);</w:t>
      </w:r>
      <w:r>
        <w:rPr>
          <w:spacing w:val="6"/>
          <w:sz w:val="20"/>
        </w:rPr>
        <w:t> </w:t>
      </w:r>
      <w:r>
        <w:rPr>
          <w:sz w:val="20"/>
        </w:rPr>
        <w:t>contrast</w:t>
      </w:r>
      <w:r>
        <w:rPr>
          <w:spacing w:val="6"/>
          <w:sz w:val="20"/>
        </w:rPr>
        <w:t> </w:t>
      </w:r>
      <w:r>
        <w:rPr>
          <w:rFonts w:ascii="Arial"/>
          <w:i/>
          <w:sz w:val="20"/>
        </w:rPr>
        <w:t>Metrolands</w:t>
      </w:r>
      <w:r>
        <w:rPr>
          <w:rFonts w:ascii="Arial"/>
          <w:i/>
          <w:spacing w:val="6"/>
          <w:sz w:val="20"/>
        </w:rPr>
        <w:t> </w:t>
      </w:r>
      <w:r>
        <w:rPr>
          <w:rFonts w:ascii="Arial"/>
          <w:i/>
          <w:sz w:val="20"/>
        </w:rPr>
        <w:t>Investment</w:t>
      </w:r>
      <w:r>
        <w:rPr>
          <w:rFonts w:ascii="Arial"/>
          <w:i/>
          <w:spacing w:val="6"/>
          <w:sz w:val="20"/>
        </w:rPr>
        <w:t> </w:t>
      </w:r>
      <w:r>
        <w:rPr>
          <w:rFonts w:ascii="Arial"/>
          <w:i/>
          <w:sz w:val="20"/>
        </w:rPr>
        <w:t>Ltd</w:t>
      </w:r>
      <w:r>
        <w:rPr>
          <w:rFonts w:ascii="Arial"/>
          <w:i/>
          <w:spacing w:val="6"/>
          <w:sz w:val="20"/>
        </w:rPr>
        <w:t> </w:t>
      </w:r>
      <w:r>
        <w:rPr>
          <w:rFonts w:ascii="Arial"/>
          <w:i/>
          <w:spacing w:val="-10"/>
          <w:sz w:val="20"/>
        </w:rPr>
        <w:t>v</w:t>
      </w:r>
    </w:p>
    <w:p>
      <w:pPr>
        <w:spacing w:line="225" w:lineRule="exact" w:before="0"/>
        <w:ind w:left="705" w:right="0" w:firstLine="0"/>
        <w:jc w:val="left"/>
        <w:rPr>
          <w:sz w:val="20"/>
        </w:rPr>
      </w:pPr>
      <w:r>
        <w:rPr>
          <w:rFonts w:ascii="Arial"/>
          <w:i/>
          <w:sz w:val="20"/>
        </w:rPr>
        <w:t>J.H. Dewhurst Ltd [1986] 3 All E.R. 659</w:t>
      </w:r>
      <w:r>
        <w:rPr>
          <w:rFonts w:ascii="Arial"/>
          <w:i/>
          <w:spacing w:val="-1"/>
          <w:sz w:val="20"/>
        </w:rPr>
        <w:t> </w:t>
      </w:r>
      <w:r>
        <w:rPr>
          <w:sz w:val="20"/>
        </w:rPr>
        <w:t>(where time was not of the </w:t>
      </w:r>
      <w:r>
        <w:rPr>
          <w:spacing w:val="-2"/>
          <w:sz w:val="20"/>
        </w:rPr>
        <w:t>essence).</w:t>
      </w:r>
    </w:p>
    <w:p>
      <w:pPr>
        <w:pStyle w:val="BodyText"/>
        <w:spacing w:before="5"/>
      </w:pPr>
    </w:p>
    <w:p>
      <w:pPr>
        <w:tabs>
          <w:tab w:pos="705" w:val="left" w:leader="none"/>
        </w:tabs>
        <w:spacing w:before="0"/>
        <w:ind w:left="165" w:right="0" w:firstLine="0"/>
        <w:jc w:val="left"/>
        <w:rPr>
          <w:sz w:val="20"/>
        </w:rPr>
      </w:pPr>
      <w:bookmarkStart w:name="_bookmark1499" w:id="1501"/>
      <w:bookmarkEnd w:id="1501"/>
      <w:r>
        <w:rPr/>
      </w:r>
      <w:hyperlink w:history="true" w:anchor="_bookmark1294">
        <w:r>
          <w:rPr>
            <w:color w:val="005DA1"/>
            <w:spacing w:val="-4"/>
            <w:position w:val="5"/>
            <w:sz w:val="14"/>
            <w:u w:val="single" w:color="005DA1"/>
          </w:rPr>
          <w:t>771</w:t>
        </w:r>
      </w:hyperlink>
      <w:r>
        <w:rPr>
          <w:spacing w:val="-4"/>
          <w:position w:val="5"/>
          <w:sz w:val="14"/>
        </w:rPr>
        <w:t>.</w:t>
      </w:r>
      <w:r>
        <w:rPr>
          <w:position w:val="5"/>
          <w:sz w:val="14"/>
        </w:rPr>
        <w:tab/>
      </w:r>
      <w:r>
        <w:rPr>
          <w:rFonts w:ascii="Arial"/>
          <w:i/>
          <w:sz w:val="20"/>
        </w:rPr>
        <w:t>Welsh Development Agency v Export Finance Co Ltd [1992] B.C.L.C. </w:t>
      </w:r>
      <w:r>
        <w:rPr>
          <w:rFonts w:ascii="Arial"/>
          <w:i/>
          <w:spacing w:val="-4"/>
          <w:sz w:val="20"/>
        </w:rPr>
        <w:t>148</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00" w:id="1502"/>
      <w:bookmarkEnd w:id="1502"/>
      <w:r>
        <w:rPr/>
      </w:r>
      <w:hyperlink w:history="true" w:anchor="_bookmark1295">
        <w:r>
          <w:rPr>
            <w:color w:val="005DA1"/>
            <w:spacing w:val="-4"/>
            <w:position w:val="5"/>
            <w:sz w:val="14"/>
            <w:u w:val="single" w:color="005DA1"/>
          </w:rPr>
          <w:t>772</w:t>
        </w:r>
      </w:hyperlink>
      <w:r>
        <w:rPr>
          <w:spacing w:val="-4"/>
          <w:position w:val="5"/>
          <w:sz w:val="14"/>
        </w:rPr>
        <w:t>.</w:t>
      </w:r>
      <w:r>
        <w:rPr>
          <w:position w:val="5"/>
          <w:sz w:val="14"/>
        </w:rPr>
        <w:tab/>
      </w:r>
      <w:r>
        <w:rPr>
          <w:rFonts w:ascii="Arial" w:hAnsi="Arial"/>
          <w:i/>
          <w:sz w:val="20"/>
        </w:rPr>
        <w:t>Von Hatzfeld-Wildenburg v Alexander [1912] 1 Ch. 284, 284, 288–289 </w:t>
      </w:r>
      <w:r>
        <w:rPr>
          <w:sz w:val="20"/>
        </w:rPr>
        <w:t>(“contract to enter into a </w:t>
      </w:r>
      <w:r>
        <w:rPr>
          <w:spacing w:val="-2"/>
          <w:sz w:val="20"/>
        </w:rPr>
        <w:t>contract”).</w:t>
      </w:r>
    </w:p>
    <w:p>
      <w:pPr>
        <w:pStyle w:val="BodyText"/>
        <w:spacing w:before="5"/>
      </w:pPr>
    </w:p>
    <w:p>
      <w:pPr>
        <w:pStyle w:val="BodyText"/>
        <w:tabs>
          <w:tab w:pos="705" w:val="left" w:leader="none"/>
        </w:tabs>
        <w:ind w:left="165"/>
      </w:pPr>
      <w:bookmarkStart w:name="_bookmark1501" w:id="1503"/>
      <w:bookmarkEnd w:id="1503"/>
      <w:r>
        <w:rPr/>
      </w:r>
      <w:hyperlink w:history="true" w:anchor="_bookmark1296">
        <w:r>
          <w:rPr>
            <w:color w:val="005DA1"/>
            <w:spacing w:val="-4"/>
            <w:position w:val="5"/>
            <w:sz w:val="14"/>
            <w:u w:val="single" w:color="005DA1"/>
          </w:rPr>
          <w:t>773</w:t>
        </w:r>
      </w:hyperlink>
      <w:r>
        <w:rPr>
          <w:spacing w:val="-4"/>
          <w:position w:val="5"/>
          <w:sz w:val="14"/>
        </w:rPr>
        <w:t>.</w:t>
      </w:r>
      <w:r>
        <w:rPr>
          <w:position w:val="5"/>
          <w:sz w:val="14"/>
        </w:rPr>
        <w:tab/>
      </w:r>
      <w:r>
        <w:rPr/>
        <w:t>Subject to statutory exceptions: see Consumer Credit Act 1974 </w:t>
      </w:r>
      <w:r>
        <w:rPr>
          <w:spacing w:val="-2"/>
        </w:rPr>
        <w:t>s.59.</w:t>
      </w:r>
    </w:p>
    <w:p>
      <w:pPr>
        <w:pStyle w:val="BodyText"/>
        <w:spacing w:before="5"/>
      </w:pPr>
    </w:p>
    <w:p>
      <w:pPr>
        <w:tabs>
          <w:tab w:pos="705" w:val="left" w:leader="none"/>
        </w:tabs>
        <w:spacing w:before="0"/>
        <w:ind w:left="165" w:right="0" w:firstLine="0"/>
        <w:jc w:val="left"/>
        <w:rPr>
          <w:sz w:val="20"/>
        </w:rPr>
      </w:pPr>
      <w:bookmarkStart w:name="_bookmark1502" w:id="1504"/>
      <w:bookmarkEnd w:id="1504"/>
      <w:r>
        <w:rPr/>
      </w:r>
      <w:hyperlink w:history="true" w:anchor="_bookmark1296">
        <w:r>
          <w:rPr>
            <w:color w:val="005DA1"/>
            <w:spacing w:val="-4"/>
            <w:position w:val="5"/>
            <w:sz w:val="14"/>
            <w:u w:val="single" w:color="005DA1"/>
          </w:rPr>
          <w:t>774</w:t>
        </w:r>
      </w:hyperlink>
      <w:r>
        <w:rPr>
          <w:spacing w:val="-4"/>
          <w:position w:val="5"/>
          <w:sz w:val="14"/>
        </w:rPr>
        <w:t>.</w:t>
      </w:r>
      <w:r>
        <w:rPr>
          <w:position w:val="5"/>
          <w:sz w:val="14"/>
        </w:rPr>
        <w:tab/>
      </w:r>
      <w:r>
        <w:rPr>
          <w:rFonts w:ascii="Arial"/>
          <w:i/>
          <w:sz w:val="20"/>
        </w:rPr>
        <w:t>[1942]</w:t>
      </w:r>
      <w:r>
        <w:rPr>
          <w:rFonts w:ascii="Arial"/>
          <w:i/>
          <w:spacing w:val="-2"/>
          <w:sz w:val="20"/>
        </w:rPr>
        <w:t> </w:t>
      </w:r>
      <w:r>
        <w:rPr>
          <w:rFonts w:ascii="Arial"/>
          <w:i/>
          <w:sz w:val="20"/>
        </w:rPr>
        <w:t>1 All E.R. </w:t>
      </w:r>
      <w:r>
        <w:rPr>
          <w:rFonts w:ascii="Arial"/>
          <w:i/>
          <w:spacing w:val="-4"/>
          <w:sz w:val="20"/>
        </w:rPr>
        <w:t>273</w:t>
      </w:r>
      <w:r>
        <w:rPr>
          <w:spacing w:val="-4"/>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503" w:id="1505"/>
      <w:bookmarkEnd w:id="1505"/>
      <w:r>
        <w:rPr/>
      </w:r>
      <w:hyperlink w:history="true" w:anchor="_bookmark1297">
        <w:r>
          <w:rPr>
            <w:color w:val="005DA1"/>
            <w:spacing w:val="-4"/>
            <w:position w:val="5"/>
            <w:sz w:val="14"/>
            <w:u w:val="single" w:color="005DA1"/>
          </w:rPr>
          <w:t>775</w:t>
        </w:r>
      </w:hyperlink>
      <w:r>
        <w:rPr>
          <w:spacing w:val="-4"/>
          <w:position w:val="5"/>
          <w:sz w:val="14"/>
        </w:rPr>
        <w:t>.</w:t>
      </w:r>
      <w:r>
        <w:rPr>
          <w:position w:val="5"/>
          <w:sz w:val="14"/>
        </w:rPr>
        <w:tab/>
      </w:r>
      <w:r>
        <w:rPr>
          <w:sz w:val="20"/>
        </w:rPr>
        <w:t>See</w:t>
      </w:r>
      <w:r>
        <w:rPr>
          <w:spacing w:val="20"/>
          <w:sz w:val="20"/>
        </w:rPr>
        <w:t> </w:t>
      </w:r>
      <w:r>
        <w:rPr>
          <w:rFonts w:ascii="Arial" w:hAnsi="Arial"/>
          <w:i/>
          <w:sz w:val="20"/>
        </w:rPr>
        <w:t>The</w:t>
      </w:r>
      <w:r>
        <w:rPr>
          <w:rFonts w:ascii="Arial" w:hAnsi="Arial"/>
          <w:i/>
          <w:spacing w:val="20"/>
          <w:sz w:val="20"/>
        </w:rPr>
        <w:t> </w:t>
      </w:r>
      <w:r>
        <w:rPr>
          <w:rFonts w:ascii="Arial" w:hAnsi="Arial"/>
          <w:i/>
          <w:sz w:val="20"/>
        </w:rPr>
        <w:t>Messiniaki</w:t>
      </w:r>
      <w:r>
        <w:rPr>
          <w:rFonts w:ascii="Arial" w:hAnsi="Arial"/>
          <w:i/>
          <w:spacing w:val="20"/>
          <w:sz w:val="20"/>
        </w:rPr>
        <w:t> </w:t>
      </w:r>
      <w:r>
        <w:rPr>
          <w:rFonts w:ascii="Arial" w:hAnsi="Arial"/>
          <w:i/>
          <w:sz w:val="20"/>
        </w:rPr>
        <w:t>Bergen</w:t>
      </w:r>
      <w:r>
        <w:rPr>
          <w:rFonts w:ascii="Arial" w:hAnsi="Arial"/>
          <w:i/>
          <w:spacing w:val="20"/>
          <w:sz w:val="20"/>
        </w:rPr>
        <w:t> </w:t>
      </w:r>
      <w:r>
        <w:rPr>
          <w:rFonts w:ascii="Arial" w:hAnsi="Arial"/>
          <w:i/>
          <w:sz w:val="20"/>
        </w:rPr>
        <w:t>[1983]</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Lloyd’s</w:t>
      </w:r>
      <w:r>
        <w:rPr>
          <w:rFonts w:ascii="Arial" w:hAnsi="Arial"/>
          <w:i/>
          <w:spacing w:val="20"/>
          <w:sz w:val="20"/>
        </w:rPr>
        <w:t> </w:t>
      </w:r>
      <w:r>
        <w:rPr>
          <w:rFonts w:ascii="Arial" w:hAnsi="Arial"/>
          <w:i/>
          <w:sz w:val="20"/>
        </w:rPr>
        <w:t>Rep.</w:t>
      </w:r>
      <w:r>
        <w:rPr>
          <w:rFonts w:ascii="Arial" w:hAnsi="Arial"/>
          <w:i/>
          <w:spacing w:val="20"/>
          <w:sz w:val="20"/>
        </w:rPr>
        <w:t> </w:t>
      </w:r>
      <w:r>
        <w:rPr>
          <w:rFonts w:ascii="Arial" w:hAnsi="Arial"/>
          <w:i/>
          <w:sz w:val="20"/>
        </w:rPr>
        <w:t>424,</w:t>
      </w:r>
      <w:r>
        <w:rPr>
          <w:rFonts w:ascii="Arial" w:hAnsi="Arial"/>
          <w:i/>
          <w:spacing w:val="20"/>
          <w:sz w:val="20"/>
        </w:rPr>
        <w:t> </w:t>
      </w:r>
      <w:r>
        <w:rPr>
          <w:rFonts w:ascii="Arial" w:hAnsi="Arial"/>
          <w:i/>
          <w:sz w:val="20"/>
        </w:rPr>
        <w:t>426</w:t>
      </w:r>
      <w:r>
        <w:rPr>
          <w:sz w:val="20"/>
        </w:rPr>
        <w:t>.</w:t>
      </w:r>
      <w:r>
        <w:rPr>
          <w:spacing w:val="20"/>
          <w:sz w:val="20"/>
        </w:rPr>
        <w:t> </w:t>
      </w:r>
      <w:r>
        <w:rPr>
          <w:sz w:val="20"/>
        </w:rPr>
        <w:t>cf.</w:t>
      </w:r>
      <w:r>
        <w:rPr>
          <w:spacing w:val="20"/>
          <w:sz w:val="20"/>
        </w:rPr>
        <w:t> </w:t>
      </w:r>
      <w:r>
        <w:rPr>
          <w:sz w:val="20"/>
        </w:rPr>
        <w:t>below,</w:t>
      </w:r>
      <w:r>
        <w:rPr>
          <w:spacing w:val="20"/>
          <w:sz w:val="20"/>
        </w:rPr>
        <w:t> </w:t>
      </w:r>
      <w:r>
        <w:rPr>
          <w:sz w:val="20"/>
        </w:rPr>
        <w:t>para.4-193</w:t>
      </w:r>
      <w:r>
        <w:rPr>
          <w:spacing w:val="20"/>
          <w:sz w:val="20"/>
        </w:rPr>
        <w:t> </w:t>
      </w:r>
      <w:r>
        <w:rPr>
          <w:sz w:val="20"/>
        </w:rPr>
        <w:t>n.1234</w:t>
      </w:r>
      <w:r>
        <w:rPr>
          <w:spacing w:val="20"/>
          <w:sz w:val="20"/>
        </w:rPr>
        <w:t> </w:t>
      </w:r>
      <w:r>
        <w:rPr>
          <w:sz w:val="20"/>
        </w:rPr>
        <w:t>for the nature of an option.</w:t>
      </w:r>
    </w:p>
    <w:p>
      <w:pPr>
        <w:pStyle w:val="BodyText"/>
        <w:spacing w:before="6"/>
      </w:pPr>
    </w:p>
    <w:p>
      <w:pPr>
        <w:tabs>
          <w:tab w:pos="705" w:val="left" w:leader="none"/>
        </w:tabs>
        <w:spacing w:line="227" w:lineRule="exact" w:before="0"/>
        <w:ind w:left="165" w:right="0" w:firstLine="0"/>
        <w:jc w:val="left"/>
        <w:rPr>
          <w:rFonts w:ascii="Arial"/>
          <w:i/>
          <w:sz w:val="20"/>
        </w:rPr>
      </w:pPr>
      <w:bookmarkStart w:name="_bookmark1504" w:id="1506"/>
      <w:bookmarkEnd w:id="1506"/>
      <w:r>
        <w:rPr/>
      </w:r>
      <w:hyperlink w:history="true" w:anchor="_bookmark1298">
        <w:r>
          <w:rPr>
            <w:color w:val="005DA1"/>
            <w:spacing w:val="-4"/>
            <w:position w:val="5"/>
            <w:sz w:val="14"/>
            <w:u w:val="single" w:color="005DA1"/>
          </w:rPr>
          <w:t>776</w:t>
        </w:r>
      </w:hyperlink>
      <w:r>
        <w:rPr>
          <w:spacing w:val="-4"/>
          <w:position w:val="5"/>
          <w:sz w:val="14"/>
        </w:rPr>
        <w:t>.</w:t>
      </w:r>
      <w:r>
        <w:rPr>
          <w:position w:val="5"/>
          <w:sz w:val="14"/>
        </w:rPr>
        <w:tab/>
      </w:r>
      <w:r>
        <w:rPr>
          <w:rFonts w:ascii="Arial"/>
          <w:i/>
          <w:sz w:val="20"/>
        </w:rPr>
        <w:t>Chillingworth</w:t>
      </w:r>
      <w:r>
        <w:rPr>
          <w:rFonts w:ascii="Arial"/>
          <w:i/>
          <w:spacing w:val="15"/>
          <w:sz w:val="20"/>
        </w:rPr>
        <w:t> </w:t>
      </w:r>
      <w:r>
        <w:rPr>
          <w:rFonts w:ascii="Arial"/>
          <w:i/>
          <w:sz w:val="20"/>
        </w:rPr>
        <w:t>v</w:t>
      </w:r>
      <w:r>
        <w:rPr>
          <w:rFonts w:ascii="Arial"/>
          <w:i/>
          <w:spacing w:val="18"/>
          <w:sz w:val="20"/>
        </w:rPr>
        <w:t> </w:t>
      </w:r>
      <w:r>
        <w:rPr>
          <w:rFonts w:ascii="Arial"/>
          <w:i/>
          <w:sz w:val="20"/>
        </w:rPr>
        <w:t>Esche</w:t>
      </w:r>
      <w:r>
        <w:rPr>
          <w:rFonts w:ascii="Arial"/>
          <w:i/>
          <w:spacing w:val="18"/>
          <w:sz w:val="20"/>
        </w:rPr>
        <w:t> </w:t>
      </w:r>
      <w:r>
        <w:rPr>
          <w:rFonts w:ascii="Arial"/>
          <w:i/>
          <w:sz w:val="20"/>
        </w:rPr>
        <w:t>[1924]</w:t>
      </w:r>
      <w:r>
        <w:rPr>
          <w:rFonts w:ascii="Arial"/>
          <w:i/>
          <w:spacing w:val="18"/>
          <w:sz w:val="20"/>
        </w:rPr>
        <w:t> </w:t>
      </w:r>
      <w:r>
        <w:rPr>
          <w:rFonts w:ascii="Arial"/>
          <w:i/>
          <w:sz w:val="20"/>
        </w:rPr>
        <w:t>1</w:t>
      </w:r>
      <w:r>
        <w:rPr>
          <w:rFonts w:ascii="Arial"/>
          <w:i/>
          <w:spacing w:val="18"/>
          <w:sz w:val="20"/>
        </w:rPr>
        <w:t> </w:t>
      </w:r>
      <w:r>
        <w:rPr>
          <w:rFonts w:ascii="Arial"/>
          <w:i/>
          <w:sz w:val="20"/>
        </w:rPr>
        <w:t>Ch.</w:t>
      </w:r>
      <w:r>
        <w:rPr>
          <w:rFonts w:ascii="Arial"/>
          <w:i/>
          <w:spacing w:val="18"/>
          <w:sz w:val="20"/>
        </w:rPr>
        <w:t> </w:t>
      </w:r>
      <w:r>
        <w:rPr>
          <w:rFonts w:ascii="Arial"/>
          <w:i/>
          <w:sz w:val="20"/>
        </w:rPr>
        <w:t>91,</w:t>
      </w:r>
      <w:r>
        <w:rPr>
          <w:rFonts w:ascii="Arial"/>
          <w:i/>
          <w:spacing w:val="18"/>
          <w:sz w:val="20"/>
        </w:rPr>
        <w:t> </w:t>
      </w:r>
      <w:r>
        <w:rPr>
          <w:rFonts w:ascii="Arial"/>
          <w:i/>
          <w:sz w:val="20"/>
        </w:rPr>
        <w:t>113</w:t>
      </w:r>
      <w:r>
        <w:rPr>
          <w:sz w:val="20"/>
        </w:rPr>
        <w:t>;</w:t>
      </w:r>
      <w:r>
        <w:rPr>
          <w:spacing w:val="18"/>
          <w:sz w:val="20"/>
        </w:rPr>
        <w:t> </w:t>
      </w:r>
      <w:r>
        <w:rPr>
          <w:rFonts w:ascii="Arial"/>
          <w:i/>
          <w:sz w:val="20"/>
        </w:rPr>
        <w:t>Hillas</w:t>
      </w:r>
      <w:r>
        <w:rPr>
          <w:rFonts w:ascii="Arial"/>
          <w:i/>
          <w:spacing w:val="18"/>
          <w:sz w:val="20"/>
        </w:rPr>
        <w:t> </w:t>
      </w:r>
      <w:r>
        <w:rPr>
          <w:rFonts w:ascii="Arial"/>
          <w:i/>
          <w:sz w:val="20"/>
        </w:rPr>
        <w:t>&amp;</w:t>
      </w:r>
      <w:r>
        <w:rPr>
          <w:rFonts w:ascii="Arial"/>
          <w:i/>
          <w:spacing w:val="18"/>
          <w:sz w:val="20"/>
        </w:rPr>
        <w:t> </w:t>
      </w:r>
      <w:r>
        <w:rPr>
          <w:rFonts w:ascii="Arial"/>
          <w:i/>
          <w:sz w:val="20"/>
        </w:rPr>
        <w:t>Co</w:t>
      </w:r>
      <w:r>
        <w:rPr>
          <w:rFonts w:ascii="Arial"/>
          <w:i/>
          <w:spacing w:val="18"/>
          <w:sz w:val="20"/>
        </w:rPr>
        <w:t> </w:t>
      </w:r>
      <w:r>
        <w:rPr>
          <w:rFonts w:ascii="Arial"/>
          <w:i/>
          <w:sz w:val="20"/>
        </w:rPr>
        <w:t>Ltd</w:t>
      </w:r>
      <w:r>
        <w:rPr>
          <w:rFonts w:ascii="Arial"/>
          <w:i/>
          <w:spacing w:val="18"/>
          <w:sz w:val="20"/>
        </w:rPr>
        <w:t> </w:t>
      </w:r>
      <w:r>
        <w:rPr>
          <w:rFonts w:ascii="Arial"/>
          <w:i/>
          <w:sz w:val="20"/>
        </w:rPr>
        <w:t>v</w:t>
      </w:r>
      <w:r>
        <w:rPr>
          <w:rFonts w:ascii="Arial"/>
          <w:i/>
          <w:spacing w:val="18"/>
          <w:sz w:val="20"/>
        </w:rPr>
        <w:t> </w:t>
      </w:r>
      <w:r>
        <w:rPr>
          <w:rFonts w:ascii="Arial"/>
          <w:i/>
          <w:sz w:val="20"/>
        </w:rPr>
        <w:t>Arcos</w:t>
      </w:r>
      <w:r>
        <w:rPr>
          <w:rFonts w:ascii="Arial"/>
          <w:i/>
          <w:spacing w:val="18"/>
          <w:sz w:val="20"/>
        </w:rPr>
        <w:t> </w:t>
      </w:r>
      <w:r>
        <w:rPr>
          <w:rFonts w:ascii="Arial"/>
          <w:i/>
          <w:sz w:val="20"/>
        </w:rPr>
        <w:t>Ltd</w:t>
      </w:r>
      <w:r>
        <w:rPr>
          <w:rFonts w:ascii="Arial"/>
          <w:i/>
          <w:spacing w:val="18"/>
          <w:sz w:val="20"/>
        </w:rPr>
        <w:t> </w:t>
      </w:r>
      <w:r>
        <w:rPr>
          <w:rFonts w:ascii="Arial"/>
          <w:i/>
          <w:sz w:val="20"/>
        </w:rPr>
        <w:t>(1932)</w:t>
      </w:r>
      <w:r>
        <w:rPr>
          <w:rFonts w:ascii="Arial"/>
          <w:i/>
          <w:spacing w:val="18"/>
          <w:sz w:val="20"/>
        </w:rPr>
        <w:t> </w:t>
      </w:r>
      <w:r>
        <w:rPr>
          <w:rFonts w:ascii="Arial"/>
          <w:i/>
          <w:sz w:val="20"/>
        </w:rPr>
        <w:t>147</w:t>
      </w:r>
      <w:r>
        <w:rPr>
          <w:rFonts w:ascii="Arial"/>
          <w:i/>
          <w:spacing w:val="18"/>
          <w:sz w:val="20"/>
        </w:rPr>
        <w:t> </w:t>
      </w:r>
      <w:r>
        <w:rPr>
          <w:rFonts w:ascii="Arial"/>
          <w:i/>
          <w:sz w:val="20"/>
        </w:rPr>
        <w:t>L.T.</w:t>
      </w:r>
      <w:r>
        <w:rPr>
          <w:rFonts w:ascii="Arial"/>
          <w:i/>
          <w:spacing w:val="18"/>
          <w:sz w:val="20"/>
        </w:rPr>
        <w:t> </w:t>
      </w:r>
      <w:r>
        <w:rPr>
          <w:rFonts w:ascii="Arial"/>
          <w:i/>
          <w:spacing w:val="-4"/>
          <w:sz w:val="20"/>
        </w:rPr>
        <w:t>503,</w:t>
      </w:r>
    </w:p>
    <w:p>
      <w:pPr>
        <w:pStyle w:val="BodyText"/>
        <w:spacing w:line="225" w:lineRule="exact"/>
        <w:ind w:left="705"/>
      </w:pPr>
      <w:r>
        <w:rPr>
          <w:rFonts w:ascii="Arial"/>
          <w:i/>
        </w:rPr>
        <w:t>515</w:t>
      </w:r>
      <w:r>
        <w:rPr/>
        <w:t>.</w:t>
      </w:r>
      <w:r>
        <w:rPr>
          <w:spacing w:val="5"/>
        </w:rPr>
        <w:t> </w:t>
      </w:r>
      <w:r>
        <w:rPr/>
        <w:t>See</w:t>
      </w:r>
      <w:r>
        <w:rPr>
          <w:spacing w:val="8"/>
        </w:rPr>
        <w:t> </w:t>
      </w:r>
      <w:r>
        <w:rPr/>
        <w:t>F.P.</w:t>
      </w:r>
      <w:r>
        <w:rPr>
          <w:spacing w:val="8"/>
        </w:rPr>
        <w:t> </w:t>
      </w:r>
      <w:r>
        <w:rPr/>
        <w:t>(1932)</w:t>
      </w:r>
      <w:r>
        <w:rPr>
          <w:spacing w:val="8"/>
        </w:rPr>
        <w:t> </w:t>
      </w:r>
      <w:r>
        <w:rPr/>
        <w:t>48</w:t>
      </w:r>
      <w:r>
        <w:rPr>
          <w:spacing w:val="8"/>
        </w:rPr>
        <w:t> </w:t>
      </w:r>
      <w:r>
        <w:rPr/>
        <w:t>L.Q.R.</w:t>
      </w:r>
      <w:r>
        <w:rPr>
          <w:spacing w:val="8"/>
        </w:rPr>
        <w:t> </w:t>
      </w:r>
      <w:r>
        <w:rPr/>
        <w:t>141,</w:t>
      </w:r>
      <w:r>
        <w:rPr>
          <w:spacing w:val="8"/>
        </w:rPr>
        <w:t> </w:t>
      </w:r>
      <w:r>
        <w:rPr/>
        <w:t>F.W.M.C.</w:t>
      </w:r>
      <w:r>
        <w:rPr>
          <w:spacing w:val="8"/>
        </w:rPr>
        <w:t> </w:t>
      </w:r>
      <w:r>
        <w:rPr/>
        <w:t>(1932)</w:t>
      </w:r>
      <w:r>
        <w:rPr>
          <w:spacing w:val="8"/>
        </w:rPr>
        <w:t> </w:t>
      </w:r>
      <w:r>
        <w:rPr/>
        <w:t>48</w:t>
      </w:r>
      <w:r>
        <w:rPr>
          <w:spacing w:val="8"/>
        </w:rPr>
        <w:t> </w:t>
      </w:r>
      <w:r>
        <w:rPr/>
        <w:t>L.Q.R.</w:t>
      </w:r>
      <w:r>
        <w:rPr>
          <w:spacing w:val="8"/>
        </w:rPr>
        <w:t> </w:t>
      </w:r>
      <w:r>
        <w:rPr/>
        <w:t>310;</w:t>
      </w:r>
      <w:r>
        <w:rPr>
          <w:spacing w:val="8"/>
        </w:rPr>
        <w:t> </w:t>
      </w:r>
      <w:r>
        <w:rPr/>
        <w:t>Williams</w:t>
      </w:r>
      <w:r>
        <w:rPr>
          <w:spacing w:val="8"/>
        </w:rPr>
        <w:t> </w:t>
      </w:r>
      <w:r>
        <w:rPr/>
        <w:t>(1943)</w:t>
      </w:r>
      <w:r>
        <w:rPr>
          <w:spacing w:val="8"/>
        </w:rPr>
        <w:t> </w:t>
      </w:r>
      <w:r>
        <w:rPr/>
        <w:t>6</w:t>
      </w:r>
      <w:r>
        <w:rPr>
          <w:spacing w:val="8"/>
        </w:rPr>
        <w:t> </w:t>
      </w:r>
      <w:r>
        <w:rPr>
          <w:spacing w:val="-2"/>
        </w:rPr>
        <w:t>M.L.R.</w:t>
      </w:r>
    </w:p>
    <w:p>
      <w:pPr>
        <w:pStyle w:val="BodyText"/>
        <w:spacing w:line="227" w:lineRule="exact"/>
        <w:ind w:left="705"/>
      </w:pPr>
      <w:r>
        <w:rPr>
          <w:spacing w:val="-5"/>
        </w:rPr>
        <w:t>81.</w:t>
      </w:r>
    </w:p>
    <w:p>
      <w:pPr>
        <w:pStyle w:val="BodyText"/>
        <w:spacing w:before="8"/>
      </w:pPr>
    </w:p>
    <w:p>
      <w:pPr>
        <w:spacing w:line="235" w:lineRule="auto" w:before="1"/>
        <w:ind w:left="705" w:right="167" w:hanging="541"/>
        <w:jc w:val="both"/>
        <w:rPr>
          <w:rFonts w:ascii="Arial" w:hAnsi="Arial"/>
          <w:i/>
          <w:sz w:val="20"/>
        </w:rPr>
      </w:pPr>
      <w:bookmarkStart w:name="_bookmark1505" w:id="1507"/>
      <w:bookmarkEnd w:id="1507"/>
      <w:r>
        <w:rPr/>
      </w:r>
      <w:hyperlink w:history="true" w:anchor="_bookmark1299">
        <w:r>
          <w:rPr>
            <w:color w:val="005DA1"/>
            <w:position w:val="5"/>
            <w:sz w:val="14"/>
            <w:u w:val="single" w:color="005DA1"/>
          </w:rPr>
          <w:t>777</w:t>
        </w:r>
      </w:hyperlink>
      <w:r>
        <w:rPr>
          <w:position w:val="5"/>
          <w:sz w:val="14"/>
        </w:rPr>
        <w:t>.</w:t>
      </w:r>
      <w:r>
        <w:rPr>
          <w:spacing w:val="40"/>
          <w:position w:val="5"/>
          <w:sz w:val="14"/>
        </w:rPr>
        <w:t>  </w:t>
      </w:r>
      <w:r>
        <w:rPr>
          <w:rFonts w:ascii="Arial" w:hAnsi="Arial"/>
          <w:i/>
          <w:sz w:val="20"/>
        </w:rPr>
        <w:t>Courtney</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Fairbairn</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Tolaini</w:t>
      </w:r>
      <w:r>
        <w:rPr>
          <w:rFonts w:ascii="Arial" w:hAnsi="Arial"/>
          <w:i/>
          <w:spacing w:val="40"/>
          <w:sz w:val="20"/>
        </w:rPr>
        <w:t> </w:t>
      </w:r>
      <w:r>
        <w:rPr>
          <w:rFonts w:ascii="Arial" w:hAnsi="Arial"/>
          <w:i/>
          <w:sz w:val="20"/>
        </w:rPr>
        <w:t>Bros</w:t>
      </w:r>
      <w:r>
        <w:rPr>
          <w:rFonts w:ascii="Arial" w:hAnsi="Arial"/>
          <w:i/>
          <w:spacing w:val="40"/>
          <w:sz w:val="20"/>
        </w:rPr>
        <w:t> </w:t>
      </w:r>
      <w:r>
        <w:rPr>
          <w:rFonts w:ascii="Arial" w:hAnsi="Arial"/>
          <w:i/>
          <w:sz w:val="20"/>
        </w:rPr>
        <w:t>(Hotels)</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[1975]</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W.L.R.</w:t>
      </w:r>
      <w:r>
        <w:rPr>
          <w:rFonts w:ascii="Arial" w:hAnsi="Arial"/>
          <w:i/>
          <w:spacing w:val="40"/>
          <w:sz w:val="20"/>
        </w:rPr>
        <w:t> </w:t>
      </w:r>
      <w:r>
        <w:rPr>
          <w:rFonts w:ascii="Arial" w:hAnsi="Arial"/>
          <w:i/>
          <w:sz w:val="20"/>
        </w:rPr>
        <w:t>297,</w:t>
      </w:r>
      <w:r>
        <w:rPr>
          <w:rFonts w:ascii="Arial" w:hAnsi="Arial"/>
          <w:i/>
          <w:spacing w:val="40"/>
          <w:sz w:val="20"/>
        </w:rPr>
        <w:t> </w:t>
      </w:r>
      <w:r>
        <w:rPr>
          <w:rFonts w:ascii="Arial" w:hAnsi="Arial"/>
          <w:i/>
          <w:sz w:val="20"/>
        </w:rPr>
        <w:t>301</w:t>
      </w:r>
      <w:r>
        <w:rPr>
          <w:sz w:val="20"/>
        </w:rPr>
        <w:t>;</w:t>
      </w:r>
      <w:r>
        <w:rPr>
          <w:spacing w:val="40"/>
          <w:sz w:val="20"/>
        </w:rPr>
        <w:t> </w:t>
      </w:r>
      <w:r>
        <w:rPr>
          <w:sz w:val="20"/>
        </w:rPr>
        <w:t>cf.</w:t>
      </w:r>
      <w:r>
        <w:rPr>
          <w:spacing w:val="40"/>
          <w:sz w:val="20"/>
        </w:rPr>
        <w:t> </w:t>
      </w:r>
      <w:r>
        <w:rPr>
          <w:rFonts w:ascii="Arial" w:hAnsi="Arial"/>
          <w:i/>
          <w:sz w:val="20"/>
        </w:rPr>
        <w:t>Von Hatzfeldt-Wildenburg v Alexander [1912] 1 Ch. 284, 249</w:t>
      </w:r>
      <w:r>
        <w:rPr>
          <w:sz w:val="20"/>
        </w:rPr>
        <w:t>; </w:t>
      </w:r>
      <w:r>
        <w:rPr>
          <w:rFonts w:ascii="Arial" w:hAnsi="Arial"/>
          <w:i/>
          <w:sz w:val="20"/>
        </w:rPr>
        <w:t>Malozzi v Carapelli SpA [1976] 1 Lloyd’s</w:t>
      </w:r>
      <w:r>
        <w:rPr>
          <w:rFonts w:ascii="Arial" w:hAnsi="Arial"/>
          <w:i/>
          <w:spacing w:val="41"/>
          <w:sz w:val="20"/>
        </w:rPr>
        <w:t> </w:t>
      </w:r>
      <w:r>
        <w:rPr>
          <w:rFonts w:ascii="Arial" w:hAnsi="Arial"/>
          <w:i/>
          <w:sz w:val="20"/>
        </w:rPr>
        <w:t>Rep.</w:t>
      </w:r>
      <w:r>
        <w:rPr>
          <w:rFonts w:ascii="Arial" w:hAnsi="Arial"/>
          <w:i/>
          <w:spacing w:val="42"/>
          <w:sz w:val="20"/>
        </w:rPr>
        <w:t> </w:t>
      </w:r>
      <w:r>
        <w:rPr>
          <w:rFonts w:ascii="Arial" w:hAnsi="Arial"/>
          <w:i/>
          <w:sz w:val="20"/>
        </w:rPr>
        <w:t>407</w:t>
      </w:r>
      <w:r>
        <w:rPr>
          <w:sz w:val="20"/>
        </w:rPr>
        <w:t>;</w:t>
      </w:r>
      <w:r>
        <w:rPr>
          <w:spacing w:val="42"/>
          <w:sz w:val="20"/>
        </w:rPr>
        <w:t> </w:t>
      </w:r>
      <w:r>
        <w:rPr>
          <w:rFonts w:ascii="Arial" w:hAnsi="Arial"/>
          <w:i/>
          <w:sz w:val="20"/>
        </w:rPr>
        <w:t>Scandinavian</w:t>
      </w:r>
      <w:r>
        <w:rPr>
          <w:rFonts w:ascii="Arial" w:hAnsi="Arial"/>
          <w:i/>
          <w:spacing w:val="42"/>
          <w:sz w:val="20"/>
        </w:rPr>
        <w:t> </w:t>
      </w:r>
      <w:r>
        <w:rPr>
          <w:rFonts w:ascii="Arial" w:hAnsi="Arial"/>
          <w:i/>
          <w:sz w:val="20"/>
        </w:rPr>
        <w:t>Trading</w:t>
      </w:r>
      <w:r>
        <w:rPr>
          <w:rFonts w:ascii="Arial" w:hAnsi="Arial"/>
          <w:i/>
          <w:spacing w:val="42"/>
          <w:sz w:val="20"/>
        </w:rPr>
        <w:t> </w:t>
      </w:r>
      <w:r>
        <w:rPr>
          <w:rFonts w:ascii="Arial" w:hAnsi="Arial"/>
          <w:i/>
          <w:sz w:val="20"/>
        </w:rPr>
        <w:t>Tanker</w:t>
      </w:r>
      <w:r>
        <w:rPr>
          <w:rFonts w:ascii="Arial" w:hAnsi="Arial"/>
          <w:i/>
          <w:spacing w:val="42"/>
          <w:sz w:val="20"/>
        </w:rPr>
        <w:t> </w:t>
      </w:r>
      <w:r>
        <w:rPr>
          <w:rFonts w:ascii="Arial" w:hAnsi="Arial"/>
          <w:i/>
          <w:sz w:val="20"/>
        </w:rPr>
        <w:t>Co</w:t>
      </w:r>
      <w:r>
        <w:rPr>
          <w:rFonts w:ascii="Arial" w:hAnsi="Arial"/>
          <w:i/>
          <w:spacing w:val="42"/>
          <w:sz w:val="20"/>
        </w:rPr>
        <w:t> </w:t>
      </w:r>
      <w:r>
        <w:rPr>
          <w:rFonts w:ascii="Arial" w:hAnsi="Arial"/>
          <w:i/>
          <w:sz w:val="20"/>
        </w:rPr>
        <w:t>AB</w:t>
      </w:r>
      <w:r>
        <w:rPr>
          <w:rFonts w:ascii="Arial" w:hAnsi="Arial"/>
          <w:i/>
          <w:spacing w:val="42"/>
          <w:sz w:val="20"/>
        </w:rPr>
        <w:t> </w:t>
      </w:r>
      <w:r>
        <w:rPr>
          <w:rFonts w:ascii="Arial" w:hAnsi="Arial"/>
          <w:i/>
          <w:sz w:val="20"/>
        </w:rPr>
        <w:t>v</w:t>
      </w:r>
      <w:r>
        <w:rPr>
          <w:rFonts w:ascii="Arial" w:hAnsi="Arial"/>
          <w:i/>
          <w:spacing w:val="42"/>
          <w:sz w:val="20"/>
        </w:rPr>
        <w:t> </w:t>
      </w:r>
      <w:r>
        <w:rPr>
          <w:rFonts w:ascii="Arial" w:hAnsi="Arial"/>
          <w:i/>
          <w:sz w:val="20"/>
        </w:rPr>
        <w:t>Flota</w:t>
      </w:r>
      <w:r>
        <w:rPr>
          <w:rFonts w:ascii="Arial" w:hAnsi="Arial"/>
          <w:i/>
          <w:spacing w:val="42"/>
          <w:sz w:val="20"/>
        </w:rPr>
        <w:t> </w:t>
      </w:r>
      <w:r>
        <w:rPr>
          <w:rFonts w:ascii="Arial" w:hAnsi="Arial"/>
          <w:i/>
          <w:sz w:val="20"/>
        </w:rPr>
        <w:t>Petrolera</w:t>
      </w:r>
      <w:r>
        <w:rPr>
          <w:rFonts w:ascii="Arial" w:hAnsi="Arial"/>
          <w:i/>
          <w:spacing w:val="42"/>
          <w:sz w:val="20"/>
        </w:rPr>
        <w:t> </w:t>
      </w:r>
      <w:r>
        <w:rPr>
          <w:rFonts w:ascii="Arial" w:hAnsi="Arial"/>
          <w:i/>
          <w:sz w:val="20"/>
        </w:rPr>
        <w:t>Ecuatoriana</w:t>
      </w:r>
      <w:r>
        <w:rPr>
          <w:rFonts w:ascii="Arial" w:hAnsi="Arial"/>
          <w:i/>
          <w:spacing w:val="42"/>
          <w:sz w:val="20"/>
        </w:rPr>
        <w:t> </w:t>
      </w:r>
      <w:r>
        <w:rPr>
          <w:rFonts w:ascii="Arial" w:hAnsi="Arial"/>
          <w:i/>
          <w:spacing w:val="-4"/>
          <w:sz w:val="20"/>
        </w:rPr>
        <w:t>(The</w:t>
      </w:r>
    </w:p>
    <w:p>
      <w:pPr>
        <w:spacing w:after="0" w:line="235" w:lineRule="auto"/>
        <w:jc w:val="both"/>
        <w:rPr>
          <w:rFonts w:ascii="Arial" w:hAnsi="Arial"/>
          <w:i/>
          <w:sz w:val="20"/>
        </w:rPr>
        <w:sectPr>
          <w:type w:val="continuous"/>
          <w:pgSz w:w="11900" w:h="16840"/>
          <w:pgMar w:header="971" w:footer="0" w:top="1300" w:bottom="280" w:left="1275" w:right="1275"/>
        </w:sectPr>
      </w:pPr>
    </w:p>
    <w:p>
      <w:pPr>
        <w:spacing w:line="235" w:lineRule="auto" w:before="110"/>
        <w:ind w:left="705" w:right="167" w:firstLine="0"/>
        <w:jc w:val="both"/>
        <w:rPr>
          <w:rFonts w:ascii="Arial" w:hAnsi="Arial"/>
          <w:i/>
          <w:sz w:val="20"/>
        </w:rPr>
      </w:pPr>
      <w:r>
        <w:rPr>
          <w:rFonts w:ascii="Arial" w:hAnsi="Arial"/>
          <w:i/>
          <w:sz w:val="20"/>
        </w:rPr>
        <w:t>Scaptrade)</w:t>
      </w:r>
      <w:r>
        <w:rPr>
          <w:rFonts w:ascii="Arial" w:hAnsi="Arial"/>
          <w:i/>
          <w:spacing w:val="-3"/>
          <w:sz w:val="20"/>
        </w:rPr>
        <w:t> </w:t>
      </w:r>
      <w:r>
        <w:rPr>
          <w:rFonts w:ascii="Arial" w:hAnsi="Arial"/>
          <w:i/>
          <w:sz w:val="20"/>
        </w:rPr>
        <w:t>[1981]</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Lloyd’s</w:t>
      </w:r>
      <w:r>
        <w:rPr>
          <w:rFonts w:ascii="Arial" w:hAnsi="Arial"/>
          <w:i/>
          <w:spacing w:val="-3"/>
          <w:sz w:val="20"/>
        </w:rPr>
        <w:t> </w:t>
      </w:r>
      <w:r>
        <w:rPr>
          <w:rFonts w:ascii="Arial" w:hAnsi="Arial"/>
          <w:i/>
          <w:sz w:val="20"/>
        </w:rPr>
        <w:t>Rep.</w:t>
      </w:r>
      <w:r>
        <w:rPr>
          <w:rFonts w:ascii="Arial" w:hAnsi="Arial"/>
          <w:i/>
          <w:spacing w:val="-3"/>
          <w:sz w:val="20"/>
        </w:rPr>
        <w:t> </w:t>
      </w:r>
      <w:r>
        <w:rPr>
          <w:rFonts w:ascii="Arial" w:hAnsi="Arial"/>
          <w:i/>
          <w:sz w:val="20"/>
        </w:rPr>
        <w:t>425,</w:t>
      </w:r>
      <w:r>
        <w:rPr>
          <w:rFonts w:ascii="Arial" w:hAnsi="Arial"/>
          <w:i/>
          <w:spacing w:val="-3"/>
          <w:sz w:val="20"/>
        </w:rPr>
        <w:t> </w:t>
      </w:r>
      <w:r>
        <w:rPr>
          <w:rFonts w:ascii="Arial" w:hAnsi="Arial"/>
          <w:i/>
          <w:sz w:val="20"/>
        </w:rPr>
        <w:t>432</w:t>
      </w:r>
      <w:r>
        <w:rPr>
          <w:sz w:val="20"/>
        </w:rPr>
        <w:t>;</w:t>
      </w:r>
      <w:r>
        <w:rPr>
          <w:spacing w:val="-3"/>
          <w:sz w:val="20"/>
        </w:rPr>
        <w:t> </w:t>
      </w:r>
      <w:r>
        <w:rPr>
          <w:sz w:val="20"/>
        </w:rPr>
        <w:t>affirmed</w:t>
      </w:r>
      <w:r>
        <w:rPr>
          <w:spacing w:val="-3"/>
          <w:sz w:val="20"/>
        </w:rPr>
        <w:t> </w:t>
      </w:r>
      <w:r>
        <w:rPr>
          <w:sz w:val="20"/>
        </w:rPr>
        <w:t>without</w:t>
      </w:r>
      <w:r>
        <w:rPr>
          <w:spacing w:val="-3"/>
          <w:sz w:val="20"/>
        </w:rPr>
        <w:t> </w:t>
      </w:r>
      <w:r>
        <w:rPr>
          <w:sz w:val="20"/>
        </w:rPr>
        <w:t>reference</w:t>
      </w:r>
      <w:r>
        <w:rPr>
          <w:spacing w:val="-3"/>
          <w:sz w:val="20"/>
        </w:rPr>
        <w:t> </w:t>
      </w:r>
      <w:r>
        <w:rPr>
          <w:sz w:val="20"/>
        </w:rPr>
        <w:t>to</w:t>
      </w:r>
      <w:r>
        <w:rPr>
          <w:spacing w:val="-3"/>
          <w:sz w:val="20"/>
        </w:rPr>
        <w:t> </w:t>
      </w:r>
      <w:r>
        <w:rPr>
          <w:sz w:val="20"/>
        </w:rPr>
        <w:t>this</w:t>
      </w:r>
      <w:r>
        <w:rPr>
          <w:spacing w:val="-3"/>
          <w:sz w:val="20"/>
        </w:rPr>
        <w:t> </w:t>
      </w:r>
      <w:r>
        <w:rPr>
          <w:sz w:val="20"/>
        </w:rPr>
        <w:t>point</w:t>
      </w:r>
      <w:r>
        <w:rPr>
          <w:spacing w:val="-4"/>
          <w:sz w:val="20"/>
        </w:rPr>
        <w:t> </w:t>
      </w:r>
      <w:r>
        <w:rPr>
          <w:rFonts w:ascii="Arial" w:hAnsi="Arial"/>
          <w:i/>
          <w:sz w:val="20"/>
        </w:rPr>
        <w:t>[1983]</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z w:val="20"/>
        </w:rPr>
        <w:t>A.C. 694</w:t>
      </w:r>
      <w:r>
        <w:rPr>
          <w:sz w:val="20"/>
        </w:rPr>
        <w:t>; </w:t>
      </w:r>
      <w:r>
        <w:rPr>
          <w:rFonts w:ascii="Arial" w:hAnsi="Arial"/>
          <w:i/>
          <w:sz w:val="20"/>
        </w:rPr>
        <w:t>Nile Co for the Export of Agricultural Crops v H. &amp; J. M. Bennett (Commodities) Ltd [1986] 1 Lloyd’s Rep. 555, 587</w:t>
      </w:r>
      <w:r>
        <w:rPr>
          <w:sz w:val="20"/>
        </w:rPr>
        <w:t>; </w:t>
      </w:r>
      <w:r>
        <w:rPr>
          <w:rFonts w:ascii="Arial" w:hAnsi="Arial"/>
          <w:i/>
          <w:sz w:val="20"/>
        </w:rPr>
        <w:t>Paul Smith Ltd v H. &amp; S. International Holdings [1991] 2 Lloyd’s Rep. 127, 131</w:t>
      </w:r>
      <w:r>
        <w:rPr>
          <w:sz w:val="20"/>
        </w:rPr>
        <w:t>; </w:t>
      </w:r>
      <w:r>
        <w:rPr>
          <w:rFonts w:ascii="Arial" w:hAnsi="Arial"/>
          <w:i/>
          <w:sz w:val="20"/>
        </w:rPr>
        <w:t>Mamidoil-Jetoil Greek Petroleum SA v Okta Crude Oil Refinery AD [2001] EWCA Civ 406,</w:t>
      </w:r>
      <w:r>
        <w:rPr>
          <w:rFonts w:ascii="Arial" w:hAnsi="Arial"/>
          <w:i/>
          <w:spacing w:val="23"/>
          <w:sz w:val="20"/>
        </w:rPr>
        <w:t> </w:t>
      </w:r>
      <w:r>
        <w:rPr>
          <w:rFonts w:ascii="Arial" w:hAnsi="Arial"/>
          <w:i/>
          <w:sz w:val="20"/>
        </w:rPr>
        <w:t>[2001]</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76</w:t>
      </w:r>
      <w:r>
        <w:rPr>
          <w:rFonts w:ascii="Arial" w:hAnsi="Arial"/>
          <w:i/>
          <w:spacing w:val="22"/>
          <w:sz w:val="20"/>
        </w:rPr>
        <w:t> </w:t>
      </w:r>
      <w:r>
        <w:rPr>
          <w:sz w:val="20"/>
        </w:rPr>
        <w:t>at</w:t>
      </w:r>
      <w:r>
        <w:rPr>
          <w:spacing w:val="23"/>
          <w:sz w:val="20"/>
        </w:rPr>
        <w:t> </w:t>
      </w:r>
      <w:r>
        <w:rPr>
          <w:sz w:val="20"/>
        </w:rPr>
        <w:t>[53],</w:t>
      </w:r>
      <w:r>
        <w:rPr>
          <w:spacing w:val="23"/>
          <w:sz w:val="20"/>
        </w:rPr>
        <w:t> </w:t>
      </w:r>
      <w:r>
        <w:rPr>
          <w:sz w:val="20"/>
        </w:rPr>
        <w:t>[59];</w:t>
      </w:r>
      <w:r>
        <w:rPr>
          <w:spacing w:val="23"/>
          <w:sz w:val="20"/>
        </w:rPr>
        <w:t> </w:t>
      </w:r>
      <w:r>
        <w:rPr>
          <w:rFonts w:ascii="Arial" w:hAnsi="Arial"/>
          <w:i/>
          <w:sz w:val="20"/>
        </w:rPr>
        <w:t>Willis</w:t>
      </w:r>
      <w:r>
        <w:rPr>
          <w:rFonts w:ascii="Arial" w:hAnsi="Arial"/>
          <w:i/>
          <w:spacing w:val="23"/>
          <w:sz w:val="20"/>
        </w:rPr>
        <w:t> </w:t>
      </w:r>
      <w:r>
        <w:rPr>
          <w:rFonts w:ascii="Arial" w:hAnsi="Arial"/>
          <w:i/>
          <w:sz w:val="20"/>
        </w:rPr>
        <w:t>Management</w:t>
      </w:r>
      <w:r>
        <w:rPr>
          <w:rFonts w:ascii="Arial" w:hAnsi="Arial"/>
          <w:i/>
          <w:spacing w:val="23"/>
          <w:sz w:val="20"/>
        </w:rPr>
        <w:t> </w:t>
      </w:r>
      <w:r>
        <w:rPr>
          <w:rFonts w:ascii="Arial" w:hAnsi="Arial"/>
          <w:i/>
          <w:sz w:val="20"/>
        </w:rPr>
        <w:t>(Isle</w:t>
      </w:r>
      <w:r>
        <w:rPr>
          <w:rFonts w:ascii="Arial" w:hAnsi="Arial"/>
          <w:i/>
          <w:spacing w:val="23"/>
          <w:sz w:val="20"/>
        </w:rPr>
        <w:t> </w:t>
      </w:r>
      <w:r>
        <w:rPr>
          <w:rFonts w:ascii="Arial" w:hAnsi="Arial"/>
          <w:i/>
          <w:sz w:val="20"/>
        </w:rPr>
        <w:t>of</w:t>
      </w:r>
      <w:r>
        <w:rPr>
          <w:rFonts w:ascii="Arial" w:hAnsi="Arial"/>
          <w:i/>
          <w:spacing w:val="23"/>
          <w:sz w:val="20"/>
        </w:rPr>
        <w:t> </w:t>
      </w:r>
      <w:r>
        <w:rPr>
          <w:rFonts w:ascii="Arial" w:hAnsi="Arial"/>
          <w:i/>
          <w:sz w:val="20"/>
        </w:rPr>
        <w:t>Man)</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v</w:t>
      </w:r>
      <w:r>
        <w:rPr>
          <w:rFonts w:ascii="Arial" w:hAnsi="Arial"/>
          <w:i/>
          <w:spacing w:val="23"/>
          <w:sz w:val="20"/>
        </w:rPr>
        <w:t> </w:t>
      </w:r>
      <w:r>
        <w:rPr>
          <w:rFonts w:ascii="Arial" w:hAnsi="Arial"/>
          <w:i/>
          <w:sz w:val="20"/>
        </w:rPr>
        <w:t>Cable</w:t>
      </w:r>
      <w:r>
        <w:rPr>
          <w:rFonts w:ascii="Arial" w:hAnsi="Arial"/>
          <w:i/>
          <w:spacing w:val="23"/>
          <w:sz w:val="20"/>
        </w:rPr>
        <w:t> </w:t>
      </w:r>
      <w:r>
        <w:rPr>
          <w:rFonts w:ascii="Arial" w:hAnsi="Arial"/>
          <w:i/>
          <w:spacing w:val="-5"/>
          <w:sz w:val="20"/>
        </w:rPr>
        <w:t>and</w:t>
      </w:r>
    </w:p>
    <w:p>
      <w:pPr>
        <w:spacing w:line="222" w:lineRule="exact" w:before="0"/>
        <w:ind w:left="705" w:right="0" w:firstLine="0"/>
        <w:jc w:val="both"/>
        <w:rPr>
          <w:rFonts w:ascii="Arial" w:hAnsi="Arial"/>
          <w:i/>
          <w:sz w:val="20"/>
        </w:rPr>
      </w:pPr>
      <w:r>
        <w:rPr>
          <w:rFonts w:ascii="Arial" w:hAnsi="Arial"/>
          <w:i/>
          <w:sz w:val="20"/>
        </w:rPr>
        <w:t>Wireless</w:t>
      </w:r>
      <w:r>
        <w:rPr>
          <w:rFonts w:ascii="Arial" w:hAnsi="Arial"/>
          <w:i/>
          <w:spacing w:val="17"/>
          <w:sz w:val="20"/>
        </w:rPr>
        <w:t> </w:t>
      </w:r>
      <w:r>
        <w:rPr>
          <w:rFonts w:ascii="Arial" w:hAnsi="Arial"/>
          <w:i/>
          <w:sz w:val="20"/>
        </w:rPr>
        <w:t>Plc</w:t>
      </w:r>
      <w:r>
        <w:rPr>
          <w:rFonts w:ascii="Arial" w:hAnsi="Arial"/>
          <w:i/>
          <w:spacing w:val="17"/>
          <w:sz w:val="20"/>
        </w:rPr>
        <w:t> </w:t>
      </w:r>
      <w:r>
        <w:rPr>
          <w:rFonts w:ascii="Arial" w:hAnsi="Arial"/>
          <w:i/>
          <w:sz w:val="20"/>
        </w:rPr>
        <w:t>[2005]</w:t>
      </w:r>
      <w:r>
        <w:rPr>
          <w:rFonts w:ascii="Arial" w:hAnsi="Arial"/>
          <w:i/>
          <w:spacing w:val="17"/>
          <w:sz w:val="20"/>
        </w:rPr>
        <w:t> </w:t>
      </w:r>
      <w:r>
        <w:rPr>
          <w:rFonts w:ascii="Arial" w:hAnsi="Arial"/>
          <w:i/>
          <w:sz w:val="20"/>
        </w:rPr>
        <w:t>EWCA</w:t>
      </w:r>
      <w:r>
        <w:rPr>
          <w:rFonts w:ascii="Arial" w:hAnsi="Arial"/>
          <w:i/>
          <w:spacing w:val="17"/>
          <w:sz w:val="20"/>
        </w:rPr>
        <w:t> </w:t>
      </w:r>
      <w:r>
        <w:rPr>
          <w:rFonts w:ascii="Arial" w:hAnsi="Arial"/>
          <w:i/>
          <w:sz w:val="20"/>
        </w:rPr>
        <w:t>Civ</w:t>
      </w:r>
      <w:r>
        <w:rPr>
          <w:rFonts w:ascii="Arial" w:hAnsi="Arial"/>
          <w:i/>
          <w:spacing w:val="17"/>
          <w:sz w:val="20"/>
        </w:rPr>
        <w:t> </w:t>
      </w:r>
      <w:r>
        <w:rPr>
          <w:rFonts w:ascii="Arial" w:hAnsi="Arial"/>
          <w:i/>
          <w:sz w:val="20"/>
        </w:rPr>
        <w:t>806,</w:t>
      </w:r>
      <w:r>
        <w:rPr>
          <w:rFonts w:ascii="Arial" w:hAnsi="Arial"/>
          <w:i/>
          <w:spacing w:val="17"/>
          <w:sz w:val="20"/>
        </w:rPr>
        <w:t> </w:t>
      </w:r>
      <w:r>
        <w:rPr>
          <w:rFonts w:ascii="Arial" w:hAnsi="Arial"/>
          <w:i/>
          <w:sz w:val="20"/>
        </w:rPr>
        <w:t>[2005]</w:t>
      </w:r>
      <w:r>
        <w:rPr>
          <w:rFonts w:ascii="Arial" w:hAnsi="Arial"/>
          <w:i/>
          <w:spacing w:val="17"/>
          <w:sz w:val="20"/>
        </w:rPr>
        <w:t> </w:t>
      </w:r>
      <w:r>
        <w:rPr>
          <w:rFonts w:ascii="Arial" w:hAnsi="Arial"/>
          <w:i/>
          <w:sz w:val="20"/>
        </w:rPr>
        <w:t>2</w:t>
      </w:r>
      <w:r>
        <w:rPr>
          <w:rFonts w:ascii="Arial" w:hAnsi="Arial"/>
          <w:i/>
          <w:spacing w:val="17"/>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597</w:t>
      </w:r>
      <w:r>
        <w:rPr>
          <w:rFonts w:ascii="Arial" w:hAnsi="Arial"/>
          <w:i/>
          <w:spacing w:val="16"/>
          <w:sz w:val="20"/>
        </w:rPr>
        <w:t> </w:t>
      </w:r>
      <w:r>
        <w:rPr>
          <w:sz w:val="20"/>
        </w:rPr>
        <w:t>at</w:t>
      </w:r>
      <w:r>
        <w:rPr>
          <w:spacing w:val="17"/>
          <w:sz w:val="20"/>
        </w:rPr>
        <w:t> </w:t>
      </w:r>
      <w:r>
        <w:rPr>
          <w:sz w:val="20"/>
        </w:rPr>
        <w:t>[24],</w:t>
      </w:r>
      <w:r>
        <w:rPr>
          <w:spacing w:val="17"/>
          <w:sz w:val="20"/>
        </w:rPr>
        <w:t> </w:t>
      </w:r>
      <w:r>
        <w:rPr>
          <w:sz w:val="20"/>
        </w:rPr>
        <w:t>[26];</w:t>
      </w:r>
      <w:r>
        <w:rPr>
          <w:spacing w:val="17"/>
          <w:sz w:val="20"/>
        </w:rPr>
        <w:t> </w:t>
      </w:r>
      <w:r>
        <w:rPr>
          <w:rFonts w:ascii="Arial" w:hAnsi="Arial"/>
          <w:i/>
          <w:sz w:val="20"/>
        </w:rPr>
        <w:t>Covington</w:t>
      </w:r>
      <w:r>
        <w:rPr>
          <w:rFonts w:ascii="Arial" w:hAnsi="Arial"/>
          <w:i/>
          <w:spacing w:val="17"/>
          <w:sz w:val="20"/>
        </w:rPr>
        <w:t> </w:t>
      </w:r>
      <w:r>
        <w:rPr>
          <w:rFonts w:ascii="Arial" w:hAnsi="Arial"/>
          <w:i/>
          <w:spacing w:val="-2"/>
          <w:sz w:val="20"/>
        </w:rPr>
        <w:t>Marine</w:t>
      </w:r>
    </w:p>
    <w:p>
      <w:pPr>
        <w:spacing w:line="225" w:lineRule="exact" w:before="0"/>
        <w:ind w:left="705" w:right="0" w:firstLine="0"/>
        <w:jc w:val="both"/>
        <w:rPr>
          <w:sz w:val="20"/>
        </w:rPr>
      </w:pPr>
      <w:r>
        <w:rPr>
          <w:rFonts w:ascii="Arial" w:hAnsi="Arial"/>
          <w:i/>
          <w:sz w:val="20"/>
        </w:rPr>
        <w:t>Corp</w:t>
      </w:r>
      <w:r>
        <w:rPr>
          <w:rFonts w:ascii="Arial" w:hAnsi="Arial"/>
          <w:i/>
          <w:spacing w:val="13"/>
          <w:sz w:val="20"/>
        </w:rPr>
        <w:t> </w:t>
      </w:r>
      <w:r>
        <w:rPr>
          <w:rFonts w:ascii="Arial" w:hAnsi="Arial"/>
          <w:i/>
          <w:sz w:val="20"/>
        </w:rPr>
        <w:t>v</w:t>
      </w:r>
      <w:r>
        <w:rPr>
          <w:rFonts w:ascii="Arial" w:hAnsi="Arial"/>
          <w:i/>
          <w:spacing w:val="13"/>
          <w:sz w:val="20"/>
        </w:rPr>
        <w:t> </w:t>
      </w:r>
      <w:r>
        <w:rPr>
          <w:rFonts w:ascii="Arial" w:hAnsi="Arial"/>
          <w:i/>
          <w:sz w:val="20"/>
        </w:rPr>
        <w:t>Xiamen</w:t>
      </w:r>
      <w:r>
        <w:rPr>
          <w:rFonts w:ascii="Arial" w:hAnsi="Arial"/>
          <w:i/>
          <w:spacing w:val="13"/>
          <w:sz w:val="20"/>
        </w:rPr>
        <w:t> </w:t>
      </w:r>
      <w:r>
        <w:rPr>
          <w:rFonts w:ascii="Arial" w:hAnsi="Arial"/>
          <w:i/>
          <w:sz w:val="20"/>
        </w:rPr>
        <w:t>Shipbuilding</w:t>
      </w:r>
      <w:r>
        <w:rPr>
          <w:rFonts w:ascii="Arial" w:hAnsi="Arial"/>
          <w:i/>
          <w:spacing w:val="13"/>
          <w:sz w:val="20"/>
        </w:rPr>
        <w:t> </w:t>
      </w:r>
      <w:r>
        <w:rPr>
          <w:rFonts w:ascii="Arial" w:hAnsi="Arial"/>
          <w:i/>
          <w:sz w:val="20"/>
        </w:rPr>
        <w:t>Co</w:t>
      </w:r>
      <w:r>
        <w:rPr>
          <w:rFonts w:ascii="Arial" w:hAnsi="Arial"/>
          <w:i/>
          <w:spacing w:val="13"/>
          <w:sz w:val="20"/>
        </w:rPr>
        <w:t> </w:t>
      </w:r>
      <w:r>
        <w:rPr>
          <w:rFonts w:ascii="Arial" w:hAnsi="Arial"/>
          <w:i/>
          <w:sz w:val="20"/>
        </w:rPr>
        <w:t>Ltd</w:t>
      </w:r>
      <w:r>
        <w:rPr>
          <w:rFonts w:ascii="Arial" w:hAnsi="Arial"/>
          <w:i/>
          <w:spacing w:val="13"/>
          <w:sz w:val="20"/>
        </w:rPr>
        <w:t> </w:t>
      </w:r>
      <w:r>
        <w:rPr>
          <w:rFonts w:ascii="Arial" w:hAnsi="Arial"/>
          <w:i/>
          <w:sz w:val="20"/>
        </w:rPr>
        <w:t>[2005]</w:t>
      </w:r>
      <w:r>
        <w:rPr>
          <w:rFonts w:ascii="Arial" w:hAnsi="Arial"/>
          <w:i/>
          <w:spacing w:val="13"/>
          <w:sz w:val="20"/>
        </w:rPr>
        <w:t> </w:t>
      </w:r>
      <w:r>
        <w:rPr>
          <w:rFonts w:ascii="Arial" w:hAnsi="Arial"/>
          <w:i/>
          <w:sz w:val="20"/>
        </w:rPr>
        <w:t>EWHC</w:t>
      </w:r>
      <w:r>
        <w:rPr>
          <w:rFonts w:ascii="Arial" w:hAnsi="Arial"/>
          <w:i/>
          <w:spacing w:val="13"/>
          <w:sz w:val="20"/>
        </w:rPr>
        <w:t> </w:t>
      </w:r>
      <w:r>
        <w:rPr>
          <w:rFonts w:ascii="Arial" w:hAnsi="Arial"/>
          <w:i/>
          <w:sz w:val="20"/>
        </w:rPr>
        <w:t>2912</w:t>
      </w:r>
      <w:r>
        <w:rPr>
          <w:rFonts w:ascii="Arial" w:hAnsi="Arial"/>
          <w:i/>
          <w:spacing w:val="13"/>
          <w:sz w:val="20"/>
        </w:rPr>
        <w:t> </w:t>
      </w:r>
      <w:r>
        <w:rPr>
          <w:rFonts w:ascii="Arial" w:hAnsi="Arial"/>
          <w:i/>
          <w:sz w:val="20"/>
        </w:rPr>
        <w:t>(Comm),</w:t>
      </w:r>
      <w:r>
        <w:rPr>
          <w:rFonts w:ascii="Arial" w:hAnsi="Arial"/>
          <w:i/>
          <w:spacing w:val="13"/>
          <w:sz w:val="20"/>
        </w:rPr>
        <w:t> </w:t>
      </w:r>
      <w:r>
        <w:rPr>
          <w:rFonts w:ascii="Arial" w:hAnsi="Arial"/>
          <w:i/>
          <w:sz w:val="20"/>
        </w:rPr>
        <w:t>[2006]</w:t>
      </w:r>
      <w:r>
        <w:rPr>
          <w:rFonts w:ascii="Arial" w:hAnsi="Arial"/>
          <w:i/>
          <w:spacing w:val="13"/>
          <w:sz w:val="20"/>
        </w:rPr>
        <w:t> </w:t>
      </w:r>
      <w:r>
        <w:rPr>
          <w:rFonts w:ascii="Arial" w:hAnsi="Arial"/>
          <w:i/>
          <w:sz w:val="20"/>
        </w:rPr>
        <w:t>1</w:t>
      </w:r>
      <w:r>
        <w:rPr>
          <w:rFonts w:ascii="Arial" w:hAnsi="Arial"/>
          <w:i/>
          <w:spacing w:val="13"/>
          <w:sz w:val="20"/>
        </w:rPr>
        <w:t> </w:t>
      </w:r>
      <w:r>
        <w:rPr>
          <w:rFonts w:ascii="Arial" w:hAnsi="Arial"/>
          <w:i/>
          <w:sz w:val="20"/>
        </w:rPr>
        <w:t>Lloyd’s</w:t>
      </w:r>
      <w:r>
        <w:rPr>
          <w:rFonts w:ascii="Arial" w:hAnsi="Arial"/>
          <w:i/>
          <w:spacing w:val="13"/>
          <w:sz w:val="20"/>
        </w:rPr>
        <w:t> </w:t>
      </w:r>
      <w:r>
        <w:rPr>
          <w:rFonts w:ascii="Arial" w:hAnsi="Arial"/>
          <w:i/>
          <w:sz w:val="20"/>
        </w:rPr>
        <w:t>Rep.</w:t>
      </w:r>
      <w:r>
        <w:rPr>
          <w:rFonts w:ascii="Arial" w:hAnsi="Arial"/>
          <w:i/>
          <w:spacing w:val="13"/>
          <w:sz w:val="20"/>
        </w:rPr>
        <w:t> </w:t>
      </w:r>
      <w:r>
        <w:rPr>
          <w:rFonts w:ascii="Arial" w:hAnsi="Arial"/>
          <w:i/>
          <w:sz w:val="20"/>
        </w:rPr>
        <w:t>278</w:t>
      </w:r>
      <w:r>
        <w:rPr>
          <w:rFonts w:ascii="Arial" w:hAnsi="Arial"/>
          <w:i/>
          <w:spacing w:val="12"/>
          <w:sz w:val="20"/>
        </w:rPr>
        <w:t> </w:t>
      </w:r>
      <w:r>
        <w:rPr>
          <w:spacing w:val="-5"/>
          <w:sz w:val="20"/>
        </w:rPr>
        <w:t>at</w:t>
      </w:r>
    </w:p>
    <w:p>
      <w:pPr>
        <w:pStyle w:val="BodyText"/>
        <w:spacing w:line="227" w:lineRule="exact"/>
        <w:ind w:left="705"/>
      </w:pPr>
      <w:r>
        <w:rPr>
          <w:spacing w:val="-2"/>
        </w:rPr>
        <w:t>[52].</w:t>
      </w:r>
    </w:p>
    <w:p>
      <w:pPr>
        <w:pStyle w:val="BodyText"/>
        <w:spacing w:before="9"/>
      </w:pPr>
    </w:p>
    <w:p>
      <w:pPr>
        <w:spacing w:line="235" w:lineRule="auto" w:before="0"/>
        <w:ind w:left="705" w:right="167" w:hanging="541"/>
        <w:jc w:val="both"/>
        <w:rPr>
          <w:sz w:val="20"/>
        </w:rPr>
      </w:pPr>
      <w:bookmarkStart w:name="_bookmark1506" w:id="1508"/>
      <w:bookmarkEnd w:id="1508"/>
      <w:r>
        <w:rPr/>
      </w:r>
      <w:hyperlink w:history="true" w:anchor="_bookmark1300">
        <w:r>
          <w:rPr>
            <w:color w:val="005DA1"/>
            <w:position w:val="5"/>
            <w:sz w:val="14"/>
            <w:u w:val="single" w:color="005DA1"/>
          </w:rPr>
          <w:t>778</w:t>
        </w:r>
      </w:hyperlink>
      <w:r>
        <w:rPr>
          <w:position w:val="5"/>
          <w:sz w:val="14"/>
        </w:rPr>
        <w:t>.</w:t>
      </w:r>
      <w:r>
        <w:rPr>
          <w:spacing w:val="80"/>
          <w:w w:val="150"/>
          <w:position w:val="5"/>
          <w:sz w:val="14"/>
        </w:rPr>
        <w:t> </w:t>
      </w:r>
      <w:r>
        <w:rPr>
          <w:rFonts w:ascii="Arial" w:hAnsi="Arial"/>
          <w:i/>
          <w:sz w:val="20"/>
        </w:rPr>
        <w:t>The Scaptrade</w:t>
      </w:r>
      <w:r>
        <w:rPr>
          <w:sz w:val="20"/>
        </w:rPr>
        <w:t>, above, n.759; </w:t>
      </w:r>
      <w:r>
        <w:rPr>
          <w:rFonts w:ascii="Arial" w:hAnsi="Arial"/>
          <w:i/>
          <w:sz w:val="20"/>
        </w:rPr>
        <w:t>Star Steamship Society v Beogradska Plovidba (The Junior K.) [1988] 2 Lloyd’s Rep. 583</w:t>
      </w:r>
      <w:r>
        <w:rPr>
          <w:sz w:val="20"/>
        </w:rPr>
        <w:t>. cf., in the United States, </w:t>
      </w:r>
      <w:r>
        <w:rPr>
          <w:rFonts w:ascii="Arial" w:hAnsi="Arial"/>
          <w:i/>
          <w:sz w:val="20"/>
        </w:rPr>
        <w:t>Hoffman v Red Owl Stores Inc 133 N.W. </w:t>
      </w:r>
      <w:r>
        <w:rPr>
          <w:rFonts w:ascii="Arial" w:hAnsi="Arial"/>
          <w:i/>
          <w:sz w:val="20"/>
        </w:rPr>
        <w:t>2d 267 (1965)</w:t>
      </w:r>
      <w:r>
        <w:rPr>
          <w:sz w:val="20"/>
        </w:rPr>
        <w:t>.</w:t>
      </w:r>
    </w:p>
    <w:p>
      <w:pPr>
        <w:pStyle w:val="BodyText"/>
        <w:spacing w:before="5"/>
      </w:pPr>
    </w:p>
    <w:p>
      <w:pPr>
        <w:tabs>
          <w:tab w:pos="705" w:val="left" w:leader="none"/>
        </w:tabs>
        <w:spacing w:before="0"/>
        <w:ind w:left="165" w:right="0" w:firstLine="0"/>
        <w:jc w:val="left"/>
        <w:rPr>
          <w:sz w:val="20"/>
        </w:rPr>
      </w:pPr>
      <w:bookmarkStart w:name="_bookmark1507" w:id="1509"/>
      <w:bookmarkEnd w:id="1509"/>
      <w:r>
        <w:rPr/>
      </w:r>
      <w:hyperlink w:history="true" w:anchor="_bookmark1301">
        <w:r>
          <w:rPr>
            <w:color w:val="005DA1"/>
            <w:spacing w:val="-4"/>
            <w:position w:val="5"/>
            <w:sz w:val="14"/>
            <w:u w:val="single" w:color="005DA1"/>
          </w:rPr>
          <w:t>779</w:t>
        </w:r>
      </w:hyperlink>
      <w:r>
        <w:rPr>
          <w:spacing w:val="-4"/>
          <w:position w:val="5"/>
          <w:sz w:val="14"/>
        </w:rPr>
        <w:t>.</w:t>
      </w:r>
      <w:r>
        <w:rPr>
          <w:position w:val="5"/>
          <w:sz w:val="14"/>
        </w:rPr>
        <w:tab/>
      </w:r>
      <w:r>
        <w:rPr>
          <w:rFonts w:ascii="Arial" w:hAnsi="Arial"/>
          <w:i/>
          <w:sz w:val="20"/>
        </w:rPr>
        <w:t>Pagnan SpA v Granaria BV [1985] 1 Lloyd’s Rep. 256, 270; affirmed [1986] 2 Lloyd’s Rep. </w:t>
      </w:r>
      <w:r>
        <w:rPr>
          <w:rFonts w:ascii="Arial" w:hAnsi="Arial"/>
          <w:i/>
          <w:spacing w:val="-4"/>
          <w:sz w:val="20"/>
        </w:rPr>
        <w:t>547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08" w:id="1510"/>
      <w:bookmarkEnd w:id="1510"/>
      <w:r>
        <w:rPr/>
      </w:r>
      <w:hyperlink w:history="true" w:anchor="_bookmark1302">
        <w:r>
          <w:rPr>
            <w:color w:val="005DA1"/>
            <w:spacing w:val="-4"/>
            <w:position w:val="5"/>
            <w:sz w:val="14"/>
            <w:u w:val="single" w:color="005DA1"/>
          </w:rPr>
          <w:t>780</w:t>
        </w:r>
      </w:hyperlink>
      <w:r>
        <w:rPr>
          <w:spacing w:val="-4"/>
          <w:position w:val="5"/>
          <w:sz w:val="14"/>
        </w:rPr>
        <w:t>.</w:t>
      </w:r>
      <w:r>
        <w:rPr>
          <w:position w:val="5"/>
          <w:sz w:val="14"/>
        </w:rPr>
        <w:tab/>
      </w:r>
      <w:r>
        <w:rPr>
          <w:rFonts w:ascii="Arial"/>
          <w:i/>
          <w:sz w:val="20"/>
        </w:rPr>
        <w:t>[1992]</w:t>
      </w:r>
      <w:r>
        <w:rPr>
          <w:rFonts w:ascii="Arial"/>
          <w:i/>
          <w:spacing w:val="-1"/>
          <w:sz w:val="20"/>
        </w:rPr>
        <w:t> </w:t>
      </w:r>
      <w:r>
        <w:rPr>
          <w:rFonts w:ascii="Arial"/>
          <w:i/>
          <w:sz w:val="20"/>
        </w:rPr>
        <w:t>2 A.C. 128</w:t>
      </w:r>
      <w:r>
        <w:rPr>
          <w:sz w:val="20"/>
        </w:rPr>
        <w:t>; Neill (1992) 108 L.Q.R. </w:t>
      </w:r>
      <w:r>
        <w:rPr>
          <w:spacing w:val="-4"/>
          <w:sz w:val="20"/>
        </w:rPr>
        <w:t>405.</w:t>
      </w:r>
    </w:p>
    <w:p>
      <w:pPr>
        <w:pStyle w:val="BodyText"/>
        <w:spacing w:before="5"/>
      </w:pPr>
    </w:p>
    <w:p>
      <w:pPr>
        <w:tabs>
          <w:tab w:pos="705" w:val="left" w:leader="none"/>
        </w:tabs>
        <w:spacing w:before="0"/>
        <w:ind w:left="165" w:right="0" w:firstLine="0"/>
        <w:jc w:val="left"/>
        <w:rPr>
          <w:sz w:val="20"/>
        </w:rPr>
      </w:pPr>
      <w:bookmarkStart w:name="_bookmark1509" w:id="1511"/>
      <w:bookmarkEnd w:id="1511"/>
      <w:r>
        <w:rPr/>
      </w:r>
      <w:hyperlink w:history="true" w:anchor="_bookmark1303">
        <w:r>
          <w:rPr>
            <w:color w:val="005DA1"/>
            <w:spacing w:val="-4"/>
            <w:position w:val="5"/>
            <w:sz w:val="14"/>
            <w:u w:val="single" w:color="005DA1"/>
          </w:rPr>
          <w:t>781</w:t>
        </w:r>
      </w:hyperlink>
      <w:r>
        <w:rPr>
          <w:spacing w:val="-4"/>
          <w:position w:val="5"/>
          <w:sz w:val="14"/>
        </w:rPr>
        <w:t>.</w:t>
      </w:r>
      <w:r>
        <w:rPr>
          <w:position w:val="5"/>
          <w:sz w:val="14"/>
        </w:rPr>
        <w:tab/>
      </w:r>
      <w:r>
        <w:rPr>
          <w:sz w:val="20"/>
        </w:rPr>
        <w:t>Above, para.2-</w:t>
      </w:r>
      <w:r>
        <w:rPr>
          <w:spacing w:val="-4"/>
          <w:sz w:val="20"/>
        </w:rPr>
        <w:t>128.</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510" w:id="1512"/>
      <w:bookmarkEnd w:id="1512"/>
      <w:r>
        <w:rPr/>
      </w:r>
      <w:hyperlink w:history="true" w:anchor="_bookmark1304">
        <w:r>
          <w:rPr>
            <w:color w:val="005DA1"/>
            <w:spacing w:val="-4"/>
            <w:position w:val="5"/>
            <w:sz w:val="14"/>
            <w:u w:val="single" w:color="005DA1"/>
          </w:rPr>
          <w:t>782</w:t>
        </w:r>
      </w:hyperlink>
      <w:r>
        <w:rPr>
          <w:spacing w:val="-4"/>
          <w:position w:val="5"/>
          <w:sz w:val="14"/>
        </w:rPr>
        <w:t>.</w:t>
      </w:r>
      <w:r>
        <w:rPr>
          <w:position w:val="5"/>
          <w:sz w:val="14"/>
        </w:rPr>
        <w:tab/>
      </w:r>
      <w:r>
        <w:rPr>
          <w:rFonts w:ascii="Arial"/>
          <w:i/>
          <w:sz w:val="20"/>
        </w:rPr>
        <w:t>[1992]</w:t>
      </w:r>
      <w:r>
        <w:rPr>
          <w:rFonts w:ascii="Arial"/>
          <w:i/>
          <w:spacing w:val="43"/>
          <w:sz w:val="20"/>
        </w:rPr>
        <w:t> </w:t>
      </w:r>
      <w:r>
        <w:rPr>
          <w:rFonts w:ascii="Arial"/>
          <w:i/>
          <w:sz w:val="20"/>
        </w:rPr>
        <w:t>2</w:t>
      </w:r>
      <w:r>
        <w:rPr>
          <w:rFonts w:ascii="Arial"/>
          <w:i/>
          <w:spacing w:val="44"/>
          <w:sz w:val="20"/>
        </w:rPr>
        <w:t> </w:t>
      </w:r>
      <w:r>
        <w:rPr>
          <w:rFonts w:ascii="Arial"/>
          <w:i/>
          <w:sz w:val="20"/>
        </w:rPr>
        <w:t>A.C.</w:t>
      </w:r>
      <w:r>
        <w:rPr>
          <w:rFonts w:ascii="Arial"/>
          <w:i/>
          <w:spacing w:val="44"/>
          <w:sz w:val="20"/>
        </w:rPr>
        <w:t> </w:t>
      </w:r>
      <w:r>
        <w:rPr>
          <w:rFonts w:ascii="Arial"/>
          <w:i/>
          <w:sz w:val="20"/>
        </w:rPr>
        <w:t>128,</w:t>
      </w:r>
      <w:r>
        <w:rPr>
          <w:rFonts w:ascii="Arial"/>
          <w:i/>
          <w:spacing w:val="44"/>
          <w:sz w:val="20"/>
        </w:rPr>
        <w:t> </w:t>
      </w:r>
      <w:r>
        <w:rPr>
          <w:rFonts w:ascii="Arial"/>
          <w:i/>
          <w:sz w:val="20"/>
        </w:rPr>
        <w:t>138</w:t>
      </w:r>
      <w:r>
        <w:rPr>
          <w:sz w:val="20"/>
        </w:rPr>
        <w:t>;</w:t>
      </w:r>
      <w:r>
        <w:rPr>
          <w:spacing w:val="44"/>
          <w:sz w:val="20"/>
        </w:rPr>
        <w:t> </w:t>
      </w:r>
      <w:r>
        <w:rPr>
          <w:sz w:val="20"/>
        </w:rPr>
        <w:t>cf.</w:t>
      </w:r>
      <w:r>
        <w:rPr>
          <w:spacing w:val="44"/>
          <w:sz w:val="20"/>
        </w:rPr>
        <w:t> </w:t>
      </w:r>
      <w:r>
        <w:rPr>
          <w:rFonts w:ascii="Arial"/>
          <w:i/>
          <w:sz w:val="20"/>
        </w:rPr>
        <w:t>Surrey</w:t>
      </w:r>
      <w:r>
        <w:rPr>
          <w:rFonts w:ascii="Arial"/>
          <w:i/>
          <w:spacing w:val="44"/>
          <w:sz w:val="20"/>
        </w:rPr>
        <w:t> </w:t>
      </w:r>
      <w:r>
        <w:rPr>
          <w:rFonts w:ascii="Arial"/>
          <w:i/>
          <w:sz w:val="20"/>
        </w:rPr>
        <w:t>CC</w:t>
      </w:r>
      <w:r>
        <w:rPr>
          <w:rFonts w:ascii="Arial"/>
          <w:i/>
          <w:spacing w:val="44"/>
          <w:sz w:val="20"/>
        </w:rPr>
        <w:t> </w:t>
      </w:r>
      <w:r>
        <w:rPr>
          <w:rFonts w:ascii="Arial"/>
          <w:i/>
          <w:sz w:val="20"/>
        </w:rPr>
        <w:t>v</w:t>
      </w:r>
      <w:r>
        <w:rPr>
          <w:rFonts w:ascii="Arial"/>
          <w:i/>
          <w:spacing w:val="44"/>
          <w:sz w:val="20"/>
        </w:rPr>
        <w:t> </w:t>
      </w:r>
      <w:r>
        <w:rPr>
          <w:rFonts w:ascii="Arial"/>
          <w:i/>
          <w:sz w:val="20"/>
        </w:rPr>
        <w:t>Bredero</w:t>
      </w:r>
      <w:r>
        <w:rPr>
          <w:rFonts w:ascii="Arial"/>
          <w:i/>
          <w:spacing w:val="44"/>
          <w:sz w:val="20"/>
        </w:rPr>
        <w:t> </w:t>
      </w:r>
      <w:r>
        <w:rPr>
          <w:rFonts w:ascii="Arial"/>
          <w:i/>
          <w:sz w:val="20"/>
        </w:rPr>
        <w:t>Homes</w:t>
      </w:r>
      <w:r>
        <w:rPr>
          <w:rFonts w:ascii="Arial"/>
          <w:i/>
          <w:spacing w:val="44"/>
          <w:sz w:val="20"/>
        </w:rPr>
        <w:t> </w:t>
      </w:r>
      <w:r>
        <w:rPr>
          <w:rFonts w:ascii="Arial"/>
          <w:i/>
          <w:sz w:val="20"/>
        </w:rPr>
        <w:t>Ltd</w:t>
      </w:r>
      <w:r>
        <w:rPr>
          <w:rFonts w:ascii="Arial"/>
          <w:i/>
          <w:spacing w:val="44"/>
          <w:sz w:val="20"/>
        </w:rPr>
        <w:t> </w:t>
      </w:r>
      <w:r>
        <w:rPr>
          <w:rFonts w:ascii="Arial"/>
          <w:i/>
          <w:sz w:val="20"/>
        </w:rPr>
        <w:t>[1993]</w:t>
      </w:r>
      <w:r>
        <w:rPr>
          <w:rFonts w:ascii="Arial"/>
          <w:i/>
          <w:spacing w:val="44"/>
          <w:sz w:val="20"/>
        </w:rPr>
        <w:t> </w:t>
      </w:r>
      <w:r>
        <w:rPr>
          <w:rFonts w:ascii="Arial"/>
          <w:i/>
          <w:sz w:val="20"/>
        </w:rPr>
        <w:t>1</w:t>
      </w:r>
      <w:r>
        <w:rPr>
          <w:rFonts w:ascii="Arial"/>
          <w:i/>
          <w:spacing w:val="44"/>
          <w:sz w:val="20"/>
        </w:rPr>
        <w:t> </w:t>
      </w:r>
      <w:r>
        <w:rPr>
          <w:rFonts w:ascii="Arial"/>
          <w:i/>
          <w:sz w:val="20"/>
        </w:rPr>
        <w:t>W.L.R.</w:t>
      </w:r>
      <w:r>
        <w:rPr>
          <w:rFonts w:ascii="Arial"/>
          <w:i/>
          <w:spacing w:val="44"/>
          <w:sz w:val="20"/>
        </w:rPr>
        <w:t> </w:t>
      </w:r>
      <w:r>
        <w:rPr>
          <w:rFonts w:ascii="Arial"/>
          <w:i/>
          <w:sz w:val="20"/>
        </w:rPr>
        <w:t>1361,</w:t>
      </w:r>
      <w:r>
        <w:rPr>
          <w:rFonts w:ascii="Arial"/>
          <w:i/>
          <w:spacing w:val="44"/>
          <w:sz w:val="20"/>
        </w:rPr>
        <w:t> </w:t>
      </w:r>
      <w:r>
        <w:rPr>
          <w:rFonts w:ascii="Arial"/>
          <w:i/>
          <w:spacing w:val="-4"/>
          <w:sz w:val="20"/>
        </w:rPr>
        <w:t>1368</w:t>
      </w:r>
    </w:p>
    <w:p>
      <w:pPr>
        <w:spacing w:line="235" w:lineRule="auto" w:before="2"/>
        <w:ind w:left="705" w:right="167" w:firstLine="0"/>
        <w:jc w:val="both"/>
        <w:rPr>
          <w:sz w:val="20"/>
        </w:rPr>
      </w:pPr>
      <w:r>
        <w:rPr>
          <w:sz w:val="20"/>
        </w:rPr>
        <w:t>(doubted on other grounds in </w:t>
      </w:r>
      <w:r>
        <w:rPr>
          <w:rFonts w:ascii="Arial" w:hAnsi="Arial"/>
          <w:i/>
          <w:sz w:val="20"/>
        </w:rPr>
        <w:t>Att-Gen v Blake [2001] 1 A.C. 268 </w:t>
      </w:r>
      <w:r>
        <w:rPr>
          <w:sz w:val="20"/>
        </w:rPr>
        <w:t>at 283); </w:t>
      </w:r>
      <w:r>
        <w:rPr>
          <w:rFonts w:ascii="Arial" w:hAnsi="Arial"/>
          <w:i/>
          <w:sz w:val="20"/>
        </w:rPr>
        <w:t>Halifax </w:t>
      </w:r>
      <w:r>
        <w:rPr>
          <w:rFonts w:ascii="Arial" w:hAnsi="Arial"/>
          <w:i/>
          <w:sz w:val="20"/>
        </w:rPr>
        <w:t>Financial Services Ltd v Intuitive Systems Ltd [1999] 1 All E.R. (Comm) 303 </w:t>
      </w:r>
      <w:r>
        <w:rPr>
          <w:sz w:val="20"/>
        </w:rPr>
        <w:t>at 311; </w:t>
      </w:r>
      <w:r>
        <w:rPr>
          <w:rFonts w:ascii="Arial" w:hAnsi="Arial"/>
          <w:i/>
          <w:sz w:val="20"/>
        </w:rPr>
        <w:t>Baird Textile</w:t>
      </w:r>
      <w:r>
        <w:rPr>
          <w:rFonts w:ascii="Arial" w:hAnsi="Arial"/>
          <w:i/>
          <w:spacing w:val="40"/>
          <w:sz w:val="20"/>
        </w:rPr>
        <w:t> </w:t>
      </w:r>
      <w:r>
        <w:rPr>
          <w:rFonts w:ascii="Arial" w:hAnsi="Arial"/>
          <w:i/>
          <w:sz w:val="20"/>
        </w:rPr>
        <w:t>Holdings Ltd v Marks &amp; Spencer Plc [2001] EWCA Civ 274, [2002] 1 All E.R. (Comm) 737 </w:t>
      </w:r>
      <w:r>
        <w:rPr>
          <w:sz w:val="20"/>
        </w:rPr>
        <w:t>(below, para.2-150) where an alleged duty to deal with the claimants in good faith was held to be insufficiently certain to form a basis for an implied contract. See also </w:t>
      </w:r>
      <w:r>
        <w:rPr>
          <w:rFonts w:ascii="Arial" w:hAnsi="Arial"/>
          <w:i/>
          <w:sz w:val="20"/>
        </w:rPr>
        <w:t>Shaker v VistaJet Group Holding SA [2012] EWHC 1329 (Comm), [2012] 2 Lloyd’s Rep. 93</w:t>
      </w:r>
      <w:r>
        <w:rPr>
          <w:sz w:val="20"/>
        </w:rPr>
        <w:t>, where the unenforceability of an agreement “to use reasonable endeavours to agree or to negotiate in good faith” was based, inter alia, on the fact that a “duty to negotiate in good faith” is “inherently inconsistent with the position of a negotiating party” (at [7]).</w:t>
      </w:r>
    </w:p>
    <w:p>
      <w:pPr>
        <w:pStyle w:val="BodyText"/>
        <w:spacing w:before="6"/>
      </w:pPr>
    </w:p>
    <w:p>
      <w:pPr>
        <w:spacing w:line="235" w:lineRule="auto" w:before="0"/>
        <w:ind w:left="705" w:right="167" w:hanging="541"/>
        <w:jc w:val="both"/>
        <w:rPr>
          <w:sz w:val="20"/>
        </w:rPr>
      </w:pPr>
      <w:bookmarkStart w:name="_bookmark1511" w:id="1513"/>
      <w:bookmarkEnd w:id="1513"/>
      <w:r>
        <w:rPr/>
      </w:r>
      <w:hyperlink w:history="true" w:anchor="_bookmark1304">
        <w:r>
          <w:rPr>
            <w:color w:val="005DA1"/>
            <w:position w:val="5"/>
            <w:sz w:val="14"/>
            <w:u w:val="single" w:color="005DA1"/>
          </w:rPr>
          <w:t>783</w:t>
        </w:r>
      </w:hyperlink>
      <w:r>
        <w:rPr>
          <w:position w:val="5"/>
          <w:sz w:val="14"/>
        </w:rPr>
        <w:t>.</w:t>
      </w:r>
      <w:r>
        <w:rPr>
          <w:spacing w:val="80"/>
          <w:position w:val="5"/>
          <w:sz w:val="14"/>
        </w:rPr>
        <w:t>  </w:t>
      </w:r>
      <w:r>
        <w:rPr>
          <w:sz w:val="20"/>
        </w:rPr>
        <w:t>For an exception, see </w:t>
      </w:r>
      <w:r>
        <w:rPr>
          <w:rFonts w:ascii="Arial" w:hAnsi="Arial"/>
          <w:i/>
          <w:sz w:val="20"/>
        </w:rPr>
        <w:t>Re Debtors (Nos 4449 and 4450 of 1998) [1999] 1 All E.R. (Comm) 149</w:t>
      </w:r>
      <w:r>
        <w:rPr>
          <w:rFonts w:ascii="Arial" w:hAnsi="Arial"/>
          <w:i/>
          <w:spacing w:val="40"/>
          <w:sz w:val="20"/>
        </w:rPr>
        <w:t> </w:t>
      </w:r>
      <w:r>
        <w:rPr>
          <w:sz w:val="20"/>
        </w:rPr>
        <w:t>at 158 (Lloyd’s bound to negotiate in good faith with its “names” on the terms of a </w:t>
      </w:r>
      <w:r>
        <w:rPr>
          <w:sz w:val="20"/>
        </w:rPr>
        <w:t>“hardship agreement” since for this purpose it was “performing functions in the public interest within a statutory framework”, so that its freedom of action was restricted).</w:t>
      </w:r>
    </w:p>
    <w:p>
      <w:pPr>
        <w:pStyle w:val="BodyText"/>
        <w:spacing w:before="5"/>
      </w:pPr>
    </w:p>
    <w:p>
      <w:pPr>
        <w:tabs>
          <w:tab w:pos="705" w:val="left" w:leader="none"/>
        </w:tabs>
        <w:spacing w:before="0"/>
        <w:ind w:left="165" w:right="0" w:firstLine="0"/>
        <w:jc w:val="left"/>
        <w:rPr>
          <w:sz w:val="20"/>
        </w:rPr>
      </w:pPr>
      <w:bookmarkStart w:name="_bookmark1512" w:id="1514"/>
      <w:bookmarkEnd w:id="1514"/>
      <w:r>
        <w:rPr/>
      </w:r>
      <w:hyperlink w:history="true" w:anchor="_bookmark1305">
        <w:r>
          <w:rPr>
            <w:color w:val="005DA1"/>
            <w:spacing w:val="-4"/>
            <w:position w:val="5"/>
            <w:sz w:val="14"/>
            <w:u w:val="single" w:color="005DA1"/>
          </w:rPr>
          <w:t>784</w:t>
        </w:r>
      </w:hyperlink>
      <w:r>
        <w:rPr>
          <w:spacing w:val="-4"/>
          <w:position w:val="5"/>
          <w:sz w:val="14"/>
        </w:rPr>
        <w:t>.</w:t>
      </w:r>
      <w:r>
        <w:rPr>
          <w:position w:val="5"/>
          <w:sz w:val="14"/>
        </w:rPr>
        <w:tab/>
      </w:r>
      <w:r>
        <w:rPr>
          <w:sz w:val="20"/>
        </w:rPr>
        <w:t>See</w:t>
      </w:r>
      <w:r>
        <w:rPr>
          <w:spacing w:val="-1"/>
          <w:sz w:val="20"/>
        </w:rPr>
        <w:t> </w:t>
      </w:r>
      <w:r>
        <w:rPr>
          <w:rFonts w:ascii="Arial"/>
          <w:i/>
          <w:sz w:val="20"/>
        </w:rPr>
        <w:t>[1992] 2 A.C. 128, </w:t>
      </w:r>
      <w:r>
        <w:rPr>
          <w:rFonts w:ascii="Arial"/>
          <w:i/>
          <w:spacing w:val="-4"/>
          <w:sz w:val="20"/>
        </w:rPr>
        <w:t>136</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13" w:id="1515"/>
      <w:bookmarkEnd w:id="1515"/>
      <w:r>
        <w:rPr/>
      </w:r>
      <w:hyperlink w:history="true" w:anchor="_bookmark1306">
        <w:r>
          <w:rPr>
            <w:color w:val="005DA1"/>
            <w:spacing w:val="-4"/>
            <w:position w:val="5"/>
            <w:sz w:val="14"/>
            <w:u w:val="single" w:color="005DA1"/>
          </w:rPr>
          <w:t>785</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2 A.C. 128</w:t>
      </w:r>
      <w:r>
        <w:rPr>
          <w:rFonts w:ascii="Arial"/>
          <w:i/>
          <w:spacing w:val="-1"/>
          <w:sz w:val="20"/>
        </w:rPr>
        <w:t> </w:t>
      </w:r>
      <w:r>
        <w:rPr>
          <w:sz w:val="20"/>
        </w:rPr>
        <w:t>at </w:t>
      </w:r>
      <w:r>
        <w:rPr>
          <w:spacing w:val="-4"/>
          <w:sz w:val="20"/>
        </w:rPr>
        <w:t>135.</w:t>
      </w:r>
    </w:p>
    <w:p>
      <w:pPr>
        <w:pStyle w:val="BodyText"/>
        <w:spacing w:before="5"/>
      </w:pPr>
    </w:p>
    <w:p>
      <w:pPr>
        <w:tabs>
          <w:tab w:pos="705" w:val="left" w:leader="none"/>
        </w:tabs>
        <w:spacing w:before="0"/>
        <w:ind w:left="165" w:right="0" w:firstLine="0"/>
        <w:jc w:val="left"/>
        <w:rPr>
          <w:sz w:val="20"/>
        </w:rPr>
      </w:pPr>
      <w:bookmarkStart w:name="_bookmark1514" w:id="1516"/>
      <w:bookmarkEnd w:id="1516"/>
      <w:r>
        <w:rPr/>
      </w:r>
      <w:hyperlink w:history="true" w:anchor="_bookmark1307">
        <w:r>
          <w:rPr>
            <w:color w:val="005DA1"/>
            <w:spacing w:val="-4"/>
            <w:position w:val="5"/>
            <w:sz w:val="14"/>
            <w:u w:val="single" w:color="005DA1"/>
          </w:rPr>
          <w:t>786</w:t>
        </w:r>
      </w:hyperlink>
      <w:r>
        <w:rPr>
          <w:spacing w:val="-4"/>
          <w:position w:val="5"/>
          <w:sz w:val="14"/>
        </w:rPr>
        <w:t>.</w:t>
      </w:r>
      <w:r>
        <w:rPr>
          <w:position w:val="5"/>
          <w:sz w:val="14"/>
        </w:rPr>
        <w:tab/>
      </w:r>
      <w:r>
        <w:rPr>
          <w:rFonts w:ascii="Arial"/>
          <w:i/>
          <w:sz w:val="20"/>
        </w:rPr>
        <w:t>[2006] EWCA Civ 1139, [2006] 1 W.L.R. </w:t>
      </w:r>
      <w:r>
        <w:rPr>
          <w:rFonts w:ascii="Arial"/>
          <w:i/>
          <w:spacing w:val="-2"/>
          <w:sz w:val="20"/>
        </w:rPr>
        <w:t>2964</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515" w:id="1517"/>
      <w:bookmarkEnd w:id="1517"/>
      <w:r>
        <w:rPr/>
      </w:r>
      <w:hyperlink w:history="true" w:anchor="_bookmark1308">
        <w:r>
          <w:rPr>
            <w:color w:val="005DA1"/>
            <w:spacing w:val="-4"/>
            <w:position w:val="5"/>
            <w:sz w:val="14"/>
            <w:u w:val="single" w:color="005DA1"/>
          </w:rPr>
          <w:t>787</w:t>
        </w:r>
      </w:hyperlink>
      <w:r>
        <w:rPr>
          <w:spacing w:val="-4"/>
          <w:position w:val="5"/>
          <w:sz w:val="14"/>
        </w:rPr>
        <w:t>.</w:t>
      </w:r>
      <w:r>
        <w:rPr>
          <w:position w:val="5"/>
          <w:sz w:val="14"/>
        </w:rPr>
        <w:tab/>
      </w:r>
      <w:r>
        <w:rPr>
          <w:rFonts w:ascii="Arial"/>
          <w:i/>
          <w:sz w:val="20"/>
        </w:rPr>
        <w:t>[2006]</w:t>
      </w:r>
      <w:r>
        <w:rPr>
          <w:rFonts w:ascii="Arial"/>
          <w:i/>
          <w:spacing w:val="-2"/>
          <w:sz w:val="20"/>
        </w:rPr>
        <w:t> </w:t>
      </w:r>
      <w:r>
        <w:rPr>
          <w:rFonts w:ascii="Arial"/>
          <w:i/>
          <w:sz w:val="20"/>
        </w:rPr>
        <w:t>EWCA Civ 1139</w:t>
      </w:r>
      <w:r>
        <w:rPr>
          <w:rFonts w:ascii="Arial"/>
          <w:i/>
          <w:spacing w:val="-1"/>
          <w:sz w:val="20"/>
        </w:rPr>
        <w:t> </w:t>
      </w:r>
      <w:r>
        <w:rPr>
          <w:sz w:val="20"/>
        </w:rPr>
        <w:t>at </w:t>
      </w:r>
      <w:r>
        <w:rPr>
          <w:spacing w:val="-4"/>
          <w:sz w:val="20"/>
        </w:rPr>
        <w:t>[4].</w:t>
      </w:r>
    </w:p>
    <w:p>
      <w:pPr>
        <w:pStyle w:val="BodyText"/>
        <w:spacing w:before="5"/>
      </w:pPr>
    </w:p>
    <w:p>
      <w:pPr>
        <w:tabs>
          <w:tab w:pos="705" w:val="left" w:leader="none"/>
        </w:tabs>
        <w:spacing w:before="0"/>
        <w:ind w:left="165" w:right="0" w:firstLine="0"/>
        <w:jc w:val="left"/>
        <w:rPr>
          <w:sz w:val="20"/>
        </w:rPr>
      </w:pPr>
      <w:bookmarkStart w:name="_bookmark1516" w:id="1518"/>
      <w:bookmarkEnd w:id="1518"/>
      <w:r>
        <w:rPr/>
      </w:r>
      <w:hyperlink w:history="true" w:anchor="_bookmark1309">
        <w:r>
          <w:rPr>
            <w:color w:val="005DA1"/>
            <w:spacing w:val="-4"/>
            <w:position w:val="5"/>
            <w:sz w:val="14"/>
            <w:u w:val="single" w:color="005DA1"/>
          </w:rPr>
          <w:t>788</w:t>
        </w:r>
      </w:hyperlink>
      <w:r>
        <w:rPr>
          <w:spacing w:val="-4"/>
          <w:position w:val="5"/>
          <w:sz w:val="14"/>
        </w:rPr>
        <w:t>.</w:t>
      </w:r>
      <w:r>
        <w:rPr>
          <w:position w:val="5"/>
          <w:sz w:val="14"/>
        </w:rPr>
        <w:tab/>
      </w:r>
      <w:r>
        <w:rPr>
          <w:rFonts w:ascii="Arial" w:hAnsi="Arial"/>
          <w:i/>
          <w:sz w:val="20"/>
        </w:rPr>
        <w:t>[2008]</w:t>
      </w:r>
      <w:r>
        <w:rPr>
          <w:rFonts w:ascii="Arial" w:hAnsi="Arial"/>
          <w:i/>
          <w:spacing w:val="-1"/>
          <w:sz w:val="20"/>
        </w:rPr>
        <w:t> </w:t>
      </w:r>
      <w:r>
        <w:rPr>
          <w:rFonts w:ascii="Arial" w:hAnsi="Arial"/>
          <w:i/>
          <w:sz w:val="20"/>
        </w:rPr>
        <w:t>UKHL 55, [2008] 1 W.L.R. 1752</w:t>
      </w:r>
      <w:r>
        <w:rPr>
          <w:sz w:val="20"/>
        </w:rPr>
        <w:t>, below paras 4-161—4-</w:t>
      </w:r>
      <w:r>
        <w:rPr>
          <w:spacing w:val="-4"/>
          <w:sz w:val="20"/>
        </w:rPr>
        <w:t>164.</w:t>
      </w:r>
    </w:p>
    <w:p>
      <w:pPr>
        <w:pStyle w:val="BodyText"/>
        <w:spacing w:before="5"/>
      </w:pPr>
    </w:p>
    <w:p>
      <w:pPr>
        <w:tabs>
          <w:tab w:pos="705" w:val="left" w:leader="none"/>
        </w:tabs>
        <w:spacing w:before="0"/>
        <w:ind w:left="165" w:right="0" w:firstLine="0"/>
        <w:jc w:val="left"/>
        <w:rPr>
          <w:sz w:val="20"/>
        </w:rPr>
      </w:pPr>
      <w:bookmarkStart w:name="_bookmark1517" w:id="1519"/>
      <w:bookmarkEnd w:id="1519"/>
      <w:r>
        <w:rPr/>
      </w:r>
      <w:hyperlink w:history="true" w:anchor="_bookmark1310">
        <w:r>
          <w:rPr>
            <w:color w:val="005DA1"/>
            <w:spacing w:val="-4"/>
            <w:position w:val="5"/>
            <w:sz w:val="14"/>
            <w:u w:val="single" w:color="005DA1"/>
          </w:rPr>
          <w:t>789</w:t>
        </w:r>
      </w:hyperlink>
      <w:r>
        <w:rPr>
          <w:spacing w:val="-4"/>
          <w:position w:val="5"/>
          <w:sz w:val="14"/>
        </w:rPr>
        <w:t>.</w:t>
      </w:r>
      <w:r>
        <w:rPr>
          <w:position w:val="5"/>
          <w:sz w:val="14"/>
        </w:rPr>
        <w:tab/>
      </w:r>
      <w:r>
        <w:rPr>
          <w:rFonts w:ascii="Arial"/>
          <w:i/>
          <w:sz w:val="20"/>
        </w:rPr>
        <w:t>[2008] UKHL 55, [2008] 1 W.L.R. 1752</w:t>
      </w:r>
      <w:r>
        <w:rPr>
          <w:rFonts w:ascii="Arial"/>
          <w:i/>
          <w:spacing w:val="-1"/>
          <w:sz w:val="20"/>
        </w:rPr>
        <w:t> </w:t>
      </w:r>
      <w:r>
        <w:rPr>
          <w:sz w:val="20"/>
        </w:rPr>
        <w:t>at </w:t>
      </w:r>
      <w:r>
        <w:rPr>
          <w:spacing w:val="-2"/>
          <w:sz w:val="20"/>
        </w:rPr>
        <w:t>[93].</w:t>
      </w:r>
    </w:p>
    <w:p>
      <w:pPr>
        <w:pStyle w:val="BodyText"/>
        <w:spacing w:before="9"/>
      </w:pPr>
    </w:p>
    <w:p>
      <w:pPr>
        <w:pStyle w:val="BodyText"/>
        <w:spacing w:line="235" w:lineRule="auto"/>
        <w:ind w:left="705" w:right="168" w:hanging="541"/>
        <w:jc w:val="both"/>
      </w:pPr>
      <w:bookmarkStart w:name="_bookmark1518" w:id="1520"/>
      <w:bookmarkEnd w:id="1520"/>
      <w:r>
        <w:rPr/>
      </w:r>
      <w:hyperlink w:history="true" w:anchor="_bookmark1311">
        <w:r>
          <w:rPr>
            <w:color w:val="005DA1"/>
            <w:position w:val="5"/>
            <w:sz w:val="14"/>
            <w:u w:val="single" w:color="005DA1"/>
          </w:rPr>
          <w:t>790</w:t>
        </w:r>
      </w:hyperlink>
      <w:r>
        <w:rPr>
          <w:position w:val="5"/>
          <w:sz w:val="14"/>
        </w:rPr>
        <w:t>.</w:t>
      </w:r>
      <w:r>
        <w:rPr>
          <w:spacing w:val="80"/>
          <w:w w:val="150"/>
          <w:position w:val="5"/>
          <w:sz w:val="14"/>
        </w:rPr>
        <w:t> </w:t>
      </w:r>
      <w:r>
        <w:rPr/>
        <w:t>See above, at n.766. The misrepresentation was to the effect, not that the defendants </w:t>
      </w:r>
      <w:r>
        <w:rPr>
          <w:rFonts w:ascii="Arial"/>
          <w:i/>
        </w:rPr>
        <w:t>would </w:t>
      </w:r>
      <w:r>
        <w:rPr/>
        <w:t>negotiate with the claimants, but that they </w:t>
      </w:r>
      <w:r>
        <w:rPr>
          <w:rFonts w:ascii="Arial"/>
          <w:i/>
        </w:rPr>
        <w:t>would not </w:t>
      </w:r>
      <w:r>
        <w:rPr/>
        <w:t>go on negotiating with third parties </w:t>
      </w:r>
      <w:r>
        <w:rPr/>
        <w:t>(to whom they proceeded to sell the property).</w:t>
      </w:r>
    </w:p>
    <w:p>
      <w:pPr>
        <w:pStyle w:val="BodyText"/>
        <w:spacing w:before="5"/>
      </w:pPr>
    </w:p>
    <w:p>
      <w:pPr>
        <w:tabs>
          <w:tab w:pos="705" w:val="left" w:leader="none"/>
        </w:tabs>
        <w:spacing w:before="0"/>
        <w:ind w:left="165" w:right="0" w:firstLine="0"/>
        <w:jc w:val="left"/>
        <w:rPr>
          <w:sz w:val="20"/>
        </w:rPr>
      </w:pPr>
      <w:bookmarkStart w:name="_bookmark1519" w:id="1521"/>
      <w:bookmarkEnd w:id="1521"/>
      <w:r>
        <w:rPr/>
      </w:r>
      <w:hyperlink w:history="true" w:anchor="_bookmark1312">
        <w:r>
          <w:rPr>
            <w:color w:val="005DA1"/>
            <w:spacing w:val="-4"/>
            <w:position w:val="5"/>
            <w:sz w:val="14"/>
            <w:u w:val="single" w:color="005DA1"/>
          </w:rPr>
          <w:t>791</w:t>
        </w:r>
      </w:hyperlink>
      <w:r>
        <w:rPr>
          <w:spacing w:val="-4"/>
          <w:position w:val="5"/>
          <w:sz w:val="14"/>
        </w:rPr>
        <w:t>.</w:t>
      </w:r>
      <w:r>
        <w:rPr>
          <w:position w:val="5"/>
          <w:sz w:val="14"/>
        </w:rPr>
        <w:tab/>
      </w:r>
      <w:r>
        <w:rPr>
          <w:rFonts w:ascii="Arial"/>
          <w:i/>
          <w:sz w:val="20"/>
        </w:rPr>
        <w:t>Channel</w:t>
      </w:r>
      <w:r>
        <w:rPr>
          <w:rFonts w:ascii="Arial"/>
          <w:i/>
          <w:spacing w:val="-2"/>
          <w:sz w:val="20"/>
        </w:rPr>
        <w:t> </w:t>
      </w:r>
      <w:r>
        <w:rPr>
          <w:rFonts w:ascii="Arial"/>
          <w:i/>
          <w:sz w:val="20"/>
        </w:rPr>
        <w:t>Home Centers Division of Grace Retail Corp v Grossman 795 F. 2d 291 </w:t>
      </w:r>
      <w:r>
        <w:rPr>
          <w:rFonts w:ascii="Arial"/>
          <w:i/>
          <w:spacing w:val="-2"/>
          <w:sz w:val="20"/>
        </w:rPr>
        <w:t>(1986)</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520" w:id="1522"/>
      <w:bookmarkEnd w:id="1522"/>
      <w:r>
        <w:rPr/>
      </w:r>
      <w:hyperlink w:history="true" w:anchor="_bookmark1313">
        <w:r>
          <w:rPr>
            <w:color w:val="005DA1"/>
            <w:spacing w:val="-4"/>
            <w:position w:val="5"/>
            <w:sz w:val="14"/>
            <w:u w:val="single" w:color="005DA1"/>
          </w:rPr>
          <w:t>792</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2 A.C. 128, </w:t>
      </w:r>
      <w:r>
        <w:rPr>
          <w:rFonts w:ascii="Arial"/>
          <w:i/>
          <w:spacing w:val="-4"/>
          <w:sz w:val="20"/>
        </w:rPr>
        <w:t>138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21" w:id="1523"/>
      <w:bookmarkEnd w:id="1523"/>
      <w:r>
        <w:rPr/>
      </w:r>
      <w:hyperlink w:history="true" w:anchor="_bookmark1314">
        <w:r>
          <w:rPr>
            <w:color w:val="005DA1"/>
            <w:spacing w:val="-4"/>
            <w:position w:val="5"/>
            <w:sz w:val="14"/>
            <w:u w:val="single" w:color="005DA1"/>
          </w:rPr>
          <w:t>793</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2 A.C. 128, </w:t>
      </w:r>
      <w:r>
        <w:rPr>
          <w:rFonts w:ascii="Arial"/>
          <w:i/>
          <w:spacing w:val="-4"/>
          <w:sz w:val="20"/>
        </w:rPr>
        <w:t>138</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522" w:id="1524"/>
      <w:bookmarkEnd w:id="1524"/>
      <w:r>
        <w:rPr/>
      </w:r>
      <w:hyperlink w:history="true" w:anchor="_bookmark1315">
        <w:r>
          <w:rPr>
            <w:color w:val="005DA1"/>
            <w:position w:val="5"/>
            <w:sz w:val="14"/>
            <w:u w:val="single" w:color="005DA1"/>
          </w:rPr>
          <w:t>794</w:t>
        </w:r>
      </w:hyperlink>
      <w:r>
        <w:rPr>
          <w:position w:val="5"/>
          <w:sz w:val="14"/>
        </w:rPr>
        <w:t>.</w:t>
      </w:r>
      <w:r>
        <w:rPr>
          <w:spacing w:val="40"/>
          <w:position w:val="5"/>
          <w:sz w:val="14"/>
        </w:rPr>
        <w:t>  </w:t>
      </w:r>
      <w:r>
        <w:rPr>
          <w:rFonts w:ascii="Arial" w:hAnsi="Arial"/>
          <w:i/>
          <w:sz w:val="20"/>
        </w:rPr>
        <w:t>Scandinavian Trading Co AB v Flota Petrolera Ecuatoriana (The Scaptrade) [1981] 2 </w:t>
      </w:r>
      <w:r>
        <w:rPr>
          <w:rFonts w:ascii="Arial" w:hAnsi="Arial"/>
          <w:i/>
          <w:sz w:val="20"/>
        </w:rPr>
        <w:t>Lloyd’s Rep.</w:t>
      </w:r>
      <w:r>
        <w:rPr>
          <w:rFonts w:ascii="Arial" w:hAnsi="Arial"/>
          <w:i/>
          <w:spacing w:val="-1"/>
          <w:sz w:val="20"/>
        </w:rPr>
        <w:t> </w:t>
      </w:r>
      <w:r>
        <w:rPr>
          <w:rFonts w:ascii="Arial" w:hAnsi="Arial"/>
          <w:i/>
          <w:sz w:val="20"/>
        </w:rPr>
        <w:t>425,</w:t>
      </w:r>
      <w:r>
        <w:rPr>
          <w:rFonts w:ascii="Arial" w:hAnsi="Arial"/>
          <w:i/>
          <w:spacing w:val="-1"/>
          <w:sz w:val="20"/>
        </w:rPr>
        <w:t> </w:t>
      </w:r>
      <w:r>
        <w:rPr>
          <w:rFonts w:ascii="Arial" w:hAnsi="Arial"/>
          <w:i/>
          <w:sz w:val="20"/>
        </w:rPr>
        <w:t>432</w:t>
      </w:r>
      <w:r>
        <w:rPr>
          <w:rFonts w:ascii="Arial" w:hAnsi="Arial"/>
          <w:i/>
          <w:spacing w:val="-1"/>
          <w:sz w:val="20"/>
        </w:rPr>
        <w:t> </w:t>
      </w:r>
      <w:r>
        <w:rPr>
          <w:sz w:val="20"/>
        </w:rPr>
        <w:t>(and</w:t>
      </w:r>
      <w:r>
        <w:rPr>
          <w:spacing w:val="-1"/>
          <w:sz w:val="20"/>
        </w:rPr>
        <w:t> </w:t>
      </w:r>
      <w:r>
        <w:rPr>
          <w:sz w:val="20"/>
        </w:rPr>
        <w:t>see</w:t>
      </w:r>
      <w:r>
        <w:rPr>
          <w:spacing w:val="-1"/>
          <w:sz w:val="20"/>
        </w:rPr>
        <w:t> </w:t>
      </w:r>
      <w:r>
        <w:rPr>
          <w:sz w:val="20"/>
        </w:rPr>
        <w:t>above</w:t>
      </w:r>
      <w:r>
        <w:rPr>
          <w:spacing w:val="-1"/>
          <w:sz w:val="20"/>
        </w:rPr>
        <w:t> </w:t>
      </w:r>
      <w:r>
        <w:rPr>
          <w:sz w:val="20"/>
        </w:rPr>
        <w:t>n.760);</w:t>
      </w:r>
      <w:r>
        <w:rPr>
          <w:spacing w:val="-1"/>
          <w:sz w:val="20"/>
        </w:rPr>
        <w:t> </w:t>
      </w:r>
      <w:r>
        <w:rPr>
          <w:sz w:val="20"/>
        </w:rPr>
        <w:t>cf.</w:t>
      </w:r>
      <w:r>
        <w:rPr>
          <w:spacing w:val="-1"/>
          <w:sz w:val="20"/>
        </w:rPr>
        <w:t> </w:t>
      </w:r>
      <w:r>
        <w:rPr>
          <w:rFonts w:ascii="Arial" w:hAnsi="Arial"/>
          <w:i/>
          <w:sz w:val="20"/>
        </w:rPr>
        <w:t>Star</w:t>
      </w:r>
      <w:r>
        <w:rPr>
          <w:rFonts w:ascii="Arial" w:hAnsi="Arial"/>
          <w:i/>
          <w:spacing w:val="-1"/>
          <w:sz w:val="20"/>
        </w:rPr>
        <w:t> </w:t>
      </w:r>
      <w:r>
        <w:rPr>
          <w:rFonts w:ascii="Arial" w:hAnsi="Arial"/>
          <w:i/>
          <w:sz w:val="20"/>
        </w:rPr>
        <w:t>Steamships</w:t>
      </w:r>
      <w:r>
        <w:rPr>
          <w:rFonts w:ascii="Arial" w:hAnsi="Arial"/>
          <w:i/>
          <w:spacing w:val="-1"/>
          <w:sz w:val="20"/>
        </w:rPr>
        <w:t> </w:t>
      </w:r>
      <w:r>
        <w:rPr>
          <w:rFonts w:ascii="Arial" w:hAnsi="Arial"/>
          <w:i/>
          <w:sz w:val="20"/>
        </w:rPr>
        <w:t>Society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Beogradska</w:t>
      </w:r>
      <w:r>
        <w:rPr>
          <w:rFonts w:ascii="Arial" w:hAnsi="Arial"/>
          <w:i/>
          <w:spacing w:val="-1"/>
          <w:sz w:val="20"/>
        </w:rPr>
        <w:t> </w:t>
      </w:r>
      <w:r>
        <w:rPr>
          <w:rFonts w:ascii="Arial" w:hAnsi="Arial"/>
          <w:i/>
          <w:sz w:val="20"/>
        </w:rPr>
        <w:t>Plovidba</w:t>
      </w:r>
      <w:r>
        <w:rPr>
          <w:rFonts w:ascii="Arial" w:hAnsi="Arial"/>
          <w:i/>
          <w:spacing w:val="-1"/>
          <w:sz w:val="20"/>
        </w:rPr>
        <w:t> </w:t>
      </w:r>
      <w:r>
        <w:rPr>
          <w:rFonts w:ascii="Arial" w:hAnsi="Arial"/>
          <w:i/>
          <w:sz w:val="20"/>
        </w:rPr>
        <w:t>(The Junior</w:t>
      </w:r>
      <w:r>
        <w:rPr>
          <w:rFonts w:ascii="Arial" w:hAnsi="Arial"/>
          <w:i/>
          <w:spacing w:val="16"/>
          <w:sz w:val="20"/>
        </w:rPr>
        <w:t> </w:t>
      </w:r>
      <w:r>
        <w:rPr>
          <w:rFonts w:ascii="Arial" w:hAnsi="Arial"/>
          <w:i/>
          <w:sz w:val="20"/>
        </w:rPr>
        <w:t>K.)</w:t>
      </w:r>
      <w:r>
        <w:rPr>
          <w:rFonts w:ascii="Arial" w:hAnsi="Arial"/>
          <w:i/>
          <w:spacing w:val="17"/>
          <w:sz w:val="20"/>
        </w:rPr>
        <w:t> </w:t>
      </w:r>
      <w:r>
        <w:rPr>
          <w:rFonts w:ascii="Arial" w:hAnsi="Arial"/>
          <w:i/>
          <w:sz w:val="20"/>
        </w:rPr>
        <w:t>[1988]</w:t>
      </w:r>
      <w:r>
        <w:rPr>
          <w:rFonts w:ascii="Arial" w:hAnsi="Arial"/>
          <w:i/>
          <w:spacing w:val="17"/>
          <w:sz w:val="20"/>
        </w:rPr>
        <w:t> </w:t>
      </w:r>
      <w:r>
        <w:rPr>
          <w:rFonts w:ascii="Arial" w:hAnsi="Arial"/>
          <w:i/>
          <w:sz w:val="20"/>
        </w:rPr>
        <w:t>2</w:t>
      </w:r>
      <w:r>
        <w:rPr>
          <w:rFonts w:ascii="Arial" w:hAnsi="Arial"/>
          <w:i/>
          <w:spacing w:val="17"/>
          <w:sz w:val="20"/>
        </w:rPr>
        <w:t> </w:t>
      </w:r>
      <w:r>
        <w:rPr>
          <w:rFonts w:ascii="Arial" w:hAnsi="Arial"/>
          <w:i/>
          <w:sz w:val="20"/>
        </w:rPr>
        <w:t>Lloyd’s</w:t>
      </w:r>
      <w:r>
        <w:rPr>
          <w:rFonts w:ascii="Arial" w:hAnsi="Arial"/>
          <w:i/>
          <w:spacing w:val="17"/>
          <w:sz w:val="20"/>
        </w:rPr>
        <w:t> </w:t>
      </w:r>
      <w:r>
        <w:rPr>
          <w:rFonts w:ascii="Arial" w:hAnsi="Arial"/>
          <w:i/>
          <w:sz w:val="20"/>
        </w:rPr>
        <w:t>Rep.</w:t>
      </w:r>
      <w:r>
        <w:rPr>
          <w:rFonts w:ascii="Arial" w:hAnsi="Arial"/>
          <w:i/>
          <w:spacing w:val="17"/>
          <w:sz w:val="20"/>
        </w:rPr>
        <w:t> </w:t>
      </w:r>
      <w:r>
        <w:rPr>
          <w:rFonts w:ascii="Arial" w:hAnsi="Arial"/>
          <w:i/>
          <w:sz w:val="20"/>
        </w:rPr>
        <w:t>583</w:t>
      </w:r>
      <w:r>
        <w:rPr>
          <w:sz w:val="20"/>
        </w:rPr>
        <w:t>.</w:t>
      </w:r>
      <w:r>
        <w:rPr>
          <w:spacing w:val="17"/>
          <w:sz w:val="20"/>
        </w:rPr>
        <w:t> </w:t>
      </w:r>
      <w:r>
        <w:rPr>
          <w:sz w:val="20"/>
        </w:rPr>
        <w:t>See</w:t>
      </w:r>
      <w:r>
        <w:rPr>
          <w:spacing w:val="17"/>
          <w:sz w:val="20"/>
        </w:rPr>
        <w:t> </w:t>
      </w:r>
      <w:r>
        <w:rPr>
          <w:sz w:val="20"/>
        </w:rPr>
        <w:t>also</w:t>
      </w:r>
      <w:r>
        <w:rPr>
          <w:spacing w:val="17"/>
          <w:sz w:val="20"/>
        </w:rPr>
        <w:t> </w:t>
      </w:r>
      <w:r>
        <w:rPr>
          <w:rFonts w:ascii="Arial" w:hAnsi="Arial"/>
          <w:i/>
          <w:sz w:val="20"/>
        </w:rPr>
        <w:t>Covington</w:t>
      </w:r>
      <w:r>
        <w:rPr>
          <w:rFonts w:ascii="Arial" w:hAnsi="Arial"/>
          <w:i/>
          <w:spacing w:val="17"/>
          <w:sz w:val="20"/>
        </w:rPr>
        <w:t> </w:t>
      </w:r>
      <w:r>
        <w:rPr>
          <w:rFonts w:ascii="Arial" w:hAnsi="Arial"/>
          <w:i/>
          <w:sz w:val="20"/>
        </w:rPr>
        <w:t>Marine</w:t>
      </w:r>
      <w:r>
        <w:rPr>
          <w:rFonts w:ascii="Arial" w:hAnsi="Arial"/>
          <w:i/>
          <w:spacing w:val="17"/>
          <w:sz w:val="20"/>
        </w:rPr>
        <w:t> </w:t>
      </w:r>
      <w:r>
        <w:rPr>
          <w:rFonts w:ascii="Arial" w:hAnsi="Arial"/>
          <w:i/>
          <w:sz w:val="20"/>
        </w:rPr>
        <w:t>Corp</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Xiamen</w:t>
      </w:r>
      <w:r>
        <w:rPr>
          <w:rFonts w:ascii="Arial" w:hAnsi="Arial"/>
          <w:i/>
          <w:spacing w:val="17"/>
          <w:sz w:val="20"/>
        </w:rPr>
        <w:t> </w:t>
      </w:r>
      <w:r>
        <w:rPr>
          <w:rFonts w:ascii="Arial" w:hAnsi="Arial"/>
          <w:i/>
          <w:sz w:val="20"/>
        </w:rPr>
        <w:t>Shipping</w:t>
      </w:r>
      <w:r>
        <w:rPr>
          <w:rFonts w:ascii="Arial" w:hAnsi="Arial"/>
          <w:i/>
          <w:spacing w:val="17"/>
          <w:sz w:val="20"/>
        </w:rPr>
        <w:t> </w:t>
      </w:r>
      <w:r>
        <w:rPr>
          <w:rFonts w:ascii="Arial" w:hAnsi="Arial"/>
          <w:i/>
          <w:spacing w:val="-5"/>
          <w:sz w:val="20"/>
        </w:rPr>
        <w:t>Co</w:t>
      </w:r>
    </w:p>
    <w:p>
      <w:pPr>
        <w:spacing w:after="0" w:line="235" w:lineRule="auto"/>
        <w:jc w:val="both"/>
        <w:rPr>
          <w:rFonts w:ascii="Arial" w:hAns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hAnsi="Arial"/>
          <w:i/>
          <w:sz w:val="20"/>
        </w:rPr>
        <w:t>Ltd</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2912</w:t>
      </w:r>
      <w:r>
        <w:rPr>
          <w:rFonts w:ascii="Arial" w:hAnsi="Arial"/>
          <w:i/>
          <w:spacing w:val="-1"/>
          <w:sz w:val="20"/>
        </w:rPr>
        <w:t> </w:t>
      </w:r>
      <w:r>
        <w:rPr>
          <w:rFonts w:ascii="Arial" w:hAnsi="Arial"/>
          <w:i/>
          <w:sz w:val="20"/>
        </w:rPr>
        <w:t>(Comm),</w:t>
      </w:r>
      <w:r>
        <w:rPr>
          <w:rFonts w:ascii="Arial" w:hAnsi="Arial"/>
          <w:i/>
          <w:spacing w:val="-1"/>
          <w:sz w:val="20"/>
        </w:rPr>
        <w:t> </w:t>
      </w:r>
      <w:r>
        <w:rPr>
          <w:rFonts w:ascii="Arial" w:hAnsi="Arial"/>
          <w:i/>
          <w:sz w:val="20"/>
        </w:rPr>
        <w:t>[2006]</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Lloyd’s</w:t>
      </w:r>
      <w:r>
        <w:rPr>
          <w:rFonts w:ascii="Arial" w:hAnsi="Arial"/>
          <w:i/>
          <w:spacing w:val="-1"/>
          <w:sz w:val="20"/>
        </w:rPr>
        <w:t> </w:t>
      </w:r>
      <w:r>
        <w:rPr>
          <w:rFonts w:ascii="Arial" w:hAnsi="Arial"/>
          <w:i/>
          <w:sz w:val="20"/>
        </w:rPr>
        <w:t>Rep.</w:t>
      </w:r>
      <w:r>
        <w:rPr>
          <w:rFonts w:ascii="Arial" w:hAnsi="Arial"/>
          <w:i/>
          <w:spacing w:val="-1"/>
          <w:sz w:val="20"/>
        </w:rPr>
        <w:t> </w:t>
      </w:r>
      <w:r>
        <w:rPr>
          <w:rFonts w:ascii="Arial" w:hAnsi="Arial"/>
          <w:i/>
          <w:sz w:val="20"/>
        </w:rPr>
        <w:t>745</w:t>
      </w:r>
      <w:r>
        <w:rPr>
          <w:rFonts w:ascii="Arial" w:hAnsi="Arial"/>
          <w:i/>
          <w:spacing w:val="-2"/>
          <w:sz w:val="20"/>
        </w:rPr>
        <w:t> </w:t>
      </w:r>
      <w:r>
        <w:rPr>
          <w:sz w:val="20"/>
        </w:rPr>
        <w:t>at</w:t>
      </w:r>
      <w:r>
        <w:rPr>
          <w:spacing w:val="-1"/>
          <w:sz w:val="20"/>
        </w:rPr>
        <w:t> </w:t>
      </w:r>
      <w:r>
        <w:rPr>
          <w:sz w:val="20"/>
        </w:rPr>
        <w:t>[52],</w:t>
      </w:r>
      <w:r>
        <w:rPr>
          <w:spacing w:val="-1"/>
          <w:sz w:val="20"/>
        </w:rPr>
        <w:t> </w:t>
      </w:r>
      <w:r>
        <w:rPr>
          <w:sz w:val="20"/>
        </w:rPr>
        <w:t>where</w:t>
      </w:r>
      <w:r>
        <w:rPr>
          <w:spacing w:val="-1"/>
          <w:sz w:val="20"/>
        </w:rPr>
        <w:t> </w:t>
      </w:r>
      <w:r>
        <w:rPr>
          <w:sz w:val="20"/>
        </w:rPr>
        <w:t>it</w:t>
      </w:r>
      <w:r>
        <w:rPr>
          <w:spacing w:val="-1"/>
          <w:sz w:val="20"/>
        </w:rPr>
        <w:t> </w:t>
      </w:r>
      <w:r>
        <w:rPr>
          <w:sz w:val="20"/>
        </w:rPr>
        <w:t>was</w:t>
      </w:r>
      <w:r>
        <w:rPr>
          <w:spacing w:val="-1"/>
          <w:sz w:val="20"/>
        </w:rPr>
        <w:t> </w:t>
      </w:r>
      <w:r>
        <w:rPr>
          <w:sz w:val="20"/>
        </w:rPr>
        <w:t>not</w:t>
      </w:r>
      <w:r>
        <w:rPr>
          <w:spacing w:val="-1"/>
          <w:sz w:val="20"/>
        </w:rPr>
        <w:t> </w:t>
      </w:r>
      <w:r>
        <w:rPr>
          <w:sz w:val="20"/>
        </w:rPr>
        <w:t>argued</w:t>
      </w:r>
      <w:r>
        <w:rPr>
          <w:spacing w:val="-1"/>
          <w:sz w:val="20"/>
        </w:rPr>
        <w:t> </w:t>
      </w:r>
      <w:r>
        <w:rPr>
          <w:sz w:val="20"/>
        </w:rPr>
        <w:t>that an agreement to use best endeavours to reach agreement had any greater legal effect than an agreement to agree.</w:t>
      </w:r>
    </w:p>
    <w:p>
      <w:pPr>
        <w:pStyle w:val="BodyText"/>
        <w:spacing w:before="5"/>
      </w:pPr>
    </w:p>
    <w:p>
      <w:pPr>
        <w:tabs>
          <w:tab w:pos="705" w:val="left" w:leader="none"/>
        </w:tabs>
        <w:spacing w:before="0"/>
        <w:ind w:left="165" w:right="0" w:firstLine="0"/>
        <w:jc w:val="left"/>
        <w:rPr>
          <w:sz w:val="20"/>
        </w:rPr>
      </w:pPr>
      <w:bookmarkStart w:name="_bookmark1523" w:id="1525"/>
      <w:bookmarkEnd w:id="1525"/>
      <w:r>
        <w:rPr/>
      </w:r>
      <w:hyperlink w:history="true" w:anchor="_bookmark1316">
        <w:r>
          <w:rPr>
            <w:color w:val="005DA1"/>
            <w:spacing w:val="-4"/>
            <w:position w:val="5"/>
            <w:sz w:val="14"/>
            <w:u w:val="single" w:color="005DA1"/>
          </w:rPr>
          <w:t>795</w:t>
        </w:r>
      </w:hyperlink>
      <w:r>
        <w:rPr>
          <w:spacing w:val="-4"/>
          <w:position w:val="5"/>
          <w:sz w:val="14"/>
        </w:rPr>
        <w:t>.</w:t>
      </w:r>
      <w:r>
        <w:rPr>
          <w:position w:val="5"/>
          <w:sz w:val="14"/>
        </w:rPr>
        <w:tab/>
      </w:r>
      <w:r>
        <w:rPr>
          <w:rFonts w:ascii="Arial"/>
          <w:i/>
          <w:sz w:val="20"/>
        </w:rPr>
        <w:t>[1992]</w:t>
      </w:r>
      <w:r>
        <w:rPr>
          <w:rFonts w:ascii="Arial"/>
          <w:i/>
          <w:spacing w:val="-2"/>
          <w:sz w:val="20"/>
        </w:rPr>
        <w:t> </w:t>
      </w:r>
      <w:r>
        <w:rPr>
          <w:rFonts w:ascii="Arial"/>
          <w:i/>
          <w:sz w:val="20"/>
        </w:rPr>
        <w:t>2 A.C. 128, </w:t>
      </w:r>
      <w:r>
        <w:rPr>
          <w:rFonts w:ascii="Arial"/>
          <w:i/>
          <w:spacing w:val="-4"/>
          <w:sz w:val="20"/>
        </w:rPr>
        <w:t>137</w:t>
      </w:r>
      <w:r>
        <w:rPr>
          <w:spacing w:val="-4"/>
          <w:sz w:val="20"/>
        </w:rPr>
        <w:t>.</w:t>
      </w:r>
    </w:p>
    <w:p>
      <w:pPr>
        <w:pStyle w:val="BodyText"/>
        <w:spacing w:before="9"/>
      </w:pPr>
    </w:p>
    <w:p>
      <w:pPr>
        <w:pStyle w:val="BodyText"/>
        <w:spacing w:line="235" w:lineRule="auto"/>
        <w:ind w:left="705" w:right="167" w:hanging="541"/>
        <w:jc w:val="both"/>
      </w:pPr>
      <w:bookmarkStart w:name="_bookmark1524" w:id="1526"/>
      <w:bookmarkEnd w:id="1526"/>
      <w:r>
        <w:rPr/>
      </w:r>
      <w:hyperlink w:history="true" w:anchor="_bookmark1317">
        <w:r>
          <w:rPr>
            <w:color w:val="005DA1"/>
            <w:position w:val="5"/>
            <w:sz w:val="14"/>
            <w:u w:val="single" w:color="005DA1"/>
          </w:rPr>
          <w:t>796</w:t>
        </w:r>
      </w:hyperlink>
      <w:r>
        <w:rPr>
          <w:position w:val="5"/>
          <w:sz w:val="14"/>
        </w:rPr>
        <w:t>.</w:t>
      </w:r>
      <w:r>
        <w:rPr>
          <w:spacing w:val="80"/>
          <w:position w:val="5"/>
          <w:sz w:val="14"/>
        </w:rPr>
        <w:t>  </w:t>
      </w:r>
      <w:r>
        <w:rPr/>
        <w:t>See </w:t>
      </w:r>
      <w:r>
        <w:rPr>
          <w:rFonts w:ascii="Arial" w:hAnsi="Arial"/>
          <w:i/>
        </w:rPr>
        <w:t>Watford Electronics Ltd v Sanderson Ltd [2001] EWCA Civ 317, [2001] 1 All E.R. (Comm) 696 </w:t>
      </w:r>
      <w:r>
        <w:rPr/>
        <w:t>at [45], and the cases discussed in para.2-137; cf. </w:t>
      </w:r>
      <w:r>
        <w:rPr>
          <w:rFonts w:ascii="Arial" w:hAnsi="Arial"/>
          <w:i/>
        </w:rPr>
        <w:t>Lambert v HTV Cymru (Wales) Ltd, The Times, March 17, 1998</w:t>
      </w:r>
      <w:r>
        <w:rPr/>
        <w:t>; </w:t>
      </w:r>
      <w:r>
        <w:rPr>
          <w:rFonts w:ascii="Arial" w:hAnsi="Arial"/>
          <w:i/>
        </w:rPr>
        <w:t>Jet2.com Ltd v Blackpool Airport Ltd [2012] EWCA Civ 417</w:t>
      </w:r>
      <w:r>
        <w:rPr/>
        <w:t>, where the dispute seems to have been, not about the existence of the contract but about its contents </w:t>
      </w:r>
      <w:r>
        <w:rPr/>
        <w:t>(see at [18], [29]). The Court of Appeal held, by a majority, that a clause in the contract, requiring the defendant airport authority to “use all reasonable endeavours to promote” (clause 1, para.[6]) the claimant airline’s services from the defendant’s airport, was not too uncertain to be</w:t>
      </w:r>
      <w:r>
        <w:rPr>
          <w:spacing w:val="40"/>
        </w:rPr>
        <w:t> </w:t>
      </w:r>
      <w:r>
        <w:rPr/>
        <w:t>enforced. cf. in Scotland, </w:t>
      </w:r>
      <w:r>
        <w:rPr>
          <w:rFonts w:ascii="Arial" w:hAnsi="Arial"/>
          <w:i/>
        </w:rPr>
        <w:t>R &amp; D Construction Group Ltd v Hallam Land Management Ltd [2010] CSIH 96, 2011 S.L.T. 236</w:t>
      </w:r>
      <w:r>
        <w:rPr/>
        <w:t>, where agreement for the sale of land part of which the vendor expected to acquire from a third party was conditional on vendor’s agreeing a price “wholly acceptable” to him with the third party and the vendor undertook to use “all reasonable endeavours” in that regard. It was held that this term was enforceable but that the vendor was not in breach of it. In contrast, see </w:t>
      </w:r>
      <w:r>
        <w:rPr>
          <w:rFonts w:ascii="Arial" w:hAnsi="Arial"/>
          <w:i/>
        </w:rPr>
        <w:t>Dany Lions Ltd v Bristol Cars Ltd [2014] EWHC 817 (QB), [2014] Bus L.R. (D) 11</w:t>
      </w:r>
      <w:r>
        <w:rPr/>
        <w:t>, where A and B entered into an agreement to settle a dispute over their contract, by which A had agreed to sell a vintage car to B and to recondition the car. The settlement agreement required B to use reasonable efforts to enter into a contract with C to carry out the reconditioning work. The settlement agreement between A and B was not legally binding since, although it specified the object to be attained by the contract between B and C (i.e. the reconditioning of the car), it left open the price and other terms of that contract, which envisaged future negotiation between B and C when there were “no objective criteria by which the</w:t>
      </w:r>
      <w:r>
        <w:rPr>
          <w:spacing w:val="-1"/>
        </w:rPr>
        <w:t> </w:t>
      </w:r>
      <w:r>
        <w:rPr/>
        <w:t>court</w:t>
      </w:r>
      <w:r>
        <w:rPr>
          <w:spacing w:val="-1"/>
        </w:rPr>
        <w:t> </w:t>
      </w:r>
      <w:r>
        <w:rPr/>
        <w:t>could</w:t>
      </w:r>
      <w:r>
        <w:rPr>
          <w:spacing w:val="-1"/>
        </w:rPr>
        <w:t> </w:t>
      </w:r>
      <w:r>
        <w:rPr/>
        <w:t>evaluate</w:t>
      </w:r>
      <w:r>
        <w:rPr>
          <w:spacing w:val="-1"/>
        </w:rPr>
        <w:t> </w:t>
      </w:r>
      <w:r>
        <w:rPr/>
        <w:t>whether</w:t>
      </w:r>
      <w:r>
        <w:rPr>
          <w:spacing w:val="-1"/>
        </w:rPr>
        <w:t> </w:t>
      </w:r>
      <w:r>
        <w:rPr/>
        <w:t>it</w:t>
      </w:r>
      <w:r>
        <w:rPr>
          <w:spacing w:val="-1"/>
        </w:rPr>
        <w:t> </w:t>
      </w:r>
      <w:r>
        <w:rPr/>
        <w:t>was</w:t>
      </w:r>
      <w:r>
        <w:rPr>
          <w:spacing w:val="-1"/>
        </w:rPr>
        <w:t> </w:t>
      </w:r>
      <w:r>
        <w:rPr/>
        <w:t>reasonable</w:t>
      </w:r>
      <w:r>
        <w:rPr>
          <w:spacing w:val="-1"/>
        </w:rPr>
        <w:t> </w:t>
      </w:r>
      <w:r>
        <w:rPr/>
        <w:t>or</w:t>
      </w:r>
      <w:r>
        <w:rPr>
          <w:spacing w:val="-1"/>
        </w:rPr>
        <w:t> </w:t>
      </w:r>
      <w:r>
        <w:rPr/>
        <w:t>unreasonable</w:t>
      </w:r>
      <w:r>
        <w:rPr>
          <w:spacing w:val="-1"/>
        </w:rPr>
        <w:t> </w:t>
      </w:r>
      <w:r>
        <w:rPr/>
        <w:t>for</w:t>
      </w:r>
      <w:r>
        <w:rPr>
          <w:spacing w:val="-1"/>
        </w:rPr>
        <w:t> </w:t>
      </w:r>
      <w:r>
        <w:rPr/>
        <w:t>[B]</w:t>
      </w:r>
      <w:r>
        <w:rPr>
          <w:spacing w:val="-1"/>
        </w:rPr>
        <w:t> </w:t>
      </w:r>
      <w:r>
        <w:rPr/>
        <w:t>to</w:t>
      </w:r>
      <w:r>
        <w:rPr>
          <w:spacing w:val="-1"/>
        </w:rPr>
        <w:t> </w:t>
      </w:r>
      <w:r>
        <w:rPr/>
        <w:t>refuse</w:t>
      </w:r>
      <w:r>
        <w:rPr>
          <w:spacing w:val="-1"/>
        </w:rPr>
        <w:t> </w:t>
      </w:r>
      <w:r>
        <w:rPr/>
        <w:t>to</w:t>
      </w:r>
      <w:r>
        <w:rPr>
          <w:spacing w:val="-1"/>
        </w:rPr>
        <w:t> </w:t>
      </w:r>
      <w:r>
        <w:rPr/>
        <w:t>agree</w:t>
      </w:r>
      <w:r>
        <w:rPr>
          <w:spacing w:val="-1"/>
        </w:rPr>
        <w:t> </w:t>
      </w:r>
      <w:r>
        <w:rPr/>
        <w:t>to any particular terms on offer” (at [38]). It followed that the agreement between A and B was “no better than an agreement to agree” (at [46]). Andrews J. reached this conclusion with regret since she regarded it as “obvious that this [i.e. the settlement agreement] was objectively intended by the parties to be a binding and enforceable obligation” (at [47]).</w:t>
      </w:r>
    </w:p>
    <w:p>
      <w:pPr>
        <w:pStyle w:val="BodyText"/>
      </w:pPr>
    </w:p>
    <w:p>
      <w:pPr>
        <w:spacing w:line="235" w:lineRule="auto" w:before="1"/>
        <w:ind w:left="705" w:right="167" w:hanging="541"/>
        <w:jc w:val="both"/>
        <w:rPr>
          <w:sz w:val="20"/>
        </w:rPr>
      </w:pPr>
      <w:bookmarkStart w:name="_bookmark1525" w:id="1527"/>
      <w:bookmarkEnd w:id="1527"/>
      <w:r>
        <w:rPr/>
      </w:r>
      <w:hyperlink w:history="true" w:anchor="_bookmark1318">
        <w:r>
          <w:rPr>
            <w:color w:val="005DA1"/>
            <w:position w:val="5"/>
            <w:sz w:val="14"/>
            <w:u w:val="single" w:color="005DA1"/>
          </w:rPr>
          <w:t>797</w:t>
        </w:r>
      </w:hyperlink>
      <w:r>
        <w:rPr>
          <w:position w:val="5"/>
          <w:sz w:val="14"/>
        </w:rPr>
        <w:t>.</w:t>
      </w:r>
      <w:r>
        <w:rPr>
          <w:spacing w:val="80"/>
          <w:position w:val="5"/>
          <w:sz w:val="14"/>
        </w:rPr>
        <w:t>  </w:t>
      </w:r>
      <w:r>
        <w:rPr>
          <w:sz w:val="20"/>
        </w:rPr>
        <w:t>See </w:t>
      </w:r>
      <w:r>
        <w:rPr>
          <w:rFonts w:ascii="Arial" w:hAnsi="Arial"/>
          <w:i/>
          <w:sz w:val="20"/>
        </w:rPr>
        <w:t>Little v Courage (1995) 70 P. &amp; C.R. 469 </w:t>
      </w:r>
      <w:r>
        <w:rPr>
          <w:sz w:val="20"/>
        </w:rPr>
        <w:t>at 475; </w:t>
      </w:r>
      <w:r>
        <w:rPr>
          <w:rFonts w:ascii="Arial" w:hAnsi="Arial"/>
          <w:i/>
          <w:sz w:val="20"/>
        </w:rPr>
        <w:t>London &amp; Regional Investments Ltd v TBI Plc [2002] EWCA Civ 355 </w:t>
      </w:r>
      <w:r>
        <w:rPr>
          <w:sz w:val="20"/>
        </w:rPr>
        <w:t>at [39]; </w:t>
      </w:r>
      <w:r>
        <w:rPr>
          <w:rFonts w:ascii="Arial" w:hAnsi="Arial"/>
          <w:i/>
          <w:sz w:val="20"/>
        </w:rPr>
        <w:t>Multiplex Construction (UK) Ltd v Cleveland Bridge (UK) </w:t>
      </w:r>
      <w:r>
        <w:rPr>
          <w:rFonts w:ascii="Arial" w:hAnsi="Arial"/>
          <w:i/>
          <w:sz w:val="20"/>
        </w:rPr>
        <w:t>Ltd [2006]</w:t>
      </w:r>
      <w:r>
        <w:rPr>
          <w:rFonts w:ascii="Arial" w:hAnsi="Arial"/>
          <w:i/>
          <w:spacing w:val="-1"/>
          <w:sz w:val="20"/>
        </w:rPr>
        <w:t> </w:t>
      </w:r>
      <w:r>
        <w:rPr>
          <w:rFonts w:ascii="Arial" w:hAnsi="Arial"/>
          <w:i/>
          <w:sz w:val="20"/>
        </w:rPr>
        <w:t>EWHC</w:t>
      </w:r>
      <w:r>
        <w:rPr>
          <w:rFonts w:ascii="Arial" w:hAnsi="Arial"/>
          <w:i/>
          <w:spacing w:val="-1"/>
          <w:sz w:val="20"/>
        </w:rPr>
        <w:t> </w:t>
      </w:r>
      <w:r>
        <w:rPr>
          <w:rFonts w:ascii="Arial" w:hAnsi="Arial"/>
          <w:i/>
          <w:sz w:val="20"/>
        </w:rPr>
        <w:t>1341,</w:t>
      </w:r>
      <w:r>
        <w:rPr>
          <w:rFonts w:ascii="Arial" w:hAnsi="Arial"/>
          <w:i/>
          <w:spacing w:val="-1"/>
          <w:sz w:val="20"/>
        </w:rPr>
        <w:t> </w:t>
      </w:r>
      <w:r>
        <w:rPr>
          <w:rFonts w:ascii="Arial" w:hAnsi="Arial"/>
          <w:i/>
          <w:sz w:val="20"/>
        </w:rPr>
        <w:t>107</w:t>
      </w:r>
      <w:r>
        <w:rPr>
          <w:rFonts w:ascii="Arial" w:hAnsi="Arial"/>
          <w:i/>
          <w:spacing w:val="-1"/>
          <w:sz w:val="20"/>
        </w:rPr>
        <w:t> </w:t>
      </w:r>
      <w:r>
        <w:rPr>
          <w:rFonts w:ascii="Arial" w:hAnsi="Arial"/>
          <w:i/>
          <w:sz w:val="20"/>
        </w:rPr>
        <w:t>Con.</w:t>
      </w:r>
      <w:r>
        <w:rPr>
          <w:rFonts w:ascii="Arial" w:hAnsi="Arial"/>
          <w:i/>
          <w:spacing w:val="-1"/>
          <w:sz w:val="20"/>
        </w:rPr>
        <w:t> </w:t>
      </w:r>
      <w:r>
        <w:rPr>
          <w:rFonts w:ascii="Arial" w:hAnsi="Arial"/>
          <w:i/>
          <w:sz w:val="20"/>
        </w:rPr>
        <w:t>L.R.</w:t>
      </w:r>
      <w:r>
        <w:rPr>
          <w:rFonts w:ascii="Arial" w:hAnsi="Arial"/>
          <w:i/>
          <w:spacing w:val="-1"/>
          <w:sz w:val="20"/>
        </w:rPr>
        <w:t> </w:t>
      </w:r>
      <w:r>
        <w:rPr>
          <w:rFonts w:ascii="Arial" w:hAnsi="Arial"/>
          <w:i/>
          <w:sz w:val="20"/>
        </w:rPr>
        <w:t>1</w:t>
      </w:r>
      <w:r>
        <w:rPr>
          <w:sz w:val="20"/>
        </w:rPr>
        <w:t>; </w:t>
      </w:r>
      <w:r>
        <w:rPr>
          <w:rFonts w:ascii="Arial" w:hAnsi="Arial"/>
          <w:i/>
          <w:sz w:val="20"/>
        </w:rPr>
        <w:t>Barbudev</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Eurocom</w:t>
      </w:r>
      <w:r>
        <w:rPr>
          <w:rFonts w:ascii="Arial" w:hAnsi="Arial"/>
          <w:i/>
          <w:spacing w:val="-1"/>
          <w:sz w:val="20"/>
        </w:rPr>
        <w:t> </w:t>
      </w:r>
      <w:r>
        <w:rPr>
          <w:rFonts w:ascii="Arial" w:hAnsi="Arial"/>
          <w:i/>
          <w:sz w:val="20"/>
        </w:rPr>
        <w:t>Cable</w:t>
      </w:r>
      <w:r>
        <w:rPr>
          <w:rFonts w:ascii="Arial" w:hAnsi="Arial"/>
          <w:i/>
          <w:spacing w:val="-1"/>
          <w:sz w:val="20"/>
        </w:rPr>
        <w:t> </w:t>
      </w:r>
      <w:r>
        <w:rPr>
          <w:rFonts w:ascii="Arial" w:hAnsi="Arial"/>
          <w:i/>
          <w:sz w:val="20"/>
        </w:rPr>
        <w:t>Management</w:t>
      </w:r>
      <w:r>
        <w:rPr>
          <w:rFonts w:ascii="Arial" w:hAnsi="Arial"/>
          <w:i/>
          <w:spacing w:val="-1"/>
          <w:sz w:val="20"/>
        </w:rPr>
        <w:t> </w:t>
      </w:r>
      <w:r>
        <w:rPr>
          <w:rFonts w:ascii="Arial" w:hAnsi="Arial"/>
          <w:i/>
          <w:sz w:val="20"/>
        </w:rPr>
        <w:t>Bulgaria</w:t>
      </w:r>
      <w:r>
        <w:rPr>
          <w:rFonts w:ascii="Arial" w:hAnsi="Arial"/>
          <w:i/>
          <w:spacing w:val="-1"/>
          <w:sz w:val="20"/>
        </w:rPr>
        <w:t> </w:t>
      </w:r>
      <w:r>
        <w:rPr>
          <w:rFonts w:ascii="Arial" w:hAnsi="Arial"/>
          <w:i/>
          <w:sz w:val="20"/>
        </w:rPr>
        <w:t>EOOD [2012] EWCA Civ 548 </w:t>
      </w:r>
      <w:r>
        <w:rPr>
          <w:sz w:val="20"/>
        </w:rPr>
        <w:t>at [44]. For the distinction between an undertaking to use “best” and one to use “reasonable” endeavours, see </w:t>
      </w:r>
      <w:r>
        <w:rPr>
          <w:rFonts w:ascii="Arial" w:hAnsi="Arial"/>
          <w:i/>
          <w:sz w:val="20"/>
        </w:rPr>
        <w:t>Rhodia International Holdings Ltd v Huntsman International LLC [2007] EWHC 292 (Comm), [2007] 2 Lloyd’s Rep. 325 </w:t>
      </w:r>
      <w:r>
        <w:rPr>
          <w:sz w:val="20"/>
        </w:rPr>
        <w:t>at [34]–[35].</w:t>
      </w:r>
    </w:p>
    <w:p>
      <w:pPr>
        <w:pStyle w:val="BodyText"/>
        <w:spacing w:before="7"/>
      </w:pPr>
    </w:p>
    <w:p>
      <w:pPr>
        <w:spacing w:line="235" w:lineRule="auto" w:before="0"/>
        <w:ind w:left="705" w:right="167" w:hanging="541"/>
        <w:jc w:val="both"/>
        <w:rPr>
          <w:sz w:val="20"/>
        </w:rPr>
      </w:pPr>
      <w:bookmarkStart w:name="_bookmark1526" w:id="1528"/>
      <w:bookmarkEnd w:id="1528"/>
      <w:r>
        <w:rPr/>
      </w:r>
      <w:hyperlink w:history="true" w:anchor="_bookmark1319">
        <w:r>
          <w:rPr>
            <w:color w:val="005DA1"/>
            <w:position w:val="5"/>
            <w:sz w:val="14"/>
            <w:u w:val="single" w:color="005DA1"/>
          </w:rPr>
          <w:t>798</w:t>
        </w:r>
      </w:hyperlink>
      <w:r>
        <w:rPr>
          <w:position w:val="5"/>
          <w:sz w:val="14"/>
        </w:rPr>
        <w:t>.</w:t>
      </w:r>
      <w:r>
        <w:rPr>
          <w:spacing w:val="80"/>
          <w:position w:val="5"/>
          <w:sz w:val="14"/>
        </w:rPr>
        <w:t>  </w:t>
      </w:r>
      <w:r>
        <w:rPr>
          <w:sz w:val="20"/>
        </w:rPr>
        <w:t>Example based on </w:t>
      </w:r>
      <w:r>
        <w:rPr>
          <w:rFonts w:ascii="Arial" w:hAnsi="Arial"/>
          <w:i/>
          <w:sz w:val="20"/>
        </w:rPr>
        <w:t>Nissho Iwai Petroleum Co Inc v Cargill International SA [1993] 1 Lloyd’s</w:t>
      </w:r>
      <w:r>
        <w:rPr>
          <w:rFonts w:ascii="Arial" w:hAnsi="Arial"/>
          <w:i/>
          <w:spacing w:val="40"/>
          <w:sz w:val="20"/>
        </w:rPr>
        <w:t> </w:t>
      </w:r>
      <w:r>
        <w:rPr>
          <w:rFonts w:ascii="Arial" w:hAnsi="Arial"/>
          <w:i/>
          <w:sz w:val="20"/>
        </w:rPr>
        <w:t>Rep. 80</w:t>
      </w:r>
      <w:r>
        <w:rPr>
          <w:sz w:val="20"/>
        </w:rPr>
        <w:t>, where such conduct was held to amount to a breach of a party’s duty to cooperate in the performance (not in the formation) of a contract. cf. </w:t>
      </w:r>
      <w:r>
        <w:rPr>
          <w:rFonts w:ascii="Arial" w:hAnsi="Arial"/>
          <w:i/>
          <w:sz w:val="20"/>
        </w:rPr>
        <w:t>Re Debtors (Nos 4449 and 4450 of 1998) [1999] 1 All E.R. (Comm) 49 </w:t>
      </w:r>
      <w:r>
        <w:rPr>
          <w:sz w:val="20"/>
        </w:rPr>
        <w:t>at 158 (implied obligation to use “best endeavours” to conclude an</w:t>
      </w:r>
      <w:r>
        <w:rPr>
          <w:spacing w:val="-1"/>
          <w:sz w:val="20"/>
        </w:rPr>
        <w:t> </w:t>
      </w:r>
      <w:r>
        <w:rPr>
          <w:sz w:val="20"/>
        </w:rPr>
        <w:t>agreement requires</w:t>
      </w:r>
      <w:r>
        <w:rPr>
          <w:spacing w:val="-1"/>
          <w:sz w:val="20"/>
        </w:rPr>
        <w:t> </w:t>
      </w:r>
      <w:r>
        <w:rPr>
          <w:sz w:val="20"/>
        </w:rPr>
        <w:t>the party</w:t>
      </w:r>
      <w:r>
        <w:rPr>
          <w:spacing w:val="-1"/>
          <w:sz w:val="20"/>
        </w:rPr>
        <w:t> </w:t>
      </w:r>
      <w:r>
        <w:rPr>
          <w:sz w:val="20"/>
        </w:rPr>
        <w:t>“not unreasonably</w:t>
      </w:r>
      <w:r>
        <w:rPr>
          <w:spacing w:val="-1"/>
          <w:sz w:val="20"/>
        </w:rPr>
        <w:t> </w:t>
      </w:r>
      <w:r>
        <w:rPr>
          <w:sz w:val="20"/>
        </w:rPr>
        <w:t>to frustrate”</w:t>
      </w:r>
      <w:r>
        <w:rPr>
          <w:spacing w:val="-1"/>
          <w:sz w:val="20"/>
        </w:rPr>
        <w:t> </w:t>
      </w:r>
      <w:r>
        <w:rPr>
          <w:sz w:val="20"/>
        </w:rPr>
        <w:t>its conclusion);</w:t>
      </w:r>
      <w:r>
        <w:rPr>
          <w:spacing w:val="-1"/>
          <w:sz w:val="20"/>
        </w:rPr>
        <w:t> </w:t>
      </w:r>
      <w:r>
        <w:rPr>
          <w:sz w:val="20"/>
        </w:rPr>
        <w:t>for the basis of the duty to negotiate in this case, see above, n.765).</w:t>
      </w:r>
    </w:p>
    <w:p>
      <w:pPr>
        <w:pStyle w:val="BodyText"/>
        <w:spacing w:before="4"/>
      </w:pPr>
    </w:p>
    <w:p>
      <w:pPr>
        <w:tabs>
          <w:tab w:pos="705" w:val="left" w:leader="none"/>
        </w:tabs>
        <w:spacing w:before="0"/>
        <w:ind w:left="165" w:right="0" w:firstLine="0"/>
        <w:jc w:val="left"/>
        <w:rPr>
          <w:sz w:val="20"/>
        </w:rPr>
      </w:pPr>
      <w:bookmarkStart w:name="_bookmark1527" w:id="1529"/>
      <w:bookmarkEnd w:id="1529"/>
      <w:r>
        <w:rPr/>
      </w:r>
      <w:hyperlink w:history="true" w:anchor="_bookmark1320">
        <w:r>
          <w:rPr>
            <w:color w:val="005DA1"/>
            <w:spacing w:val="-4"/>
            <w:position w:val="5"/>
            <w:sz w:val="14"/>
            <w:u w:val="single" w:color="005DA1"/>
          </w:rPr>
          <w:t>799</w:t>
        </w:r>
      </w:hyperlink>
      <w:r>
        <w:rPr>
          <w:spacing w:val="-4"/>
          <w:position w:val="5"/>
          <w:sz w:val="14"/>
        </w:rPr>
        <w:t>.</w:t>
      </w:r>
      <w:r>
        <w:rPr>
          <w:position w:val="5"/>
          <w:sz w:val="14"/>
        </w:rPr>
        <w:tab/>
      </w:r>
      <w:r>
        <w:rPr>
          <w:sz w:val="20"/>
        </w:rPr>
        <w:t>Above, para.2-</w:t>
      </w:r>
      <w:r>
        <w:rPr>
          <w:spacing w:val="-4"/>
          <w:sz w:val="20"/>
        </w:rPr>
        <w:t>143.</w:t>
      </w:r>
    </w:p>
    <w:p>
      <w:pPr>
        <w:pStyle w:val="BodyText"/>
        <w:spacing w:before="9"/>
      </w:pPr>
    </w:p>
    <w:p>
      <w:pPr>
        <w:tabs>
          <w:tab w:pos="705" w:val="left" w:leader="none"/>
        </w:tabs>
        <w:spacing w:line="235" w:lineRule="auto" w:before="0"/>
        <w:ind w:left="705" w:right="168" w:hanging="541"/>
        <w:jc w:val="left"/>
        <w:rPr>
          <w:sz w:val="20"/>
        </w:rPr>
      </w:pPr>
      <w:bookmarkStart w:name="_bookmark1528" w:id="1530"/>
      <w:bookmarkEnd w:id="1530"/>
      <w:r>
        <w:rPr/>
      </w:r>
      <w:hyperlink w:history="true" w:anchor="_bookmark1321">
        <w:r>
          <w:rPr>
            <w:color w:val="005DA1"/>
            <w:spacing w:val="-4"/>
            <w:position w:val="5"/>
            <w:sz w:val="14"/>
            <w:u w:val="single" w:color="005DA1"/>
          </w:rPr>
          <w:t>800</w:t>
        </w:r>
      </w:hyperlink>
      <w:r>
        <w:rPr>
          <w:spacing w:val="-4"/>
          <w:position w:val="5"/>
          <w:sz w:val="14"/>
        </w:rPr>
        <w:t>.</w:t>
      </w:r>
      <w:r>
        <w:rPr>
          <w:position w:val="5"/>
          <w:sz w:val="14"/>
        </w:rPr>
        <w:tab/>
      </w:r>
      <w:r>
        <w:rPr>
          <w:rFonts w:ascii="Arial"/>
          <w:i/>
          <w:sz w:val="20"/>
        </w:rPr>
        <w:t>Donwin</w:t>
      </w:r>
      <w:r>
        <w:rPr>
          <w:rFonts w:ascii="Arial"/>
          <w:i/>
          <w:spacing w:val="28"/>
          <w:sz w:val="20"/>
        </w:rPr>
        <w:t> </w:t>
      </w:r>
      <w:r>
        <w:rPr>
          <w:rFonts w:ascii="Arial"/>
          <w:i/>
          <w:sz w:val="20"/>
        </w:rPr>
        <w:t>Productions</w:t>
      </w:r>
      <w:r>
        <w:rPr>
          <w:rFonts w:ascii="Arial"/>
          <w:i/>
          <w:spacing w:val="28"/>
          <w:sz w:val="20"/>
        </w:rPr>
        <w:t> </w:t>
      </w:r>
      <w:r>
        <w:rPr>
          <w:rFonts w:ascii="Arial"/>
          <w:i/>
          <w:sz w:val="20"/>
        </w:rPr>
        <w:t>Ltd</w:t>
      </w:r>
      <w:r>
        <w:rPr>
          <w:rFonts w:ascii="Arial"/>
          <w:i/>
          <w:spacing w:val="28"/>
          <w:sz w:val="20"/>
        </w:rPr>
        <w:t> </w:t>
      </w:r>
      <w:r>
        <w:rPr>
          <w:rFonts w:ascii="Arial"/>
          <w:i/>
          <w:sz w:val="20"/>
        </w:rPr>
        <w:t>v</w:t>
      </w:r>
      <w:r>
        <w:rPr>
          <w:rFonts w:ascii="Arial"/>
          <w:i/>
          <w:spacing w:val="28"/>
          <w:sz w:val="20"/>
        </w:rPr>
        <w:t> </w:t>
      </w:r>
      <w:r>
        <w:rPr>
          <w:rFonts w:ascii="Arial"/>
          <w:i/>
          <w:sz w:val="20"/>
        </w:rPr>
        <w:t>EMI</w:t>
      </w:r>
      <w:r>
        <w:rPr>
          <w:rFonts w:ascii="Arial"/>
          <w:i/>
          <w:spacing w:val="28"/>
          <w:sz w:val="20"/>
        </w:rPr>
        <w:t> </w:t>
      </w:r>
      <w:r>
        <w:rPr>
          <w:rFonts w:ascii="Arial"/>
          <w:i/>
          <w:sz w:val="20"/>
        </w:rPr>
        <w:t>Films</w:t>
      </w:r>
      <w:r>
        <w:rPr>
          <w:rFonts w:ascii="Arial"/>
          <w:i/>
          <w:spacing w:val="28"/>
          <w:sz w:val="20"/>
        </w:rPr>
        <w:t> </w:t>
      </w:r>
      <w:r>
        <w:rPr>
          <w:rFonts w:ascii="Arial"/>
          <w:i/>
          <w:sz w:val="20"/>
        </w:rPr>
        <w:t>Ltd,</w:t>
      </w:r>
      <w:r>
        <w:rPr>
          <w:rFonts w:ascii="Arial"/>
          <w:i/>
          <w:spacing w:val="28"/>
          <w:sz w:val="20"/>
        </w:rPr>
        <w:t> </w:t>
      </w:r>
      <w:r>
        <w:rPr>
          <w:rFonts w:ascii="Arial"/>
          <w:i/>
          <w:sz w:val="20"/>
        </w:rPr>
        <w:t>The</w:t>
      </w:r>
      <w:r>
        <w:rPr>
          <w:rFonts w:ascii="Arial"/>
          <w:i/>
          <w:spacing w:val="28"/>
          <w:sz w:val="20"/>
        </w:rPr>
        <w:t> </w:t>
      </w:r>
      <w:r>
        <w:rPr>
          <w:rFonts w:ascii="Arial"/>
          <w:i/>
          <w:sz w:val="20"/>
        </w:rPr>
        <w:t>Times,</w:t>
      </w:r>
      <w:r>
        <w:rPr>
          <w:rFonts w:ascii="Arial"/>
          <w:i/>
          <w:spacing w:val="28"/>
          <w:sz w:val="20"/>
        </w:rPr>
        <w:t> </w:t>
      </w:r>
      <w:r>
        <w:rPr>
          <w:rFonts w:ascii="Arial"/>
          <w:i/>
          <w:sz w:val="20"/>
        </w:rPr>
        <w:t>March</w:t>
      </w:r>
      <w:r>
        <w:rPr>
          <w:rFonts w:ascii="Arial"/>
          <w:i/>
          <w:spacing w:val="28"/>
          <w:sz w:val="20"/>
        </w:rPr>
        <w:t> </w:t>
      </w:r>
      <w:r>
        <w:rPr>
          <w:rFonts w:ascii="Arial"/>
          <w:i/>
          <w:sz w:val="20"/>
        </w:rPr>
        <w:t>9,</w:t>
      </w:r>
      <w:r>
        <w:rPr>
          <w:rFonts w:ascii="Arial"/>
          <w:i/>
          <w:spacing w:val="28"/>
          <w:sz w:val="20"/>
        </w:rPr>
        <w:t> </w:t>
      </w:r>
      <w:r>
        <w:rPr>
          <w:rFonts w:ascii="Arial"/>
          <w:i/>
          <w:sz w:val="20"/>
        </w:rPr>
        <w:t>1984</w:t>
      </w:r>
      <w:r>
        <w:rPr>
          <w:rFonts w:ascii="Arial"/>
          <w:i/>
          <w:spacing w:val="27"/>
          <w:sz w:val="20"/>
        </w:rPr>
        <w:t> </w:t>
      </w:r>
      <w:r>
        <w:rPr>
          <w:sz w:val="20"/>
        </w:rPr>
        <w:t>(not</w:t>
      </w:r>
      <w:r>
        <w:rPr>
          <w:spacing w:val="28"/>
          <w:sz w:val="20"/>
        </w:rPr>
        <w:t> </w:t>
      </w:r>
      <w:r>
        <w:rPr>
          <w:sz w:val="20"/>
        </w:rPr>
        <w:t>cited</w:t>
      </w:r>
      <w:r>
        <w:rPr>
          <w:spacing w:val="28"/>
          <w:sz w:val="20"/>
        </w:rPr>
        <w:t> </w:t>
      </w:r>
      <w:r>
        <w:rPr>
          <w:sz w:val="20"/>
        </w:rPr>
        <w:t>in</w:t>
      </w:r>
      <w:r>
        <w:rPr>
          <w:spacing w:val="28"/>
          <w:sz w:val="20"/>
        </w:rPr>
        <w:t> </w:t>
      </w:r>
      <w:r>
        <w:rPr>
          <w:rFonts w:ascii="Arial"/>
          <w:i/>
          <w:sz w:val="20"/>
        </w:rPr>
        <w:t>Walford</w:t>
      </w:r>
      <w:r>
        <w:rPr>
          <w:rFonts w:ascii="Arial"/>
          <w:i/>
          <w:spacing w:val="28"/>
          <w:sz w:val="20"/>
        </w:rPr>
        <w:t> </w:t>
      </w:r>
      <w:r>
        <w:rPr>
          <w:rFonts w:ascii="Arial"/>
          <w:i/>
          <w:sz w:val="20"/>
        </w:rPr>
        <w:t>v Miles [1992] 2 A.C. 128</w:t>
      </w:r>
      <w:r>
        <w:rPr>
          <w:sz w:val="20"/>
        </w:rPr>
        <w:t>).</w:t>
      </w:r>
    </w:p>
    <w:p>
      <w:pPr>
        <w:pStyle w:val="BodyText"/>
        <w:spacing w:before="9"/>
      </w:pPr>
    </w:p>
    <w:p>
      <w:pPr>
        <w:spacing w:line="235" w:lineRule="auto" w:before="0"/>
        <w:ind w:left="705" w:right="167" w:hanging="541"/>
        <w:jc w:val="both"/>
        <w:rPr>
          <w:sz w:val="20"/>
        </w:rPr>
      </w:pPr>
      <w:bookmarkStart w:name="_bookmark1529" w:id="1531"/>
      <w:bookmarkEnd w:id="1531"/>
      <w:r>
        <w:rPr/>
      </w:r>
      <w:hyperlink w:history="true" w:anchor="_bookmark1322">
        <w:r>
          <w:rPr>
            <w:color w:val="005DA1"/>
            <w:position w:val="5"/>
            <w:sz w:val="14"/>
            <w:u w:val="single" w:color="005DA1"/>
          </w:rPr>
          <w:t>801</w:t>
        </w:r>
      </w:hyperlink>
      <w:r>
        <w:rPr>
          <w:position w:val="5"/>
          <w:sz w:val="14"/>
        </w:rPr>
        <w:t>.</w:t>
      </w:r>
      <w:r>
        <w:rPr>
          <w:spacing w:val="80"/>
          <w:position w:val="5"/>
          <w:sz w:val="14"/>
        </w:rPr>
        <w:t>  </w:t>
      </w:r>
      <w:r>
        <w:rPr>
          <w:rFonts w:ascii="Arial" w:hAnsi="Arial"/>
          <w:i/>
          <w:sz w:val="20"/>
        </w:rPr>
        <w:t>Petromec Inc v Petroleo Brasileiro SA Petrobas [2005] EWCA Civ 891, [2006] 1 Lloyd’s </w:t>
      </w:r>
      <w:r>
        <w:rPr>
          <w:rFonts w:ascii="Arial" w:hAnsi="Arial"/>
          <w:i/>
          <w:sz w:val="20"/>
        </w:rPr>
        <w:t>Rep. 121 </w:t>
      </w:r>
      <w:r>
        <w:rPr>
          <w:sz w:val="20"/>
        </w:rPr>
        <w:t>at [115]–[125], distinguishing </w:t>
      </w:r>
      <w:r>
        <w:rPr>
          <w:rFonts w:ascii="Arial" w:hAnsi="Arial"/>
          <w:i/>
          <w:sz w:val="20"/>
        </w:rPr>
        <w:t>Walford v Miles</w:t>
      </w:r>
      <w:r>
        <w:rPr>
          <w:sz w:val="20"/>
        </w:rPr>
        <w:t>, above para.2-143, on the ground that, in the latter case, there was “no concluded agreement since everything was subject to contract” and that there was “no express agreement to negotiate in good faith” (at [120]). In the </w:t>
      </w:r>
      <w:r>
        <w:rPr>
          <w:rFonts w:ascii="Arial" w:hAnsi="Arial"/>
          <w:i/>
          <w:sz w:val="20"/>
        </w:rPr>
        <w:t>Petromec </w:t>
      </w:r>
      <w:r>
        <w:rPr>
          <w:sz w:val="20"/>
        </w:rPr>
        <w:t>case, the point was “not essential to the disposition of the appeal” (at [115]). For further proceedings in the </w:t>
      </w:r>
      <w:r>
        <w:rPr>
          <w:rFonts w:ascii="Arial" w:hAnsi="Arial"/>
          <w:i/>
          <w:sz w:val="20"/>
        </w:rPr>
        <w:t>Petromec </w:t>
      </w:r>
      <w:r>
        <w:rPr>
          <w:sz w:val="20"/>
        </w:rPr>
        <w:t>case, see above, para.2-123 n.611. cf. </w:t>
      </w:r>
      <w:r>
        <w:rPr>
          <w:rFonts w:ascii="Arial" w:hAnsi="Arial"/>
          <w:i/>
          <w:sz w:val="20"/>
        </w:rPr>
        <w:t>Compass Group UK and Ireland Ltd v Mid Essex Hospital Services NHS Trust [2013] EWCA Civ 200, [2013] B.L.R. 265 </w:t>
      </w:r>
      <w:r>
        <w:rPr>
          <w:sz w:val="20"/>
        </w:rPr>
        <w:t>where clause 3.5 of the contract (set out at [14]) required the parties to “co-operate with each other in good faith”. On the true construction of that clause there had been no breach of it (at [120], [143]; cf. at [153]).</w:t>
      </w:r>
    </w:p>
    <w:p>
      <w:pPr>
        <w:spacing w:after="0" w:line="235" w:lineRule="auto"/>
        <w:jc w:val="both"/>
        <w:rPr>
          <w:sz w:val="20"/>
        </w:rPr>
        <w:sectPr>
          <w:pgSz w:w="11900" w:h="16840"/>
          <w:pgMar w:header="971" w:footer="0" w:top="1300" w:bottom="280" w:left="1275" w:right="1275"/>
        </w:sectPr>
      </w:pPr>
    </w:p>
    <w:p>
      <w:pPr>
        <w:pStyle w:val="BodyText"/>
        <w:spacing w:before="12"/>
        <w:rPr>
          <w:sz w:val="14"/>
        </w:rPr>
      </w:pPr>
    </w:p>
    <w:p>
      <w:pPr>
        <w:spacing w:before="1"/>
        <w:ind w:left="165" w:right="0" w:firstLine="0"/>
        <w:jc w:val="left"/>
        <w:rPr>
          <w:sz w:val="14"/>
        </w:rPr>
      </w:pPr>
      <w:hyperlink w:history="true" w:anchor="_bookmark1323">
        <w:r>
          <w:rPr>
            <w:color w:val="005DA1"/>
            <w:spacing w:val="-4"/>
            <w:sz w:val="14"/>
            <w:u w:val="single" w:color="005DA1"/>
          </w:rPr>
          <w:t>802</w:t>
        </w:r>
      </w:hyperlink>
      <w:r>
        <w:rPr>
          <w:spacing w:val="-4"/>
          <w:sz w:val="14"/>
        </w:rPr>
        <w:t>.</w:t>
      </w:r>
    </w:p>
    <w:p>
      <w:pPr>
        <w:spacing w:line="240" w:lineRule="auto" w:before="60"/>
        <w:rPr>
          <w:sz w:val="20"/>
        </w:rPr>
      </w:pPr>
      <w:r>
        <w:rPr/>
        <w:br w:type="column"/>
      </w:r>
      <w:r>
        <w:rPr>
          <w:sz w:val="20"/>
        </w:rPr>
      </w:r>
    </w:p>
    <w:p>
      <w:pPr>
        <w:spacing w:line="235" w:lineRule="auto" w:before="0"/>
        <w:ind w:left="165" w:right="0" w:firstLine="170"/>
        <w:jc w:val="left"/>
        <w:rPr>
          <w:sz w:val="20"/>
        </w:rPr>
      </w:pPr>
      <w:r>
        <w:rPr>
          <w:sz w:val="20"/>
        </w:rPr>
        <w:drawing>
          <wp:anchor distT="0" distB="0" distL="0" distR="0" allowOverlap="1" layoutInCell="1" locked="0" behindDoc="0" simplePos="0" relativeHeight="15759360">
            <wp:simplePos x="0" y="0"/>
            <wp:positionH relativeFrom="page">
              <wp:posOffset>1257846</wp:posOffset>
            </wp:positionH>
            <wp:positionV relativeFrom="paragraph">
              <wp:posOffset>25903</wp:posOffset>
            </wp:positionV>
            <wp:extent cx="107988" cy="107988"/>
            <wp:effectExtent l="0" t="0" r="0" b="0"/>
            <wp:wrapNone/>
            <wp:docPr id="119" name="Image 119"/>
            <wp:cNvGraphicFramePr>
              <a:graphicFrameLocks/>
            </wp:cNvGraphicFramePr>
            <a:graphic>
              <a:graphicData uri="http://schemas.openxmlformats.org/drawingml/2006/picture">
                <pic:pic>
                  <pic:nvPicPr>
                    <pic:cNvPr id="119" name="Image 119"/>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sz w:val="20"/>
        </w:rPr>
        <w:t>Emirates Trading Agency v Prime Mineral Exports Private Ltd [2014] EWHC 2104 </w:t>
      </w:r>
      <w:r>
        <w:rPr>
          <w:rFonts w:ascii="Arial" w:hAnsi="Arial"/>
          <w:i/>
          <w:sz w:val="20"/>
        </w:rPr>
        <w:t>(Comm),</w:t>
      </w:r>
      <w:r>
        <w:rPr>
          <w:rFonts w:ascii="Arial" w:hAnsi="Arial"/>
          <w:i/>
          <w:spacing w:val="40"/>
          <w:sz w:val="20"/>
        </w:rPr>
        <w:t> </w:t>
      </w:r>
      <w:r>
        <w:rPr>
          <w:rFonts w:ascii="Arial" w:hAnsi="Arial"/>
          <w:i/>
          <w:sz w:val="20"/>
        </w:rPr>
        <w:t>[2015] 1 W.L.R. 1145 </w:t>
      </w:r>
      <w:r>
        <w:rPr>
          <w:sz w:val="20"/>
        </w:rPr>
        <w:t>at [63]–[64].</w:t>
      </w:r>
    </w:p>
    <w:p>
      <w:pPr>
        <w:pStyle w:val="BodyText"/>
        <w:spacing w:before="193"/>
      </w:pPr>
    </w:p>
    <w:p>
      <w:pPr>
        <w:spacing w:before="0"/>
        <w:ind w:left="0" w:right="544"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cols w:num="2" w:equalWidth="0">
            <w:col w:w="478" w:space="63"/>
            <w:col w:w="8809"/>
          </w:cols>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938" w:right="2941" w:hanging="1"/>
        <w:jc w:val="center"/>
        <w:rPr>
          <w:rFonts w:ascii="Arial"/>
          <w:b/>
          <w:sz w:val="24"/>
        </w:rPr>
      </w:pPr>
      <w:r>
        <w:rPr>
          <w:rFonts w:ascii="Arial"/>
          <w:b/>
          <w:sz w:val="24"/>
        </w:rPr>
        <w:t>Part 2 - Formation of Contract Chapter 2 - The Agreement Section</w:t>
      </w:r>
      <w:r>
        <w:rPr>
          <w:rFonts w:ascii="Arial"/>
          <w:b/>
          <w:spacing w:val="-8"/>
          <w:sz w:val="24"/>
        </w:rPr>
        <w:t> </w:t>
      </w:r>
      <w:r>
        <w:rPr>
          <w:rFonts w:ascii="Arial"/>
          <w:b/>
          <w:sz w:val="24"/>
        </w:rPr>
        <w:t>7.</w:t>
      </w:r>
      <w:r>
        <w:rPr>
          <w:rFonts w:ascii="Arial"/>
          <w:b/>
          <w:spacing w:val="-8"/>
          <w:sz w:val="24"/>
        </w:rPr>
        <w:t> </w:t>
      </w:r>
      <w:r>
        <w:rPr>
          <w:rFonts w:ascii="Arial"/>
          <w:b/>
          <w:sz w:val="24"/>
        </w:rPr>
        <w:t>-</w:t>
      </w:r>
      <w:r>
        <w:rPr>
          <w:rFonts w:ascii="Arial"/>
          <w:b/>
          <w:spacing w:val="-8"/>
          <w:sz w:val="24"/>
        </w:rPr>
        <w:t> </w:t>
      </w:r>
      <w:r>
        <w:rPr>
          <w:rFonts w:ascii="Arial"/>
          <w:b/>
          <w:sz w:val="24"/>
        </w:rPr>
        <w:t>Certainty</w:t>
      </w:r>
      <w:r>
        <w:rPr>
          <w:rFonts w:ascii="Arial"/>
          <w:b/>
          <w:spacing w:val="-8"/>
          <w:sz w:val="24"/>
        </w:rPr>
        <w:t> </w:t>
      </w:r>
      <w:r>
        <w:rPr>
          <w:rFonts w:ascii="Arial"/>
          <w:b/>
          <w:sz w:val="24"/>
        </w:rPr>
        <w:t>of</w:t>
      </w:r>
      <w:r>
        <w:rPr>
          <w:rFonts w:ascii="Arial"/>
          <w:b/>
          <w:spacing w:val="-8"/>
          <w:sz w:val="24"/>
        </w:rPr>
        <w:t> </w:t>
      </w:r>
      <w:r>
        <w:rPr>
          <w:rFonts w:ascii="Arial"/>
          <w:b/>
          <w:sz w:val="24"/>
        </w:rPr>
        <w:t>Terms</w:t>
      </w:r>
    </w:p>
    <w:p>
      <w:pPr>
        <w:pStyle w:val="BodyText"/>
        <w:spacing w:before="174"/>
        <w:rPr>
          <w:rFonts w:ascii="Arial"/>
          <w:b/>
          <w:sz w:val="24"/>
        </w:rPr>
      </w:pPr>
    </w:p>
    <w:p>
      <w:pPr>
        <w:spacing w:before="0"/>
        <w:ind w:left="165" w:right="0" w:firstLine="0"/>
        <w:jc w:val="left"/>
        <w:rPr>
          <w:rFonts w:ascii="Arial"/>
          <w:b/>
          <w:sz w:val="18"/>
        </w:rPr>
      </w:pPr>
      <w:r>
        <w:rPr>
          <w:rFonts w:ascii="Arial"/>
          <w:b/>
          <w:sz w:val="18"/>
        </w:rPr>
        <w:t>Requirement of </w:t>
      </w:r>
      <w:r>
        <w:rPr>
          <w:rFonts w:ascii="Arial"/>
          <w:b/>
          <w:spacing w:val="-2"/>
          <w:sz w:val="18"/>
        </w:rPr>
        <w:t>certainty</w:t>
      </w:r>
    </w:p>
    <w:p>
      <w:pPr>
        <w:pStyle w:val="BodyText"/>
        <w:spacing w:before="41"/>
        <w:rPr>
          <w:rFonts w:ascii="Arial"/>
          <w:b/>
          <w:sz w:val="18"/>
        </w:rPr>
      </w:pPr>
    </w:p>
    <w:p>
      <w:pPr>
        <w:pStyle w:val="Heading2"/>
      </w:pPr>
      <w:r>
        <w:rPr/>
        <w:t>2-</w:t>
      </w:r>
      <w:r>
        <w:rPr>
          <w:spacing w:val="-5"/>
        </w:rPr>
        <w:t>147</w:t>
      </w:r>
    </w:p>
    <w:p>
      <w:pPr>
        <w:pStyle w:val="BodyText"/>
        <w:spacing w:before="93"/>
        <w:rPr>
          <w:rFonts w:ascii="Arial"/>
          <w:b/>
        </w:rPr>
      </w:pPr>
    </w:p>
    <w:p>
      <w:pPr>
        <w:pStyle w:val="BodyText"/>
        <w:spacing w:line="235" w:lineRule="auto"/>
        <w:ind w:left="165" w:right="167"/>
        <w:jc w:val="both"/>
        <w:rPr>
          <w:rFonts w:ascii="Arial"/>
          <w:i/>
        </w:rPr>
      </w:pPr>
      <w:r>
        <w:rPr>
          <w:position w:val="-2"/>
        </w:rPr>
        <w:drawing>
          <wp:inline distT="0" distB="0" distL="0" distR="0">
            <wp:extent cx="107988" cy="107988"/>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An agreement may lack contractual force because it is so vague or uncertain that no definite </w:t>
      </w:r>
      <w:bookmarkStart w:name="_bookmark1530" w:id="1532"/>
      <w:bookmarkEnd w:id="1532"/>
      <w:r>
        <w:rPr/>
        <w:t>meaning</w:t>
      </w:r>
      <w:r>
        <w:rPr>
          <w:spacing w:val="8"/>
        </w:rPr>
        <w:t> </w:t>
      </w:r>
      <w:r>
        <w:rPr/>
        <w:t>can</w:t>
      </w:r>
      <w:r>
        <w:rPr>
          <w:spacing w:val="8"/>
        </w:rPr>
        <w:t> </w:t>
      </w:r>
      <w:r>
        <w:rPr/>
        <w:t>be</w:t>
      </w:r>
      <w:r>
        <w:rPr>
          <w:spacing w:val="8"/>
        </w:rPr>
        <w:t> </w:t>
      </w:r>
      <w:r>
        <w:rPr/>
        <w:t>given</w:t>
      </w:r>
      <w:r>
        <w:rPr>
          <w:spacing w:val="8"/>
        </w:rPr>
        <w:t> </w:t>
      </w:r>
      <w:r>
        <w:rPr/>
        <w:t>to</w:t>
      </w:r>
      <w:r>
        <w:rPr>
          <w:spacing w:val="8"/>
        </w:rPr>
        <w:t> </w:t>
      </w:r>
      <w:r>
        <w:rPr/>
        <w:t>it</w:t>
      </w:r>
      <w:r>
        <w:rPr>
          <w:spacing w:val="8"/>
        </w:rPr>
        <w:t> </w:t>
      </w:r>
      <w:r>
        <w:rPr/>
        <w:t>without</w:t>
      </w:r>
      <w:r>
        <w:rPr>
          <w:spacing w:val="8"/>
        </w:rPr>
        <w:t> </w:t>
      </w:r>
      <w:r>
        <w:rPr/>
        <w:t>adding</w:t>
      </w:r>
      <w:r>
        <w:rPr>
          <w:spacing w:val="8"/>
        </w:rPr>
        <w:t> </w:t>
      </w:r>
      <w:r>
        <w:rPr/>
        <w:t>further</w:t>
      </w:r>
      <w:r>
        <w:rPr>
          <w:spacing w:val="8"/>
        </w:rPr>
        <w:t> </w:t>
      </w:r>
      <w:r>
        <w:rPr/>
        <w:t>terms.</w:t>
      </w:r>
      <w:r>
        <w:rPr>
          <w:spacing w:val="8"/>
        </w:rPr>
        <w:t> </w:t>
      </w:r>
      <w:r>
        <w:rPr/>
        <w:t>For</w:t>
      </w:r>
      <w:r>
        <w:rPr>
          <w:spacing w:val="8"/>
        </w:rPr>
        <w:t> </w:t>
      </w:r>
      <w:r>
        <w:rPr/>
        <w:t>example,</w:t>
      </w:r>
      <w:r>
        <w:rPr>
          <w:spacing w:val="8"/>
        </w:rPr>
        <w:t> </w:t>
      </w:r>
      <w:r>
        <w:rPr/>
        <w:t>in</w:t>
      </w:r>
      <w:r>
        <w:rPr>
          <w:spacing w:val="7"/>
        </w:rPr>
        <w:t> </w:t>
      </w:r>
      <w:r>
        <w:rPr>
          <w:rFonts w:ascii="Arial"/>
          <w:i/>
        </w:rPr>
        <w:t>G.</w:t>
      </w:r>
      <w:r>
        <w:rPr>
          <w:rFonts w:ascii="Arial"/>
          <w:i/>
          <w:spacing w:val="8"/>
        </w:rPr>
        <w:t> </w:t>
      </w:r>
      <w:r>
        <w:rPr>
          <w:rFonts w:ascii="Arial"/>
          <w:i/>
        </w:rPr>
        <w:t>Scammell</w:t>
      </w:r>
      <w:r>
        <w:rPr>
          <w:rFonts w:ascii="Arial"/>
          <w:i/>
          <w:spacing w:val="8"/>
        </w:rPr>
        <w:t> </w:t>
      </w:r>
      <w:r>
        <w:rPr>
          <w:rFonts w:ascii="Arial"/>
          <w:i/>
        </w:rPr>
        <w:t>&amp;</w:t>
      </w:r>
      <w:r>
        <w:rPr>
          <w:rFonts w:ascii="Arial"/>
          <w:i/>
          <w:spacing w:val="8"/>
        </w:rPr>
        <w:t> </w:t>
      </w:r>
      <w:r>
        <w:rPr>
          <w:rFonts w:ascii="Arial"/>
          <w:i/>
        </w:rPr>
        <w:t>Nephew</w:t>
      </w:r>
      <w:r>
        <w:rPr>
          <w:rFonts w:ascii="Arial"/>
          <w:i/>
          <w:spacing w:val="8"/>
        </w:rPr>
        <w:t> </w:t>
      </w:r>
      <w:r>
        <w:rPr>
          <w:rFonts w:ascii="Arial"/>
          <w:i/>
          <w:spacing w:val="-5"/>
        </w:rPr>
        <w:t>Ltd</w:t>
      </w:r>
    </w:p>
    <w:p>
      <w:pPr>
        <w:pStyle w:val="BodyText"/>
        <w:spacing w:line="235" w:lineRule="auto" w:before="119"/>
        <w:ind w:left="164" w:right="167"/>
        <w:jc w:val="both"/>
      </w:pPr>
      <w:r>
        <w:rPr>
          <w:rFonts w:ascii="Arial" w:hAnsi="Arial"/>
          <w:i/>
        </w:rPr>
        <w:t>v Ouston</w:t>
      </w:r>
      <w:r>
        <w:rPr/>
        <w:t>, </w:t>
      </w:r>
      <w:r>
        <w:rPr>
          <w:color w:val="005DA1"/>
          <w:u w:val="single" w:color="005DA1"/>
          <w:vertAlign w:val="superscript"/>
        </w:rPr>
        <w:t>803</w:t>
      </w:r>
      <w:r>
        <w:rPr>
          <w:color w:val="005DA1"/>
          <w:spacing w:val="80"/>
          <w:vertAlign w:val="baseline"/>
        </w:rPr>
        <w:t> </w:t>
      </w:r>
      <w:r>
        <w:rPr>
          <w:color w:val="005DA1"/>
          <w:spacing w:val="11"/>
          <w:position w:val="-2"/>
          <w:vertAlign w:val="baseline"/>
        </w:rPr>
        <w:drawing>
          <wp:inline distT="0" distB="0" distL="0" distR="0">
            <wp:extent cx="107988" cy="107988"/>
            <wp:effectExtent l="0" t="0" r="0" b="0"/>
            <wp:docPr id="122" name="Image 122"/>
            <wp:cNvGraphicFramePr>
              <a:graphicFrameLocks/>
            </wp:cNvGraphicFramePr>
            <a:graphic>
              <a:graphicData uri="http://schemas.openxmlformats.org/drawingml/2006/picture">
                <pic:pic>
                  <pic:nvPicPr>
                    <pic:cNvPr id="122" name="Image 12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1"/>
          <w:position w:val="-2"/>
          <w:vertAlign w:val="baseline"/>
        </w:rPr>
      </w:r>
      <w:r>
        <w:rPr>
          <w:rFonts w:ascii="Times New Roman" w:hAnsi="Times New Roman"/>
          <w:color w:val="005DA1"/>
          <w:spacing w:val="-4"/>
          <w:vertAlign w:val="baseline"/>
        </w:rPr>
        <w:t> </w:t>
      </w:r>
      <w:r>
        <w:rPr>
          <w:vertAlign w:val="baseline"/>
        </w:rPr>
        <w:t>the House of Lords held that an agreement to acquire goods “on hire-purchase” was too vague to be enforced since there were many kinds of hire-purchase agreements in widely</w:t>
      </w:r>
      <w:r>
        <w:rPr>
          <w:spacing w:val="80"/>
          <w:vertAlign w:val="baseline"/>
        </w:rPr>
        <w:t> </w:t>
      </w:r>
      <w:r>
        <w:rPr>
          <w:vertAlign w:val="baseline"/>
        </w:rPr>
        <w:t>different terms, so that it was impossible to specify the terms on which the parties had agreed. Similar </w:t>
      </w:r>
      <w:bookmarkStart w:name="_bookmark1531" w:id="1533"/>
      <w:bookmarkEnd w:id="1533"/>
      <w:r>
        <w:rPr>
          <w:vertAlign w:val="baseline"/>
        </w:rPr>
        <w:t>reasoning</w:t>
      </w:r>
      <w:r>
        <w:rPr>
          <w:vertAlign w:val="baseline"/>
        </w:rPr>
        <w:t> may be applied where the agreement is expressed to be subject to a condition </w:t>
      </w:r>
      <w:r>
        <w:rPr>
          <w:vertAlign w:val="baseline"/>
        </w:rPr>
        <w:t>that depends on the satisfaction of one of the parties </w:t>
      </w:r>
      <w:r>
        <w:rPr>
          <w:color w:val="005DA1"/>
          <w:u w:val="single" w:color="005DA1"/>
          <w:vertAlign w:val="superscript"/>
        </w:rPr>
        <w:t>804</w:t>
      </w:r>
      <w:r>
        <w:rPr>
          <w:vertAlign w:val="baseline"/>
        </w:rPr>
        <w:t>; the problems arising from such provisions </w:t>
      </w:r>
      <w:r>
        <w:rPr>
          <w:vertAlign w:val="baseline"/>
        </w:rPr>
        <w:t>are discussed in para.2-163, below.</w:t>
      </w:r>
    </w:p>
    <w:p>
      <w:pPr>
        <w:pStyle w:val="BodyText"/>
      </w:pPr>
    </w:p>
    <w:p>
      <w:pPr>
        <w:pStyle w:val="BodyText"/>
        <w:spacing w:before="37"/>
      </w:pPr>
    </w:p>
    <w:p>
      <w:pPr>
        <w:spacing w:before="0"/>
        <w:ind w:left="164" w:right="0" w:firstLine="0"/>
        <w:jc w:val="both"/>
        <w:rPr>
          <w:rFonts w:ascii="Arial"/>
          <w:b/>
          <w:sz w:val="18"/>
        </w:rPr>
      </w:pPr>
      <w:r>
        <w:rPr>
          <w:rFonts w:ascii="Arial"/>
          <w:b/>
          <w:sz w:val="18"/>
        </w:rPr>
        <w:t>Qualifications of the requirement of </w:t>
      </w:r>
      <w:r>
        <w:rPr>
          <w:rFonts w:ascii="Arial"/>
          <w:b/>
          <w:spacing w:val="-2"/>
          <w:sz w:val="18"/>
        </w:rPr>
        <w:t>certainty</w:t>
      </w:r>
    </w:p>
    <w:p>
      <w:pPr>
        <w:pStyle w:val="BodyText"/>
        <w:spacing w:before="41"/>
        <w:rPr>
          <w:rFonts w:ascii="Arial"/>
          <w:b/>
          <w:sz w:val="18"/>
        </w:rPr>
      </w:pPr>
    </w:p>
    <w:p>
      <w:pPr>
        <w:pStyle w:val="Heading2"/>
        <w:ind w:left="164"/>
      </w:pPr>
      <w:r>
        <w:rPr/>
        <w:t>2-</w:t>
      </w:r>
      <w:r>
        <w:rPr>
          <w:spacing w:val="-5"/>
        </w:rPr>
        <w:t>148</w:t>
      </w:r>
    </w:p>
    <w:p>
      <w:pPr>
        <w:pStyle w:val="BodyText"/>
        <w:spacing w:line="235" w:lineRule="auto" w:before="203"/>
        <w:ind w:left="164" w:right="167"/>
        <w:jc w:val="both"/>
      </w:pPr>
      <w:r>
        <w:rPr/>
        <w:t>The courts do not expect commercial documents to be drafted with strict legal precision. The cases provide many examples of judicial awareness of the danger that too strict an application of the requirement of certainty could result in the striking down of agreements intended by the parties </w:t>
      </w:r>
      <w:r>
        <w:rPr/>
        <w:t>to </w:t>
      </w:r>
      <w:bookmarkStart w:name="_bookmark1532" w:id="1534"/>
      <w:bookmarkEnd w:id="1534"/>
      <w:r>
        <w:rPr/>
        <w:t>have</w:t>
      </w:r>
      <w:r>
        <w:rPr/>
        <w:t> binding force. The courts are reluctant to reach such a conclusion, particularly where the parties have acted on the agreement. </w:t>
      </w:r>
      <w:r>
        <w:rPr>
          <w:color w:val="005DA1"/>
          <w:u w:val="single" w:color="005DA1"/>
          <w:vertAlign w:val="superscript"/>
        </w:rPr>
        <w:t>805</w:t>
      </w:r>
      <w:r>
        <w:rPr>
          <w:color w:val="005DA1"/>
          <w:vertAlign w:val="baseline"/>
        </w:rPr>
        <w:t> </w:t>
      </w:r>
      <w:r>
        <w:rPr>
          <w:vertAlign w:val="baseline"/>
        </w:rPr>
        <w:t>As Lord Wright said in </w:t>
      </w:r>
      <w:r>
        <w:rPr>
          <w:rFonts w:ascii="Arial"/>
          <w:i/>
          <w:vertAlign w:val="baseline"/>
        </w:rPr>
        <w:t>Hillas &amp; Co Ltd v Arcos Ltd </w:t>
      </w:r>
      <w:r>
        <w:rPr>
          <w:color w:val="005DA1"/>
          <w:u w:val="single" w:color="005DA1"/>
          <w:vertAlign w:val="superscript"/>
        </w:rPr>
        <w:t>806</w:t>
      </w:r>
      <w:r>
        <w:rPr>
          <w:vertAlign w:val="baseline"/>
        </w:rPr>
        <w:t>:</w:t>
      </w:r>
    </w:p>
    <w:p>
      <w:pPr>
        <w:pStyle w:val="BodyText"/>
      </w:pPr>
    </w:p>
    <w:p>
      <w:pPr>
        <w:pStyle w:val="BodyText"/>
        <w:spacing w:before="124"/>
      </w:pPr>
    </w:p>
    <w:p>
      <w:pPr>
        <w:pStyle w:val="BodyText"/>
        <w:spacing w:line="235" w:lineRule="auto" w:before="1"/>
        <w:ind w:left="1245" w:right="167"/>
        <w:jc w:val="both"/>
      </w:pPr>
      <w:r>
        <w:rPr/>
        <w:t>“Businessmen often record the most important agreements in crude and </w:t>
      </w:r>
      <w:r>
        <w:rPr/>
        <w:t>summary fashion; modes of expression sufficient and clear to them in the course of their business may appear to those unfamiliar with the business far from complete or precise. It is accordingly the duty of the court to construe such documents fairly and broadly, without being too astute or subtle in finding defects; but, on the contrary, the court should seek to apply the old maxim of English law, verba ita sunt intelligenda ut res magis valeat quam pereat. That maxim, however, does not mean that the court is to make a contract for the parties, or to go outside the words they have used, except in so far as they are appropriate implications of law.”</w:t>
      </w:r>
    </w:p>
    <w:p>
      <w:pPr>
        <w:pStyle w:val="BodyText"/>
        <w:spacing w:before="113"/>
      </w:pPr>
    </w:p>
    <w:p>
      <w:pPr>
        <w:pStyle w:val="BodyText"/>
        <w:spacing w:line="235" w:lineRule="auto"/>
        <w:ind w:left="165" w:right="167"/>
        <w:jc w:val="both"/>
      </w:pPr>
      <w:r>
        <w:rPr/>
        <w:t>In accordance with these principles, the courts have developed a number of qualifications to </w:t>
      </w:r>
      <w:r>
        <w:rPr/>
        <w:t>the requirement of certainty; these qualifications are stated in paras 2-149—2-154, below.</w:t>
      </w:r>
    </w:p>
    <w:p>
      <w:pPr>
        <w:pStyle w:val="BodyText"/>
      </w:pPr>
    </w:p>
    <w:p>
      <w:pPr>
        <w:pStyle w:val="BodyText"/>
        <w:spacing w:before="38"/>
      </w:pPr>
    </w:p>
    <w:p>
      <w:pPr>
        <w:spacing w:before="0"/>
        <w:ind w:left="165" w:right="0" w:firstLine="0"/>
        <w:jc w:val="left"/>
        <w:rPr>
          <w:rFonts w:ascii="Arial"/>
          <w:b/>
          <w:sz w:val="18"/>
        </w:rPr>
      </w:pPr>
      <w:r>
        <w:rPr>
          <w:rFonts w:ascii="Arial"/>
          <w:b/>
          <w:sz w:val="18"/>
        </w:rPr>
        <w:t>Custom and trade </w:t>
      </w:r>
      <w:r>
        <w:rPr>
          <w:rFonts w:ascii="Arial"/>
          <w:b/>
          <w:spacing w:val="-2"/>
          <w:sz w:val="18"/>
        </w:rPr>
        <w:t>usage</w:t>
      </w:r>
    </w:p>
    <w:p>
      <w:pPr>
        <w:pStyle w:val="BodyText"/>
        <w:spacing w:before="41"/>
        <w:rPr>
          <w:rFonts w:ascii="Arial"/>
          <w:b/>
          <w:sz w:val="18"/>
        </w:rPr>
      </w:pPr>
    </w:p>
    <w:p>
      <w:pPr>
        <w:pStyle w:val="Heading2"/>
      </w:pPr>
      <w:r>
        <w:rPr/>
        <w:t>2-</w:t>
      </w:r>
      <w:r>
        <w:rPr>
          <w:spacing w:val="-5"/>
        </w:rPr>
        <w:t>149</w:t>
      </w:r>
    </w:p>
    <w:p>
      <w:pPr>
        <w:pStyle w:val="Heading2"/>
        <w:spacing w:after="0"/>
        <w:sectPr>
          <w:headerReference w:type="default" r:id="rId26"/>
          <w:pgSz w:w="11900" w:h="16840"/>
          <w:pgMar w:header="971" w:footer="0" w:top="1300" w:bottom="280" w:left="1275" w:right="1275"/>
          <w:pgNumType w:start="1"/>
        </w:sectPr>
      </w:pPr>
    </w:p>
    <w:p>
      <w:pPr>
        <w:pStyle w:val="BodyText"/>
        <w:spacing w:line="235" w:lineRule="auto" w:before="210"/>
        <w:ind w:left="164" w:right="167"/>
        <w:jc w:val="both"/>
      </w:pPr>
      <w:r>
        <w:rPr/>
        <w:t>Apparent</w:t>
      </w:r>
      <w:r>
        <w:rPr>
          <w:spacing w:val="-1"/>
        </w:rPr>
        <w:t> </w:t>
      </w:r>
      <w:r>
        <w:rPr/>
        <w:t>vagueness</w:t>
      </w:r>
      <w:r>
        <w:rPr>
          <w:spacing w:val="-1"/>
        </w:rPr>
        <w:t> </w:t>
      </w:r>
      <w:r>
        <w:rPr/>
        <w:t>may</w:t>
      </w:r>
      <w:r>
        <w:rPr>
          <w:spacing w:val="-1"/>
        </w:rPr>
        <w:t> </w:t>
      </w:r>
      <w:r>
        <w:rPr/>
        <w:t>be</w:t>
      </w:r>
      <w:r>
        <w:rPr>
          <w:spacing w:val="-1"/>
        </w:rPr>
        <w:t> </w:t>
      </w:r>
      <w:r>
        <w:rPr/>
        <w:t>resolved</w:t>
      </w:r>
      <w:r>
        <w:rPr>
          <w:spacing w:val="-1"/>
        </w:rPr>
        <w:t> </w:t>
      </w:r>
      <w:r>
        <w:rPr/>
        <w:t>by</w:t>
      </w:r>
      <w:r>
        <w:rPr>
          <w:spacing w:val="-1"/>
        </w:rPr>
        <w:t> </w:t>
      </w:r>
      <w:r>
        <w:rPr/>
        <w:t>custom.</w:t>
      </w:r>
      <w:r>
        <w:rPr>
          <w:spacing w:val="-1"/>
        </w:rPr>
        <w:t> </w:t>
      </w:r>
      <w:r>
        <w:rPr/>
        <w:t>For</w:t>
      </w:r>
      <w:r>
        <w:rPr>
          <w:spacing w:val="-1"/>
        </w:rPr>
        <w:t> </w:t>
      </w:r>
      <w:r>
        <w:rPr/>
        <w:t>example,</w:t>
      </w:r>
      <w:r>
        <w:rPr>
          <w:spacing w:val="-1"/>
        </w:rPr>
        <w:t> </w:t>
      </w:r>
      <w:r>
        <w:rPr/>
        <w:t>a</w:t>
      </w:r>
      <w:r>
        <w:rPr>
          <w:spacing w:val="-1"/>
        </w:rPr>
        <w:t> </w:t>
      </w:r>
      <w:r>
        <w:rPr/>
        <w:t>contract</w:t>
      </w:r>
      <w:r>
        <w:rPr>
          <w:spacing w:val="-1"/>
        </w:rPr>
        <w:t> </w:t>
      </w:r>
      <w:r>
        <w:rPr/>
        <w:t>to</w:t>
      </w:r>
      <w:r>
        <w:rPr>
          <w:spacing w:val="-1"/>
        </w:rPr>
        <w:t> </w:t>
      </w:r>
      <w:r>
        <w:rPr/>
        <w:t>load</w:t>
      </w:r>
      <w:r>
        <w:rPr>
          <w:spacing w:val="-1"/>
        </w:rPr>
        <w:t> </w:t>
      </w:r>
      <w:r>
        <w:rPr/>
        <w:t>coal</w:t>
      </w:r>
      <w:r>
        <w:rPr>
          <w:spacing w:val="-1"/>
        </w:rPr>
        <w:t> </w:t>
      </w:r>
      <w:r>
        <w:rPr/>
        <w:t>at</w:t>
      </w:r>
      <w:r>
        <w:rPr>
          <w:spacing w:val="-1"/>
        </w:rPr>
        <w:t> </w:t>
      </w:r>
      <w:r>
        <w:rPr/>
        <w:t>Grimsby</w:t>
      </w:r>
      <w:r>
        <w:rPr>
          <w:spacing w:val="-1"/>
        </w:rPr>
        <w:t> </w:t>
      </w:r>
      <w:r>
        <w:rPr/>
        <w:t>“on </w:t>
      </w:r>
      <w:bookmarkStart w:name="_bookmark1533" w:id="1535"/>
      <w:bookmarkEnd w:id="1535"/>
      <w:r>
        <w:rPr/>
        <w:t>the</w:t>
      </w:r>
      <w:r>
        <w:rPr/>
        <w:t> terms of the usual colliery guarantee” was upheld on proof of the terms usually contained in such guarantees at Grimsby. </w:t>
      </w:r>
      <w:r>
        <w:rPr>
          <w:color w:val="005DA1"/>
          <w:u w:val="single" w:color="005DA1"/>
          <w:vertAlign w:val="superscript"/>
        </w:rPr>
        <w:t>807</w:t>
      </w:r>
      <w:r>
        <w:rPr>
          <w:color w:val="005DA1"/>
          <w:vertAlign w:val="baseline"/>
        </w:rPr>
        <w:t> </w:t>
      </w:r>
      <w:r>
        <w:rPr>
          <w:vertAlign w:val="baseline"/>
        </w:rPr>
        <w:t>It has similarly been held that undertaking to grant a lease of a shop “in </w:t>
      </w:r>
      <w:bookmarkStart w:name="_bookmark1534" w:id="1536"/>
      <w:bookmarkEnd w:id="1536"/>
      <w:r>
        <w:rPr>
          <w:vertAlign w:val="baseline"/>
        </w:rPr>
        <w:t>prime</w:t>
      </w:r>
      <w:r>
        <w:rPr>
          <w:vertAlign w:val="baseline"/>
        </w:rPr>
        <w:t> position” was not too uncertain to be enforced since the phrase was commonly used by</w:t>
      </w:r>
      <w:r>
        <w:rPr>
          <w:spacing w:val="40"/>
          <w:vertAlign w:val="baseline"/>
        </w:rPr>
        <w:t> </w:t>
      </w:r>
      <w:bookmarkStart w:name="_bookmark1535" w:id="1537"/>
      <w:bookmarkEnd w:id="1537"/>
      <w:r>
        <w:rPr>
          <w:vertAlign w:val="baseline"/>
        </w:rPr>
        <w:t>persons</w:t>
      </w:r>
      <w:r>
        <w:rPr>
          <w:vertAlign w:val="baseline"/>
        </w:rPr>
        <w:t> dealing with shop property, so that its meaning could be determined by expert evidence. </w:t>
      </w:r>
      <w:r>
        <w:rPr>
          <w:color w:val="005DA1"/>
          <w:u w:val="single" w:color="005DA1"/>
          <w:vertAlign w:val="superscript"/>
        </w:rPr>
        <w:t>808</w:t>
      </w:r>
      <w:r>
        <w:rPr>
          <w:color w:val="005DA1"/>
          <w:vertAlign w:val="baseline"/>
        </w:rPr>
        <w:t> </w:t>
      </w:r>
      <w:bookmarkStart w:name="_bookmark1536" w:id="1538"/>
      <w:bookmarkEnd w:id="1538"/>
      <w:r>
        <w:rPr>
          <w:color w:val="005DA1"/>
          <w:w w:val="92"/>
          <w:vertAlign w:val="baseline"/>
        </w:rPr>
      </w:r>
      <w:r>
        <w:rPr>
          <w:vertAlign w:val="baseline"/>
        </w:rPr>
        <w:t>On the other hand, agreements “subject to war clause”, </w:t>
      </w:r>
      <w:r>
        <w:rPr>
          <w:color w:val="005DA1"/>
          <w:u w:val="single" w:color="005DA1"/>
          <w:vertAlign w:val="superscript"/>
        </w:rPr>
        <w:t>809</w:t>
      </w:r>
      <w:r>
        <w:rPr>
          <w:color w:val="005DA1"/>
          <w:vertAlign w:val="baseline"/>
        </w:rPr>
        <w:t> </w:t>
      </w:r>
      <w:r>
        <w:rPr>
          <w:vertAlign w:val="baseline"/>
        </w:rPr>
        <w:t>“subject to strike and lock-out clause” </w:t>
      </w:r>
      <w:r>
        <w:rPr>
          <w:color w:val="005DA1"/>
          <w:u w:val="single" w:color="005DA1"/>
          <w:vertAlign w:val="superscript"/>
        </w:rPr>
        <w:t>810</w:t>
      </w:r>
      <w:r>
        <w:rPr>
          <w:color w:val="005DA1"/>
          <w:vertAlign w:val="baseline"/>
        </w:rPr>
        <w:t> </w:t>
      </w:r>
      <w:r>
        <w:rPr>
          <w:vertAlign w:val="baseline"/>
        </w:rPr>
        <w:t>and “subject to force majeure conditions” </w:t>
      </w:r>
      <w:r>
        <w:rPr>
          <w:color w:val="005DA1"/>
          <w:u w:val="single" w:color="005DA1"/>
          <w:vertAlign w:val="superscript"/>
        </w:rPr>
        <w:t>811</w:t>
      </w:r>
      <w:r>
        <w:rPr>
          <w:color w:val="005DA1"/>
          <w:vertAlign w:val="baseline"/>
        </w:rPr>
        <w:t> </w:t>
      </w:r>
      <w:r>
        <w:rPr>
          <w:vertAlign w:val="baseline"/>
        </w:rPr>
        <w:t>have been held too vague, as there was no evidence in any of the cases of any customary or usual form of such clauses or conditions.</w:t>
      </w:r>
    </w:p>
    <w:p>
      <w:pPr>
        <w:pStyle w:val="BodyText"/>
      </w:pPr>
    </w:p>
    <w:p>
      <w:pPr>
        <w:pStyle w:val="BodyText"/>
        <w:spacing w:before="36"/>
      </w:pPr>
    </w:p>
    <w:p>
      <w:pPr>
        <w:spacing w:before="0"/>
        <w:ind w:left="165" w:right="0" w:firstLine="0"/>
        <w:jc w:val="left"/>
        <w:rPr>
          <w:rFonts w:ascii="Arial"/>
          <w:b/>
          <w:sz w:val="18"/>
        </w:rPr>
      </w:pPr>
      <w:r>
        <w:rPr>
          <w:rFonts w:ascii="Arial"/>
          <w:b/>
          <w:spacing w:val="-2"/>
          <w:sz w:val="18"/>
        </w:rPr>
        <w:t>Reasonableness</w:t>
      </w:r>
    </w:p>
    <w:p>
      <w:pPr>
        <w:pStyle w:val="BodyText"/>
        <w:spacing w:before="41"/>
        <w:rPr>
          <w:rFonts w:ascii="Arial"/>
          <w:b/>
          <w:sz w:val="18"/>
        </w:rPr>
      </w:pPr>
    </w:p>
    <w:p>
      <w:pPr>
        <w:pStyle w:val="Heading2"/>
      </w:pPr>
      <w:r>
        <w:rPr/>
        <w:t>2-</w:t>
      </w:r>
      <w:r>
        <w:rPr>
          <w:spacing w:val="-5"/>
        </w:rPr>
        <w:t>150</w:t>
      </w:r>
    </w:p>
    <w:p>
      <w:pPr>
        <w:pStyle w:val="BodyText"/>
        <w:spacing w:line="235" w:lineRule="auto" w:before="203"/>
        <w:ind w:left="165" w:right="167"/>
        <w:jc w:val="both"/>
      </w:pPr>
      <w:bookmarkStart w:name="_bookmark1537" w:id="1539"/>
      <w:bookmarkEnd w:id="1539"/>
      <w:r>
        <w:rPr/>
      </w:r>
      <w:r>
        <w:rPr/>
        <w:t>In </w:t>
      </w:r>
      <w:r>
        <w:rPr>
          <w:rFonts w:ascii="Arial" w:hAnsi="Arial"/>
          <w:i/>
        </w:rPr>
        <w:t>Hillas &amp; Co Ltd v Arcos Ltd </w:t>
      </w:r>
      <w:r>
        <w:rPr>
          <w:color w:val="005DA1"/>
          <w:u w:val="single" w:color="005DA1"/>
          <w:vertAlign w:val="superscript"/>
        </w:rPr>
        <w:t>812</w:t>
      </w:r>
      <w:r>
        <w:rPr>
          <w:color w:val="005DA1"/>
          <w:vertAlign w:val="baseline"/>
        </w:rPr>
        <w:t> </w:t>
      </w:r>
      <w:r>
        <w:rPr>
          <w:vertAlign w:val="baseline"/>
        </w:rPr>
        <w:t>an agreement for the sale of timber “of fair specification” was made between persons well acquainted with the timber trade. The agreement was held binding on the grounds that, in these circumstances, the standard of reasonableness could be applied to </w:t>
      </w:r>
      <w:r>
        <w:rPr>
          <w:vertAlign w:val="baseline"/>
        </w:rPr>
        <w:t>give sufficient</w:t>
      </w:r>
      <w:r>
        <w:rPr>
          <w:spacing w:val="-2"/>
          <w:vertAlign w:val="baseline"/>
        </w:rPr>
        <w:t> </w:t>
      </w:r>
      <w:r>
        <w:rPr>
          <w:vertAlign w:val="baseline"/>
        </w:rPr>
        <w:t>certainty</w:t>
      </w:r>
      <w:r>
        <w:rPr>
          <w:spacing w:val="-2"/>
          <w:vertAlign w:val="baseline"/>
        </w:rPr>
        <w:t> </w:t>
      </w:r>
      <w:r>
        <w:rPr>
          <w:vertAlign w:val="baseline"/>
        </w:rPr>
        <w:t>to</w:t>
      </w:r>
      <w:r>
        <w:rPr>
          <w:spacing w:val="-2"/>
          <w:vertAlign w:val="baseline"/>
        </w:rPr>
        <w:t> </w:t>
      </w:r>
      <w:r>
        <w:rPr>
          <w:vertAlign w:val="baseline"/>
        </w:rPr>
        <w:t>an</w:t>
      </w:r>
      <w:r>
        <w:rPr>
          <w:spacing w:val="-2"/>
          <w:vertAlign w:val="baseline"/>
        </w:rPr>
        <w:t> </w:t>
      </w:r>
      <w:r>
        <w:rPr>
          <w:vertAlign w:val="baseline"/>
        </w:rPr>
        <w:t>otherwise</w:t>
      </w:r>
      <w:r>
        <w:rPr>
          <w:spacing w:val="-2"/>
          <w:vertAlign w:val="baseline"/>
        </w:rPr>
        <w:t> </w:t>
      </w:r>
      <w:r>
        <w:rPr>
          <w:vertAlign w:val="baseline"/>
        </w:rPr>
        <w:t>vague</w:t>
      </w:r>
      <w:r>
        <w:rPr>
          <w:spacing w:val="-2"/>
          <w:vertAlign w:val="baseline"/>
        </w:rPr>
        <w:t> </w:t>
      </w:r>
      <w:r>
        <w:rPr>
          <w:vertAlign w:val="baseline"/>
        </w:rPr>
        <w:t>phrase,</w:t>
      </w:r>
      <w:r>
        <w:rPr>
          <w:spacing w:val="-2"/>
          <w:vertAlign w:val="baseline"/>
        </w:rPr>
        <w:t> </w:t>
      </w:r>
      <w:r>
        <w:rPr>
          <w:vertAlign w:val="baseline"/>
        </w:rPr>
        <w:t>since</w:t>
      </w:r>
      <w:r>
        <w:rPr>
          <w:spacing w:val="-2"/>
          <w:vertAlign w:val="baseline"/>
        </w:rPr>
        <w:t> </w:t>
      </w:r>
      <w:r>
        <w:rPr>
          <w:vertAlign w:val="baseline"/>
        </w:rPr>
        <w:t>that</w:t>
      </w:r>
      <w:r>
        <w:rPr>
          <w:spacing w:val="-2"/>
          <w:vertAlign w:val="baseline"/>
        </w:rPr>
        <w:t> </w:t>
      </w:r>
      <w:r>
        <w:rPr>
          <w:vertAlign w:val="baseline"/>
        </w:rPr>
        <w:t>phrase</w:t>
      </w:r>
      <w:r>
        <w:rPr>
          <w:spacing w:val="-2"/>
          <w:vertAlign w:val="baseline"/>
        </w:rPr>
        <w:t> </w:t>
      </w:r>
      <w:r>
        <w:rPr>
          <w:vertAlign w:val="baseline"/>
        </w:rPr>
        <w:t>imported</w:t>
      </w:r>
      <w:r>
        <w:rPr>
          <w:spacing w:val="-2"/>
          <w:vertAlign w:val="baseline"/>
        </w:rPr>
        <w:t> </w:t>
      </w:r>
      <w:r>
        <w:rPr>
          <w:vertAlign w:val="baseline"/>
        </w:rPr>
        <w:t>an</w:t>
      </w:r>
      <w:r>
        <w:rPr>
          <w:spacing w:val="-2"/>
          <w:vertAlign w:val="baseline"/>
        </w:rPr>
        <w:t> </w:t>
      </w:r>
      <w:r>
        <w:rPr>
          <w:vertAlign w:val="baseline"/>
        </w:rPr>
        <w:t>objective</w:t>
      </w:r>
      <w:r>
        <w:rPr>
          <w:spacing w:val="-2"/>
          <w:vertAlign w:val="baseline"/>
        </w:rPr>
        <w:t> </w:t>
      </w:r>
      <w:r>
        <w:rPr>
          <w:vertAlign w:val="baseline"/>
        </w:rPr>
        <w:t>standard</w:t>
      </w:r>
      <w:r>
        <w:rPr>
          <w:spacing w:val="-2"/>
          <w:vertAlign w:val="baseline"/>
        </w:rPr>
        <w:t> </w:t>
      </w:r>
      <w:r>
        <w:rPr>
          <w:vertAlign w:val="baseline"/>
        </w:rPr>
        <w:t>for </w:t>
      </w:r>
      <w:bookmarkStart w:name="_bookmark1538" w:id="1540"/>
      <w:bookmarkEnd w:id="1540"/>
      <w:r>
        <w:rPr>
          <w:vertAlign w:val="baseline"/>
        </w:rPr>
        <w:t>assessing</w:t>
      </w:r>
      <w:r>
        <w:rPr>
          <w:vertAlign w:val="baseline"/>
        </w:rPr>
        <w:t> the quality of the goods to be supplied. In contrast, in </w:t>
      </w:r>
      <w:r>
        <w:rPr>
          <w:rFonts w:ascii="Arial" w:hAnsi="Arial"/>
          <w:i/>
          <w:vertAlign w:val="baseline"/>
        </w:rPr>
        <w:t>Baird Textile Holdings Ltd v Marks &amp; Spencer Plc </w:t>
      </w:r>
      <w:r>
        <w:rPr>
          <w:color w:val="005DA1"/>
          <w:u w:val="single" w:color="005DA1"/>
          <w:vertAlign w:val="superscript"/>
        </w:rPr>
        <w:t>813</w:t>
      </w:r>
      <w:r>
        <w:rPr>
          <w:color w:val="005DA1"/>
          <w:vertAlign w:val="baseline"/>
        </w:rPr>
        <w:t> </w:t>
      </w:r>
      <w:r>
        <w:rPr>
          <w:vertAlign w:val="baseline"/>
        </w:rPr>
        <w:t>the court rejected the claim of a supplier of clothing to a retail chain that there was an implied contract between them not to terminate their long-standing relationship except on reasonable </w:t>
      </w:r>
      <w:bookmarkStart w:name="_bookmark1539" w:id="1541"/>
      <w:bookmarkEnd w:id="1541"/>
      <w:r>
        <w:rPr>
          <w:vertAlign w:val="baseline"/>
        </w:rPr>
        <w:t>notice.</w:t>
      </w:r>
      <w:r>
        <w:rPr>
          <w:vertAlign w:val="baseline"/>
        </w:rPr>
        <w:t> There were “no objective criteria by which the court could assess what would be reasonable either as to quantity or price”</w:t>
      </w:r>
      <w:r>
        <w:rPr>
          <w:spacing w:val="-1"/>
          <w:vertAlign w:val="baseline"/>
        </w:rPr>
        <w:t> </w:t>
      </w:r>
      <w:r>
        <w:rPr>
          <w:color w:val="005DA1"/>
          <w:u w:val="single" w:color="005DA1"/>
          <w:vertAlign w:val="superscript"/>
        </w:rPr>
        <w:t>814</w:t>
      </w:r>
      <w:r>
        <w:rPr>
          <w:vertAlign w:val="baseline"/>
        </w:rPr>
        <w:t>: hence none of the essential terms governing the supply of the goods could be determined by such criteria. An agreement to pay a “fair” sum may also lack contractual</w:t>
      </w:r>
      <w:r>
        <w:rPr>
          <w:spacing w:val="40"/>
          <w:vertAlign w:val="baseline"/>
        </w:rPr>
        <w:t> </w:t>
      </w:r>
      <w:bookmarkStart w:name="_bookmark1540" w:id="1542"/>
      <w:bookmarkEnd w:id="1542"/>
      <w:r>
        <w:rPr>
          <w:vertAlign w:val="baseline"/>
        </w:rPr>
        <w:t>force</w:t>
      </w:r>
      <w:r>
        <w:rPr>
          <w:vertAlign w:val="baseline"/>
        </w:rPr>
        <w:t> where it states that the principles for determining what amounts to such a sum are to be settled by further negotiations between the parties. In one such case, </w:t>
      </w:r>
      <w:r>
        <w:rPr>
          <w:color w:val="005DA1"/>
          <w:u w:val="single" w:color="005DA1"/>
          <w:vertAlign w:val="superscript"/>
        </w:rPr>
        <w:t>815</w:t>
      </w:r>
      <w:r>
        <w:rPr>
          <w:color w:val="005DA1"/>
          <w:vertAlign w:val="baseline"/>
        </w:rPr>
        <w:t> </w:t>
      </w:r>
      <w:r>
        <w:rPr>
          <w:vertAlign w:val="baseline"/>
        </w:rPr>
        <w:t>a compromise agreement provided that A should pay to B a “fair” share of certain losses suffered by B and that the parties were to draw up a list of principles by which that “fair” share was to be determined. The description of the share as</w:t>
      </w:r>
      <w:r>
        <w:rPr>
          <w:spacing w:val="40"/>
          <w:vertAlign w:val="baseline"/>
        </w:rPr>
        <w:t> </w:t>
      </w:r>
      <w:bookmarkStart w:name="_bookmark1541" w:id="1543"/>
      <w:bookmarkEnd w:id="1543"/>
      <w:r>
        <w:rPr>
          <w:vertAlign w:val="baseline"/>
        </w:rPr>
        <w:t>a</w:t>
      </w:r>
      <w:r>
        <w:rPr>
          <w:vertAlign w:val="baseline"/>
        </w:rPr>
        <w:t> “fair” one was said to be “simply the label which the parties put on the outcome which they hoped to </w:t>
      </w:r>
      <w:bookmarkStart w:name="_bookmark1542" w:id="1544"/>
      <w:bookmarkEnd w:id="1544"/>
      <w:r>
        <w:rPr>
          <w:vertAlign w:val="baseline"/>
        </w:rPr>
        <w:t>achieve.</w:t>
      </w:r>
      <w:r>
        <w:rPr>
          <w:vertAlign w:val="baseline"/>
        </w:rPr>
        <w:t> There was no unqualified commitment to pay a fair share.” </w:t>
      </w:r>
      <w:r>
        <w:rPr>
          <w:color w:val="005DA1"/>
          <w:u w:val="single" w:color="005DA1"/>
          <w:vertAlign w:val="superscript"/>
        </w:rPr>
        <w:t>816</w:t>
      </w:r>
      <w:r>
        <w:rPr>
          <w:color w:val="005DA1"/>
          <w:vertAlign w:val="baseline"/>
        </w:rPr>
        <w:t> </w:t>
      </w:r>
      <w:r>
        <w:rPr>
          <w:vertAlign w:val="baseline"/>
        </w:rPr>
        <w:t>The compromise agreement was therefore merely an agreement to agree and had no contractual force. </w:t>
      </w:r>
      <w:r>
        <w:rPr>
          <w:color w:val="005DA1"/>
          <w:u w:val="single" w:color="005DA1"/>
          <w:vertAlign w:val="superscript"/>
        </w:rPr>
        <w:t>817</w:t>
      </w:r>
    </w:p>
    <w:p>
      <w:pPr>
        <w:pStyle w:val="BodyText"/>
      </w:pPr>
    </w:p>
    <w:p>
      <w:pPr>
        <w:pStyle w:val="BodyText"/>
        <w:spacing w:before="32"/>
      </w:pPr>
    </w:p>
    <w:p>
      <w:pPr>
        <w:spacing w:before="0"/>
        <w:ind w:left="165" w:right="0" w:firstLine="0"/>
        <w:jc w:val="left"/>
        <w:rPr>
          <w:rFonts w:ascii="Arial"/>
          <w:b/>
          <w:sz w:val="18"/>
        </w:rPr>
      </w:pPr>
      <w:r>
        <w:rPr>
          <w:rFonts w:ascii="Arial"/>
          <w:b/>
          <w:sz w:val="18"/>
        </w:rPr>
        <w:t>Duty to resolve </w:t>
      </w:r>
      <w:r>
        <w:rPr>
          <w:rFonts w:ascii="Arial"/>
          <w:b/>
          <w:spacing w:val="-2"/>
          <w:sz w:val="18"/>
        </w:rPr>
        <w:t>uncertainty</w:t>
      </w:r>
    </w:p>
    <w:p>
      <w:pPr>
        <w:pStyle w:val="BodyText"/>
        <w:spacing w:before="41"/>
        <w:rPr>
          <w:rFonts w:ascii="Arial"/>
          <w:b/>
          <w:sz w:val="18"/>
        </w:rPr>
      </w:pPr>
    </w:p>
    <w:p>
      <w:pPr>
        <w:pStyle w:val="Heading2"/>
      </w:pPr>
      <w:r>
        <w:rPr/>
        <w:t>2-</w:t>
      </w:r>
      <w:r>
        <w:rPr>
          <w:spacing w:val="-5"/>
        </w:rPr>
        <w:t>151</w:t>
      </w:r>
    </w:p>
    <w:p>
      <w:pPr>
        <w:pStyle w:val="BodyText"/>
        <w:spacing w:line="235" w:lineRule="auto" w:before="203"/>
        <w:ind w:left="165" w:right="167"/>
        <w:jc w:val="both"/>
      </w:pPr>
      <w:r>
        <w:rPr/>
        <w:t>An agreement containing a vague phrase may be binding because one party is under a duty </w:t>
      </w:r>
      <w:r>
        <w:rPr/>
        <w:t>to resolve</w:t>
      </w:r>
      <w:r>
        <w:rPr>
          <w:spacing w:val="13"/>
        </w:rPr>
        <w:t> </w:t>
      </w:r>
      <w:r>
        <w:rPr/>
        <w:t>the</w:t>
      </w:r>
      <w:r>
        <w:rPr>
          <w:spacing w:val="13"/>
        </w:rPr>
        <w:t> </w:t>
      </w:r>
      <w:r>
        <w:rPr/>
        <w:t>uncertainty.</w:t>
      </w:r>
      <w:r>
        <w:rPr>
          <w:spacing w:val="13"/>
        </w:rPr>
        <w:t> </w:t>
      </w:r>
      <w:r>
        <w:rPr/>
        <w:t>In</w:t>
      </w:r>
      <w:r>
        <w:rPr>
          <w:spacing w:val="13"/>
        </w:rPr>
        <w:t> </w:t>
      </w:r>
      <w:r>
        <w:rPr/>
        <w:t>one</w:t>
      </w:r>
      <w:r>
        <w:rPr>
          <w:spacing w:val="13"/>
        </w:rPr>
        <w:t> </w:t>
      </w:r>
      <w:r>
        <w:rPr/>
        <w:t>case</w:t>
      </w:r>
      <w:r>
        <w:rPr>
          <w:spacing w:val="13"/>
        </w:rPr>
        <w:t> </w:t>
      </w:r>
      <w:r>
        <w:rPr/>
        <w:t>an</w:t>
      </w:r>
      <w:r>
        <w:rPr>
          <w:spacing w:val="13"/>
        </w:rPr>
        <w:t> </w:t>
      </w:r>
      <w:r>
        <w:rPr/>
        <w:t>agreement</w:t>
      </w:r>
      <w:r>
        <w:rPr>
          <w:spacing w:val="13"/>
        </w:rPr>
        <w:t> </w:t>
      </w:r>
      <w:r>
        <w:rPr/>
        <w:t>to</w:t>
      </w:r>
      <w:r>
        <w:rPr>
          <w:spacing w:val="13"/>
        </w:rPr>
        <w:t> </w:t>
      </w:r>
      <w:r>
        <w:rPr/>
        <w:t>sell</w:t>
      </w:r>
      <w:r>
        <w:rPr>
          <w:spacing w:val="13"/>
        </w:rPr>
        <w:t> </w:t>
      </w:r>
      <w:r>
        <w:rPr/>
        <w:t>goods</w:t>
      </w:r>
      <w:r>
        <w:rPr>
          <w:spacing w:val="13"/>
        </w:rPr>
        <w:t> </w:t>
      </w:r>
      <w:r>
        <w:rPr/>
        <w:t>provided</w:t>
      </w:r>
      <w:r>
        <w:rPr>
          <w:spacing w:val="13"/>
        </w:rPr>
        <w:t> </w:t>
      </w:r>
      <w:r>
        <w:rPr/>
        <w:t>for</w:t>
      </w:r>
      <w:r>
        <w:rPr>
          <w:spacing w:val="13"/>
        </w:rPr>
        <w:t> </w:t>
      </w:r>
      <w:r>
        <w:rPr/>
        <w:t>delivery</w:t>
      </w:r>
      <w:r>
        <w:rPr>
          <w:spacing w:val="13"/>
        </w:rPr>
        <w:t> </w:t>
      </w:r>
      <w:r>
        <w:rPr/>
        <w:t>“free</w:t>
      </w:r>
      <w:r>
        <w:rPr>
          <w:spacing w:val="13"/>
        </w:rPr>
        <w:t> </w:t>
      </w:r>
      <w:r>
        <w:rPr/>
        <w:t>on</w:t>
      </w:r>
      <w:r>
        <w:rPr>
          <w:spacing w:val="13"/>
        </w:rPr>
        <w:t> </w:t>
      </w:r>
      <w:r>
        <w:rPr>
          <w:spacing w:val="-2"/>
        </w:rPr>
        <w:t>board</w:t>
      </w:r>
    </w:p>
    <w:p>
      <w:pPr>
        <w:pStyle w:val="BodyText"/>
        <w:spacing w:line="235" w:lineRule="auto"/>
        <w:ind w:left="165" w:right="167"/>
        <w:jc w:val="both"/>
      </w:pPr>
      <w:bookmarkStart w:name="_bookmark1543" w:id="1545"/>
      <w:bookmarkEnd w:id="1545"/>
      <w:r>
        <w:rPr/>
      </w:r>
      <w:r>
        <w:rPr/>
        <w:t>… good Danish port”. It was held that the agreement was not too vague: it amounted to a contract under which the buyer was bound to select the port of shipment. </w:t>
      </w:r>
      <w:r>
        <w:rPr>
          <w:color w:val="005DA1"/>
          <w:u w:val="single" w:color="005DA1"/>
          <w:vertAlign w:val="superscript"/>
        </w:rPr>
        <w:t>818</w:t>
      </w:r>
      <w:r>
        <w:rPr>
          <w:color w:val="005DA1"/>
          <w:vertAlign w:val="baseline"/>
        </w:rPr>
        <w:t> </w:t>
      </w:r>
      <w:r>
        <w:rPr>
          <w:vertAlign w:val="baseline"/>
        </w:rPr>
        <w:t>Where delivery of goods was to be made “free on truck” in the country of destination and no place for delivery in that country was specified in the contract, it was again held that one of the parties was under a duty to specify that </w:t>
      </w:r>
      <w:bookmarkStart w:name="_bookmark1544" w:id="1546"/>
      <w:bookmarkEnd w:id="1546"/>
      <w:r>
        <w:rPr>
          <w:vertAlign w:val="baseline"/>
        </w:rPr>
        <w:t>place;</w:t>
      </w:r>
      <w:r>
        <w:rPr>
          <w:vertAlign w:val="baseline"/>
        </w:rPr>
        <w:t> though in this case the duty was held to be on the seller since it was he who had made all </w:t>
      </w:r>
      <w:r>
        <w:rPr>
          <w:vertAlign w:val="baseline"/>
        </w:rPr>
        <w:t>the </w:t>
      </w:r>
      <w:bookmarkStart w:name="_bookmark1545" w:id="1547"/>
      <w:bookmarkEnd w:id="1547"/>
      <w:r>
        <w:rPr>
          <w:vertAlign w:val="baseline"/>
        </w:rPr>
        <w:t>necessary</w:t>
      </w:r>
      <w:r>
        <w:rPr>
          <w:vertAlign w:val="baseline"/>
        </w:rPr>
        <w:t> arrangements with the ship on which the goods were to be carried to that country. </w:t>
      </w:r>
      <w:r>
        <w:rPr>
          <w:color w:val="005DA1"/>
          <w:u w:val="single" w:color="005DA1"/>
          <w:vertAlign w:val="superscript"/>
        </w:rPr>
        <w:t>819</w:t>
      </w:r>
      <w:r>
        <w:rPr>
          <w:color w:val="005DA1"/>
          <w:vertAlign w:val="baseline"/>
        </w:rPr>
        <w:t> </w:t>
      </w:r>
      <w:r>
        <w:rPr>
          <w:vertAlign w:val="baseline"/>
        </w:rPr>
        <w:t>An analogous principle is illustrated by </w:t>
      </w:r>
      <w:r>
        <w:rPr>
          <w:rFonts w:ascii="Arial" w:hAnsi="Arial"/>
          <w:i/>
          <w:vertAlign w:val="baseline"/>
        </w:rPr>
        <w:t>Durham Tees Valley Airport Ltd v Bmibaby Ltd </w:t>
      </w:r>
      <w:r>
        <w:rPr>
          <w:color w:val="005DA1"/>
          <w:u w:val="single" w:color="005DA1"/>
          <w:vertAlign w:val="superscript"/>
        </w:rPr>
        <w:t>820</w:t>
      </w:r>
      <w:r>
        <w:rPr>
          <w:color w:val="005DA1"/>
          <w:vertAlign w:val="baseline"/>
        </w:rPr>
        <w:t> </w:t>
      </w:r>
      <w:r>
        <w:rPr>
          <w:vertAlign w:val="baseline"/>
        </w:rPr>
        <w:t>where the agreement</w:t>
      </w:r>
      <w:r>
        <w:rPr>
          <w:spacing w:val="9"/>
          <w:vertAlign w:val="baseline"/>
        </w:rPr>
        <w:t> </w:t>
      </w:r>
      <w:r>
        <w:rPr>
          <w:vertAlign w:val="baseline"/>
        </w:rPr>
        <w:t>provided</w:t>
      </w:r>
      <w:r>
        <w:rPr>
          <w:spacing w:val="11"/>
          <w:vertAlign w:val="baseline"/>
        </w:rPr>
        <w:t> </w:t>
      </w:r>
      <w:r>
        <w:rPr>
          <w:vertAlign w:val="baseline"/>
        </w:rPr>
        <w:t>that</w:t>
      </w:r>
      <w:r>
        <w:rPr>
          <w:spacing w:val="11"/>
          <w:vertAlign w:val="baseline"/>
        </w:rPr>
        <w:t> </w:t>
      </w:r>
      <w:r>
        <w:rPr>
          <w:vertAlign w:val="baseline"/>
        </w:rPr>
        <w:t>the</w:t>
      </w:r>
      <w:r>
        <w:rPr>
          <w:spacing w:val="11"/>
          <w:vertAlign w:val="baseline"/>
        </w:rPr>
        <w:t> </w:t>
      </w:r>
      <w:r>
        <w:rPr>
          <w:vertAlign w:val="baseline"/>
        </w:rPr>
        <w:t>defendant</w:t>
      </w:r>
      <w:r>
        <w:rPr>
          <w:spacing w:val="11"/>
          <w:vertAlign w:val="baseline"/>
        </w:rPr>
        <w:t> </w:t>
      </w:r>
      <w:r>
        <w:rPr>
          <w:vertAlign w:val="baseline"/>
        </w:rPr>
        <w:t>airline</w:t>
      </w:r>
      <w:r>
        <w:rPr>
          <w:spacing w:val="11"/>
          <w:vertAlign w:val="baseline"/>
        </w:rPr>
        <w:t> </w:t>
      </w:r>
      <w:r>
        <w:rPr>
          <w:vertAlign w:val="baseline"/>
        </w:rPr>
        <w:t>would</w:t>
      </w:r>
      <w:r>
        <w:rPr>
          <w:spacing w:val="11"/>
          <w:vertAlign w:val="baseline"/>
        </w:rPr>
        <w:t> </w:t>
      </w:r>
      <w:r>
        <w:rPr>
          <w:vertAlign w:val="baseline"/>
        </w:rPr>
        <w:t>support</w:t>
      </w:r>
      <w:r>
        <w:rPr>
          <w:spacing w:val="11"/>
          <w:vertAlign w:val="baseline"/>
        </w:rPr>
        <w:t> </w:t>
      </w:r>
      <w:r>
        <w:rPr>
          <w:vertAlign w:val="baseline"/>
        </w:rPr>
        <w:t>“a</w:t>
      </w:r>
      <w:r>
        <w:rPr>
          <w:spacing w:val="11"/>
          <w:vertAlign w:val="baseline"/>
        </w:rPr>
        <w:t> </w:t>
      </w:r>
      <w:r>
        <w:rPr>
          <w:vertAlign w:val="baseline"/>
        </w:rPr>
        <w:t>minimum</w:t>
      </w:r>
      <w:r>
        <w:rPr>
          <w:spacing w:val="11"/>
          <w:vertAlign w:val="baseline"/>
        </w:rPr>
        <w:t> </w:t>
      </w:r>
      <w:r>
        <w:rPr>
          <w:vertAlign w:val="baseline"/>
        </w:rPr>
        <w:t>¥2</w:t>
      </w:r>
      <w:r>
        <w:rPr>
          <w:spacing w:val="11"/>
          <w:vertAlign w:val="baseline"/>
        </w:rPr>
        <w:t> </w:t>
      </w:r>
      <w:r>
        <w:rPr>
          <w:vertAlign w:val="baseline"/>
        </w:rPr>
        <w:t>based</w:t>
      </w:r>
      <w:r>
        <w:rPr>
          <w:spacing w:val="11"/>
          <w:vertAlign w:val="baseline"/>
        </w:rPr>
        <w:t> </w:t>
      </w:r>
      <w:r>
        <w:rPr>
          <w:vertAlign w:val="baseline"/>
        </w:rPr>
        <w:t>aircraft</w:t>
      </w:r>
      <w:r>
        <w:rPr>
          <w:spacing w:val="11"/>
          <w:vertAlign w:val="baseline"/>
        </w:rPr>
        <w:t> </w:t>
      </w:r>
      <w:r>
        <w:rPr>
          <w:spacing w:val="-2"/>
          <w:vertAlign w:val="baseline"/>
        </w:rPr>
        <w:t>operation</w:t>
      </w:r>
    </w:p>
    <w:p>
      <w:pPr>
        <w:pStyle w:val="BodyText"/>
        <w:spacing w:line="235" w:lineRule="auto"/>
        <w:ind w:left="165" w:right="167"/>
        <w:jc w:val="both"/>
      </w:pPr>
      <w:r>
        <w:rPr/>
        <w:t>… operating exclusively from” the claimant’s airport. Significant losses were incurred by the airline </w:t>
      </w:r>
      <w:r>
        <w:rPr/>
        <w:t>in the performance of the agreement and it discontinued its operations from the airport. The airline argued that the agreement was too uncertain to be enforced as it specified no minimum number of </w:t>
      </w:r>
      <w:bookmarkStart w:name="_bookmark1546" w:id="1548"/>
      <w:bookmarkEnd w:id="1548"/>
      <w:r>
        <w:rPr/>
        <w:t>flights</w:t>
      </w:r>
      <w:r>
        <w:rPr/>
        <w:t> to be undertaken under it and as many operational details (such as the number of flights and their destinations) were left to the airline’s discretion. </w:t>
      </w:r>
      <w:r>
        <w:rPr>
          <w:color w:val="005DA1"/>
          <w:u w:val="single" w:color="005DA1"/>
          <w:vertAlign w:val="superscript"/>
        </w:rPr>
        <w:t>821</w:t>
      </w:r>
      <w:r>
        <w:rPr>
          <w:color w:val="005DA1"/>
          <w:vertAlign w:val="baseline"/>
        </w:rPr>
        <w:t> </w:t>
      </w:r>
      <w:r>
        <w:rPr>
          <w:vertAlign w:val="baseline"/>
        </w:rPr>
        <w:t>The Court of Appeal rejected these arguments</w:t>
      </w:r>
      <w:r>
        <w:rPr>
          <w:spacing w:val="-2"/>
          <w:vertAlign w:val="baseline"/>
        </w:rPr>
        <w:t> </w:t>
      </w:r>
      <w:r>
        <w:rPr>
          <w:vertAlign w:val="baseline"/>
        </w:rPr>
        <w:t>and</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was</w:t>
      </w:r>
      <w:r>
        <w:rPr>
          <w:spacing w:val="-2"/>
          <w:vertAlign w:val="baseline"/>
        </w:rPr>
        <w:t> </w:t>
      </w:r>
      <w:r>
        <w:rPr>
          <w:vertAlign w:val="baseline"/>
        </w:rPr>
        <w:t>sufficiently</w:t>
      </w:r>
      <w:r>
        <w:rPr>
          <w:spacing w:val="-2"/>
          <w:vertAlign w:val="baseline"/>
        </w:rPr>
        <w:t> </w:t>
      </w:r>
      <w:r>
        <w:rPr>
          <w:vertAlign w:val="baseline"/>
        </w:rPr>
        <w:t>certain</w:t>
      </w:r>
      <w:r>
        <w:rPr>
          <w:spacing w:val="-2"/>
          <w:vertAlign w:val="baseline"/>
        </w:rPr>
        <w:t> </w:t>
      </w:r>
      <w:r>
        <w:rPr>
          <w:vertAlign w:val="baseline"/>
        </w:rPr>
        <w:t>to</w:t>
      </w:r>
      <w:r>
        <w:rPr>
          <w:spacing w:val="-2"/>
          <w:vertAlign w:val="baseline"/>
        </w:rPr>
        <w:t> </w:t>
      </w:r>
      <w:r>
        <w:rPr>
          <w:vertAlign w:val="baseline"/>
        </w:rPr>
        <w:t>be</w:t>
      </w:r>
      <w:r>
        <w:rPr>
          <w:spacing w:val="-2"/>
          <w:vertAlign w:val="baseline"/>
        </w:rPr>
        <w:t> </w:t>
      </w:r>
      <w:r>
        <w:rPr>
          <w:vertAlign w:val="baseline"/>
        </w:rPr>
        <w:t>enforced</w:t>
      </w:r>
      <w:r>
        <w:rPr>
          <w:spacing w:val="-2"/>
          <w:vertAlign w:val="baseline"/>
        </w:rPr>
        <w:t> </w:t>
      </w:r>
      <w:r>
        <w:rPr>
          <w:vertAlign w:val="baseline"/>
        </w:rPr>
        <w:t>and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airline</w:t>
      </w:r>
      <w:r>
        <w:rPr>
          <w:spacing w:val="-2"/>
          <w:vertAlign w:val="baseline"/>
        </w:rPr>
        <w:t> </w:t>
      </w:r>
      <w:r>
        <w:rPr>
          <w:vertAlign w:val="baseline"/>
        </w:rPr>
        <w:t>was </w:t>
      </w:r>
      <w:bookmarkStart w:name="_bookmark1547" w:id="1549"/>
      <w:bookmarkEnd w:id="1549"/>
      <w:r>
        <w:rPr>
          <w:vertAlign w:val="baseline"/>
        </w:rPr>
        <w:t>in</w:t>
      </w:r>
      <w:r>
        <w:rPr>
          <w:vertAlign w:val="baseline"/>
        </w:rPr>
        <w:t> breach of it. The Court reached this result by construing the airline’s obligation to operate as being </w:t>
      </w:r>
      <w:bookmarkStart w:name="_bookmark1548" w:id="1550"/>
      <w:bookmarkEnd w:id="1550"/>
      <w:r>
        <w:rPr>
          <w:vertAlign w:val="baseline"/>
        </w:rPr>
        <w:t>one</w:t>
      </w:r>
      <w:r>
        <w:rPr>
          <w:vertAlign w:val="baseline"/>
        </w:rPr>
        <w:t> to “fly commercially” </w:t>
      </w:r>
      <w:r>
        <w:rPr>
          <w:color w:val="005DA1"/>
          <w:u w:val="single" w:color="005DA1"/>
          <w:vertAlign w:val="superscript"/>
        </w:rPr>
        <w:t>822</w:t>
      </w:r>
      <w:r>
        <w:rPr>
          <w:vertAlign w:val="baseline"/>
        </w:rPr>
        <w:t>; by concluding that “Token flights or a complete absence of any flights (which is this case) clearly would not amount to operating the aircraft” </w:t>
      </w:r>
      <w:r>
        <w:rPr>
          <w:color w:val="005DA1"/>
          <w:u w:val="single" w:color="005DA1"/>
          <w:vertAlign w:val="superscript"/>
        </w:rPr>
        <w:t>823</w:t>
      </w:r>
      <w:r>
        <w:rPr>
          <w:vertAlign w:val="baseline"/>
        </w:rPr>
        <w:t>; by invoking the general </w:t>
      </w:r>
      <w:bookmarkStart w:name="_bookmark1549" w:id="1551"/>
      <w:bookmarkEnd w:id="1551"/>
      <w:r>
        <w:rPr>
          <w:vertAlign w:val="baseline"/>
        </w:rPr>
        <w:t>principle</w:t>
      </w:r>
      <w:r>
        <w:rPr>
          <w:vertAlign w:val="baseline"/>
        </w:rPr>
        <w:t> that courts were reluctant to strike down what were obviously intended to be commercial </w:t>
      </w:r>
      <w:bookmarkStart w:name="_bookmark1550" w:id="1552"/>
      <w:bookmarkEnd w:id="1552"/>
      <w:r>
        <w:rPr>
          <w:vertAlign w:val="baseline"/>
        </w:rPr>
        <w:t>agreements</w:t>
      </w:r>
      <w:r>
        <w:rPr>
          <w:vertAlign w:val="baseline"/>
        </w:rPr>
        <w:t> </w:t>
      </w:r>
      <w:r>
        <w:rPr>
          <w:color w:val="005DA1"/>
          <w:u w:val="single" w:color="005DA1"/>
          <w:vertAlign w:val="superscript"/>
        </w:rPr>
        <w:t>824</w:t>
      </w:r>
      <w:r>
        <w:rPr>
          <w:vertAlign w:val="baseline"/>
        </w:rPr>
        <w:t>; and by making the point that it was not uncommon for such agreements to give one party or the other “a large degree of discretion” as to the conduct of its operations. </w:t>
      </w:r>
      <w:r>
        <w:rPr>
          <w:color w:val="005DA1"/>
          <w:u w:val="single" w:color="005DA1"/>
          <w:vertAlign w:val="superscript"/>
        </w:rPr>
        <w:t>825</w:t>
      </w:r>
      <w:r>
        <w:rPr>
          <w:color w:val="005DA1"/>
          <w:vertAlign w:val="baseline"/>
        </w:rPr>
        <w:t> </w:t>
      </w:r>
      <w:r>
        <w:rPr>
          <w:vertAlign w:val="baseline"/>
        </w:rPr>
        <w:t>This reasoning resembles,</w:t>
      </w:r>
      <w:r>
        <w:rPr>
          <w:spacing w:val="30"/>
          <w:vertAlign w:val="baseline"/>
        </w:rPr>
        <w:t> </w:t>
      </w:r>
      <w:r>
        <w:rPr>
          <w:vertAlign w:val="baseline"/>
        </w:rPr>
        <w:t>but</w:t>
      </w:r>
      <w:r>
        <w:rPr>
          <w:spacing w:val="30"/>
          <w:vertAlign w:val="baseline"/>
        </w:rPr>
        <w:t> </w:t>
      </w:r>
      <w:r>
        <w:rPr>
          <w:vertAlign w:val="baseline"/>
        </w:rPr>
        <w:t>is</w:t>
      </w:r>
      <w:r>
        <w:rPr>
          <w:spacing w:val="30"/>
          <w:vertAlign w:val="baseline"/>
        </w:rPr>
        <w:t> </w:t>
      </w:r>
      <w:r>
        <w:rPr>
          <w:vertAlign w:val="baseline"/>
        </w:rPr>
        <w:t>not</w:t>
      </w:r>
      <w:r>
        <w:rPr>
          <w:spacing w:val="30"/>
          <w:vertAlign w:val="baseline"/>
        </w:rPr>
        <w:t> </w:t>
      </w:r>
      <w:r>
        <w:rPr>
          <w:vertAlign w:val="baseline"/>
        </w:rPr>
        <w:t>identical</w:t>
      </w:r>
      <w:r>
        <w:rPr>
          <w:spacing w:val="30"/>
          <w:vertAlign w:val="baseline"/>
        </w:rPr>
        <w:t> </w:t>
      </w:r>
      <w:r>
        <w:rPr>
          <w:vertAlign w:val="baseline"/>
        </w:rPr>
        <w:t>with,</w:t>
      </w:r>
      <w:r>
        <w:rPr>
          <w:spacing w:val="30"/>
          <w:vertAlign w:val="baseline"/>
        </w:rPr>
        <w:t> </w:t>
      </w:r>
      <w:r>
        <w:rPr>
          <w:vertAlign w:val="baseline"/>
        </w:rPr>
        <w:t>that</w:t>
      </w:r>
      <w:r>
        <w:rPr>
          <w:spacing w:val="30"/>
          <w:vertAlign w:val="baseline"/>
        </w:rPr>
        <w:t> </w:t>
      </w:r>
      <w:r>
        <w:rPr>
          <w:vertAlign w:val="baseline"/>
        </w:rPr>
        <w:t>discussed</w:t>
      </w:r>
      <w:r>
        <w:rPr>
          <w:spacing w:val="30"/>
          <w:vertAlign w:val="baseline"/>
        </w:rPr>
        <w:t> </w:t>
      </w:r>
      <w:r>
        <w:rPr>
          <w:vertAlign w:val="baseline"/>
        </w:rPr>
        <w:t>in</w:t>
      </w:r>
      <w:r>
        <w:rPr>
          <w:spacing w:val="30"/>
          <w:vertAlign w:val="baseline"/>
        </w:rPr>
        <w:t> </w:t>
      </w:r>
      <w:r>
        <w:rPr>
          <w:vertAlign w:val="baseline"/>
        </w:rPr>
        <w:t>para.2-150</w:t>
      </w:r>
      <w:r>
        <w:rPr>
          <w:spacing w:val="30"/>
          <w:vertAlign w:val="baseline"/>
        </w:rPr>
        <w:t> </w:t>
      </w:r>
      <w:r>
        <w:rPr>
          <w:vertAlign w:val="baseline"/>
        </w:rPr>
        <w:t>above,</w:t>
      </w:r>
      <w:r>
        <w:rPr>
          <w:spacing w:val="30"/>
          <w:vertAlign w:val="baseline"/>
        </w:rPr>
        <w:t> </w:t>
      </w:r>
      <w:r>
        <w:rPr>
          <w:vertAlign w:val="baseline"/>
        </w:rPr>
        <w:t>by</w:t>
      </w:r>
      <w:r>
        <w:rPr>
          <w:spacing w:val="30"/>
          <w:vertAlign w:val="baseline"/>
        </w:rPr>
        <w:t> </w:t>
      </w:r>
      <w:r>
        <w:rPr>
          <w:vertAlign w:val="baseline"/>
        </w:rPr>
        <w:t>which</w:t>
      </w:r>
      <w:r>
        <w:rPr>
          <w:spacing w:val="30"/>
          <w:vertAlign w:val="baseline"/>
        </w:rPr>
        <w:t> </w:t>
      </w:r>
      <w:r>
        <w:rPr>
          <w:vertAlign w:val="baseline"/>
        </w:rPr>
        <w:t>the</w:t>
      </w:r>
      <w:r>
        <w:rPr>
          <w:spacing w:val="30"/>
          <w:vertAlign w:val="baseline"/>
        </w:rPr>
        <w:t> </w:t>
      </w:r>
      <w:r>
        <w:rPr>
          <w:vertAlign w:val="baseline"/>
        </w:rPr>
        <w:t>standard</w:t>
      </w:r>
      <w:r>
        <w:rPr>
          <w:spacing w:val="30"/>
          <w:vertAlign w:val="baseline"/>
        </w:rPr>
        <w:t> </w:t>
      </w:r>
      <w:r>
        <w:rPr>
          <w:spacing w:val="-5"/>
          <w:vertAlign w:val="baseline"/>
        </w:rPr>
        <w:t>of</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reasonableness may be applied to give certainty to otherwise vague phrases. The object of the process of construction applied in the present case is, strictly speaking, to give effect to the </w:t>
      </w:r>
      <w:r>
        <w:rPr/>
        <w:t>intention of the parties, while the standard of reasonableness would impose on them an external standard; but in practice the significance of this distinction is reduced by the reference to the commercial context in which the Court construed the obligation to “operate” the aircraft.</w:t>
      </w:r>
    </w:p>
    <w:p>
      <w:pPr>
        <w:pStyle w:val="BodyText"/>
      </w:pPr>
    </w:p>
    <w:p>
      <w:pPr>
        <w:pStyle w:val="BodyText"/>
        <w:spacing w:before="37"/>
      </w:pPr>
    </w:p>
    <w:p>
      <w:pPr>
        <w:spacing w:before="0"/>
        <w:ind w:left="165" w:right="0" w:firstLine="0"/>
        <w:jc w:val="left"/>
        <w:rPr>
          <w:rFonts w:ascii="Arial"/>
          <w:b/>
          <w:sz w:val="18"/>
        </w:rPr>
      </w:pPr>
      <w:r>
        <w:rPr>
          <w:rFonts w:ascii="Arial"/>
          <w:b/>
          <w:sz w:val="18"/>
        </w:rPr>
        <w:t>Meaningless and self-contradictory </w:t>
      </w:r>
      <w:r>
        <w:rPr>
          <w:rFonts w:ascii="Arial"/>
          <w:b/>
          <w:spacing w:val="-2"/>
          <w:sz w:val="18"/>
        </w:rPr>
        <w:t>phrases</w:t>
      </w:r>
    </w:p>
    <w:p>
      <w:pPr>
        <w:pStyle w:val="BodyText"/>
        <w:spacing w:before="41"/>
        <w:rPr>
          <w:rFonts w:ascii="Arial"/>
          <w:b/>
          <w:sz w:val="18"/>
        </w:rPr>
      </w:pPr>
    </w:p>
    <w:p>
      <w:pPr>
        <w:pStyle w:val="Heading2"/>
      </w:pPr>
      <w:r>
        <w:rPr/>
        <w:t>2-</w:t>
      </w:r>
      <w:r>
        <w:rPr>
          <w:spacing w:val="-5"/>
        </w:rPr>
        <w:t>152</w:t>
      </w:r>
    </w:p>
    <w:p>
      <w:pPr>
        <w:pStyle w:val="BodyText"/>
        <w:spacing w:line="235" w:lineRule="auto" w:before="203"/>
        <w:ind w:left="165" w:right="167"/>
        <w:jc w:val="both"/>
      </w:pPr>
      <w:bookmarkStart w:name="_bookmark1551" w:id="1553"/>
      <w:bookmarkEnd w:id="1553"/>
      <w:r>
        <w:rPr/>
      </w:r>
      <w:r>
        <w:rPr/>
        <w:t>The</w:t>
      </w:r>
      <w:r>
        <w:rPr>
          <w:spacing w:val="-1"/>
        </w:rPr>
        <w:t> </w:t>
      </w:r>
      <w:r>
        <w:rPr/>
        <w:t>court</w:t>
      </w:r>
      <w:r>
        <w:rPr>
          <w:spacing w:val="-1"/>
        </w:rPr>
        <w:t> </w:t>
      </w:r>
      <w:r>
        <w:rPr/>
        <w:t>will</w:t>
      </w:r>
      <w:r>
        <w:rPr>
          <w:spacing w:val="-1"/>
        </w:rPr>
        <w:t> </w:t>
      </w:r>
      <w:r>
        <w:rPr/>
        <w:t>make</w:t>
      </w:r>
      <w:r>
        <w:rPr>
          <w:spacing w:val="-1"/>
        </w:rPr>
        <w:t> </w:t>
      </w:r>
      <w:r>
        <w:rPr/>
        <w:t>considerable</w:t>
      </w:r>
      <w:r>
        <w:rPr>
          <w:spacing w:val="-1"/>
        </w:rPr>
        <w:t> </w:t>
      </w:r>
      <w:r>
        <w:rPr/>
        <w:t>efforts</w:t>
      </w:r>
      <w:r>
        <w:rPr>
          <w:spacing w:val="-1"/>
        </w:rPr>
        <w:t> </w:t>
      </w:r>
      <w:r>
        <w:rPr/>
        <w:t>to</w:t>
      </w:r>
      <w:r>
        <w:rPr>
          <w:spacing w:val="-1"/>
        </w:rPr>
        <w:t> </w:t>
      </w:r>
      <w:r>
        <w:rPr/>
        <w:t>give</w:t>
      </w:r>
      <w:r>
        <w:rPr>
          <w:spacing w:val="-1"/>
        </w:rPr>
        <w:t> </w:t>
      </w:r>
      <w:r>
        <w:rPr/>
        <w:t>meaning</w:t>
      </w:r>
      <w:r>
        <w:rPr>
          <w:spacing w:val="-1"/>
        </w:rPr>
        <w:t> </w:t>
      </w:r>
      <w:r>
        <w:rPr/>
        <w:t>to</w:t>
      </w:r>
      <w:r>
        <w:rPr>
          <w:spacing w:val="-1"/>
        </w:rPr>
        <w:t> </w:t>
      </w:r>
      <w:r>
        <w:rPr/>
        <w:t>an</w:t>
      </w:r>
      <w:r>
        <w:rPr>
          <w:spacing w:val="-1"/>
        </w:rPr>
        <w:t> </w:t>
      </w:r>
      <w:r>
        <w:rPr/>
        <w:t>apparently</w:t>
      </w:r>
      <w:r>
        <w:rPr>
          <w:spacing w:val="-1"/>
        </w:rPr>
        <w:t> </w:t>
      </w:r>
      <w:r>
        <w:rPr/>
        <w:t>meaningless</w:t>
      </w:r>
      <w:r>
        <w:rPr>
          <w:spacing w:val="-1"/>
        </w:rPr>
        <w:t> </w:t>
      </w:r>
      <w:r>
        <w:rPr/>
        <w:t>phrase</w:t>
      </w:r>
      <w:r>
        <w:rPr>
          <w:spacing w:val="-2"/>
        </w:rPr>
        <w:t> </w:t>
      </w:r>
      <w:r>
        <w:rPr>
          <w:color w:val="005DA1"/>
          <w:u w:val="single" w:color="005DA1"/>
          <w:vertAlign w:val="superscript"/>
        </w:rPr>
        <w:t>826</w:t>
      </w:r>
      <w:r>
        <w:rPr>
          <w:vertAlign w:val="baseline"/>
        </w:rPr>
        <w:t>;</w:t>
      </w:r>
      <w:r>
        <w:rPr>
          <w:spacing w:val="-1"/>
          <w:vertAlign w:val="baseline"/>
        </w:rPr>
        <w:t> </w:t>
      </w:r>
      <w:r>
        <w:rPr>
          <w:vertAlign w:val="baseline"/>
        </w:rPr>
        <w:t>but </w:t>
      </w:r>
      <w:bookmarkStart w:name="_bookmark1552" w:id="1554"/>
      <w:bookmarkEnd w:id="1554"/>
      <w:r>
        <w:rPr>
          <w:vertAlign w:val="baseline"/>
        </w:rPr>
        <w:t>even</w:t>
      </w:r>
      <w:r>
        <w:rPr>
          <w:vertAlign w:val="baseline"/>
        </w:rPr>
        <w:t> where these efforts fail, the presence of such phrases does not necessarily vitiate </w:t>
      </w:r>
      <w:r>
        <w:rPr>
          <w:vertAlign w:val="baseline"/>
        </w:rPr>
        <w:t>the agreement. In </w:t>
      </w:r>
      <w:r>
        <w:rPr>
          <w:rFonts w:ascii="Arial" w:hAnsi="Arial"/>
          <w:i/>
          <w:vertAlign w:val="baseline"/>
        </w:rPr>
        <w:t>Nicolene Ltd v Simmonds </w:t>
      </w:r>
      <w:r>
        <w:rPr>
          <w:color w:val="005DA1"/>
          <w:u w:val="single" w:color="005DA1"/>
          <w:vertAlign w:val="superscript"/>
        </w:rPr>
        <w:t>827</w:t>
      </w:r>
      <w:r>
        <w:rPr>
          <w:color w:val="005DA1"/>
          <w:vertAlign w:val="baseline"/>
        </w:rPr>
        <w:t> </w:t>
      </w:r>
      <w:r>
        <w:rPr>
          <w:vertAlign w:val="baseline"/>
        </w:rPr>
        <w:t>steel bars were bought on terms which were perfectly clear except for a clause which provided that the sale was subject to “the usual conditions of acceptance”. There being no such usual conditions, it was held that the phrase was meaningless, but that</w:t>
      </w:r>
      <w:r>
        <w:rPr>
          <w:spacing w:val="40"/>
          <w:vertAlign w:val="baseline"/>
        </w:rPr>
        <w:t> </w:t>
      </w:r>
      <w:r>
        <w:rPr>
          <w:vertAlign w:val="baseline"/>
        </w:rPr>
        <w:t>this</w:t>
      </w:r>
      <w:r>
        <w:rPr>
          <w:spacing w:val="40"/>
          <w:vertAlign w:val="baseline"/>
        </w:rPr>
        <w:t> </w:t>
      </w:r>
      <w:r>
        <w:rPr>
          <w:vertAlign w:val="baseline"/>
        </w:rPr>
        <w:t>did</w:t>
      </w:r>
      <w:r>
        <w:rPr>
          <w:spacing w:val="40"/>
          <w:vertAlign w:val="baseline"/>
        </w:rPr>
        <w:t> </w:t>
      </w:r>
      <w:r>
        <w:rPr>
          <w:vertAlign w:val="baseline"/>
        </w:rPr>
        <w:t>not</w:t>
      </w:r>
      <w:r>
        <w:rPr>
          <w:spacing w:val="40"/>
          <w:vertAlign w:val="baseline"/>
        </w:rPr>
        <w:t> </w:t>
      </w:r>
      <w:r>
        <w:rPr>
          <w:vertAlign w:val="baseline"/>
        </w:rPr>
        <w:t>vitiate</w:t>
      </w:r>
      <w:r>
        <w:rPr>
          <w:spacing w:val="40"/>
          <w:vertAlign w:val="baseline"/>
        </w:rPr>
        <w:t> </w:t>
      </w:r>
      <w:r>
        <w:rPr>
          <w:vertAlign w:val="baseline"/>
        </w:rPr>
        <w:t>the</w:t>
      </w:r>
      <w:r>
        <w:rPr>
          <w:spacing w:val="40"/>
          <w:vertAlign w:val="baseline"/>
        </w:rPr>
        <w:t> </w:t>
      </w:r>
      <w:r>
        <w:rPr>
          <w:vertAlign w:val="baseline"/>
        </w:rPr>
        <w:t>whole</w:t>
      </w:r>
      <w:r>
        <w:rPr>
          <w:spacing w:val="40"/>
          <w:vertAlign w:val="baseline"/>
        </w:rPr>
        <w:t> </w:t>
      </w:r>
      <w:r>
        <w:rPr>
          <w:vertAlign w:val="baseline"/>
        </w:rPr>
        <w:t>contract:</w:t>
      </w:r>
      <w:r>
        <w:rPr>
          <w:spacing w:val="40"/>
          <w:vertAlign w:val="baseline"/>
        </w:rPr>
        <w:t> </w:t>
      </w:r>
      <w:r>
        <w:rPr>
          <w:vertAlign w:val="baseline"/>
        </w:rPr>
        <w:t>the</w:t>
      </w:r>
      <w:r>
        <w:rPr>
          <w:spacing w:val="40"/>
          <w:vertAlign w:val="baseline"/>
        </w:rPr>
        <w:t> </w:t>
      </w:r>
      <w:r>
        <w:rPr>
          <w:vertAlign w:val="baseline"/>
        </w:rPr>
        <w:t>phrase</w:t>
      </w:r>
      <w:r>
        <w:rPr>
          <w:spacing w:val="40"/>
          <w:vertAlign w:val="baseline"/>
        </w:rPr>
        <w:t> </w:t>
      </w:r>
      <w:r>
        <w:rPr>
          <w:vertAlign w:val="baseline"/>
        </w:rPr>
        <w:t>was</w:t>
      </w:r>
      <w:r>
        <w:rPr>
          <w:spacing w:val="40"/>
          <w:vertAlign w:val="baseline"/>
        </w:rPr>
        <w:t> </w:t>
      </w:r>
      <w:r>
        <w:rPr>
          <w:vertAlign w:val="baseline"/>
        </w:rPr>
        <w:t>severable</w:t>
      </w:r>
      <w:r>
        <w:rPr>
          <w:spacing w:val="40"/>
          <w:vertAlign w:val="baseline"/>
        </w:rPr>
        <w:t> </w:t>
      </w:r>
      <w:r>
        <w:rPr>
          <w:vertAlign w:val="baseline"/>
        </w:rPr>
        <w:t>and</w:t>
      </w:r>
      <w:r>
        <w:rPr>
          <w:spacing w:val="40"/>
          <w:vertAlign w:val="baseline"/>
        </w:rPr>
        <w:t> </w:t>
      </w:r>
      <w:r>
        <w:rPr>
          <w:vertAlign w:val="baseline"/>
        </w:rPr>
        <w:t>could</w:t>
      </w:r>
      <w:r>
        <w:rPr>
          <w:spacing w:val="40"/>
          <w:vertAlign w:val="baseline"/>
        </w:rPr>
        <w:t> </w:t>
      </w:r>
      <w:r>
        <w:rPr>
          <w:vertAlign w:val="baseline"/>
        </w:rPr>
        <w:t>be</w:t>
      </w:r>
      <w:r>
        <w:rPr>
          <w:spacing w:val="40"/>
          <w:vertAlign w:val="baseline"/>
        </w:rPr>
        <w:t> </w:t>
      </w:r>
      <w:r>
        <w:rPr>
          <w:vertAlign w:val="baseline"/>
        </w:rPr>
        <w:t>ignored.</w:t>
      </w:r>
      <w:r>
        <w:rPr>
          <w:spacing w:val="40"/>
          <w:vertAlign w:val="baseline"/>
        </w:rPr>
        <w:t> </w:t>
      </w:r>
      <w:r>
        <w:rPr>
          <w:vertAlign w:val="baseline"/>
        </w:rPr>
        <w:t>A self-contradictory clause can be treated in the same way. Thus where an arbitration clause provided </w:t>
      </w:r>
      <w:bookmarkStart w:name="_bookmark1553" w:id="1555"/>
      <w:bookmarkEnd w:id="1555"/>
      <w:r>
        <w:rPr>
          <w:vertAlign w:val="baseline"/>
        </w:rPr>
        <w:t>for</w:t>
      </w:r>
      <w:r>
        <w:rPr>
          <w:vertAlign w:val="baseline"/>
        </w:rPr>
        <w:t> arbitration of “any dispute” in London and of “any other dispute” in Moscow the court disregarded the clause and determined the dispute itself. </w:t>
      </w:r>
      <w:r>
        <w:rPr>
          <w:color w:val="005DA1"/>
          <w:u w:val="single" w:color="005DA1"/>
          <w:vertAlign w:val="superscript"/>
        </w:rPr>
        <w:t>828</w:t>
      </w:r>
      <w:r>
        <w:rPr>
          <w:color w:val="005DA1"/>
          <w:vertAlign w:val="baseline"/>
        </w:rPr>
        <w:t> </w:t>
      </w:r>
      <w:r>
        <w:rPr>
          <w:vertAlign w:val="baseline"/>
        </w:rPr>
        <w:t>Such cases show that the question whether the inclusion of a meaningless clause vitiates the contract, or can be ignored, depends on the importance which</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considered</w:t>
      </w:r>
      <w:r>
        <w:rPr>
          <w:spacing w:val="-2"/>
          <w:vertAlign w:val="baseline"/>
        </w:rPr>
        <w:t> </w:t>
      </w:r>
      <w:r>
        <w:rPr>
          <w:vertAlign w:val="baseline"/>
        </w:rPr>
        <w:t>to</w:t>
      </w:r>
      <w:r>
        <w:rPr>
          <w:spacing w:val="-2"/>
          <w:vertAlign w:val="baseline"/>
        </w:rPr>
        <w:t> </w:t>
      </w:r>
      <w:r>
        <w:rPr>
          <w:vertAlign w:val="baseline"/>
        </w:rPr>
        <w:t>have</w:t>
      </w:r>
      <w:r>
        <w:rPr>
          <w:spacing w:val="-2"/>
          <w:vertAlign w:val="baseline"/>
        </w:rPr>
        <w:t> </w:t>
      </w:r>
      <w:r>
        <w:rPr>
          <w:vertAlign w:val="baseline"/>
        </w:rPr>
        <w:t>attached</w:t>
      </w:r>
      <w:r>
        <w:rPr>
          <w:spacing w:val="-2"/>
          <w:vertAlign w:val="baseline"/>
        </w:rPr>
        <w:t> </w:t>
      </w:r>
      <w:r>
        <w:rPr>
          <w:vertAlign w:val="baseline"/>
        </w:rPr>
        <w:t>to</w:t>
      </w:r>
      <w:r>
        <w:rPr>
          <w:spacing w:val="-2"/>
          <w:vertAlign w:val="baseline"/>
        </w:rPr>
        <w:t> </w:t>
      </w:r>
      <w:r>
        <w:rPr>
          <w:vertAlign w:val="baseline"/>
        </w:rPr>
        <w:t>it.</w:t>
      </w:r>
      <w:r>
        <w:rPr>
          <w:spacing w:val="-2"/>
          <w:vertAlign w:val="baseline"/>
        </w:rPr>
        <w:t> </w:t>
      </w:r>
      <w:r>
        <w:rPr>
          <w:vertAlign w:val="baseline"/>
        </w:rPr>
        <w:t>If</w:t>
      </w:r>
      <w:r>
        <w:rPr>
          <w:spacing w:val="-2"/>
          <w:vertAlign w:val="baseline"/>
        </w:rPr>
        <w:t> </w:t>
      </w:r>
      <w:r>
        <w:rPr>
          <w:vertAlign w:val="baseline"/>
        </w:rPr>
        <w:t>it</w:t>
      </w:r>
      <w:r>
        <w:rPr>
          <w:spacing w:val="-2"/>
          <w:vertAlign w:val="baseline"/>
        </w:rPr>
        <w:t> </w:t>
      </w:r>
      <w:r>
        <w:rPr>
          <w:vertAlign w:val="baseline"/>
        </w:rPr>
        <w:t>is</w:t>
      </w:r>
      <w:r>
        <w:rPr>
          <w:spacing w:val="-2"/>
          <w:vertAlign w:val="baseline"/>
        </w:rPr>
        <w:t> </w:t>
      </w:r>
      <w:r>
        <w:rPr>
          <w:vertAlign w:val="baseline"/>
        </w:rPr>
        <w:t>simply</w:t>
      </w:r>
      <w:r>
        <w:rPr>
          <w:spacing w:val="-2"/>
          <w:vertAlign w:val="baseline"/>
        </w:rPr>
        <w:t> </w:t>
      </w:r>
      <w:r>
        <w:rPr>
          <w:vertAlign w:val="baseline"/>
        </w:rPr>
        <w:t>verbiage,</w:t>
      </w:r>
      <w:r>
        <w:rPr>
          <w:spacing w:val="-2"/>
          <w:vertAlign w:val="baseline"/>
        </w:rPr>
        <w:t> </w:t>
      </w:r>
      <w:r>
        <w:rPr>
          <w:vertAlign w:val="baseline"/>
        </w:rPr>
        <w:t>not</w:t>
      </w:r>
      <w:r>
        <w:rPr>
          <w:spacing w:val="-2"/>
          <w:vertAlign w:val="baseline"/>
        </w:rPr>
        <w:t> </w:t>
      </w:r>
      <w:r>
        <w:rPr>
          <w:vertAlign w:val="baseline"/>
        </w:rPr>
        <w:t>intended</w:t>
      </w:r>
      <w:r>
        <w:rPr>
          <w:spacing w:val="-2"/>
          <w:vertAlign w:val="baseline"/>
        </w:rPr>
        <w:t> </w:t>
      </w:r>
      <w:r>
        <w:rPr>
          <w:vertAlign w:val="baseline"/>
        </w:rPr>
        <w:t>to</w:t>
      </w:r>
      <w:r>
        <w:rPr>
          <w:spacing w:val="-2"/>
          <w:vertAlign w:val="baseline"/>
        </w:rPr>
        <w:t> </w:t>
      </w:r>
      <w:r>
        <w:rPr>
          <w:vertAlign w:val="baseline"/>
        </w:rPr>
        <w:t>add anything to an otherwise complete agreement, or if it relates to a matter of relatively minor</w:t>
      </w:r>
      <w:r>
        <w:rPr>
          <w:spacing w:val="40"/>
          <w:vertAlign w:val="baseline"/>
        </w:rPr>
        <w:t> </w:t>
      </w:r>
      <w:r>
        <w:rPr>
          <w:vertAlign w:val="baseline"/>
        </w:rPr>
        <w:t>importance, it can be ignored. But if the parties intend it to govern some vital aspect of their relationship its vagueness will vitiate the entire agreement.</w:t>
      </w:r>
    </w:p>
    <w:p>
      <w:pPr>
        <w:pStyle w:val="BodyText"/>
      </w:pPr>
    </w:p>
    <w:p>
      <w:pPr>
        <w:pStyle w:val="BodyText"/>
        <w:spacing w:before="33"/>
      </w:pPr>
    </w:p>
    <w:p>
      <w:pPr>
        <w:spacing w:before="0"/>
        <w:ind w:left="165" w:right="0" w:firstLine="0"/>
        <w:jc w:val="left"/>
        <w:rPr>
          <w:rFonts w:ascii="Arial"/>
          <w:b/>
          <w:sz w:val="18"/>
        </w:rPr>
      </w:pPr>
      <w:r>
        <w:rPr>
          <w:rFonts w:ascii="Arial"/>
          <w:b/>
          <w:sz w:val="18"/>
        </w:rPr>
        <w:t>Conflicting </w:t>
      </w:r>
      <w:r>
        <w:rPr>
          <w:rFonts w:ascii="Arial"/>
          <w:b/>
          <w:spacing w:val="-2"/>
          <w:sz w:val="18"/>
        </w:rPr>
        <w:t>provisions</w:t>
      </w:r>
    </w:p>
    <w:p>
      <w:pPr>
        <w:pStyle w:val="BodyText"/>
        <w:spacing w:before="41"/>
        <w:rPr>
          <w:rFonts w:ascii="Arial"/>
          <w:b/>
          <w:sz w:val="18"/>
        </w:rPr>
      </w:pPr>
    </w:p>
    <w:p>
      <w:pPr>
        <w:pStyle w:val="Heading2"/>
        <w:spacing w:before="1"/>
      </w:pPr>
      <w:r>
        <w:rPr/>
        <w:t>2-</w:t>
      </w:r>
      <w:r>
        <w:rPr>
          <w:spacing w:val="-5"/>
        </w:rPr>
        <w:t>153</w:t>
      </w:r>
    </w:p>
    <w:p>
      <w:pPr>
        <w:pStyle w:val="BodyText"/>
        <w:spacing w:line="235" w:lineRule="auto" w:before="202"/>
        <w:ind w:left="164" w:right="167"/>
        <w:jc w:val="both"/>
      </w:pPr>
      <w:r>
        <w:rPr/>
        <w:t>An agreement is not too uncertain to have contractual force merely because of a conflict between two </w:t>
      </w:r>
      <w:bookmarkStart w:name="_bookmark1554" w:id="1556"/>
      <w:bookmarkEnd w:id="1556"/>
      <w:r>
        <w:rPr/>
        <w:t>of</w:t>
      </w:r>
      <w:r>
        <w:rPr/>
        <w:t> its terms if, as is often the case, the conflict can be resolved in the course of the normal</w:t>
      </w:r>
      <w:r>
        <w:rPr>
          <w:spacing w:val="40"/>
        </w:rPr>
        <w:t> </w:t>
      </w:r>
      <w:r>
        <w:rPr/>
        <w:t>adjudication of a contractual dispute. In </w:t>
      </w:r>
      <w:r>
        <w:rPr>
          <w:rFonts w:ascii="Arial" w:hAnsi="Arial"/>
          <w:i/>
        </w:rPr>
        <w:t>Scammell v Dicker</w:t>
      </w:r>
      <w:r>
        <w:rPr/>
        <w:t>, </w:t>
      </w:r>
      <w:r>
        <w:rPr>
          <w:color w:val="005DA1"/>
          <w:u w:val="single" w:color="005DA1"/>
          <w:vertAlign w:val="superscript"/>
        </w:rPr>
        <w:t>829</w:t>
      </w:r>
      <w:r>
        <w:rPr>
          <w:color w:val="005DA1"/>
          <w:vertAlign w:val="baseline"/>
        </w:rPr>
        <w:t> </w:t>
      </w:r>
      <w:r>
        <w:rPr>
          <w:vertAlign w:val="baseline"/>
        </w:rPr>
        <w:t>a consent order relating to a boundary dispute was alleged to be ineffective by reason of a conflict between the words of the order and </w:t>
      </w:r>
      <w:r>
        <w:rPr>
          <w:vertAlign w:val="baseline"/>
        </w:rPr>
        <w:t>a</w:t>
      </w:r>
      <w:r>
        <w:rPr>
          <w:spacing w:val="80"/>
          <w:vertAlign w:val="baseline"/>
        </w:rPr>
        <w:t> </w:t>
      </w:r>
      <w:r>
        <w:rPr>
          <w:vertAlign w:val="baseline"/>
        </w:rPr>
        <w:t>plan</w:t>
      </w:r>
      <w:r>
        <w:rPr>
          <w:spacing w:val="-1"/>
          <w:vertAlign w:val="baseline"/>
        </w:rPr>
        <w:t> </w:t>
      </w:r>
      <w:r>
        <w:rPr>
          <w:vertAlign w:val="baseline"/>
        </w:rPr>
        <w:t>annexed</w:t>
      </w:r>
      <w:r>
        <w:rPr>
          <w:spacing w:val="-1"/>
          <w:vertAlign w:val="baseline"/>
        </w:rPr>
        <w:t> </w:t>
      </w:r>
      <w:r>
        <w:rPr>
          <w:vertAlign w:val="baseline"/>
        </w:rPr>
        <w:t>to</w:t>
      </w:r>
      <w:r>
        <w:rPr>
          <w:spacing w:val="-1"/>
          <w:vertAlign w:val="baseline"/>
        </w:rPr>
        <w:t> </w:t>
      </w:r>
      <w:r>
        <w:rPr>
          <w:vertAlign w:val="baseline"/>
        </w:rPr>
        <w:t>it.</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of</w:t>
      </w:r>
      <w:r>
        <w:rPr>
          <w:spacing w:val="-1"/>
          <w:vertAlign w:val="baseline"/>
        </w:rPr>
        <w:t> </w:t>
      </w:r>
      <w:r>
        <w:rPr>
          <w:vertAlign w:val="baseline"/>
        </w:rPr>
        <w:t>Appeal</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order</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vitiated</w:t>
      </w:r>
      <w:r>
        <w:rPr>
          <w:spacing w:val="-1"/>
          <w:vertAlign w:val="baseline"/>
        </w:rPr>
        <w:t> </w:t>
      </w:r>
      <w:r>
        <w:rPr>
          <w:vertAlign w:val="baseline"/>
        </w:rPr>
        <w:t>by</w:t>
      </w:r>
      <w:r>
        <w:rPr>
          <w:spacing w:val="-1"/>
          <w:vertAlign w:val="baseline"/>
        </w:rPr>
        <w:t> </w:t>
      </w:r>
      <w:r>
        <w:rPr>
          <w:vertAlign w:val="baseline"/>
        </w:rPr>
        <w:t>uncertainty</w:t>
      </w:r>
      <w:r>
        <w:rPr>
          <w:spacing w:val="-1"/>
          <w:vertAlign w:val="baseline"/>
        </w:rPr>
        <w:t> </w:t>
      </w:r>
      <w:r>
        <w:rPr>
          <w:vertAlign w:val="baseline"/>
        </w:rPr>
        <w:t>since</w:t>
      </w:r>
      <w:r>
        <w:rPr>
          <w:spacing w:val="-1"/>
          <w:vertAlign w:val="baseline"/>
        </w:rPr>
        <w:t> </w:t>
      </w:r>
      <w:r>
        <w:rPr>
          <w:vertAlign w:val="baseline"/>
        </w:rPr>
        <w:t>it</w:t>
      </w:r>
      <w:r>
        <w:rPr>
          <w:spacing w:val="-1"/>
          <w:vertAlign w:val="baseline"/>
        </w:rPr>
        <w:t> </w:t>
      </w:r>
      <w:r>
        <w:rPr>
          <w:vertAlign w:val="baseline"/>
        </w:rPr>
        <w:t>was </w:t>
      </w:r>
      <w:bookmarkStart w:name="_bookmark1555" w:id="1557"/>
      <w:bookmarkEnd w:id="1557"/>
      <w:r>
        <w:rPr>
          <w:vertAlign w:val="baseline"/>
        </w:rPr>
        <w:t>“for</w:t>
      </w:r>
      <w:r>
        <w:rPr>
          <w:vertAlign w:val="baseline"/>
        </w:rPr>
        <w:t> the parties to resolve any disagreement as to interpretation” and if they failed to do so they would “go to tribunals and find the answer”. </w:t>
      </w:r>
      <w:r>
        <w:rPr>
          <w:color w:val="005DA1"/>
          <w:u w:val="single" w:color="005DA1"/>
          <w:vertAlign w:val="superscript"/>
        </w:rPr>
        <w:t>830</w:t>
      </w:r>
      <w:r>
        <w:rPr>
          <w:color w:val="005DA1"/>
          <w:vertAlign w:val="baseline"/>
        </w:rPr>
        <w:t> </w:t>
      </w:r>
      <w:r>
        <w:rPr>
          <w:vertAlign w:val="baseline"/>
        </w:rPr>
        <w:t>The uncertainty can in such cases be resolved by the ordinary processes of construction.</w:t>
      </w:r>
    </w:p>
    <w:p>
      <w:pPr>
        <w:pStyle w:val="BodyText"/>
      </w:pPr>
    </w:p>
    <w:p>
      <w:pPr>
        <w:pStyle w:val="BodyText"/>
        <w:spacing w:before="36"/>
      </w:pPr>
    </w:p>
    <w:p>
      <w:pPr>
        <w:spacing w:before="0"/>
        <w:ind w:left="165" w:right="0" w:firstLine="0"/>
        <w:jc w:val="left"/>
        <w:rPr>
          <w:rFonts w:ascii="Arial"/>
          <w:b/>
          <w:sz w:val="18"/>
        </w:rPr>
      </w:pPr>
      <w:r>
        <w:rPr>
          <w:rFonts w:ascii="Arial"/>
          <w:b/>
          <w:sz w:val="18"/>
        </w:rPr>
        <w:t>Vagueness in a subsidiary </w:t>
      </w:r>
      <w:r>
        <w:rPr>
          <w:rFonts w:ascii="Arial"/>
          <w:b/>
          <w:spacing w:val="-4"/>
          <w:sz w:val="18"/>
        </w:rPr>
        <w:t>term</w:t>
      </w:r>
    </w:p>
    <w:p>
      <w:pPr>
        <w:pStyle w:val="BodyText"/>
        <w:spacing w:before="41"/>
        <w:rPr>
          <w:rFonts w:ascii="Arial"/>
          <w:b/>
          <w:sz w:val="18"/>
        </w:rPr>
      </w:pPr>
    </w:p>
    <w:p>
      <w:pPr>
        <w:pStyle w:val="Heading2"/>
      </w:pPr>
      <w:r>
        <w:rPr/>
        <w:t>2-</w:t>
      </w:r>
      <w:r>
        <w:rPr>
          <w:spacing w:val="-5"/>
        </w:rPr>
        <w:t>154</w:t>
      </w:r>
    </w:p>
    <w:p>
      <w:pPr>
        <w:pStyle w:val="BodyText"/>
        <w:spacing w:line="235" w:lineRule="auto" w:before="203"/>
        <w:ind w:left="164" w:right="167"/>
        <w:jc w:val="both"/>
      </w:pPr>
      <w:bookmarkStart w:name="_bookmark1556" w:id="1558"/>
      <w:bookmarkEnd w:id="1558"/>
      <w:r>
        <w:rPr/>
      </w:r>
      <w:r>
        <w:rPr/>
        <w:t>It has been held that vagueness in one of the terms of an agreement did not of itself vitiate </w:t>
      </w:r>
      <w:r>
        <w:rPr/>
        <w:t>the </w:t>
      </w:r>
      <w:bookmarkStart w:name="_bookmark1557" w:id="1559"/>
      <w:bookmarkEnd w:id="1559"/>
      <w:r>
        <w:rPr/>
        <w:t>agreement</w:t>
      </w:r>
      <w:r>
        <w:rPr/>
        <w:t> as a whole. </w:t>
      </w:r>
      <w:r>
        <w:rPr>
          <w:color w:val="005DA1"/>
          <w:u w:val="single" w:color="005DA1"/>
          <w:vertAlign w:val="superscript"/>
        </w:rPr>
        <w:t>831</w:t>
      </w:r>
      <w:r>
        <w:rPr>
          <w:color w:val="005DA1"/>
          <w:vertAlign w:val="baseline"/>
        </w:rPr>
        <w:t> </w:t>
      </w:r>
      <w:r>
        <w:rPr>
          <w:vertAlign w:val="baseline"/>
        </w:rPr>
        <w:t>The underlying assumption appears to be that the vague term related only to a subsidiary point </w:t>
      </w:r>
      <w:r>
        <w:rPr>
          <w:color w:val="005DA1"/>
          <w:u w:val="single" w:color="005DA1"/>
          <w:vertAlign w:val="superscript"/>
        </w:rPr>
        <w:t>832</w:t>
      </w:r>
      <w:r>
        <w:rPr>
          <w:color w:val="005DA1"/>
          <w:vertAlign w:val="baseline"/>
        </w:rPr>
        <w:t> </w:t>
      </w:r>
      <w:r>
        <w:rPr>
          <w:vertAlign w:val="baseline"/>
        </w:rPr>
        <w:t>so that there was no practical difficulty in enforcing the rest of the agreement.</w:t>
      </w:r>
    </w:p>
    <w:p>
      <w:pPr>
        <w:pStyle w:val="BodyText"/>
      </w:pPr>
    </w:p>
    <w:p>
      <w:pPr>
        <w:pStyle w:val="BodyText"/>
        <w:spacing w:before="37"/>
      </w:pPr>
    </w:p>
    <w:p>
      <w:pPr>
        <w:spacing w:before="0"/>
        <w:ind w:left="165" w:right="0" w:firstLine="0"/>
        <w:jc w:val="left"/>
        <w:rPr>
          <w:rFonts w:ascii="Arial"/>
          <w:b/>
          <w:sz w:val="18"/>
        </w:rPr>
      </w:pPr>
      <w:r>
        <w:rPr>
          <w:rFonts w:ascii="Arial"/>
          <w:b/>
          <w:sz w:val="18"/>
        </w:rPr>
        <w:t>Extrinsic evidence identifying the subject </w:t>
      </w:r>
      <w:r>
        <w:rPr>
          <w:rFonts w:ascii="Arial"/>
          <w:b/>
          <w:spacing w:val="-2"/>
          <w:sz w:val="18"/>
        </w:rPr>
        <w:t>matter</w:t>
      </w:r>
    </w:p>
    <w:p>
      <w:pPr>
        <w:pStyle w:val="BodyText"/>
        <w:spacing w:before="41"/>
        <w:rPr>
          <w:rFonts w:ascii="Arial"/>
          <w:b/>
          <w:sz w:val="18"/>
        </w:rPr>
      </w:pPr>
    </w:p>
    <w:p>
      <w:pPr>
        <w:pStyle w:val="Heading2"/>
        <w:spacing w:before="1"/>
      </w:pPr>
      <w:r>
        <w:rPr/>
        <w:t>2-</w:t>
      </w:r>
      <w:r>
        <w:rPr>
          <w:spacing w:val="-5"/>
        </w:rPr>
        <w:t>155</w:t>
      </w:r>
    </w:p>
    <w:p>
      <w:pPr>
        <w:pStyle w:val="BodyText"/>
        <w:spacing w:line="235" w:lineRule="auto" w:before="202"/>
        <w:ind w:left="165" w:right="167"/>
        <w:jc w:val="both"/>
      </w:pPr>
      <w:r>
        <w:rPr/>
        <w:t>Such evidence may cure an element of uncertainty on the face of a document. The point may be illustrated by an hypothetical example given by Lord Scott:</w:t>
      </w:r>
    </w:p>
    <w:p>
      <w:pPr>
        <w:pStyle w:val="BodyText"/>
      </w:pPr>
    </w:p>
    <w:p>
      <w:pPr>
        <w:pStyle w:val="BodyText"/>
        <w:spacing w:before="122"/>
      </w:pPr>
    </w:p>
    <w:p>
      <w:pPr>
        <w:pStyle w:val="BodyText"/>
        <w:ind w:left="1245"/>
      </w:pPr>
      <w:r>
        <w:rPr/>
        <w:t>“A</w:t>
      </w:r>
      <w:r>
        <w:rPr>
          <w:spacing w:val="12"/>
        </w:rPr>
        <w:t> </w:t>
      </w:r>
      <w:r>
        <w:rPr/>
        <w:t>contract</w:t>
      </w:r>
      <w:r>
        <w:rPr>
          <w:spacing w:val="12"/>
        </w:rPr>
        <w:t> </w:t>
      </w:r>
      <w:r>
        <w:rPr/>
        <w:t>for</w:t>
      </w:r>
      <w:r>
        <w:rPr>
          <w:spacing w:val="12"/>
        </w:rPr>
        <w:t> </w:t>
      </w:r>
      <w:r>
        <w:rPr/>
        <w:t>the</w:t>
      </w:r>
      <w:r>
        <w:rPr>
          <w:spacing w:val="12"/>
        </w:rPr>
        <w:t> </w:t>
      </w:r>
      <w:r>
        <w:rPr/>
        <w:t>sale</w:t>
      </w:r>
      <w:r>
        <w:rPr>
          <w:spacing w:val="12"/>
        </w:rPr>
        <w:t> </w:t>
      </w:r>
      <w:r>
        <w:rPr/>
        <w:t>of</w:t>
      </w:r>
      <w:r>
        <w:rPr>
          <w:spacing w:val="12"/>
        </w:rPr>
        <w:t> </w:t>
      </w:r>
      <w:r>
        <w:rPr/>
        <w:t>Steart</w:t>
      </w:r>
      <w:r>
        <w:rPr>
          <w:spacing w:val="12"/>
        </w:rPr>
        <w:t> </w:t>
      </w:r>
      <w:r>
        <w:rPr/>
        <w:t>Farm,</w:t>
      </w:r>
      <w:r>
        <w:rPr>
          <w:spacing w:val="12"/>
        </w:rPr>
        <w:t> </w:t>
      </w:r>
      <w:r>
        <w:rPr/>
        <w:t>if</w:t>
      </w:r>
      <w:r>
        <w:rPr>
          <w:spacing w:val="12"/>
        </w:rPr>
        <w:t> </w:t>
      </w:r>
      <w:r>
        <w:rPr/>
        <w:t>in</w:t>
      </w:r>
      <w:r>
        <w:rPr>
          <w:spacing w:val="12"/>
        </w:rPr>
        <w:t> </w:t>
      </w:r>
      <w:r>
        <w:rPr/>
        <w:t>writing,</w:t>
      </w:r>
      <w:r>
        <w:rPr>
          <w:spacing w:val="12"/>
        </w:rPr>
        <w:t> </w:t>
      </w:r>
      <w:r>
        <w:rPr/>
        <w:t>signed</w:t>
      </w:r>
      <w:r>
        <w:rPr>
          <w:spacing w:val="12"/>
        </w:rPr>
        <w:t> </w:t>
      </w:r>
      <w:r>
        <w:rPr/>
        <w:t>by</w:t>
      </w:r>
      <w:r>
        <w:rPr>
          <w:spacing w:val="12"/>
        </w:rPr>
        <w:t> </w:t>
      </w:r>
      <w:r>
        <w:rPr/>
        <w:t>the</w:t>
      </w:r>
      <w:r>
        <w:rPr>
          <w:spacing w:val="12"/>
        </w:rPr>
        <w:t> </w:t>
      </w:r>
      <w:r>
        <w:rPr/>
        <w:t>parties</w:t>
      </w:r>
      <w:r>
        <w:rPr>
          <w:spacing w:val="12"/>
        </w:rPr>
        <w:t> </w:t>
      </w:r>
      <w:r>
        <w:rPr/>
        <w:t>and</w:t>
      </w:r>
      <w:r>
        <w:rPr>
          <w:spacing w:val="12"/>
        </w:rPr>
        <w:t> </w:t>
      </w:r>
      <w:r>
        <w:rPr/>
        <w:t>stating</w:t>
      </w:r>
      <w:r>
        <w:rPr>
          <w:spacing w:val="12"/>
        </w:rPr>
        <w:t> </w:t>
      </w:r>
      <w:r>
        <w:rPr>
          <w:spacing w:val="-5"/>
        </w:rPr>
        <w:t>the</w:t>
      </w:r>
    </w:p>
    <w:p>
      <w:pPr>
        <w:pStyle w:val="BodyText"/>
        <w:spacing w:after="0"/>
        <w:sectPr>
          <w:pgSz w:w="11900" w:h="16840"/>
          <w:pgMar w:header="971" w:footer="0" w:top="1300" w:bottom="280" w:left="1275" w:right="1275"/>
        </w:sectPr>
      </w:pPr>
    </w:p>
    <w:p>
      <w:pPr>
        <w:pStyle w:val="BodyText"/>
        <w:spacing w:before="167"/>
      </w:pPr>
    </w:p>
    <w:p>
      <w:pPr>
        <w:pStyle w:val="BodyText"/>
        <w:spacing w:line="235" w:lineRule="auto"/>
        <w:ind w:left="1245"/>
      </w:pPr>
      <w:bookmarkStart w:name="_bookmark1558" w:id="1560"/>
      <w:bookmarkEnd w:id="1560"/>
      <w:r>
        <w:rPr/>
      </w:r>
      <w:r>
        <w:rPr/>
        <w:t>price,</w:t>
      </w:r>
      <w:r>
        <w:rPr>
          <w:spacing w:val="40"/>
        </w:rPr>
        <w:t> </w:t>
      </w:r>
      <w:r>
        <w:rPr/>
        <w:t>would</w:t>
      </w:r>
      <w:r>
        <w:rPr>
          <w:spacing w:val="40"/>
        </w:rPr>
        <w:t> </w:t>
      </w:r>
      <w:r>
        <w:rPr/>
        <w:t>not</w:t>
      </w:r>
      <w:r>
        <w:rPr>
          <w:spacing w:val="40"/>
        </w:rPr>
        <w:t> </w:t>
      </w:r>
      <w:r>
        <w:rPr/>
        <w:t>lack</w:t>
      </w:r>
      <w:r>
        <w:rPr>
          <w:spacing w:val="40"/>
        </w:rPr>
        <w:t> </w:t>
      </w:r>
      <w:r>
        <w:rPr/>
        <w:t>contractual</w:t>
      </w:r>
      <w:r>
        <w:rPr>
          <w:spacing w:val="40"/>
        </w:rPr>
        <w:t> </w:t>
      </w:r>
      <w:r>
        <w:rPr/>
        <w:t>certainty</w:t>
      </w:r>
      <w:r>
        <w:rPr>
          <w:spacing w:val="40"/>
        </w:rPr>
        <w:t> </w:t>
      </w:r>
      <w:r>
        <w:rPr/>
        <w:t>provided</w:t>
      </w:r>
      <w:r>
        <w:rPr>
          <w:spacing w:val="40"/>
        </w:rPr>
        <w:t> </w:t>
      </w:r>
      <w:r>
        <w:rPr/>
        <w:t>that</w:t>
      </w:r>
      <w:r>
        <w:rPr>
          <w:spacing w:val="40"/>
        </w:rPr>
        <w:t> </w:t>
      </w:r>
      <w:r>
        <w:rPr/>
        <w:t>evidence</w:t>
      </w:r>
      <w:r>
        <w:rPr>
          <w:spacing w:val="40"/>
        </w:rPr>
        <w:t> </w:t>
      </w:r>
      <w:r>
        <w:rPr/>
        <w:t>were</w:t>
      </w:r>
      <w:r>
        <w:rPr>
          <w:spacing w:val="40"/>
        </w:rPr>
        <w:t> </w:t>
      </w:r>
      <w:r>
        <w:rPr/>
        <w:t>available</w:t>
      </w:r>
      <w:r>
        <w:rPr>
          <w:spacing w:val="40"/>
        </w:rPr>
        <w:t> </w:t>
      </w:r>
      <w:r>
        <w:rPr/>
        <w:t>to identify the agricultural unit that constituted Steart Farm.” </w:t>
      </w:r>
      <w:r>
        <w:rPr>
          <w:color w:val="005DA1"/>
          <w:u w:val="single" w:color="005DA1"/>
          <w:vertAlign w:val="superscript"/>
        </w:rPr>
        <w:t>833</w:t>
      </w:r>
    </w:p>
    <w:p>
      <w:pPr>
        <w:pStyle w:val="BodyText"/>
      </w:pPr>
    </w:p>
    <w:p>
      <w:pPr>
        <w:pStyle w:val="BodyText"/>
      </w:pPr>
    </w:p>
    <w:p>
      <w:pPr>
        <w:pStyle w:val="BodyText"/>
        <w:spacing w:before="156"/>
      </w:pPr>
      <w:r>
        <w:rPr/>
        <mc:AlternateContent>
          <mc:Choice Requires="wps">
            <w:drawing>
              <wp:anchor distT="0" distB="0" distL="0" distR="0" allowOverlap="1" layoutInCell="1" locked="0" behindDoc="1" simplePos="0" relativeHeight="487619072">
                <wp:simplePos x="0" y="0"/>
                <wp:positionH relativeFrom="page">
                  <wp:posOffset>914400</wp:posOffset>
                </wp:positionH>
                <wp:positionV relativeFrom="paragraph">
                  <wp:posOffset>260470</wp:posOffset>
                </wp:positionV>
                <wp:extent cx="5724525" cy="1270"/>
                <wp:effectExtent l="0" t="0" r="0" b="0"/>
                <wp:wrapTopAndBottom/>
                <wp:docPr id="123" name="Graphic 123"/>
                <wp:cNvGraphicFramePr>
                  <a:graphicFrameLocks/>
                </wp:cNvGraphicFramePr>
                <a:graphic>
                  <a:graphicData uri="http://schemas.microsoft.com/office/word/2010/wordprocessingShape">
                    <wps:wsp>
                      <wps:cNvPr id="123" name="Graphic 123"/>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20.509485pt;width:450.75pt;height:.1pt;mso-position-horizontal-relative:page;mso-position-vertical-relative:paragraph;z-index:-15697408;mso-wrap-distance-left:0;mso-wrap-distance-right:0" id="docshape41" coordorigin="1440,410" coordsize="9015,0" path="m1440,410l10454,410e" filled="false" stroked="true" strokeweight="1pt" strokecolor="#000000">
                <v:path arrowok="t"/>
                <v:stroke dashstyle="solid"/>
                <w10:wrap type="topAndBottom"/>
              </v:shape>
            </w:pict>
          </mc:Fallback>
        </mc:AlternateContent>
      </w:r>
    </w:p>
    <w:p>
      <w:pPr>
        <w:pStyle w:val="BodyText"/>
        <w:spacing w:before="9"/>
      </w:pPr>
    </w:p>
    <w:p>
      <w:pPr>
        <w:pStyle w:val="BodyText"/>
        <w:spacing w:after="0"/>
        <w:sectPr>
          <w:pgSz w:w="11900" w:h="16840"/>
          <w:pgMar w:header="971" w:footer="0" w:top="1300" w:bottom="280" w:left="1275" w:right="1275"/>
        </w:sectPr>
      </w:pPr>
    </w:p>
    <w:p>
      <w:pPr>
        <w:spacing w:before="95"/>
        <w:ind w:left="165" w:right="0" w:firstLine="0"/>
        <w:jc w:val="left"/>
        <w:rPr>
          <w:sz w:val="14"/>
        </w:rPr>
      </w:pPr>
      <w:bookmarkStart w:name="_bookmark1559" w:id="1561"/>
      <w:bookmarkEnd w:id="1561"/>
      <w:r>
        <w:rPr/>
      </w:r>
      <w:hyperlink w:history="true" w:anchor="_bookmark1530">
        <w:r>
          <w:rPr>
            <w:color w:val="005DA1"/>
            <w:spacing w:val="-4"/>
            <w:sz w:val="14"/>
            <w:u w:val="single" w:color="005DA1"/>
          </w:rPr>
          <w:t>803</w:t>
        </w:r>
      </w:hyperlink>
      <w:r>
        <w:rPr>
          <w:spacing w:val="-4"/>
          <w:sz w:val="14"/>
        </w:rPr>
        <w:t>.</w:t>
      </w:r>
    </w:p>
    <w:p>
      <w:pPr>
        <w:spacing w:line="235" w:lineRule="auto" w:before="212"/>
        <w:ind w:left="165" w:right="168" w:firstLine="170"/>
        <w:jc w:val="both"/>
        <w:rPr>
          <w:rFonts w:ascii="Arial" w:hAnsi="Arial"/>
          <w:i/>
          <w:sz w:val="20"/>
        </w:rPr>
      </w:pPr>
      <w:r>
        <w:rPr/>
        <w:br w:type="column"/>
      </w:r>
      <w:r>
        <w:rPr>
          <w:rFonts w:ascii="Arial" w:hAnsi="Arial"/>
          <w:i/>
          <w:sz w:val="20"/>
        </w:rPr>
        <w:t>[1941]</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251</w:t>
      </w:r>
      <w:r>
        <w:rPr>
          <w:sz w:val="20"/>
        </w:rPr>
        <w:t>,</w:t>
      </w:r>
      <w:r>
        <w:rPr>
          <w:spacing w:val="-1"/>
          <w:sz w:val="20"/>
        </w:rPr>
        <w:t> </w:t>
      </w:r>
      <w:r>
        <w:rPr>
          <w:sz w:val="20"/>
        </w:rPr>
        <w:t>described</w:t>
      </w:r>
      <w:r>
        <w:rPr>
          <w:spacing w:val="-1"/>
          <w:sz w:val="20"/>
        </w:rPr>
        <w:t> </w:t>
      </w:r>
      <w:r>
        <w:rPr>
          <w:sz w:val="20"/>
        </w:rPr>
        <w:t>as</w:t>
      </w:r>
      <w:r>
        <w:rPr>
          <w:spacing w:val="-1"/>
          <w:sz w:val="20"/>
        </w:rPr>
        <w:t> </w:t>
      </w:r>
      <w:r>
        <w:rPr>
          <w:sz w:val="20"/>
        </w:rPr>
        <w:t>“a</w:t>
      </w:r>
      <w:r>
        <w:rPr>
          <w:spacing w:val="-1"/>
          <w:sz w:val="20"/>
        </w:rPr>
        <w:t> </w:t>
      </w:r>
      <w:r>
        <w:rPr>
          <w:sz w:val="20"/>
        </w:rPr>
        <w:t>rare</w:t>
      </w:r>
      <w:r>
        <w:rPr>
          <w:spacing w:val="-1"/>
          <w:sz w:val="20"/>
        </w:rPr>
        <w:t> </w:t>
      </w:r>
      <w:r>
        <w:rPr>
          <w:sz w:val="20"/>
        </w:rPr>
        <w:t>case</w:t>
      </w:r>
      <w:r>
        <w:rPr>
          <w:spacing w:val="-1"/>
          <w:sz w:val="20"/>
        </w:rPr>
        <w:t> </w:t>
      </w:r>
      <w:r>
        <w:rPr>
          <w:sz w:val="20"/>
        </w:rPr>
        <w:t>of</w:t>
      </w:r>
      <w:r>
        <w:rPr>
          <w:spacing w:val="-1"/>
          <w:sz w:val="20"/>
        </w:rPr>
        <w:t> </w:t>
      </w:r>
      <w:r>
        <w:rPr>
          <w:sz w:val="20"/>
        </w:rPr>
        <w:t>uncertainty”</w:t>
      </w:r>
      <w:r>
        <w:rPr>
          <w:spacing w:val="-1"/>
          <w:sz w:val="20"/>
        </w:rPr>
        <w:t> </w:t>
      </w:r>
      <w:r>
        <w:rPr>
          <w:sz w:val="20"/>
        </w:rPr>
        <w:t>in</w:t>
      </w:r>
      <w:r>
        <w:rPr>
          <w:spacing w:val="-2"/>
          <w:sz w:val="20"/>
        </w:rPr>
        <w:t> </w:t>
      </w:r>
      <w:r>
        <w:rPr>
          <w:rFonts w:ascii="Arial" w:hAnsi="Arial"/>
          <w:i/>
          <w:sz w:val="20"/>
        </w:rPr>
        <w:t>Scammell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Dicker</w:t>
      </w:r>
      <w:r>
        <w:rPr>
          <w:rFonts w:ascii="Arial" w:hAnsi="Arial"/>
          <w:i/>
          <w:spacing w:val="-1"/>
          <w:sz w:val="20"/>
        </w:rPr>
        <w:t> </w:t>
      </w:r>
      <w:r>
        <w:rPr>
          <w:rFonts w:ascii="Arial" w:hAnsi="Arial"/>
          <w:i/>
          <w:sz w:val="20"/>
        </w:rPr>
        <w:t>[2005]</w:t>
      </w:r>
      <w:r>
        <w:rPr>
          <w:rFonts w:ascii="Arial" w:hAnsi="Arial"/>
          <w:i/>
          <w:spacing w:val="-1"/>
          <w:sz w:val="20"/>
        </w:rPr>
        <w:t> </w:t>
      </w:r>
      <w:r>
        <w:rPr>
          <w:rFonts w:ascii="Arial" w:hAnsi="Arial"/>
          <w:i/>
          <w:sz w:val="20"/>
        </w:rPr>
        <w:t>EWCA Civ 405, [2005] 3 All E.R. 838 </w:t>
      </w:r>
      <w:r>
        <w:rPr>
          <w:sz w:val="20"/>
        </w:rPr>
        <w:t>at [41]. See also </w:t>
      </w:r>
      <w:r>
        <w:rPr>
          <w:rFonts w:ascii="Arial" w:hAnsi="Arial"/>
          <w:i/>
          <w:sz w:val="20"/>
        </w:rPr>
        <w:t>Davies v Davies (1887) 36 Ch. D. 359</w:t>
      </w:r>
      <w:r>
        <w:rPr>
          <w:sz w:val="20"/>
        </w:rPr>
        <w:t>; </w:t>
      </w:r>
      <w:r>
        <w:rPr>
          <w:rFonts w:ascii="Arial" w:hAnsi="Arial"/>
          <w:i/>
          <w:sz w:val="20"/>
        </w:rPr>
        <w:t>Kingsley &amp; Keith Ltd v Glynn Bros. (Chemicals) Ltd [1953] 1 Lloyd’s Rep. 211</w:t>
      </w:r>
      <w:r>
        <w:rPr>
          <w:sz w:val="20"/>
        </w:rPr>
        <w:t>; </w:t>
      </w:r>
      <w:r>
        <w:rPr>
          <w:rFonts w:ascii="Arial" w:hAnsi="Arial"/>
          <w:i/>
          <w:sz w:val="20"/>
        </w:rPr>
        <w:t>Judge v Crown Leisure</w:t>
      </w:r>
      <w:r>
        <w:rPr>
          <w:rFonts w:ascii="Arial" w:hAnsi="Arial"/>
          <w:i/>
          <w:spacing w:val="40"/>
          <w:sz w:val="20"/>
        </w:rPr>
        <w:t> </w:t>
      </w:r>
      <w:r>
        <w:rPr>
          <w:rFonts w:ascii="Arial" w:hAnsi="Arial"/>
          <w:i/>
          <w:sz w:val="20"/>
        </w:rPr>
        <w:t>Ltd</w:t>
      </w:r>
      <w:r>
        <w:rPr>
          <w:rFonts w:ascii="Arial" w:hAnsi="Arial"/>
          <w:i/>
          <w:spacing w:val="17"/>
          <w:sz w:val="20"/>
        </w:rPr>
        <w:t> </w:t>
      </w:r>
      <w:r>
        <w:rPr>
          <w:rFonts w:ascii="Arial" w:hAnsi="Arial"/>
          <w:i/>
          <w:sz w:val="20"/>
        </w:rPr>
        <w:t>[2005]</w:t>
      </w:r>
      <w:r>
        <w:rPr>
          <w:rFonts w:ascii="Arial" w:hAnsi="Arial"/>
          <w:i/>
          <w:spacing w:val="17"/>
          <w:sz w:val="20"/>
        </w:rPr>
        <w:t> </w:t>
      </w:r>
      <w:r>
        <w:rPr>
          <w:rFonts w:ascii="Arial" w:hAnsi="Arial"/>
          <w:i/>
          <w:sz w:val="20"/>
        </w:rPr>
        <w:t>EWCA</w:t>
      </w:r>
      <w:r>
        <w:rPr>
          <w:rFonts w:ascii="Arial" w:hAnsi="Arial"/>
          <w:i/>
          <w:spacing w:val="17"/>
          <w:sz w:val="20"/>
        </w:rPr>
        <w:t> </w:t>
      </w:r>
      <w:r>
        <w:rPr>
          <w:rFonts w:ascii="Arial" w:hAnsi="Arial"/>
          <w:i/>
          <w:sz w:val="20"/>
        </w:rPr>
        <w:t>Civ</w:t>
      </w:r>
      <w:r>
        <w:rPr>
          <w:rFonts w:ascii="Arial" w:hAnsi="Arial"/>
          <w:i/>
          <w:spacing w:val="17"/>
          <w:sz w:val="20"/>
        </w:rPr>
        <w:t> </w:t>
      </w:r>
      <w:r>
        <w:rPr>
          <w:rFonts w:ascii="Arial" w:hAnsi="Arial"/>
          <w:i/>
          <w:sz w:val="20"/>
        </w:rPr>
        <w:t>571,</w:t>
      </w:r>
      <w:r>
        <w:rPr>
          <w:rFonts w:ascii="Arial" w:hAnsi="Arial"/>
          <w:i/>
          <w:spacing w:val="17"/>
          <w:sz w:val="20"/>
        </w:rPr>
        <w:t> </w:t>
      </w:r>
      <w:r>
        <w:rPr>
          <w:rFonts w:ascii="Arial" w:hAnsi="Arial"/>
          <w:i/>
          <w:sz w:val="20"/>
        </w:rPr>
        <w:t>[2005]</w:t>
      </w:r>
      <w:r>
        <w:rPr>
          <w:rFonts w:ascii="Arial" w:hAnsi="Arial"/>
          <w:i/>
          <w:spacing w:val="17"/>
          <w:sz w:val="20"/>
        </w:rPr>
        <w:t> </w:t>
      </w:r>
      <w:r>
        <w:rPr>
          <w:rFonts w:ascii="Arial" w:hAnsi="Arial"/>
          <w:i/>
          <w:sz w:val="20"/>
        </w:rPr>
        <w:t>I.R.L.R.</w:t>
      </w:r>
      <w:r>
        <w:rPr>
          <w:rFonts w:ascii="Arial" w:hAnsi="Arial"/>
          <w:i/>
          <w:spacing w:val="17"/>
          <w:sz w:val="20"/>
        </w:rPr>
        <w:t> </w:t>
      </w:r>
      <w:r>
        <w:rPr>
          <w:rFonts w:ascii="Arial" w:hAnsi="Arial"/>
          <w:i/>
          <w:sz w:val="20"/>
        </w:rPr>
        <w:t>823</w:t>
      </w:r>
      <w:r>
        <w:rPr>
          <w:rFonts w:ascii="Arial" w:hAnsi="Arial"/>
          <w:i/>
          <w:spacing w:val="16"/>
          <w:sz w:val="20"/>
        </w:rPr>
        <w:t> </w:t>
      </w:r>
      <w:r>
        <w:rPr>
          <w:sz w:val="20"/>
        </w:rPr>
        <w:t>at</w:t>
      </w:r>
      <w:r>
        <w:rPr>
          <w:spacing w:val="17"/>
          <w:sz w:val="20"/>
        </w:rPr>
        <w:t> </w:t>
      </w:r>
      <w:r>
        <w:rPr>
          <w:sz w:val="20"/>
        </w:rPr>
        <w:t>[23];</w:t>
      </w:r>
      <w:r>
        <w:rPr>
          <w:spacing w:val="17"/>
          <w:sz w:val="20"/>
        </w:rPr>
        <w:t> </w:t>
      </w:r>
      <w:r>
        <w:rPr>
          <w:rFonts w:ascii="Arial" w:hAnsi="Arial"/>
          <w:i/>
          <w:sz w:val="20"/>
        </w:rPr>
        <w:t>Kunicki</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Hayward</w:t>
      </w:r>
      <w:r>
        <w:rPr>
          <w:rFonts w:ascii="Arial" w:hAnsi="Arial"/>
          <w:i/>
          <w:spacing w:val="17"/>
          <w:sz w:val="20"/>
        </w:rPr>
        <w:t> </w:t>
      </w:r>
      <w:r>
        <w:rPr>
          <w:rFonts w:ascii="Arial" w:hAnsi="Arial"/>
          <w:i/>
          <w:sz w:val="20"/>
        </w:rPr>
        <w:t>[2016]</w:t>
      </w:r>
      <w:r>
        <w:rPr>
          <w:rFonts w:ascii="Arial" w:hAnsi="Arial"/>
          <w:i/>
          <w:spacing w:val="17"/>
          <w:sz w:val="20"/>
        </w:rPr>
        <w:t> </w:t>
      </w:r>
      <w:r>
        <w:rPr>
          <w:rFonts w:ascii="Arial" w:hAnsi="Arial"/>
          <w:i/>
          <w:sz w:val="20"/>
        </w:rPr>
        <w:t>EWHC</w:t>
      </w:r>
      <w:r>
        <w:rPr>
          <w:rFonts w:ascii="Arial" w:hAnsi="Arial"/>
          <w:i/>
          <w:spacing w:val="17"/>
          <w:sz w:val="20"/>
        </w:rPr>
        <w:t> </w:t>
      </w:r>
      <w:r>
        <w:rPr>
          <w:rFonts w:ascii="Arial" w:hAnsi="Arial"/>
          <w:i/>
          <w:spacing w:val="-4"/>
          <w:sz w:val="20"/>
        </w:rPr>
        <w:t>3199</w:t>
      </w:r>
    </w:p>
    <w:p>
      <w:pPr>
        <w:pStyle w:val="BodyText"/>
        <w:spacing w:line="225" w:lineRule="exact"/>
        <w:ind w:left="165"/>
      </w:pPr>
      <w:r>
        <w:rPr/>
        <w:drawing>
          <wp:anchor distT="0" distB="0" distL="0" distR="0" allowOverlap="1" layoutInCell="1" locked="0" behindDoc="0" simplePos="0" relativeHeight="15760384">
            <wp:simplePos x="0" y="0"/>
            <wp:positionH relativeFrom="page">
              <wp:posOffset>1257846</wp:posOffset>
            </wp:positionH>
            <wp:positionV relativeFrom="paragraph">
              <wp:posOffset>-546800</wp:posOffset>
            </wp:positionV>
            <wp:extent cx="107988" cy="107988"/>
            <wp:effectExtent l="0" t="0" r="0" b="0"/>
            <wp:wrapNone/>
            <wp:docPr id="124" name="Image 124"/>
            <wp:cNvGraphicFramePr>
              <a:graphicFrameLocks/>
            </wp:cNvGraphicFramePr>
            <a:graphic>
              <a:graphicData uri="http://schemas.openxmlformats.org/drawingml/2006/picture">
                <pic:pic>
                  <pic:nvPicPr>
                    <pic:cNvPr id="124" name="Image 124"/>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hAnsi="Arial"/>
          <w:i/>
        </w:rPr>
        <w:t>(Ch)</w:t>
      </w:r>
      <w:r>
        <w:rPr>
          <w:rFonts w:ascii="Arial" w:hAnsi="Arial"/>
          <w:i/>
          <w:spacing w:val="-1"/>
        </w:rPr>
        <w:t> </w:t>
      </w:r>
      <w:r>
        <w:rPr/>
        <w:t>at [152] (citing this paragraph) and [154]; and below, para.2-149 at nn. 790—</w:t>
      </w:r>
      <w:r>
        <w:rPr>
          <w:spacing w:val="-4"/>
        </w:rPr>
        <w:t>792.</w:t>
      </w:r>
    </w:p>
    <w:p>
      <w:pPr>
        <w:pStyle w:val="BodyText"/>
        <w:spacing w:after="0" w:line="225" w:lineRule="exact"/>
        <w:sectPr>
          <w:type w:val="continuous"/>
          <w:pgSz w:w="11900" w:h="16840"/>
          <w:pgMar w:header="971" w:footer="0" w:top="1300" w:bottom="280" w:left="1275" w:right="1275"/>
          <w:cols w:num="2" w:equalWidth="0">
            <w:col w:w="478" w:space="63"/>
            <w:col w:w="8809"/>
          </w:cols>
        </w:sectPr>
      </w:pPr>
    </w:p>
    <w:p>
      <w:pPr>
        <w:pStyle w:val="BodyText"/>
        <w:spacing w:before="8"/>
      </w:pPr>
    </w:p>
    <w:p>
      <w:pPr>
        <w:spacing w:line="235" w:lineRule="auto" w:before="1"/>
        <w:ind w:left="705" w:right="168" w:hanging="541"/>
        <w:jc w:val="both"/>
        <w:rPr>
          <w:sz w:val="20"/>
        </w:rPr>
      </w:pPr>
      <w:bookmarkStart w:name="_bookmark1560" w:id="1562"/>
      <w:bookmarkEnd w:id="1562"/>
      <w:r>
        <w:rPr/>
      </w:r>
      <w:hyperlink w:history="true" w:anchor="_bookmark1531">
        <w:r>
          <w:rPr>
            <w:color w:val="005DA1"/>
            <w:position w:val="5"/>
            <w:sz w:val="14"/>
            <w:u w:val="single" w:color="005DA1"/>
          </w:rPr>
          <w:t>804</w:t>
        </w:r>
      </w:hyperlink>
      <w:r>
        <w:rPr>
          <w:position w:val="5"/>
          <w:sz w:val="14"/>
        </w:rPr>
        <w:t>.</w:t>
      </w:r>
      <w:r>
        <w:rPr>
          <w:spacing w:val="80"/>
          <w:position w:val="5"/>
          <w:sz w:val="14"/>
        </w:rPr>
        <w:t>  </w:t>
      </w:r>
      <w:r>
        <w:rPr>
          <w:sz w:val="20"/>
        </w:rPr>
        <w:t>e.g. </w:t>
      </w:r>
      <w:r>
        <w:rPr>
          <w:rFonts w:ascii="Arial" w:hAnsi="Arial"/>
          <w:i/>
          <w:sz w:val="20"/>
        </w:rPr>
        <w:t>Montreal Gas Co v Vasey [1900] A.C. 595</w:t>
      </w:r>
      <w:r>
        <w:rPr>
          <w:sz w:val="20"/>
        </w:rPr>
        <w:t>; </w:t>
      </w:r>
      <w:r>
        <w:rPr>
          <w:rFonts w:ascii="Arial" w:hAnsi="Arial"/>
          <w:i/>
          <w:sz w:val="20"/>
        </w:rPr>
        <w:t>Hofflinghouse &amp; Co Ltd v C. Trade SA (The</w:t>
      </w:r>
      <w:r>
        <w:rPr>
          <w:rFonts w:ascii="Arial" w:hAnsi="Arial"/>
          <w:i/>
          <w:spacing w:val="40"/>
          <w:sz w:val="20"/>
        </w:rPr>
        <w:t> </w:t>
      </w:r>
      <w:r>
        <w:rPr>
          <w:rFonts w:ascii="Arial" w:hAnsi="Arial"/>
          <w:i/>
          <w:sz w:val="20"/>
        </w:rPr>
        <w:t>Intra Transporter) [1986] 2 Lloyd’s Rep. 132</w:t>
      </w:r>
      <w:r>
        <w:rPr>
          <w:sz w:val="20"/>
        </w:rPr>
        <w:t>; </w:t>
      </w:r>
      <w:r>
        <w:rPr>
          <w:rFonts w:ascii="Arial" w:hAnsi="Arial"/>
          <w:i/>
          <w:sz w:val="20"/>
        </w:rPr>
        <w:t>Shipping Enterprises Ltd v Eckhart &amp; Co K G </w:t>
      </w:r>
      <w:r>
        <w:rPr>
          <w:rFonts w:ascii="Arial" w:hAnsi="Arial"/>
          <w:i/>
          <w:sz w:val="20"/>
        </w:rPr>
        <w:t>(The Nissos Samos) [1985] 1 Lloyd’s Rep. 378, 385</w:t>
      </w:r>
      <w:r>
        <w:rPr>
          <w:sz w:val="20"/>
        </w:rPr>
        <w:t>; </w:t>
      </w:r>
      <w:r>
        <w:rPr>
          <w:rFonts w:ascii="Arial" w:hAnsi="Arial"/>
          <w:i/>
          <w:sz w:val="20"/>
        </w:rPr>
        <w:t>Stabilad Ltd v Stephens &amp; Carter Ltd (No.2) [1999] 2 All E.R. (Comm) 651, 659 </w:t>
      </w:r>
      <w:r>
        <w:rPr>
          <w:sz w:val="20"/>
        </w:rPr>
        <w:t>(“void for uncertainty”).</w:t>
      </w:r>
    </w:p>
    <w:p>
      <w:pPr>
        <w:pStyle w:val="BodyText"/>
        <w:spacing w:before="4"/>
      </w:pPr>
    </w:p>
    <w:p>
      <w:pPr>
        <w:spacing w:line="227" w:lineRule="exact" w:before="0"/>
        <w:ind w:left="165" w:right="0" w:firstLine="0"/>
        <w:jc w:val="both"/>
        <w:rPr>
          <w:rFonts w:ascii="Arial" w:hAnsi="Arial"/>
          <w:i/>
          <w:sz w:val="20"/>
        </w:rPr>
      </w:pPr>
      <w:bookmarkStart w:name="_bookmark1561" w:id="1563"/>
      <w:bookmarkEnd w:id="1563"/>
      <w:r>
        <w:rPr/>
      </w:r>
      <w:hyperlink w:history="true" w:anchor="_bookmark1532">
        <w:r>
          <w:rPr>
            <w:color w:val="005DA1"/>
            <w:position w:val="5"/>
            <w:sz w:val="14"/>
            <w:u w:val="single" w:color="005DA1"/>
          </w:rPr>
          <w:t>805</w:t>
        </w:r>
      </w:hyperlink>
      <w:r>
        <w:rPr>
          <w:position w:val="5"/>
          <w:sz w:val="14"/>
        </w:rPr>
        <w:t>.</w:t>
      </w:r>
      <w:r>
        <w:rPr>
          <w:spacing w:val="75"/>
          <w:w w:val="150"/>
          <w:position w:val="5"/>
          <w:sz w:val="14"/>
        </w:rPr>
        <w:t>  </w:t>
      </w:r>
      <w:r>
        <w:rPr>
          <w:rFonts w:ascii="Arial" w:hAnsi="Arial"/>
          <w:i/>
          <w:sz w:val="20"/>
        </w:rPr>
        <w:t>Brown</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Gould</w:t>
      </w:r>
      <w:r>
        <w:rPr>
          <w:rFonts w:ascii="Arial" w:hAnsi="Arial"/>
          <w:i/>
          <w:spacing w:val="30"/>
          <w:sz w:val="20"/>
        </w:rPr>
        <w:t> </w:t>
      </w:r>
      <w:r>
        <w:rPr>
          <w:rFonts w:ascii="Arial" w:hAnsi="Arial"/>
          <w:i/>
          <w:sz w:val="20"/>
        </w:rPr>
        <w:t>[1977]</w:t>
      </w:r>
      <w:r>
        <w:rPr>
          <w:rFonts w:ascii="Arial" w:hAnsi="Arial"/>
          <w:i/>
          <w:spacing w:val="30"/>
          <w:sz w:val="20"/>
        </w:rPr>
        <w:t> </w:t>
      </w:r>
      <w:r>
        <w:rPr>
          <w:rFonts w:ascii="Arial" w:hAnsi="Arial"/>
          <w:i/>
          <w:sz w:val="20"/>
        </w:rPr>
        <w:t>Ch.</w:t>
      </w:r>
      <w:r>
        <w:rPr>
          <w:rFonts w:ascii="Arial" w:hAnsi="Arial"/>
          <w:i/>
          <w:spacing w:val="29"/>
          <w:sz w:val="20"/>
        </w:rPr>
        <w:t> </w:t>
      </w:r>
      <w:r>
        <w:rPr>
          <w:rFonts w:ascii="Arial" w:hAnsi="Arial"/>
          <w:i/>
          <w:sz w:val="20"/>
        </w:rPr>
        <w:t>53,</w:t>
      </w:r>
      <w:r>
        <w:rPr>
          <w:rFonts w:ascii="Arial" w:hAnsi="Arial"/>
          <w:i/>
          <w:spacing w:val="30"/>
          <w:sz w:val="20"/>
        </w:rPr>
        <w:t> </w:t>
      </w:r>
      <w:r>
        <w:rPr>
          <w:rFonts w:ascii="Arial" w:hAnsi="Arial"/>
          <w:i/>
          <w:sz w:val="20"/>
        </w:rPr>
        <w:t>57–58</w:t>
      </w:r>
      <w:r>
        <w:rPr>
          <w:sz w:val="20"/>
        </w:rPr>
        <w:t>;</w:t>
      </w:r>
      <w:r>
        <w:rPr>
          <w:spacing w:val="30"/>
          <w:sz w:val="20"/>
        </w:rPr>
        <w:t> </w:t>
      </w:r>
      <w:r>
        <w:rPr>
          <w:rFonts w:ascii="Arial" w:hAnsi="Arial"/>
          <w:i/>
          <w:sz w:val="20"/>
        </w:rPr>
        <w:t>Tito</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Waddell</w:t>
      </w:r>
      <w:r>
        <w:rPr>
          <w:rFonts w:ascii="Arial" w:hAnsi="Arial"/>
          <w:i/>
          <w:spacing w:val="30"/>
          <w:sz w:val="20"/>
        </w:rPr>
        <w:t> </w:t>
      </w:r>
      <w:r>
        <w:rPr>
          <w:rFonts w:ascii="Arial" w:hAnsi="Arial"/>
          <w:i/>
          <w:sz w:val="20"/>
        </w:rPr>
        <w:t>(No.2)</w:t>
      </w:r>
      <w:r>
        <w:rPr>
          <w:rFonts w:ascii="Arial" w:hAnsi="Arial"/>
          <w:i/>
          <w:spacing w:val="29"/>
          <w:sz w:val="20"/>
        </w:rPr>
        <w:t> </w:t>
      </w:r>
      <w:r>
        <w:rPr>
          <w:rFonts w:ascii="Arial" w:hAnsi="Arial"/>
          <w:i/>
          <w:sz w:val="20"/>
        </w:rPr>
        <w:t>[1977]</w:t>
      </w:r>
      <w:r>
        <w:rPr>
          <w:rFonts w:ascii="Arial" w:hAnsi="Arial"/>
          <w:i/>
          <w:spacing w:val="30"/>
          <w:sz w:val="20"/>
        </w:rPr>
        <w:t> </w:t>
      </w:r>
      <w:r>
        <w:rPr>
          <w:rFonts w:ascii="Arial" w:hAnsi="Arial"/>
          <w:i/>
          <w:sz w:val="20"/>
        </w:rPr>
        <w:t>Ch.</w:t>
      </w:r>
      <w:r>
        <w:rPr>
          <w:rFonts w:ascii="Arial" w:hAnsi="Arial"/>
          <w:i/>
          <w:spacing w:val="30"/>
          <w:sz w:val="20"/>
        </w:rPr>
        <w:t> </w:t>
      </w:r>
      <w:r>
        <w:rPr>
          <w:rFonts w:ascii="Arial" w:hAnsi="Arial"/>
          <w:i/>
          <w:sz w:val="20"/>
        </w:rPr>
        <w:t>106,</w:t>
      </w:r>
      <w:r>
        <w:rPr>
          <w:rFonts w:ascii="Arial" w:hAnsi="Arial"/>
          <w:i/>
          <w:spacing w:val="30"/>
          <w:sz w:val="20"/>
        </w:rPr>
        <w:t> </w:t>
      </w:r>
      <w:r>
        <w:rPr>
          <w:rFonts w:ascii="Arial" w:hAnsi="Arial"/>
          <w:i/>
          <w:sz w:val="20"/>
        </w:rPr>
        <w:t>314</w:t>
      </w:r>
      <w:r>
        <w:rPr>
          <w:sz w:val="20"/>
        </w:rPr>
        <w:t>;</w:t>
      </w:r>
      <w:r>
        <w:rPr>
          <w:spacing w:val="30"/>
          <w:sz w:val="20"/>
        </w:rPr>
        <w:t> </w:t>
      </w:r>
      <w:r>
        <w:rPr>
          <w:rFonts w:ascii="Arial" w:hAnsi="Arial"/>
          <w:i/>
          <w:spacing w:val="-2"/>
          <w:sz w:val="20"/>
        </w:rPr>
        <w:t>Sudbrook</w:t>
      </w:r>
    </w:p>
    <w:p>
      <w:pPr>
        <w:spacing w:line="235" w:lineRule="auto" w:before="2"/>
        <w:ind w:left="705" w:right="167" w:firstLine="0"/>
        <w:jc w:val="both"/>
        <w:rPr>
          <w:rFonts w:ascii="Arial" w:hAnsi="Arial"/>
          <w:i/>
          <w:sz w:val="20"/>
        </w:rPr>
      </w:pPr>
      <w:r>
        <w:rPr>
          <w:rFonts w:ascii="Arial" w:hAnsi="Arial"/>
          <w:i/>
          <w:sz w:val="20"/>
        </w:rPr>
        <w:t>Trading Estate Ltd v Eggleton [1983] 1 A.C. 444</w:t>
      </w:r>
      <w:r>
        <w:rPr>
          <w:sz w:val="20"/>
        </w:rPr>
        <w:t>; </w:t>
      </w:r>
      <w:r>
        <w:rPr>
          <w:rFonts w:ascii="Arial" w:hAnsi="Arial"/>
          <w:i/>
          <w:sz w:val="20"/>
        </w:rPr>
        <w:t>Clement v Gibb [1996] C.L.Y. 1209</w:t>
      </w:r>
      <w:r>
        <w:rPr>
          <w:sz w:val="20"/>
        </w:rPr>
        <w:t>; </w:t>
      </w:r>
      <w:r>
        <w:rPr>
          <w:rFonts w:ascii="Arial" w:hAnsi="Arial"/>
          <w:i/>
          <w:sz w:val="20"/>
        </w:rPr>
        <w:t>Hanjin Shipping Co Ltd v Zenith Chartering Corp (The Mercedes Envoy) [1995] 2 Lloyd’s Rep. 559, 564</w:t>
      </w:r>
      <w:r>
        <w:rPr>
          <w:sz w:val="20"/>
        </w:rPr>
        <w:t>; </w:t>
      </w:r>
      <w:r>
        <w:rPr>
          <w:rFonts w:ascii="Arial" w:hAnsi="Arial"/>
          <w:i/>
          <w:sz w:val="20"/>
        </w:rPr>
        <w:t>Hackney L.B.C. v Thompson [2001] L. &amp; T. Rep. 7</w:t>
      </w:r>
      <w:r>
        <w:rPr>
          <w:sz w:val="20"/>
        </w:rPr>
        <w:t>; </w:t>
      </w:r>
      <w:r>
        <w:rPr>
          <w:rFonts w:ascii="Arial" w:hAnsi="Arial"/>
          <w:i/>
          <w:sz w:val="20"/>
        </w:rPr>
        <w:t>Alstom Signalling Ltd v Jarvis Facilities Ltd</w:t>
      </w:r>
      <w:r>
        <w:rPr>
          <w:rFonts w:ascii="Arial" w:hAnsi="Arial"/>
          <w:i/>
          <w:spacing w:val="16"/>
          <w:sz w:val="20"/>
        </w:rPr>
        <w:t> </w:t>
      </w:r>
      <w:r>
        <w:rPr>
          <w:rFonts w:ascii="Arial" w:hAnsi="Arial"/>
          <w:i/>
          <w:sz w:val="20"/>
        </w:rPr>
        <w:t>[2004]</w:t>
      </w:r>
      <w:r>
        <w:rPr>
          <w:rFonts w:ascii="Arial" w:hAnsi="Arial"/>
          <w:i/>
          <w:spacing w:val="17"/>
          <w:sz w:val="20"/>
        </w:rPr>
        <w:t> </w:t>
      </w:r>
      <w:r>
        <w:rPr>
          <w:rFonts w:ascii="Arial" w:hAnsi="Arial"/>
          <w:i/>
          <w:sz w:val="20"/>
        </w:rPr>
        <w:t>EWHC</w:t>
      </w:r>
      <w:r>
        <w:rPr>
          <w:rFonts w:ascii="Arial" w:hAnsi="Arial"/>
          <w:i/>
          <w:spacing w:val="17"/>
          <w:sz w:val="20"/>
        </w:rPr>
        <w:t> </w:t>
      </w:r>
      <w:r>
        <w:rPr>
          <w:rFonts w:ascii="Arial" w:hAnsi="Arial"/>
          <w:i/>
          <w:sz w:val="20"/>
        </w:rPr>
        <w:t>1232,</w:t>
      </w:r>
      <w:r>
        <w:rPr>
          <w:rFonts w:ascii="Arial" w:hAnsi="Arial"/>
          <w:i/>
          <w:spacing w:val="17"/>
          <w:sz w:val="20"/>
        </w:rPr>
        <w:t> </w:t>
      </w:r>
      <w:r>
        <w:rPr>
          <w:rFonts w:ascii="Arial" w:hAnsi="Arial"/>
          <w:i/>
          <w:sz w:val="20"/>
        </w:rPr>
        <w:t>95</w:t>
      </w:r>
      <w:r>
        <w:rPr>
          <w:rFonts w:ascii="Arial" w:hAnsi="Arial"/>
          <w:i/>
          <w:spacing w:val="17"/>
          <w:sz w:val="20"/>
        </w:rPr>
        <w:t> </w:t>
      </w:r>
      <w:r>
        <w:rPr>
          <w:rFonts w:ascii="Arial" w:hAnsi="Arial"/>
          <w:i/>
          <w:sz w:val="20"/>
        </w:rPr>
        <w:t>Con.</w:t>
      </w:r>
      <w:r>
        <w:rPr>
          <w:rFonts w:ascii="Arial" w:hAnsi="Arial"/>
          <w:i/>
          <w:spacing w:val="17"/>
          <w:sz w:val="20"/>
        </w:rPr>
        <w:t> </w:t>
      </w:r>
      <w:r>
        <w:rPr>
          <w:rFonts w:ascii="Arial" w:hAnsi="Arial"/>
          <w:i/>
          <w:sz w:val="20"/>
        </w:rPr>
        <w:t>L.R.</w:t>
      </w:r>
      <w:r>
        <w:rPr>
          <w:rFonts w:ascii="Arial" w:hAnsi="Arial"/>
          <w:i/>
          <w:spacing w:val="17"/>
          <w:sz w:val="20"/>
        </w:rPr>
        <w:t> </w:t>
      </w:r>
      <w:r>
        <w:rPr>
          <w:rFonts w:ascii="Arial" w:hAnsi="Arial"/>
          <w:i/>
          <w:sz w:val="20"/>
        </w:rPr>
        <w:t>55</w:t>
      </w:r>
      <w:r>
        <w:rPr>
          <w:sz w:val="20"/>
        </w:rPr>
        <w:t>;</w:t>
      </w:r>
      <w:r>
        <w:rPr>
          <w:spacing w:val="17"/>
          <w:sz w:val="20"/>
        </w:rPr>
        <w:t> </w:t>
      </w:r>
      <w:r>
        <w:rPr>
          <w:rFonts w:ascii="Arial" w:hAnsi="Arial"/>
          <w:i/>
          <w:sz w:val="20"/>
        </w:rPr>
        <w:t>Maple</w:t>
      </w:r>
      <w:r>
        <w:rPr>
          <w:rFonts w:ascii="Arial" w:hAnsi="Arial"/>
          <w:i/>
          <w:spacing w:val="17"/>
          <w:sz w:val="20"/>
        </w:rPr>
        <w:t> </w:t>
      </w:r>
      <w:r>
        <w:rPr>
          <w:rFonts w:ascii="Arial" w:hAnsi="Arial"/>
          <w:i/>
          <w:sz w:val="20"/>
        </w:rPr>
        <w:t>Leaf</w:t>
      </w:r>
      <w:r>
        <w:rPr>
          <w:rFonts w:ascii="Arial" w:hAnsi="Arial"/>
          <w:i/>
          <w:spacing w:val="17"/>
          <w:sz w:val="20"/>
        </w:rPr>
        <w:t> </w:t>
      </w:r>
      <w:r>
        <w:rPr>
          <w:rFonts w:ascii="Arial" w:hAnsi="Arial"/>
          <w:i/>
          <w:sz w:val="20"/>
        </w:rPr>
        <w:t>Volatility</w:t>
      </w:r>
      <w:r>
        <w:rPr>
          <w:rFonts w:ascii="Arial" w:hAnsi="Arial"/>
          <w:i/>
          <w:spacing w:val="17"/>
          <w:sz w:val="20"/>
        </w:rPr>
        <w:t> </w:t>
      </w:r>
      <w:r>
        <w:rPr>
          <w:rFonts w:ascii="Arial" w:hAnsi="Arial"/>
          <w:i/>
          <w:sz w:val="20"/>
        </w:rPr>
        <w:t>Master</w:t>
      </w:r>
      <w:r>
        <w:rPr>
          <w:rFonts w:ascii="Arial" w:hAnsi="Arial"/>
          <w:i/>
          <w:spacing w:val="17"/>
          <w:sz w:val="20"/>
        </w:rPr>
        <w:t> </w:t>
      </w:r>
      <w:r>
        <w:rPr>
          <w:rFonts w:ascii="Arial" w:hAnsi="Arial"/>
          <w:i/>
          <w:sz w:val="20"/>
        </w:rPr>
        <w:t>Fund</w:t>
      </w:r>
      <w:r>
        <w:rPr>
          <w:rFonts w:ascii="Arial" w:hAnsi="Arial"/>
          <w:i/>
          <w:spacing w:val="17"/>
          <w:sz w:val="20"/>
        </w:rPr>
        <w:t> </w:t>
      </w:r>
      <w:r>
        <w:rPr>
          <w:rFonts w:ascii="Arial" w:hAnsi="Arial"/>
          <w:i/>
          <w:sz w:val="20"/>
        </w:rPr>
        <w:t>v</w:t>
      </w:r>
      <w:r>
        <w:rPr>
          <w:rFonts w:ascii="Arial" w:hAnsi="Arial"/>
          <w:i/>
          <w:spacing w:val="17"/>
          <w:sz w:val="20"/>
        </w:rPr>
        <w:t> </w:t>
      </w:r>
      <w:r>
        <w:rPr>
          <w:rFonts w:ascii="Arial" w:hAnsi="Arial"/>
          <w:i/>
          <w:sz w:val="20"/>
        </w:rPr>
        <w:t>Rouvroy</w:t>
      </w:r>
      <w:r>
        <w:rPr>
          <w:rFonts w:ascii="Arial" w:hAnsi="Arial"/>
          <w:i/>
          <w:spacing w:val="17"/>
          <w:sz w:val="20"/>
        </w:rPr>
        <w:t> </w:t>
      </w:r>
      <w:r>
        <w:rPr>
          <w:rFonts w:ascii="Arial" w:hAnsi="Arial"/>
          <w:i/>
          <w:spacing w:val="-2"/>
          <w:sz w:val="20"/>
        </w:rPr>
        <w:t>[2009]</w:t>
      </w:r>
    </w:p>
    <w:p>
      <w:pPr>
        <w:spacing w:line="222" w:lineRule="exact" w:before="0"/>
        <w:ind w:left="705" w:right="0" w:firstLine="0"/>
        <w:jc w:val="both"/>
        <w:rPr>
          <w:rFonts w:ascii="Arial" w:hAnsi="Arial"/>
          <w:i/>
          <w:sz w:val="20"/>
        </w:rPr>
      </w:pPr>
      <w:r>
        <w:rPr>
          <w:rFonts w:ascii="Arial" w:hAnsi="Arial"/>
          <w:i/>
          <w:sz w:val="20"/>
        </w:rPr>
        <w:t>EWHC</w:t>
      </w:r>
      <w:r>
        <w:rPr>
          <w:rFonts w:ascii="Arial" w:hAnsi="Arial"/>
          <w:i/>
          <w:spacing w:val="6"/>
          <w:sz w:val="20"/>
        </w:rPr>
        <w:t> </w:t>
      </w:r>
      <w:r>
        <w:rPr>
          <w:rFonts w:ascii="Arial" w:hAnsi="Arial"/>
          <w:i/>
          <w:sz w:val="20"/>
        </w:rPr>
        <w:t>257</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[2009]</w:t>
      </w:r>
      <w:r>
        <w:rPr>
          <w:rFonts w:ascii="Arial" w:hAnsi="Arial"/>
          <w:i/>
          <w:spacing w:val="6"/>
          <w:sz w:val="20"/>
        </w:rPr>
        <w:t> </w:t>
      </w:r>
      <w:r>
        <w:rPr>
          <w:rFonts w:ascii="Arial" w:hAnsi="Arial"/>
          <w:i/>
          <w:sz w:val="20"/>
        </w:rPr>
        <w:t>1</w:t>
      </w:r>
      <w:r>
        <w:rPr>
          <w:rFonts w:ascii="Arial" w:hAnsi="Arial"/>
          <w:i/>
          <w:spacing w:val="6"/>
          <w:sz w:val="20"/>
        </w:rPr>
        <w:t> </w:t>
      </w:r>
      <w:r>
        <w:rPr>
          <w:rFonts w:ascii="Arial" w:hAnsi="Arial"/>
          <w:i/>
          <w:sz w:val="20"/>
        </w:rPr>
        <w:t>Lloyd’s</w:t>
      </w:r>
      <w:r>
        <w:rPr>
          <w:rFonts w:ascii="Arial" w:hAnsi="Arial"/>
          <w:i/>
          <w:spacing w:val="6"/>
          <w:sz w:val="20"/>
        </w:rPr>
        <w:t> </w:t>
      </w:r>
      <w:r>
        <w:rPr>
          <w:rFonts w:ascii="Arial" w:hAnsi="Arial"/>
          <w:i/>
          <w:sz w:val="20"/>
        </w:rPr>
        <w:t>Rep.</w:t>
      </w:r>
      <w:r>
        <w:rPr>
          <w:rFonts w:ascii="Arial" w:hAnsi="Arial"/>
          <w:i/>
          <w:spacing w:val="6"/>
          <w:sz w:val="20"/>
        </w:rPr>
        <w:t> </w:t>
      </w:r>
      <w:r>
        <w:rPr>
          <w:rFonts w:ascii="Arial" w:hAnsi="Arial"/>
          <w:i/>
          <w:sz w:val="20"/>
        </w:rPr>
        <w:t>257</w:t>
      </w:r>
      <w:r>
        <w:rPr>
          <w:rFonts w:ascii="Arial" w:hAnsi="Arial"/>
          <w:i/>
          <w:spacing w:val="6"/>
          <w:sz w:val="20"/>
        </w:rPr>
        <w:t> </w:t>
      </w:r>
      <w:r>
        <w:rPr>
          <w:rFonts w:ascii="Arial" w:hAnsi="Arial"/>
          <w:i/>
          <w:sz w:val="20"/>
        </w:rPr>
        <w:t>at</w:t>
      </w:r>
      <w:r>
        <w:rPr>
          <w:rFonts w:ascii="Arial" w:hAnsi="Arial"/>
          <w:i/>
          <w:spacing w:val="6"/>
          <w:sz w:val="20"/>
        </w:rPr>
        <w:t> </w:t>
      </w:r>
      <w:r>
        <w:rPr>
          <w:rFonts w:ascii="Arial" w:hAnsi="Arial"/>
          <w:i/>
          <w:sz w:val="20"/>
        </w:rPr>
        <w:t>[235],</w:t>
      </w:r>
      <w:r>
        <w:rPr>
          <w:rFonts w:ascii="Arial" w:hAnsi="Arial"/>
          <w:i/>
          <w:spacing w:val="6"/>
          <w:sz w:val="20"/>
        </w:rPr>
        <w:t> </w:t>
      </w:r>
      <w:r>
        <w:rPr>
          <w:rFonts w:ascii="Arial" w:hAnsi="Arial"/>
          <w:i/>
          <w:sz w:val="20"/>
        </w:rPr>
        <w:t>approved</w:t>
      </w:r>
      <w:r>
        <w:rPr>
          <w:rFonts w:ascii="Arial" w:hAnsi="Arial"/>
          <w:i/>
          <w:spacing w:val="6"/>
          <w:sz w:val="20"/>
        </w:rPr>
        <w:t> </w:t>
      </w:r>
      <w:r>
        <w:rPr>
          <w:rFonts w:ascii="Arial" w:hAnsi="Arial"/>
          <w:i/>
          <w:sz w:val="20"/>
        </w:rPr>
        <w:t>on</w:t>
      </w:r>
      <w:r>
        <w:rPr>
          <w:rFonts w:ascii="Arial" w:hAnsi="Arial"/>
          <w:i/>
          <w:spacing w:val="6"/>
          <w:sz w:val="20"/>
        </w:rPr>
        <w:t> </w:t>
      </w:r>
      <w:r>
        <w:rPr>
          <w:rFonts w:ascii="Arial" w:hAnsi="Arial"/>
          <w:i/>
          <w:sz w:val="20"/>
        </w:rPr>
        <w:t>appeal</w:t>
      </w:r>
      <w:r>
        <w:rPr>
          <w:rFonts w:ascii="Arial" w:hAnsi="Arial"/>
          <w:i/>
          <w:spacing w:val="6"/>
          <w:sz w:val="20"/>
        </w:rPr>
        <w:t> </w:t>
      </w:r>
      <w:r>
        <w:rPr>
          <w:rFonts w:ascii="Arial" w:hAnsi="Arial"/>
          <w:i/>
          <w:sz w:val="20"/>
        </w:rPr>
        <w:t>[2010]</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pacing w:val="-5"/>
          <w:sz w:val="20"/>
        </w:rPr>
        <w:t>Civ</w:t>
      </w:r>
    </w:p>
    <w:p>
      <w:pPr>
        <w:spacing w:line="235" w:lineRule="auto" w:before="1"/>
        <w:ind w:left="705" w:right="167" w:firstLine="0"/>
        <w:jc w:val="both"/>
        <w:rPr>
          <w:sz w:val="20"/>
        </w:rPr>
      </w:pPr>
      <w:r>
        <w:rPr>
          <w:rFonts w:ascii="Arial" w:hAnsi="Arial"/>
          <w:i/>
          <w:sz w:val="20"/>
        </w:rPr>
        <w:t>1334, [2010] 2 All E.R. (Comm) 788</w:t>
      </w:r>
      <w:r>
        <w:rPr>
          <w:sz w:val="20"/>
        </w:rPr>
        <w:t>, especially at [22]; </w:t>
      </w:r>
      <w:r>
        <w:rPr>
          <w:rFonts w:ascii="Arial" w:hAnsi="Arial"/>
          <w:i/>
          <w:sz w:val="20"/>
        </w:rPr>
        <w:t>Barbudev v Eurocom </w:t>
      </w:r>
      <w:r>
        <w:rPr>
          <w:rFonts w:ascii="Arial" w:hAnsi="Arial"/>
          <w:i/>
          <w:sz w:val="20"/>
        </w:rPr>
        <w:t>Cable Management Bulgaria EOOD [2012] EWCA Civ 548 </w:t>
      </w:r>
      <w:r>
        <w:rPr>
          <w:sz w:val="20"/>
        </w:rPr>
        <w:t>at [32]; see also </w:t>
      </w:r>
      <w:r>
        <w:rPr>
          <w:rFonts w:ascii="Arial" w:hAnsi="Arial"/>
          <w:i/>
          <w:sz w:val="20"/>
        </w:rPr>
        <w:t>Benourad v Compass Plc [2010] EWHC 1882 (QB) </w:t>
      </w:r>
      <w:r>
        <w:rPr>
          <w:sz w:val="20"/>
        </w:rPr>
        <w:t>at [106(d)]; and cf. </w:t>
      </w:r>
      <w:r>
        <w:rPr>
          <w:rFonts w:ascii="Arial" w:hAnsi="Arial"/>
          <w:i/>
          <w:sz w:val="20"/>
        </w:rPr>
        <w:t>TTMI SARL v Statoil SA (The Sibohelle) [2011] EWHC 1150 (Comm), [2011] 2 Lloyd’s Rep. 222 </w:t>
      </w:r>
      <w:r>
        <w:rPr>
          <w:sz w:val="20"/>
        </w:rPr>
        <w:t>at [43], [47] (where the reason why the</w:t>
      </w:r>
      <w:r>
        <w:rPr>
          <w:spacing w:val="40"/>
          <w:sz w:val="20"/>
        </w:rPr>
        <w:t> </w:t>
      </w:r>
      <w:r>
        <w:rPr>
          <w:sz w:val="20"/>
        </w:rPr>
        <w:t>express negotiations had failed to give rise to a contract was not want of certainty but mistake, and the conduct of the parties in performing the transaction nevertheless supported the inference that a contract had been concluded between them). See also </w:t>
      </w:r>
      <w:r>
        <w:rPr>
          <w:rFonts w:ascii="Arial" w:hAnsi="Arial"/>
          <w:i/>
          <w:sz w:val="20"/>
        </w:rPr>
        <w:t>Dhananiv Crasnianski [2011] EWHC 926 (Comm), [2011] 2 All E.R. (Comm) 799 </w:t>
      </w:r>
      <w:r>
        <w:rPr>
          <w:sz w:val="20"/>
        </w:rPr>
        <w:t>at [70] (fact that work has been done under</w:t>
      </w:r>
      <w:r>
        <w:rPr>
          <w:spacing w:val="-2"/>
          <w:sz w:val="20"/>
        </w:rPr>
        <w:t> </w:t>
      </w:r>
      <w:r>
        <w:rPr>
          <w:sz w:val="20"/>
        </w:rPr>
        <w:t>the</w:t>
      </w:r>
      <w:r>
        <w:rPr>
          <w:spacing w:val="-2"/>
          <w:sz w:val="20"/>
        </w:rPr>
        <w:t> </w:t>
      </w:r>
      <w:r>
        <w:rPr>
          <w:sz w:val="20"/>
        </w:rPr>
        <w:t>contract</w:t>
      </w:r>
      <w:r>
        <w:rPr>
          <w:spacing w:val="-2"/>
          <w:sz w:val="20"/>
        </w:rPr>
        <w:t> </w:t>
      </w:r>
      <w:r>
        <w:rPr>
          <w:sz w:val="20"/>
        </w:rPr>
        <w:t>a</w:t>
      </w:r>
      <w:r>
        <w:rPr>
          <w:spacing w:val="-2"/>
          <w:sz w:val="20"/>
        </w:rPr>
        <w:t> </w:t>
      </w:r>
      <w:r>
        <w:rPr>
          <w:sz w:val="20"/>
        </w:rPr>
        <w:t>“relevant</w:t>
      </w:r>
      <w:r>
        <w:rPr>
          <w:spacing w:val="-2"/>
          <w:sz w:val="20"/>
        </w:rPr>
        <w:t> </w:t>
      </w:r>
      <w:r>
        <w:rPr>
          <w:sz w:val="20"/>
        </w:rPr>
        <w:t>factor”</w:t>
      </w:r>
      <w:r>
        <w:rPr>
          <w:spacing w:val="-2"/>
          <w:sz w:val="20"/>
        </w:rPr>
        <w:t> </w:t>
      </w:r>
      <w:r>
        <w:rPr>
          <w:sz w:val="20"/>
        </w:rPr>
        <w:t>but</w:t>
      </w:r>
      <w:r>
        <w:rPr>
          <w:spacing w:val="-2"/>
          <w:sz w:val="20"/>
        </w:rPr>
        <w:t> </w:t>
      </w:r>
      <w:r>
        <w:rPr>
          <w:sz w:val="20"/>
        </w:rPr>
        <w:t>not</w:t>
      </w:r>
      <w:r>
        <w:rPr>
          <w:spacing w:val="-2"/>
          <w:sz w:val="20"/>
        </w:rPr>
        <w:t> </w:t>
      </w:r>
      <w:r>
        <w:rPr>
          <w:sz w:val="20"/>
        </w:rPr>
        <w:t>a</w:t>
      </w:r>
      <w:r>
        <w:rPr>
          <w:spacing w:val="-2"/>
          <w:sz w:val="20"/>
        </w:rPr>
        <w:t> </w:t>
      </w:r>
      <w:r>
        <w:rPr>
          <w:sz w:val="20"/>
        </w:rPr>
        <w:t>decisive</w:t>
      </w:r>
      <w:r>
        <w:rPr>
          <w:spacing w:val="-2"/>
          <w:sz w:val="20"/>
        </w:rPr>
        <w:t> </w:t>
      </w:r>
      <w:r>
        <w:rPr>
          <w:sz w:val="20"/>
        </w:rPr>
        <w:t>one,</w:t>
      </w:r>
      <w:r>
        <w:rPr>
          <w:spacing w:val="-2"/>
          <w:sz w:val="20"/>
        </w:rPr>
        <w:t> </w:t>
      </w:r>
      <w:r>
        <w:rPr>
          <w:sz w:val="20"/>
        </w:rPr>
        <w:t>so</w:t>
      </w:r>
      <w:r>
        <w:rPr>
          <w:spacing w:val="-2"/>
          <w:sz w:val="20"/>
        </w:rPr>
        <w:t> </w:t>
      </w:r>
      <w:r>
        <w:rPr>
          <w:sz w:val="20"/>
        </w:rPr>
        <w:t>that</w:t>
      </w:r>
      <w:r>
        <w:rPr>
          <w:spacing w:val="-2"/>
          <w:sz w:val="20"/>
        </w:rPr>
        <w:t> </w:t>
      </w:r>
      <w:r>
        <w:rPr>
          <w:sz w:val="20"/>
        </w:rPr>
        <w:t>in</w:t>
      </w:r>
      <w:r>
        <w:rPr>
          <w:spacing w:val="-2"/>
          <w:sz w:val="20"/>
        </w:rPr>
        <w:t> </w:t>
      </w:r>
      <w:r>
        <w:rPr>
          <w:sz w:val="20"/>
        </w:rPr>
        <w:t>that</w:t>
      </w:r>
      <w:r>
        <w:rPr>
          <w:spacing w:val="-2"/>
          <w:sz w:val="20"/>
        </w:rPr>
        <w:t> </w:t>
      </w:r>
      <w:r>
        <w:rPr>
          <w:sz w:val="20"/>
        </w:rPr>
        <w:t>case</w:t>
      </w:r>
      <w:r>
        <w:rPr>
          <w:spacing w:val="-2"/>
          <w:sz w:val="20"/>
        </w:rPr>
        <w:t> </w:t>
      </w:r>
      <w:r>
        <w:rPr>
          <w:sz w:val="20"/>
        </w:rPr>
        <w:t>no</w:t>
      </w:r>
      <w:r>
        <w:rPr>
          <w:spacing w:val="-2"/>
          <w:sz w:val="20"/>
        </w:rPr>
        <w:t> </w:t>
      </w:r>
      <w:r>
        <w:rPr>
          <w:sz w:val="20"/>
        </w:rPr>
        <w:t>contract</w:t>
      </w:r>
      <w:r>
        <w:rPr>
          <w:spacing w:val="-2"/>
          <w:sz w:val="20"/>
        </w:rPr>
        <w:t> </w:t>
      </w:r>
      <w:r>
        <w:rPr>
          <w:sz w:val="20"/>
        </w:rPr>
        <w:t>had been concluded: below, para.2-194). The reluctance referred to in the text above may account for the lack of “enthusiasm” with which Dyson L.J. and Sir Robin Auld in </w:t>
      </w:r>
      <w:r>
        <w:rPr>
          <w:rFonts w:ascii="Arial" w:hAnsi="Arial"/>
          <w:i/>
          <w:sz w:val="20"/>
        </w:rPr>
        <w:t>Schweppe v Harper [2008] EWCA Civ 442 </w:t>
      </w:r>
      <w:r>
        <w:rPr>
          <w:sz w:val="20"/>
        </w:rPr>
        <w:t>at [75] and [82] concluded that the agreement in that case was too uncertain to be enforced; and for Ward L.J.’s dissent in that case.</w:t>
      </w:r>
    </w:p>
    <w:p>
      <w:pPr>
        <w:pStyle w:val="BodyText"/>
        <w:spacing w:before="5"/>
      </w:pPr>
    </w:p>
    <w:p>
      <w:pPr>
        <w:spacing w:line="235" w:lineRule="auto" w:before="0"/>
        <w:ind w:left="705" w:right="167" w:hanging="541"/>
        <w:jc w:val="both"/>
        <w:rPr>
          <w:rFonts w:ascii="Arial" w:hAnsi="Arial"/>
          <w:i/>
          <w:sz w:val="20"/>
        </w:rPr>
      </w:pPr>
      <w:bookmarkStart w:name="_bookmark1562" w:id="1564"/>
      <w:bookmarkEnd w:id="1564"/>
      <w:r>
        <w:rPr/>
      </w:r>
      <w:hyperlink w:history="true" w:anchor="_bookmark1532">
        <w:r>
          <w:rPr>
            <w:color w:val="005DA1"/>
            <w:position w:val="5"/>
            <w:sz w:val="14"/>
            <w:u w:val="single" w:color="005DA1"/>
          </w:rPr>
          <w:t>806</w:t>
        </w:r>
      </w:hyperlink>
      <w:r>
        <w:rPr>
          <w:position w:val="5"/>
          <w:sz w:val="14"/>
        </w:rPr>
        <w:t>.</w:t>
      </w:r>
      <w:r>
        <w:rPr>
          <w:spacing w:val="80"/>
          <w:position w:val="5"/>
          <w:sz w:val="14"/>
        </w:rPr>
        <w:t> </w:t>
      </w:r>
      <w:r>
        <w:rPr>
          <w:rFonts w:ascii="Arial" w:hAnsi="Arial"/>
          <w:i/>
          <w:sz w:val="20"/>
        </w:rPr>
        <w:t>(1932) 147 L.T. 503, 514</w:t>
      </w:r>
      <w:r>
        <w:rPr>
          <w:sz w:val="20"/>
        </w:rPr>
        <w:t>; cf. </w:t>
      </w:r>
      <w:r>
        <w:rPr>
          <w:rFonts w:ascii="Arial" w:hAnsi="Arial"/>
          <w:i/>
          <w:sz w:val="20"/>
        </w:rPr>
        <w:t>Rahcassi Shipping Co v Blue Star Line [1969] 1 Q.B. 176 </w:t>
      </w:r>
      <w:r>
        <w:rPr>
          <w:sz w:val="20"/>
        </w:rPr>
        <w:t>(agreement for arbitration “by commercial men and not lawyers” upheld);</w:t>
      </w:r>
      <w:r>
        <w:rPr>
          <w:spacing w:val="-1"/>
          <w:sz w:val="20"/>
        </w:rPr>
        <w:t> </w:t>
      </w:r>
      <w:r>
        <w:rPr>
          <w:rFonts w:ascii="Arial" w:hAnsi="Arial"/>
          <w:i/>
          <w:sz w:val="20"/>
        </w:rPr>
        <w:t>Nea Agrex SA v Baltic Shipping Co Ltd [1976] Q.B. 933</w:t>
      </w:r>
      <w:r>
        <w:rPr>
          <w:sz w:val="20"/>
        </w:rPr>
        <w:t>; </w:t>
      </w:r>
      <w:r>
        <w:rPr>
          <w:rFonts w:ascii="Arial" w:hAnsi="Arial"/>
          <w:i/>
          <w:sz w:val="20"/>
        </w:rPr>
        <w:t>Tropwood AG of Zug v Jade Enterprises Inc (The </w:t>
      </w:r>
      <w:r>
        <w:rPr>
          <w:rFonts w:ascii="Arial" w:hAnsi="Arial"/>
          <w:i/>
          <w:sz w:val="20"/>
        </w:rPr>
        <w:t>Tropwind) [1981] 1 Lloyd’s Rep. 232</w:t>
      </w:r>
      <w:r>
        <w:rPr>
          <w:sz w:val="20"/>
        </w:rPr>
        <w:t>; </w:t>
      </w:r>
      <w:r>
        <w:rPr>
          <w:rFonts w:ascii="Arial" w:hAnsi="Arial"/>
          <w:i/>
          <w:sz w:val="20"/>
        </w:rPr>
        <w:t>Deutsche Schachtbau und Tiefbohrgesellschaft mbH v Ras Al Khaimah National Oil Co [1990] 1 A.C. 295, 306</w:t>
      </w:r>
      <w:r>
        <w:rPr>
          <w:sz w:val="20"/>
        </w:rPr>
        <w:t>; reversed on other grounds, at 329 et seq.; </w:t>
      </w:r>
      <w:r>
        <w:rPr>
          <w:rFonts w:ascii="Arial" w:hAnsi="Arial"/>
          <w:i/>
          <w:sz w:val="20"/>
        </w:rPr>
        <w:t>Grace Shipping Inc v C.F. Sharpe (Malaysia) Pte [1987] 1 Lloyd’s Rep. 207</w:t>
      </w:r>
      <w:r>
        <w:rPr>
          <w:sz w:val="20"/>
        </w:rPr>
        <w:t>; </w:t>
      </w:r>
      <w:r>
        <w:rPr>
          <w:rFonts w:ascii="Arial" w:hAnsi="Arial"/>
          <w:i/>
          <w:sz w:val="20"/>
        </w:rPr>
        <w:t>Didymi Corp v Atlantic Lines &amp; Navigation Co Inc [1987] 2 Lloyd’s Rep. 166; affirmed [1988] 2 Lloyd’s Rep.</w:t>
      </w:r>
      <w:r>
        <w:rPr>
          <w:rFonts w:ascii="Arial" w:hAnsi="Arial"/>
          <w:i/>
          <w:spacing w:val="40"/>
          <w:sz w:val="20"/>
        </w:rPr>
        <w:t> </w:t>
      </w:r>
      <w:r>
        <w:rPr>
          <w:rFonts w:ascii="Arial" w:hAnsi="Arial"/>
          <w:i/>
          <w:sz w:val="20"/>
        </w:rPr>
        <w:t>108 </w:t>
      </w:r>
      <w:r>
        <w:rPr>
          <w:sz w:val="20"/>
        </w:rPr>
        <w:t>(above, para.2-137); </w:t>
      </w:r>
      <w:r>
        <w:rPr>
          <w:rFonts w:ascii="Arial" w:hAnsi="Arial"/>
          <w:i/>
          <w:sz w:val="20"/>
        </w:rPr>
        <w:t>Anangel Atlas Compania Naviera SA v Ishikawajima Harima Heavy Industries Corp (No.2) [1990] 2 Lloyd’s Rep. 526, 546</w:t>
      </w:r>
      <w:r>
        <w:rPr>
          <w:sz w:val="20"/>
        </w:rPr>
        <w:t>; </w:t>
      </w:r>
      <w:r>
        <w:rPr>
          <w:rFonts w:ascii="Arial" w:hAnsi="Arial"/>
          <w:i/>
          <w:sz w:val="20"/>
        </w:rPr>
        <w:t>Star Shipping AS v China National Foreign Trade Transportation Corp (The Star Texas) [1993] 2 Lloyd’s Rep. 445, 455</w:t>
      </w:r>
      <w:r>
        <w:rPr>
          <w:sz w:val="20"/>
        </w:rPr>
        <w:t>; </w:t>
      </w:r>
      <w:r>
        <w:rPr>
          <w:rFonts w:ascii="Arial" w:hAnsi="Arial"/>
          <w:i/>
          <w:sz w:val="20"/>
        </w:rPr>
        <w:t>Scammell v</w:t>
      </w:r>
      <w:r>
        <w:rPr>
          <w:rFonts w:ascii="Arial" w:hAnsi="Arial"/>
          <w:i/>
          <w:spacing w:val="11"/>
          <w:sz w:val="20"/>
        </w:rPr>
        <w:t> </w:t>
      </w:r>
      <w:r>
        <w:rPr>
          <w:rFonts w:ascii="Arial" w:hAnsi="Arial"/>
          <w:i/>
          <w:sz w:val="20"/>
        </w:rPr>
        <w:t>Dicker</w:t>
      </w:r>
      <w:r>
        <w:rPr>
          <w:rFonts w:ascii="Arial" w:hAnsi="Arial"/>
          <w:i/>
          <w:spacing w:val="11"/>
          <w:sz w:val="20"/>
        </w:rPr>
        <w:t> </w:t>
      </w:r>
      <w:r>
        <w:rPr>
          <w:rFonts w:ascii="Arial" w:hAnsi="Arial"/>
          <w:i/>
          <w:sz w:val="20"/>
        </w:rPr>
        <w:t>[2005]</w:t>
      </w:r>
      <w:r>
        <w:rPr>
          <w:rFonts w:ascii="Arial" w:hAnsi="Arial"/>
          <w:i/>
          <w:spacing w:val="11"/>
          <w:sz w:val="20"/>
        </w:rPr>
        <w:t> </w:t>
      </w:r>
      <w:r>
        <w:rPr>
          <w:rFonts w:ascii="Arial" w:hAnsi="Arial"/>
          <w:i/>
          <w:sz w:val="20"/>
        </w:rPr>
        <w:t>EWCA</w:t>
      </w:r>
      <w:r>
        <w:rPr>
          <w:rFonts w:ascii="Arial" w:hAnsi="Arial"/>
          <w:i/>
          <w:spacing w:val="11"/>
          <w:sz w:val="20"/>
        </w:rPr>
        <w:t> </w:t>
      </w:r>
      <w:r>
        <w:rPr>
          <w:rFonts w:ascii="Arial" w:hAnsi="Arial"/>
          <w:i/>
          <w:sz w:val="20"/>
        </w:rPr>
        <w:t>Civ</w:t>
      </w:r>
      <w:r>
        <w:rPr>
          <w:rFonts w:ascii="Arial" w:hAnsi="Arial"/>
          <w:i/>
          <w:spacing w:val="11"/>
          <w:sz w:val="20"/>
        </w:rPr>
        <w:t> </w:t>
      </w:r>
      <w:r>
        <w:rPr>
          <w:rFonts w:ascii="Arial" w:hAnsi="Arial"/>
          <w:i/>
          <w:sz w:val="20"/>
        </w:rPr>
        <w:t>405,</w:t>
      </w:r>
      <w:r>
        <w:rPr>
          <w:rFonts w:ascii="Arial" w:hAnsi="Arial"/>
          <w:i/>
          <w:spacing w:val="11"/>
          <w:sz w:val="20"/>
        </w:rPr>
        <w:t> </w:t>
      </w:r>
      <w:r>
        <w:rPr>
          <w:rFonts w:ascii="Arial" w:hAnsi="Arial"/>
          <w:i/>
          <w:sz w:val="20"/>
        </w:rPr>
        <w:t>[2005]</w:t>
      </w:r>
      <w:r>
        <w:rPr>
          <w:rFonts w:ascii="Arial" w:hAnsi="Arial"/>
          <w:i/>
          <w:spacing w:val="11"/>
          <w:sz w:val="20"/>
        </w:rPr>
        <w:t> </w:t>
      </w:r>
      <w:r>
        <w:rPr>
          <w:rFonts w:ascii="Arial" w:hAnsi="Arial"/>
          <w:i/>
          <w:sz w:val="20"/>
        </w:rPr>
        <w:t>3</w:t>
      </w:r>
      <w:r>
        <w:rPr>
          <w:rFonts w:ascii="Arial" w:hAnsi="Arial"/>
          <w:i/>
          <w:spacing w:val="11"/>
          <w:sz w:val="20"/>
        </w:rPr>
        <w:t> </w:t>
      </w:r>
      <w:r>
        <w:rPr>
          <w:rFonts w:ascii="Arial" w:hAnsi="Arial"/>
          <w:i/>
          <w:sz w:val="20"/>
        </w:rPr>
        <w:t>All</w:t>
      </w:r>
      <w:r>
        <w:rPr>
          <w:rFonts w:ascii="Arial" w:hAnsi="Arial"/>
          <w:i/>
          <w:spacing w:val="11"/>
          <w:sz w:val="20"/>
        </w:rPr>
        <w:t> </w:t>
      </w:r>
      <w:r>
        <w:rPr>
          <w:rFonts w:ascii="Arial" w:hAnsi="Arial"/>
          <w:i/>
          <w:sz w:val="20"/>
        </w:rPr>
        <w:t>E.R.</w:t>
      </w:r>
      <w:r>
        <w:rPr>
          <w:rFonts w:ascii="Arial" w:hAnsi="Arial"/>
          <w:i/>
          <w:spacing w:val="11"/>
          <w:sz w:val="20"/>
        </w:rPr>
        <w:t> </w:t>
      </w:r>
      <w:r>
        <w:rPr>
          <w:rFonts w:ascii="Arial" w:hAnsi="Arial"/>
          <w:i/>
          <w:sz w:val="20"/>
        </w:rPr>
        <w:t>838</w:t>
      </w:r>
      <w:r>
        <w:rPr>
          <w:rFonts w:ascii="Arial" w:hAnsi="Arial"/>
          <w:i/>
          <w:spacing w:val="10"/>
          <w:sz w:val="20"/>
        </w:rPr>
        <w:t> </w:t>
      </w:r>
      <w:r>
        <w:rPr>
          <w:sz w:val="20"/>
        </w:rPr>
        <w:t>at</w:t>
      </w:r>
      <w:r>
        <w:rPr>
          <w:spacing w:val="11"/>
          <w:sz w:val="20"/>
        </w:rPr>
        <w:t> </w:t>
      </w:r>
      <w:r>
        <w:rPr>
          <w:sz w:val="20"/>
        </w:rPr>
        <w:t>[31];</w:t>
      </w:r>
      <w:r>
        <w:rPr>
          <w:spacing w:val="11"/>
          <w:sz w:val="20"/>
        </w:rPr>
        <w:t> </w:t>
      </w:r>
      <w:r>
        <w:rPr>
          <w:rFonts w:ascii="Arial" w:hAnsi="Arial"/>
          <w:i/>
          <w:sz w:val="20"/>
        </w:rPr>
        <w:t>Halpern</w:t>
      </w:r>
      <w:r>
        <w:rPr>
          <w:rFonts w:ascii="Arial" w:hAnsi="Arial"/>
          <w:i/>
          <w:spacing w:val="11"/>
          <w:sz w:val="20"/>
        </w:rPr>
        <w:t> </w:t>
      </w:r>
      <w:r>
        <w:rPr>
          <w:rFonts w:ascii="Arial" w:hAnsi="Arial"/>
          <w:i/>
          <w:sz w:val="20"/>
        </w:rPr>
        <w:t>v</w:t>
      </w:r>
      <w:r>
        <w:rPr>
          <w:rFonts w:ascii="Arial" w:hAnsi="Arial"/>
          <w:i/>
          <w:spacing w:val="11"/>
          <w:sz w:val="20"/>
        </w:rPr>
        <w:t> </w:t>
      </w:r>
      <w:r>
        <w:rPr>
          <w:rFonts w:ascii="Arial" w:hAnsi="Arial"/>
          <w:i/>
          <w:sz w:val="20"/>
        </w:rPr>
        <w:t>Halpern</w:t>
      </w:r>
      <w:r>
        <w:rPr>
          <w:rFonts w:ascii="Arial" w:hAnsi="Arial"/>
          <w:i/>
          <w:spacing w:val="11"/>
          <w:sz w:val="20"/>
        </w:rPr>
        <w:t> </w:t>
      </w:r>
      <w:r>
        <w:rPr>
          <w:rFonts w:ascii="Arial" w:hAnsi="Arial"/>
          <w:i/>
          <w:sz w:val="20"/>
        </w:rPr>
        <w:t>[2006]</w:t>
      </w:r>
      <w:r>
        <w:rPr>
          <w:rFonts w:ascii="Arial" w:hAnsi="Arial"/>
          <w:i/>
          <w:spacing w:val="11"/>
          <w:sz w:val="20"/>
        </w:rPr>
        <w:t> </w:t>
      </w:r>
      <w:r>
        <w:rPr>
          <w:rFonts w:ascii="Arial" w:hAnsi="Arial"/>
          <w:i/>
          <w:spacing w:val="-4"/>
          <w:sz w:val="20"/>
        </w:rPr>
        <w:t>EWHC</w:t>
      </w:r>
    </w:p>
    <w:p>
      <w:pPr>
        <w:spacing w:line="235" w:lineRule="auto" w:before="0"/>
        <w:ind w:left="705" w:right="167" w:firstLine="0"/>
        <w:jc w:val="both"/>
        <w:rPr>
          <w:sz w:val="20"/>
        </w:rPr>
      </w:pPr>
      <w:r>
        <w:rPr>
          <w:rFonts w:ascii="Arial" w:hAnsi="Arial"/>
          <w:i/>
          <w:sz w:val="20"/>
        </w:rPr>
        <w:t>603 (Comm), [2006] 2 Lloyd’s Rep. 83 at [115], affirmed on this point [2007] EWCA Civ 291, [2007] 3 All E.R. 478 </w:t>
      </w:r>
      <w:r>
        <w:rPr>
          <w:sz w:val="20"/>
        </w:rPr>
        <w:t>at [50]; </w:t>
      </w:r>
      <w:r>
        <w:rPr>
          <w:rFonts w:ascii="Arial" w:hAnsi="Arial"/>
          <w:i/>
          <w:sz w:val="20"/>
        </w:rPr>
        <w:t>Durham Tees Valley Airport Ltd v Bmibaby Ltd [2010] EWCA </w:t>
      </w:r>
      <w:r>
        <w:rPr>
          <w:rFonts w:ascii="Arial" w:hAnsi="Arial"/>
          <w:i/>
          <w:sz w:val="20"/>
        </w:rPr>
        <w:t>Civ 485, [2011] 1 Lloyd’s Rep. 68 </w:t>
      </w:r>
      <w:r>
        <w:rPr>
          <w:sz w:val="20"/>
        </w:rPr>
        <w:t>at [54], [88] (paras 2-122 above and 2-151 below); </w:t>
      </w:r>
      <w:r>
        <w:rPr>
          <w:rFonts w:ascii="Arial" w:hAnsi="Arial"/>
          <w:i/>
          <w:sz w:val="20"/>
        </w:rPr>
        <w:t>Astra Zeneca UK Ltd v Albemarle International Corp [2011] EWHC 1574 (Comm) </w:t>
      </w:r>
      <w:r>
        <w:rPr>
          <w:sz w:val="20"/>
        </w:rPr>
        <w:t>at [31]; </w:t>
      </w:r>
      <w:r>
        <w:rPr>
          <w:rFonts w:ascii="Arial" w:hAnsi="Arial"/>
          <w:i/>
          <w:sz w:val="20"/>
        </w:rPr>
        <w:t>Trebor </w:t>
      </w:r>
      <w:r>
        <w:rPr>
          <w:rFonts w:ascii="Arial" w:hAnsi="Arial"/>
          <w:i/>
          <w:sz w:val="20"/>
        </w:rPr>
        <w:t>Bassett Holdings Ltd v ADT Fire &amp; Security Plc [2011] EWHC 1936 (TCC), [2011] B.L.R. 661 </w:t>
      </w:r>
      <w:r>
        <w:rPr>
          <w:sz w:val="20"/>
        </w:rPr>
        <w:t>at </w:t>
      </w:r>
      <w:r>
        <w:rPr>
          <w:sz w:val="20"/>
        </w:rPr>
        <w:t>[150]. See also Fridman (1960) 76 L.Q.R. 521.</w:t>
      </w:r>
    </w:p>
    <w:p>
      <w:pPr>
        <w:pStyle w:val="BodyText"/>
        <w:spacing w:before="3"/>
      </w:pPr>
    </w:p>
    <w:p>
      <w:pPr>
        <w:spacing w:line="235" w:lineRule="auto" w:before="1"/>
        <w:ind w:left="705" w:right="167" w:hanging="541"/>
        <w:jc w:val="both"/>
        <w:rPr>
          <w:sz w:val="20"/>
        </w:rPr>
      </w:pPr>
      <w:bookmarkStart w:name="_bookmark1563" w:id="1565"/>
      <w:bookmarkEnd w:id="1565"/>
      <w:r>
        <w:rPr/>
      </w:r>
      <w:hyperlink w:history="true" w:anchor="_bookmark1533">
        <w:r>
          <w:rPr>
            <w:color w:val="005DA1"/>
            <w:position w:val="5"/>
            <w:sz w:val="14"/>
            <w:u w:val="single" w:color="005DA1"/>
          </w:rPr>
          <w:t>807</w:t>
        </w:r>
      </w:hyperlink>
      <w:r>
        <w:rPr>
          <w:position w:val="5"/>
          <w:sz w:val="14"/>
        </w:rPr>
        <w:t>.</w:t>
      </w:r>
      <w:r>
        <w:rPr>
          <w:spacing w:val="40"/>
          <w:position w:val="5"/>
          <w:sz w:val="14"/>
        </w:rPr>
        <w:t>  </w:t>
      </w:r>
      <w:r>
        <w:rPr>
          <w:rFonts w:ascii="Arial"/>
          <w:i/>
          <w:sz w:val="20"/>
        </w:rPr>
        <w:t>Shamrock S.S. Co v Storey &amp; Co (1899) 81 L.T. 413</w:t>
      </w:r>
      <w:r>
        <w:rPr>
          <w:sz w:val="20"/>
        </w:rPr>
        <w:t>; cf. </w:t>
      </w:r>
      <w:r>
        <w:rPr>
          <w:rFonts w:ascii="Arial"/>
          <w:i/>
          <w:sz w:val="20"/>
        </w:rPr>
        <w:t>Hart v Hart (1881) 18 Ch. D. </w:t>
      </w:r>
      <w:r>
        <w:rPr>
          <w:rFonts w:ascii="Arial"/>
          <w:i/>
          <w:sz w:val="20"/>
        </w:rPr>
        <w:t>670</w:t>
      </w:r>
      <w:r>
        <w:rPr>
          <w:sz w:val="20"/>
        </w:rPr>
        <w:t>; </w:t>
      </w:r>
      <w:r>
        <w:rPr>
          <w:rFonts w:ascii="Arial"/>
          <w:i/>
          <w:sz w:val="20"/>
        </w:rPr>
        <w:t>Bayham</w:t>
      </w:r>
      <w:r>
        <w:rPr>
          <w:rFonts w:ascii="Arial"/>
          <w:i/>
          <w:spacing w:val="40"/>
          <w:sz w:val="20"/>
        </w:rPr>
        <w:t> </w:t>
      </w:r>
      <w:r>
        <w:rPr>
          <w:rFonts w:ascii="Arial"/>
          <w:i/>
          <w:sz w:val="20"/>
        </w:rPr>
        <w:t>v</w:t>
      </w:r>
      <w:r>
        <w:rPr>
          <w:rFonts w:ascii="Arial"/>
          <w:i/>
          <w:spacing w:val="40"/>
          <w:sz w:val="20"/>
        </w:rPr>
        <w:t> </w:t>
      </w:r>
      <w:r>
        <w:rPr>
          <w:rFonts w:ascii="Arial"/>
          <w:i/>
          <w:sz w:val="20"/>
        </w:rPr>
        <w:t>Phillips</w:t>
      </w:r>
      <w:r>
        <w:rPr>
          <w:rFonts w:ascii="Arial"/>
          <w:i/>
          <w:spacing w:val="40"/>
          <w:sz w:val="20"/>
        </w:rPr>
        <w:t> </w:t>
      </w:r>
      <w:r>
        <w:rPr>
          <w:rFonts w:ascii="Arial"/>
          <w:i/>
          <w:sz w:val="20"/>
        </w:rPr>
        <w:t>Electronics</w:t>
      </w:r>
      <w:r>
        <w:rPr>
          <w:rFonts w:ascii="Arial"/>
          <w:i/>
          <w:spacing w:val="40"/>
          <w:sz w:val="20"/>
        </w:rPr>
        <w:t> </w:t>
      </w:r>
      <w:r>
        <w:rPr>
          <w:rFonts w:ascii="Arial"/>
          <w:i/>
          <w:sz w:val="20"/>
        </w:rPr>
        <w:t>(UK)</w:t>
      </w:r>
      <w:r>
        <w:rPr>
          <w:rFonts w:ascii="Arial"/>
          <w:i/>
          <w:spacing w:val="40"/>
          <w:sz w:val="20"/>
        </w:rPr>
        <w:t> </w:t>
      </w:r>
      <w:r>
        <w:rPr>
          <w:rFonts w:ascii="Arial"/>
          <w:i/>
          <w:sz w:val="20"/>
        </w:rPr>
        <w:t>Ltd,</w:t>
      </w:r>
      <w:r>
        <w:rPr>
          <w:rFonts w:ascii="Arial"/>
          <w:i/>
          <w:spacing w:val="40"/>
          <w:sz w:val="20"/>
        </w:rPr>
        <w:t> </w:t>
      </w:r>
      <w:r>
        <w:rPr>
          <w:rFonts w:ascii="Arial"/>
          <w:i/>
          <w:sz w:val="20"/>
        </w:rPr>
        <w:t>The</w:t>
      </w:r>
      <w:r>
        <w:rPr>
          <w:rFonts w:ascii="Arial"/>
          <w:i/>
          <w:spacing w:val="40"/>
          <w:sz w:val="20"/>
        </w:rPr>
        <w:t> </w:t>
      </w:r>
      <w:r>
        <w:rPr>
          <w:rFonts w:ascii="Arial"/>
          <w:i/>
          <w:sz w:val="20"/>
        </w:rPr>
        <w:t>Times,</w:t>
      </w:r>
      <w:r>
        <w:rPr>
          <w:rFonts w:ascii="Arial"/>
          <w:i/>
          <w:spacing w:val="40"/>
          <w:sz w:val="20"/>
        </w:rPr>
        <w:t> </w:t>
      </w:r>
      <w:r>
        <w:rPr>
          <w:rFonts w:ascii="Arial"/>
          <w:i/>
          <w:sz w:val="20"/>
        </w:rPr>
        <w:t>July</w:t>
      </w:r>
      <w:r>
        <w:rPr>
          <w:rFonts w:ascii="Arial"/>
          <w:i/>
          <w:spacing w:val="40"/>
          <w:sz w:val="20"/>
        </w:rPr>
        <w:t> </w:t>
      </w:r>
      <w:r>
        <w:rPr>
          <w:rFonts w:ascii="Arial"/>
          <w:i/>
          <w:sz w:val="20"/>
        </w:rPr>
        <w:t>19,</w:t>
      </w:r>
      <w:r>
        <w:rPr>
          <w:rFonts w:ascii="Arial"/>
          <w:i/>
          <w:spacing w:val="40"/>
          <w:sz w:val="20"/>
        </w:rPr>
        <w:t> </w:t>
      </w:r>
      <w:r>
        <w:rPr>
          <w:rFonts w:ascii="Arial"/>
          <w:i/>
          <w:sz w:val="20"/>
        </w:rPr>
        <w:t>1995</w:t>
      </w:r>
      <w:r>
        <w:rPr>
          <w:rFonts w:ascii="Arial"/>
          <w:i/>
          <w:spacing w:val="40"/>
          <w:sz w:val="20"/>
        </w:rPr>
        <w:t> </w:t>
      </w:r>
      <w:r>
        <w:rPr>
          <w:sz w:val="20"/>
        </w:rPr>
        <w:t>where</w:t>
      </w:r>
      <w:r>
        <w:rPr>
          <w:spacing w:val="40"/>
          <w:sz w:val="20"/>
        </w:rPr>
        <w:t> </w:t>
      </w:r>
      <w:r>
        <w:rPr>
          <w:sz w:val="20"/>
        </w:rPr>
        <w:t>uncertainty</w:t>
      </w:r>
      <w:r>
        <w:rPr>
          <w:spacing w:val="40"/>
          <w:sz w:val="20"/>
        </w:rPr>
        <w:t> </w:t>
      </w:r>
      <w:r>
        <w:rPr>
          <w:sz w:val="20"/>
        </w:rPr>
        <w:t>in</w:t>
      </w:r>
      <w:r>
        <w:rPr>
          <w:spacing w:val="40"/>
          <w:sz w:val="20"/>
        </w:rPr>
        <w:t> </w:t>
      </w:r>
      <w:r>
        <w:rPr>
          <w:sz w:val="20"/>
        </w:rPr>
        <w:t>a long-term</w:t>
      </w:r>
      <w:r>
        <w:rPr>
          <w:spacing w:val="17"/>
          <w:sz w:val="20"/>
        </w:rPr>
        <w:t> </w:t>
      </w:r>
      <w:r>
        <w:rPr>
          <w:sz w:val="20"/>
        </w:rPr>
        <w:t>health</w:t>
      </w:r>
      <w:r>
        <w:rPr>
          <w:spacing w:val="17"/>
          <w:sz w:val="20"/>
        </w:rPr>
        <w:t> </w:t>
      </w:r>
      <w:r>
        <w:rPr>
          <w:sz w:val="20"/>
        </w:rPr>
        <w:t>insurance</w:t>
      </w:r>
      <w:r>
        <w:rPr>
          <w:spacing w:val="17"/>
          <w:sz w:val="20"/>
        </w:rPr>
        <w:t> </w:t>
      </w:r>
      <w:r>
        <w:rPr>
          <w:sz w:val="20"/>
        </w:rPr>
        <w:t>agreement</w:t>
      </w:r>
      <w:r>
        <w:rPr>
          <w:spacing w:val="17"/>
          <w:sz w:val="20"/>
        </w:rPr>
        <w:t> </w:t>
      </w:r>
      <w:r>
        <w:rPr>
          <w:sz w:val="20"/>
        </w:rPr>
        <w:t>was</w:t>
      </w:r>
      <w:r>
        <w:rPr>
          <w:spacing w:val="17"/>
          <w:sz w:val="20"/>
        </w:rPr>
        <w:t> </w:t>
      </w:r>
      <w:r>
        <w:rPr>
          <w:sz w:val="20"/>
        </w:rPr>
        <w:t>resolved</w:t>
      </w:r>
      <w:r>
        <w:rPr>
          <w:spacing w:val="17"/>
          <w:sz w:val="20"/>
        </w:rPr>
        <w:t> </w:t>
      </w:r>
      <w:r>
        <w:rPr>
          <w:sz w:val="20"/>
        </w:rPr>
        <w:t>by</w:t>
      </w:r>
      <w:r>
        <w:rPr>
          <w:spacing w:val="17"/>
          <w:sz w:val="20"/>
        </w:rPr>
        <w:t> </w:t>
      </w:r>
      <w:r>
        <w:rPr>
          <w:sz w:val="20"/>
        </w:rPr>
        <w:t>reference</w:t>
      </w:r>
      <w:r>
        <w:rPr>
          <w:spacing w:val="17"/>
          <w:sz w:val="20"/>
        </w:rPr>
        <w:t> </w:t>
      </w:r>
      <w:r>
        <w:rPr>
          <w:sz w:val="20"/>
        </w:rPr>
        <w:t>to</w:t>
      </w:r>
      <w:r>
        <w:rPr>
          <w:spacing w:val="17"/>
          <w:sz w:val="20"/>
        </w:rPr>
        <w:t> </w:t>
      </w:r>
      <w:r>
        <w:rPr>
          <w:sz w:val="20"/>
        </w:rPr>
        <w:t>circumstances</w:t>
      </w:r>
      <w:r>
        <w:rPr>
          <w:spacing w:val="17"/>
          <w:sz w:val="20"/>
        </w:rPr>
        <w:t> </w:t>
      </w:r>
      <w:r>
        <w:rPr>
          <w:sz w:val="20"/>
        </w:rPr>
        <w:t>existing</w:t>
      </w:r>
      <w:r>
        <w:rPr>
          <w:spacing w:val="17"/>
          <w:sz w:val="20"/>
        </w:rPr>
        <w:t> </w:t>
      </w:r>
      <w:r>
        <w:rPr>
          <w:spacing w:val="-5"/>
          <w:sz w:val="20"/>
        </w:rPr>
        <w:t>at</w:t>
      </w:r>
    </w:p>
    <w:p>
      <w:pPr>
        <w:spacing w:after="0" w:line="235" w:lineRule="auto"/>
        <w:jc w:val="both"/>
        <w:rPr>
          <w:sz w:val="20"/>
        </w:rPr>
        <w:sectPr>
          <w:type w:val="continuous"/>
          <w:pgSz w:w="11900" w:h="16840"/>
          <w:pgMar w:header="971" w:footer="0" w:top="1300" w:bottom="280" w:left="1275" w:right="1275"/>
        </w:sectPr>
      </w:pPr>
    </w:p>
    <w:p>
      <w:pPr>
        <w:pStyle w:val="BodyText"/>
        <w:spacing w:before="106"/>
        <w:ind w:left="705"/>
      </w:pPr>
      <w:r>
        <w:rPr/>
        <w:t>the time of its </w:t>
      </w:r>
      <w:r>
        <w:rPr>
          <w:spacing w:val="-2"/>
        </w:rPr>
        <w:t>formation.</w:t>
      </w:r>
    </w:p>
    <w:p>
      <w:pPr>
        <w:pStyle w:val="BodyText"/>
        <w:spacing w:before="9"/>
      </w:pPr>
    </w:p>
    <w:p>
      <w:pPr>
        <w:tabs>
          <w:tab w:pos="705" w:val="left" w:leader="none"/>
        </w:tabs>
        <w:spacing w:line="235" w:lineRule="auto" w:before="0"/>
        <w:ind w:left="705" w:right="168" w:hanging="541"/>
        <w:jc w:val="left"/>
        <w:rPr>
          <w:sz w:val="20"/>
        </w:rPr>
      </w:pPr>
      <w:bookmarkStart w:name="_bookmark1564" w:id="1566"/>
      <w:bookmarkEnd w:id="1566"/>
      <w:r>
        <w:rPr/>
      </w:r>
      <w:hyperlink w:history="true" w:anchor="_bookmark1534">
        <w:r>
          <w:rPr>
            <w:color w:val="005DA1"/>
            <w:spacing w:val="-4"/>
            <w:position w:val="5"/>
            <w:sz w:val="14"/>
            <w:u w:val="single" w:color="005DA1"/>
          </w:rPr>
          <w:t>808</w:t>
        </w:r>
      </w:hyperlink>
      <w:r>
        <w:rPr>
          <w:spacing w:val="-4"/>
          <w:position w:val="5"/>
          <w:sz w:val="14"/>
        </w:rPr>
        <w:t>.</w:t>
      </w:r>
      <w:r>
        <w:rPr>
          <w:position w:val="5"/>
          <w:sz w:val="14"/>
        </w:rPr>
        <w:tab/>
      </w:r>
      <w:r>
        <w:rPr>
          <w:rFonts w:ascii="Arial"/>
          <w:i/>
          <w:sz w:val="20"/>
        </w:rPr>
        <w:t>Ashburn</w:t>
      </w:r>
      <w:r>
        <w:rPr>
          <w:rFonts w:ascii="Arial"/>
          <w:i/>
          <w:spacing w:val="64"/>
          <w:sz w:val="20"/>
        </w:rPr>
        <w:t> </w:t>
      </w:r>
      <w:r>
        <w:rPr>
          <w:rFonts w:ascii="Arial"/>
          <w:i/>
          <w:sz w:val="20"/>
        </w:rPr>
        <w:t>Anstalt</w:t>
      </w:r>
      <w:r>
        <w:rPr>
          <w:rFonts w:ascii="Arial"/>
          <w:i/>
          <w:spacing w:val="64"/>
          <w:sz w:val="20"/>
        </w:rPr>
        <w:t> </w:t>
      </w:r>
      <w:r>
        <w:rPr>
          <w:rFonts w:ascii="Arial"/>
          <w:i/>
          <w:sz w:val="20"/>
        </w:rPr>
        <w:t>v</w:t>
      </w:r>
      <w:r>
        <w:rPr>
          <w:rFonts w:ascii="Arial"/>
          <w:i/>
          <w:spacing w:val="64"/>
          <w:sz w:val="20"/>
        </w:rPr>
        <w:t> </w:t>
      </w:r>
      <w:r>
        <w:rPr>
          <w:rFonts w:ascii="Arial"/>
          <w:i/>
          <w:sz w:val="20"/>
        </w:rPr>
        <w:t>Arnold</w:t>
      </w:r>
      <w:r>
        <w:rPr>
          <w:rFonts w:ascii="Arial"/>
          <w:i/>
          <w:spacing w:val="64"/>
          <w:sz w:val="20"/>
        </w:rPr>
        <w:t> </w:t>
      </w:r>
      <w:r>
        <w:rPr>
          <w:rFonts w:ascii="Arial"/>
          <w:i/>
          <w:sz w:val="20"/>
        </w:rPr>
        <w:t>[1989]</w:t>
      </w:r>
      <w:r>
        <w:rPr>
          <w:rFonts w:ascii="Arial"/>
          <w:i/>
          <w:spacing w:val="64"/>
          <w:sz w:val="20"/>
        </w:rPr>
        <w:t> </w:t>
      </w:r>
      <w:r>
        <w:rPr>
          <w:rFonts w:ascii="Arial"/>
          <w:i/>
          <w:sz w:val="20"/>
        </w:rPr>
        <w:t>Ch.</w:t>
      </w:r>
      <w:r>
        <w:rPr>
          <w:rFonts w:ascii="Arial"/>
          <w:i/>
          <w:spacing w:val="64"/>
          <w:sz w:val="20"/>
        </w:rPr>
        <w:t> </w:t>
      </w:r>
      <w:r>
        <w:rPr>
          <w:rFonts w:ascii="Arial"/>
          <w:i/>
          <w:sz w:val="20"/>
        </w:rPr>
        <w:t>1,</w:t>
      </w:r>
      <w:r>
        <w:rPr>
          <w:rFonts w:ascii="Arial"/>
          <w:i/>
          <w:spacing w:val="64"/>
          <w:sz w:val="20"/>
        </w:rPr>
        <w:t> </w:t>
      </w:r>
      <w:r>
        <w:rPr>
          <w:rFonts w:ascii="Arial"/>
          <w:i/>
          <w:sz w:val="20"/>
        </w:rPr>
        <w:t>27</w:t>
      </w:r>
      <w:r>
        <w:rPr>
          <w:sz w:val="20"/>
        </w:rPr>
        <w:t>,</w:t>
      </w:r>
      <w:r>
        <w:rPr>
          <w:spacing w:val="64"/>
          <w:sz w:val="20"/>
        </w:rPr>
        <w:t> </w:t>
      </w:r>
      <w:r>
        <w:rPr>
          <w:sz w:val="20"/>
        </w:rPr>
        <w:t>overruled,</w:t>
      </w:r>
      <w:r>
        <w:rPr>
          <w:spacing w:val="64"/>
          <w:sz w:val="20"/>
        </w:rPr>
        <w:t> </w:t>
      </w:r>
      <w:r>
        <w:rPr>
          <w:sz w:val="20"/>
        </w:rPr>
        <w:t>on</w:t>
      </w:r>
      <w:r>
        <w:rPr>
          <w:spacing w:val="64"/>
          <w:sz w:val="20"/>
        </w:rPr>
        <w:t> </w:t>
      </w:r>
      <w:r>
        <w:rPr>
          <w:sz w:val="20"/>
        </w:rPr>
        <w:t>another</w:t>
      </w:r>
      <w:r>
        <w:rPr>
          <w:spacing w:val="64"/>
          <w:sz w:val="20"/>
        </w:rPr>
        <w:t> </w:t>
      </w:r>
      <w:r>
        <w:rPr>
          <w:sz w:val="20"/>
        </w:rPr>
        <w:t>ground,</w:t>
      </w:r>
      <w:r>
        <w:rPr>
          <w:spacing w:val="64"/>
          <w:sz w:val="20"/>
        </w:rPr>
        <w:t> </w:t>
      </w:r>
      <w:r>
        <w:rPr>
          <w:sz w:val="20"/>
        </w:rPr>
        <w:t>in</w:t>
      </w:r>
      <w:r>
        <w:rPr>
          <w:spacing w:val="63"/>
          <w:sz w:val="20"/>
        </w:rPr>
        <w:t> </w:t>
      </w:r>
      <w:r>
        <w:rPr>
          <w:rFonts w:ascii="Arial"/>
          <w:i/>
          <w:sz w:val="20"/>
        </w:rPr>
        <w:t>Prudential Assurance Co Ltd v London Residuary Body [1992] A.C. 386</w:t>
      </w:r>
      <w:r>
        <w:rPr>
          <w:sz w:val="20"/>
        </w:rPr>
        <w:t>.</w:t>
      </w:r>
    </w:p>
    <w:p>
      <w:pPr>
        <w:pStyle w:val="BodyText"/>
        <w:spacing w:before="6"/>
      </w:pPr>
    </w:p>
    <w:p>
      <w:pPr>
        <w:tabs>
          <w:tab w:pos="705" w:val="left" w:leader="none"/>
        </w:tabs>
        <w:spacing w:before="0"/>
        <w:ind w:left="165" w:right="0" w:firstLine="0"/>
        <w:jc w:val="left"/>
        <w:rPr>
          <w:sz w:val="20"/>
        </w:rPr>
      </w:pPr>
      <w:bookmarkStart w:name="_bookmark1565" w:id="1567"/>
      <w:bookmarkEnd w:id="1567"/>
      <w:r>
        <w:rPr/>
      </w:r>
      <w:hyperlink w:history="true" w:anchor="_bookmark1535">
        <w:r>
          <w:rPr>
            <w:color w:val="005DA1"/>
            <w:spacing w:val="-4"/>
            <w:position w:val="5"/>
            <w:sz w:val="14"/>
            <w:u w:val="single" w:color="005DA1"/>
          </w:rPr>
          <w:t>809</w:t>
        </w:r>
      </w:hyperlink>
      <w:r>
        <w:rPr>
          <w:spacing w:val="-4"/>
          <w:position w:val="5"/>
          <w:sz w:val="14"/>
        </w:rPr>
        <w:t>.</w:t>
      </w:r>
      <w:r>
        <w:rPr>
          <w:position w:val="5"/>
          <w:sz w:val="14"/>
        </w:rPr>
        <w:tab/>
      </w:r>
      <w:r>
        <w:rPr>
          <w:rFonts w:ascii="Arial"/>
          <w:i/>
          <w:sz w:val="20"/>
        </w:rPr>
        <w:t>Bishop &amp; Baxter Ltd v Anglo-Eastern Trading Co [1944] K.B. </w:t>
      </w:r>
      <w:r>
        <w:rPr>
          <w:rFonts w:ascii="Arial"/>
          <w:i/>
          <w:spacing w:val="-5"/>
          <w:sz w:val="20"/>
        </w:rPr>
        <w:t>12</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566" w:id="1568"/>
      <w:bookmarkEnd w:id="1568"/>
      <w:r>
        <w:rPr/>
      </w:r>
      <w:hyperlink w:history="true" w:anchor="_bookmark1535">
        <w:r>
          <w:rPr>
            <w:color w:val="005DA1"/>
            <w:spacing w:val="-4"/>
            <w:position w:val="5"/>
            <w:sz w:val="14"/>
            <w:u w:val="single" w:color="005DA1"/>
          </w:rPr>
          <w:t>810</w:t>
        </w:r>
      </w:hyperlink>
      <w:r>
        <w:rPr>
          <w:spacing w:val="-4"/>
          <w:position w:val="5"/>
          <w:sz w:val="14"/>
        </w:rPr>
        <w:t>.</w:t>
      </w:r>
      <w:r>
        <w:rPr>
          <w:position w:val="5"/>
          <w:sz w:val="14"/>
        </w:rPr>
        <w:tab/>
      </w:r>
      <w:r>
        <w:rPr>
          <w:rFonts w:ascii="Arial"/>
          <w:i/>
          <w:sz w:val="20"/>
        </w:rPr>
        <w:t>Love &amp; Stewart Ltd v S. Instone Ltd (1917) 33 T.L.R. </w:t>
      </w:r>
      <w:r>
        <w:rPr>
          <w:rFonts w:ascii="Arial"/>
          <w:i/>
          <w:spacing w:val="-4"/>
          <w:sz w:val="20"/>
        </w:rPr>
        <w:t>475</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67" w:id="1569"/>
      <w:bookmarkEnd w:id="1569"/>
      <w:r>
        <w:rPr/>
      </w:r>
      <w:hyperlink w:history="true" w:anchor="_bookmark1536">
        <w:r>
          <w:rPr>
            <w:color w:val="005DA1"/>
            <w:spacing w:val="-4"/>
            <w:position w:val="5"/>
            <w:sz w:val="14"/>
            <w:u w:val="single" w:color="005DA1"/>
          </w:rPr>
          <w:t>811</w:t>
        </w:r>
      </w:hyperlink>
      <w:r>
        <w:rPr>
          <w:spacing w:val="-4"/>
          <w:position w:val="5"/>
          <w:sz w:val="14"/>
        </w:rPr>
        <w:t>.</w:t>
      </w:r>
      <w:r>
        <w:rPr>
          <w:position w:val="5"/>
          <w:sz w:val="14"/>
        </w:rPr>
        <w:tab/>
      </w:r>
      <w:r>
        <w:rPr>
          <w:rFonts w:ascii="Arial"/>
          <w:i/>
          <w:sz w:val="20"/>
        </w:rPr>
        <w:t>British Electrical, etc., Industries v Patley Pressings Ltd [1953] 1 W.L.R. </w:t>
      </w:r>
      <w:r>
        <w:rPr>
          <w:rFonts w:ascii="Arial"/>
          <w:i/>
          <w:spacing w:val="-4"/>
          <w:sz w:val="20"/>
        </w:rPr>
        <w:t>280</w:t>
      </w:r>
      <w:r>
        <w:rPr>
          <w:spacing w:val="-4"/>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568" w:id="1570"/>
      <w:bookmarkEnd w:id="1570"/>
      <w:r>
        <w:rPr/>
      </w:r>
      <w:hyperlink w:history="true" w:anchor="_bookmark1537">
        <w:r>
          <w:rPr>
            <w:color w:val="005DA1"/>
            <w:spacing w:val="-4"/>
            <w:position w:val="5"/>
            <w:sz w:val="14"/>
            <w:u w:val="single" w:color="005DA1"/>
          </w:rPr>
          <w:t>812</w:t>
        </w:r>
      </w:hyperlink>
      <w:r>
        <w:rPr>
          <w:spacing w:val="-4"/>
          <w:position w:val="5"/>
          <w:sz w:val="14"/>
        </w:rPr>
        <w:t>.</w:t>
      </w:r>
      <w:r>
        <w:rPr>
          <w:position w:val="5"/>
          <w:sz w:val="14"/>
        </w:rPr>
        <w:tab/>
      </w:r>
      <w:r>
        <w:rPr>
          <w:rFonts w:ascii="Arial"/>
          <w:i/>
          <w:sz w:val="20"/>
        </w:rPr>
        <w:t>(1932)</w:t>
      </w:r>
      <w:r>
        <w:rPr>
          <w:rFonts w:ascii="Arial"/>
          <w:i/>
          <w:spacing w:val="38"/>
          <w:sz w:val="20"/>
        </w:rPr>
        <w:t> </w:t>
      </w:r>
      <w:r>
        <w:rPr>
          <w:rFonts w:ascii="Arial"/>
          <w:i/>
          <w:sz w:val="20"/>
        </w:rPr>
        <w:t>147</w:t>
      </w:r>
      <w:r>
        <w:rPr>
          <w:rFonts w:ascii="Arial"/>
          <w:i/>
          <w:spacing w:val="38"/>
          <w:sz w:val="20"/>
        </w:rPr>
        <w:t> </w:t>
      </w:r>
      <w:r>
        <w:rPr>
          <w:rFonts w:ascii="Arial"/>
          <w:i/>
          <w:sz w:val="20"/>
        </w:rPr>
        <w:t>L.T.</w:t>
      </w:r>
      <w:r>
        <w:rPr>
          <w:rFonts w:ascii="Arial"/>
          <w:i/>
          <w:spacing w:val="38"/>
          <w:sz w:val="20"/>
        </w:rPr>
        <w:t> </w:t>
      </w:r>
      <w:r>
        <w:rPr>
          <w:rFonts w:ascii="Arial"/>
          <w:i/>
          <w:sz w:val="20"/>
        </w:rPr>
        <w:t>503</w:t>
      </w:r>
      <w:r>
        <w:rPr>
          <w:rFonts w:ascii="Arial"/>
          <w:i/>
          <w:spacing w:val="37"/>
          <w:sz w:val="20"/>
        </w:rPr>
        <w:t> </w:t>
      </w:r>
      <w:r>
        <w:rPr>
          <w:sz w:val="20"/>
        </w:rPr>
        <w:t>(and</w:t>
      </w:r>
      <w:r>
        <w:rPr>
          <w:spacing w:val="38"/>
          <w:sz w:val="20"/>
        </w:rPr>
        <w:t> </w:t>
      </w:r>
      <w:r>
        <w:rPr>
          <w:sz w:val="20"/>
        </w:rPr>
        <w:t>see</w:t>
      </w:r>
      <w:r>
        <w:rPr>
          <w:spacing w:val="38"/>
          <w:sz w:val="20"/>
        </w:rPr>
        <w:t> </w:t>
      </w:r>
      <w:r>
        <w:rPr>
          <w:sz w:val="20"/>
        </w:rPr>
        <w:t>above,</w:t>
      </w:r>
      <w:r>
        <w:rPr>
          <w:spacing w:val="38"/>
          <w:sz w:val="20"/>
        </w:rPr>
        <w:t> </w:t>
      </w:r>
      <w:r>
        <w:rPr>
          <w:sz w:val="20"/>
        </w:rPr>
        <w:t>para.2-137);</w:t>
      </w:r>
      <w:r>
        <w:rPr>
          <w:spacing w:val="37"/>
          <w:sz w:val="20"/>
        </w:rPr>
        <w:t> </w:t>
      </w:r>
      <w:r>
        <w:rPr>
          <w:rFonts w:ascii="Arial"/>
          <w:i/>
          <w:sz w:val="20"/>
        </w:rPr>
        <w:t>Sweet</w:t>
      </w:r>
      <w:r>
        <w:rPr>
          <w:rFonts w:ascii="Arial"/>
          <w:i/>
          <w:spacing w:val="38"/>
          <w:sz w:val="20"/>
        </w:rPr>
        <w:t> </w:t>
      </w:r>
      <w:r>
        <w:rPr>
          <w:rFonts w:ascii="Arial"/>
          <w:i/>
          <w:sz w:val="20"/>
        </w:rPr>
        <w:t>&amp;</w:t>
      </w:r>
      <w:r>
        <w:rPr>
          <w:rFonts w:ascii="Arial"/>
          <w:i/>
          <w:spacing w:val="38"/>
          <w:sz w:val="20"/>
        </w:rPr>
        <w:t> </w:t>
      </w:r>
      <w:r>
        <w:rPr>
          <w:rFonts w:ascii="Arial"/>
          <w:i/>
          <w:sz w:val="20"/>
        </w:rPr>
        <w:t>Maxwell</w:t>
      </w:r>
      <w:r>
        <w:rPr>
          <w:rFonts w:ascii="Arial"/>
          <w:i/>
          <w:spacing w:val="38"/>
          <w:sz w:val="20"/>
        </w:rPr>
        <w:t> </w:t>
      </w:r>
      <w:r>
        <w:rPr>
          <w:rFonts w:ascii="Arial"/>
          <w:i/>
          <w:sz w:val="20"/>
        </w:rPr>
        <w:t>Ltd</w:t>
      </w:r>
      <w:r>
        <w:rPr>
          <w:rFonts w:ascii="Arial"/>
          <w:i/>
          <w:spacing w:val="38"/>
          <w:sz w:val="20"/>
        </w:rPr>
        <w:t> </w:t>
      </w:r>
      <w:r>
        <w:rPr>
          <w:rFonts w:ascii="Arial"/>
          <w:i/>
          <w:sz w:val="20"/>
        </w:rPr>
        <w:t>v</w:t>
      </w:r>
      <w:r>
        <w:rPr>
          <w:rFonts w:ascii="Arial"/>
          <w:i/>
          <w:spacing w:val="38"/>
          <w:sz w:val="20"/>
        </w:rPr>
        <w:t> </w:t>
      </w:r>
      <w:r>
        <w:rPr>
          <w:rFonts w:ascii="Arial"/>
          <w:i/>
          <w:sz w:val="20"/>
        </w:rPr>
        <w:t>Universal</w:t>
      </w:r>
      <w:r>
        <w:rPr>
          <w:rFonts w:ascii="Arial"/>
          <w:i/>
          <w:spacing w:val="38"/>
          <w:sz w:val="20"/>
        </w:rPr>
        <w:t> </w:t>
      </w:r>
      <w:r>
        <w:rPr>
          <w:rFonts w:ascii="Arial"/>
          <w:i/>
          <w:sz w:val="20"/>
        </w:rPr>
        <w:t>News Services</w:t>
      </w:r>
      <w:r>
        <w:rPr>
          <w:rFonts w:ascii="Arial"/>
          <w:i/>
          <w:spacing w:val="49"/>
          <w:sz w:val="20"/>
        </w:rPr>
        <w:t> </w:t>
      </w:r>
      <w:r>
        <w:rPr>
          <w:rFonts w:ascii="Arial"/>
          <w:i/>
          <w:sz w:val="20"/>
        </w:rPr>
        <w:t>Ltd</w:t>
      </w:r>
      <w:r>
        <w:rPr>
          <w:rFonts w:ascii="Arial"/>
          <w:i/>
          <w:spacing w:val="52"/>
          <w:sz w:val="20"/>
        </w:rPr>
        <w:t> </w:t>
      </w:r>
      <w:r>
        <w:rPr>
          <w:rFonts w:ascii="Arial"/>
          <w:i/>
          <w:sz w:val="20"/>
        </w:rPr>
        <w:t>[1964]</w:t>
      </w:r>
      <w:r>
        <w:rPr>
          <w:rFonts w:ascii="Arial"/>
          <w:i/>
          <w:spacing w:val="52"/>
          <w:sz w:val="20"/>
        </w:rPr>
        <w:t> </w:t>
      </w:r>
      <w:r>
        <w:rPr>
          <w:rFonts w:ascii="Arial"/>
          <w:i/>
          <w:sz w:val="20"/>
        </w:rPr>
        <w:t>2</w:t>
      </w:r>
      <w:r>
        <w:rPr>
          <w:rFonts w:ascii="Arial"/>
          <w:i/>
          <w:spacing w:val="52"/>
          <w:sz w:val="20"/>
        </w:rPr>
        <w:t> </w:t>
      </w:r>
      <w:r>
        <w:rPr>
          <w:rFonts w:ascii="Arial"/>
          <w:i/>
          <w:sz w:val="20"/>
        </w:rPr>
        <w:t>Q.B.</w:t>
      </w:r>
      <w:r>
        <w:rPr>
          <w:rFonts w:ascii="Arial"/>
          <w:i/>
          <w:spacing w:val="52"/>
          <w:sz w:val="20"/>
        </w:rPr>
        <w:t> </w:t>
      </w:r>
      <w:r>
        <w:rPr>
          <w:rFonts w:ascii="Arial"/>
          <w:i/>
          <w:sz w:val="20"/>
        </w:rPr>
        <w:t>699</w:t>
      </w:r>
      <w:r>
        <w:rPr>
          <w:sz w:val="20"/>
        </w:rPr>
        <w:t>;</w:t>
      </w:r>
      <w:r>
        <w:rPr>
          <w:spacing w:val="52"/>
          <w:sz w:val="20"/>
        </w:rPr>
        <w:t> </w:t>
      </w:r>
      <w:r>
        <w:rPr>
          <w:sz w:val="20"/>
        </w:rPr>
        <w:t>cf.</w:t>
      </w:r>
      <w:r>
        <w:rPr>
          <w:spacing w:val="53"/>
          <w:sz w:val="20"/>
        </w:rPr>
        <w:t> </w:t>
      </w:r>
      <w:r>
        <w:rPr>
          <w:rFonts w:ascii="Arial"/>
          <w:i/>
          <w:sz w:val="20"/>
        </w:rPr>
        <w:t>G.L.C.</w:t>
      </w:r>
      <w:r>
        <w:rPr>
          <w:rFonts w:ascii="Arial"/>
          <w:i/>
          <w:spacing w:val="51"/>
          <w:sz w:val="20"/>
        </w:rPr>
        <w:t> </w:t>
      </w:r>
      <w:r>
        <w:rPr>
          <w:rFonts w:ascii="Arial"/>
          <w:i/>
          <w:sz w:val="20"/>
        </w:rPr>
        <w:t>v</w:t>
      </w:r>
      <w:r>
        <w:rPr>
          <w:rFonts w:ascii="Arial"/>
          <w:i/>
          <w:spacing w:val="52"/>
          <w:sz w:val="20"/>
        </w:rPr>
        <w:t> </w:t>
      </w:r>
      <w:r>
        <w:rPr>
          <w:rFonts w:ascii="Arial"/>
          <w:i/>
          <w:sz w:val="20"/>
        </w:rPr>
        <w:t>Connolly</w:t>
      </w:r>
      <w:r>
        <w:rPr>
          <w:rFonts w:ascii="Arial"/>
          <w:i/>
          <w:spacing w:val="52"/>
          <w:sz w:val="20"/>
        </w:rPr>
        <w:t> </w:t>
      </w:r>
      <w:r>
        <w:rPr>
          <w:rFonts w:ascii="Arial"/>
          <w:i/>
          <w:sz w:val="20"/>
        </w:rPr>
        <w:t>[1970]</w:t>
      </w:r>
      <w:r>
        <w:rPr>
          <w:rFonts w:ascii="Arial"/>
          <w:i/>
          <w:spacing w:val="52"/>
          <w:sz w:val="20"/>
        </w:rPr>
        <w:t> </w:t>
      </w:r>
      <w:r>
        <w:rPr>
          <w:rFonts w:ascii="Arial"/>
          <w:i/>
          <w:sz w:val="20"/>
        </w:rPr>
        <w:t>2</w:t>
      </w:r>
      <w:r>
        <w:rPr>
          <w:rFonts w:ascii="Arial"/>
          <w:i/>
          <w:spacing w:val="52"/>
          <w:sz w:val="20"/>
        </w:rPr>
        <w:t> </w:t>
      </w:r>
      <w:r>
        <w:rPr>
          <w:rFonts w:ascii="Arial"/>
          <w:i/>
          <w:sz w:val="20"/>
        </w:rPr>
        <w:t>Q.B.</w:t>
      </w:r>
      <w:r>
        <w:rPr>
          <w:rFonts w:ascii="Arial"/>
          <w:i/>
          <w:spacing w:val="52"/>
          <w:sz w:val="20"/>
        </w:rPr>
        <w:t> </w:t>
      </w:r>
      <w:r>
        <w:rPr>
          <w:rFonts w:ascii="Arial"/>
          <w:i/>
          <w:sz w:val="20"/>
        </w:rPr>
        <w:t>100</w:t>
      </w:r>
      <w:r>
        <w:rPr>
          <w:sz w:val="20"/>
        </w:rPr>
        <w:t>;</w:t>
      </w:r>
      <w:r>
        <w:rPr>
          <w:spacing w:val="53"/>
          <w:sz w:val="20"/>
        </w:rPr>
        <w:t> </w:t>
      </w:r>
      <w:r>
        <w:rPr>
          <w:rFonts w:ascii="Arial"/>
          <w:i/>
          <w:sz w:val="20"/>
        </w:rPr>
        <w:t>Finchbourne</w:t>
      </w:r>
      <w:r>
        <w:rPr>
          <w:rFonts w:ascii="Arial"/>
          <w:i/>
          <w:spacing w:val="52"/>
          <w:sz w:val="20"/>
        </w:rPr>
        <w:t> </w:t>
      </w:r>
      <w:r>
        <w:rPr>
          <w:rFonts w:ascii="Arial"/>
          <w:i/>
          <w:spacing w:val="-10"/>
          <w:sz w:val="20"/>
        </w:rPr>
        <w:t>v</w:t>
      </w:r>
    </w:p>
    <w:p>
      <w:pPr>
        <w:spacing w:line="235" w:lineRule="auto" w:before="0"/>
        <w:ind w:left="705" w:right="167" w:firstLine="0"/>
        <w:jc w:val="both"/>
        <w:rPr>
          <w:sz w:val="20"/>
        </w:rPr>
      </w:pPr>
      <w:r>
        <w:rPr>
          <w:rFonts w:ascii="Arial" w:hAnsi="Arial"/>
          <w:i/>
          <w:sz w:val="20"/>
        </w:rPr>
        <w:t>Rodriguez [1976] 3 All E.R. 581</w:t>
      </w:r>
      <w:r>
        <w:rPr>
          <w:sz w:val="20"/>
        </w:rPr>
        <w:t>; </w:t>
      </w:r>
      <w:r>
        <w:rPr>
          <w:rFonts w:ascii="Arial" w:hAnsi="Arial"/>
          <w:i/>
          <w:sz w:val="20"/>
        </w:rPr>
        <w:t>Pagnan SpA v Feed Products Ltd [1987] 2 Lloyd’s Rep. 601</w:t>
      </w:r>
      <w:r>
        <w:rPr>
          <w:sz w:val="20"/>
        </w:rPr>
        <w:t>; </w:t>
      </w:r>
      <w:r>
        <w:rPr>
          <w:rFonts w:ascii="Arial" w:hAnsi="Arial"/>
          <w:i/>
          <w:sz w:val="20"/>
        </w:rPr>
        <w:t>Malcolm v Chancellor, Masters and Scholars of the University of Oxford, The Times, December 19, 1990</w:t>
      </w:r>
      <w:r>
        <w:rPr>
          <w:sz w:val="20"/>
        </w:rPr>
        <w:t>; </w:t>
      </w:r>
      <w:r>
        <w:rPr>
          <w:rFonts w:ascii="Arial" w:hAnsi="Arial"/>
          <w:i/>
          <w:sz w:val="20"/>
        </w:rPr>
        <w:t>Hackney LBC v Thompson [2001] L.&amp;T. Rep. 7 </w:t>
      </w:r>
      <w:r>
        <w:rPr>
          <w:sz w:val="20"/>
        </w:rPr>
        <w:t>(agreement to pay “the </w:t>
      </w:r>
      <w:r>
        <w:rPr>
          <w:sz w:val="20"/>
        </w:rPr>
        <w:t>due</w:t>
      </w:r>
      <w:r>
        <w:rPr>
          <w:spacing w:val="40"/>
          <w:sz w:val="20"/>
        </w:rPr>
        <w:t> </w:t>
      </w:r>
      <w:r>
        <w:rPr>
          <w:sz w:val="20"/>
        </w:rPr>
        <w:t>proportion of the reasonably estimated amount” held to impose an obligation to pay a “fair and reasonable” proportion); </w:t>
      </w:r>
      <w:r>
        <w:rPr>
          <w:rFonts w:ascii="Arial" w:hAnsi="Arial"/>
          <w:i/>
          <w:sz w:val="20"/>
        </w:rPr>
        <w:t>Mamidoil-Jetoil Greek Petroleum Co SA v Okta Crude Oil Refinery AD [2001] EWCA Civ 406, [2001] 2 Lloyd’s Rep. 76 </w:t>
      </w:r>
      <w:r>
        <w:rPr>
          <w:sz w:val="20"/>
        </w:rPr>
        <w:t>(above, para.2-122); </w:t>
      </w:r>
      <w:r>
        <w:rPr>
          <w:rFonts w:ascii="Arial" w:hAnsi="Arial"/>
          <w:i/>
          <w:sz w:val="20"/>
        </w:rPr>
        <w:t>Scammell v Dicker [2005] EWCA Civ 405, [2005] All E.R. 838 </w:t>
      </w:r>
      <w:r>
        <w:rPr>
          <w:sz w:val="20"/>
        </w:rPr>
        <w:t>at [42] (“reasonably certain”); </w:t>
      </w:r>
      <w:r>
        <w:rPr>
          <w:rFonts w:ascii="Arial" w:hAnsi="Arial"/>
          <w:i/>
          <w:sz w:val="20"/>
        </w:rPr>
        <w:t>Bear Stearns Bank Plc v Forum Global Equity Ltd [2007] EWHC 1576 </w:t>
      </w:r>
      <w:r>
        <w:rPr>
          <w:sz w:val="20"/>
        </w:rPr>
        <w:t>at [64], above paras 2-120, 2-121, where the standard of reasonableness was invoked to deal with the failure of an agreement to specify the </w:t>
      </w:r>
      <w:r>
        <w:rPr>
          <w:rFonts w:ascii="Arial" w:hAnsi="Arial"/>
          <w:i/>
          <w:sz w:val="20"/>
        </w:rPr>
        <w:t>time</w:t>
      </w:r>
      <w:r>
        <w:rPr>
          <w:rFonts w:ascii="Arial" w:hAnsi="Arial"/>
          <w:i/>
          <w:spacing w:val="-3"/>
          <w:sz w:val="20"/>
        </w:rPr>
        <w:t> </w:t>
      </w:r>
      <w:r>
        <w:rPr>
          <w:sz w:val="20"/>
        </w:rPr>
        <w:t>of</w:t>
      </w:r>
      <w:r>
        <w:rPr>
          <w:spacing w:val="-3"/>
          <w:sz w:val="20"/>
        </w:rPr>
        <w:t> </w:t>
      </w:r>
      <w:r>
        <w:rPr>
          <w:sz w:val="20"/>
        </w:rPr>
        <w:t>performance;</w:t>
      </w:r>
      <w:r>
        <w:rPr>
          <w:spacing w:val="-3"/>
          <w:sz w:val="20"/>
        </w:rPr>
        <w:t> </w:t>
      </w:r>
      <w:r>
        <w:rPr>
          <w:rFonts w:ascii="Arial" w:hAnsi="Arial"/>
          <w:i/>
          <w:sz w:val="20"/>
        </w:rPr>
        <w:t>Furmans</w:t>
      </w:r>
      <w:r>
        <w:rPr>
          <w:rFonts w:ascii="Arial" w:hAnsi="Arial"/>
          <w:i/>
          <w:spacing w:val="-3"/>
          <w:sz w:val="20"/>
        </w:rPr>
        <w:t> </w:t>
      </w:r>
      <w:r>
        <w:rPr>
          <w:rFonts w:ascii="Arial" w:hAnsi="Arial"/>
          <w:i/>
          <w:sz w:val="20"/>
        </w:rPr>
        <w:t>Electrical</w:t>
      </w:r>
      <w:r>
        <w:rPr>
          <w:rFonts w:ascii="Arial" w:hAnsi="Arial"/>
          <w:i/>
          <w:spacing w:val="-3"/>
          <w:sz w:val="20"/>
        </w:rPr>
        <w:t> </w:t>
      </w:r>
      <w:r>
        <w:rPr>
          <w:rFonts w:ascii="Arial" w:hAnsi="Arial"/>
          <w:i/>
          <w:sz w:val="20"/>
        </w:rPr>
        <w:t>Contractors</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Elecref</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[2009]</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170</w:t>
      </w:r>
      <w:r>
        <w:rPr>
          <w:rFonts w:ascii="Arial" w:hAnsi="Arial"/>
          <w:i/>
          <w:spacing w:val="-4"/>
          <w:sz w:val="20"/>
        </w:rPr>
        <w:t> </w:t>
      </w:r>
      <w:r>
        <w:rPr>
          <w:sz w:val="20"/>
        </w:rPr>
        <w:t>at</w:t>
      </w:r>
      <w:r>
        <w:rPr>
          <w:spacing w:val="-3"/>
          <w:sz w:val="20"/>
        </w:rPr>
        <w:t> </w:t>
      </w:r>
      <w:r>
        <w:rPr>
          <w:sz w:val="20"/>
        </w:rPr>
        <w:t>[33], where</w:t>
      </w:r>
      <w:r>
        <w:rPr>
          <w:spacing w:val="-1"/>
          <w:sz w:val="20"/>
        </w:rPr>
        <w:t> </w:t>
      </w:r>
      <w:r>
        <w:rPr>
          <w:sz w:val="20"/>
        </w:rPr>
        <w:t>the</w:t>
      </w:r>
      <w:r>
        <w:rPr>
          <w:spacing w:val="-1"/>
          <w:sz w:val="20"/>
        </w:rPr>
        <w:t> </w:t>
      </w:r>
      <w:r>
        <w:rPr>
          <w:sz w:val="20"/>
        </w:rPr>
        <w:t>standard</w:t>
      </w:r>
      <w:r>
        <w:rPr>
          <w:spacing w:val="-1"/>
          <w:sz w:val="20"/>
        </w:rPr>
        <w:t> </w:t>
      </w:r>
      <w:r>
        <w:rPr>
          <w:sz w:val="20"/>
        </w:rPr>
        <w:t>of</w:t>
      </w:r>
      <w:r>
        <w:rPr>
          <w:spacing w:val="-1"/>
          <w:sz w:val="20"/>
        </w:rPr>
        <w:t> </w:t>
      </w:r>
      <w:r>
        <w:rPr>
          <w:sz w:val="20"/>
        </w:rPr>
        <w:t>reasonableness</w:t>
      </w:r>
      <w:r>
        <w:rPr>
          <w:spacing w:val="-1"/>
          <w:sz w:val="20"/>
        </w:rPr>
        <w:t> </w:t>
      </w:r>
      <w:r>
        <w:rPr>
          <w:sz w:val="20"/>
        </w:rPr>
        <w:t>was</w:t>
      </w:r>
      <w:r>
        <w:rPr>
          <w:spacing w:val="-1"/>
          <w:sz w:val="20"/>
        </w:rPr>
        <w:t> </w:t>
      </w:r>
      <w:r>
        <w:rPr>
          <w:sz w:val="20"/>
        </w:rPr>
        <w:t>used</w:t>
      </w:r>
      <w:r>
        <w:rPr>
          <w:spacing w:val="-1"/>
          <w:sz w:val="20"/>
        </w:rPr>
        <w:t> </w:t>
      </w:r>
      <w:r>
        <w:rPr>
          <w:sz w:val="20"/>
        </w:rPr>
        <w:t>to</w:t>
      </w:r>
      <w:r>
        <w:rPr>
          <w:spacing w:val="-1"/>
          <w:sz w:val="20"/>
        </w:rPr>
        <w:t> </w:t>
      </w:r>
      <w:r>
        <w:rPr>
          <w:sz w:val="20"/>
        </w:rPr>
        <w:t>make</w:t>
      </w:r>
      <w:r>
        <w:rPr>
          <w:spacing w:val="-1"/>
          <w:sz w:val="20"/>
        </w:rPr>
        <w:t> </w:t>
      </w:r>
      <w:r>
        <w:rPr>
          <w:sz w:val="20"/>
        </w:rPr>
        <w:t>good</w:t>
      </w:r>
      <w:r>
        <w:rPr>
          <w:spacing w:val="-1"/>
          <w:sz w:val="20"/>
        </w:rPr>
        <w:t> </w:t>
      </w:r>
      <w:r>
        <w:rPr>
          <w:sz w:val="20"/>
        </w:rPr>
        <w:t>the</w:t>
      </w:r>
      <w:r>
        <w:rPr>
          <w:spacing w:val="-1"/>
          <w:sz w:val="20"/>
        </w:rPr>
        <w:t> </w:t>
      </w:r>
      <w:r>
        <w:rPr>
          <w:sz w:val="20"/>
        </w:rPr>
        <w:t>parties’</w:t>
      </w:r>
      <w:r>
        <w:rPr>
          <w:spacing w:val="-1"/>
          <w:sz w:val="20"/>
        </w:rPr>
        <w:t> </w:t>
      </w:r>
      <w:r>
        <w:rPr>
          <w:sz w:val="20"/>
        </w:rPr>
        <w:t>failure</w:t>
      </w:r>
      <w:r>
        <w:rPr>
          <w:spacing w:val="-1"/>
          <w:sz w:val="20"/>
        </w:rPr>
        <w:t> </w:t>
      </w:r>
      <w:r>
        <w:rPr>
          <w:sz w:val="20"/>
        </w:rPr>
        <w:t>to</w:t>
      </w:r>
      <w:r>
        <w:rPr>
          <w:spacing w:val="-1"/>
          <w:sz w:val="20"/>
        </w:rPr>
        <w:t> </w:t>
      </w:r>
      <w:r>
        <w:rPr>
          <w:sz w:val="20"/>
        </w:rPr>
        <w:t>specify</w:t>
      </w:r>
      <w:r>
        <w:rPr>
          <w:spacing w:val="-1"/>
          <w:sz w:val="20"/>
        </w:rPr>
        <w:t> </w:t>
      </w:r>
      <w:r>
        <w:rPr>
          <w:sz w:val="20"/>
        </w:rPr>
        <w:t>the number of hours per day for which services were to be supplied; </w:t>
      </w:r>
      <w:r>
        <w:rPr>
          <w:rFonts w:ascii="Arial" w:hAnsi="Arial"/>
          <w:i/>
          <w:sz w:val="20"/>
        </w:rPr>
        <w:t>K G Bunkergesellschaft für Mineralole m b h [sic] v Petroplus Marketing AG (The Mercini Lady) [2009] EWHC 1088 (Comm), [2009] 2 All E.R. (Comm) 827 </w:t>
      </w:r>
      <w:r>
        <w:rPr>
          <w:sz w:val="20"/>
        </w:rPr>
        <w:t>at [40], [41] (implied term not too uncertain because it made use of the standard of reasonableness; on appeal it was held, for other reasons, that no term such as that alleged could be implied: </w:t>
      </w:r>
      <w:r>
        <w:rPr>
          <w:rFonts w:ascii="Arial" w:hAnsi="Arial"/>
          <w:i/>
          <w:sz w:val="20"/>
        </w:rPr>
        <w:t>[2010] EWCA Civ 1145, [2011] 1 Lloyd’s Rep. 442</w:t>
      </w:r>
      <w:r>
        <w:rPr>
          <w:sz w:val="20"/>
        </w:rPr>
        <w:t>). cf. the position where the terms of the agreement are such as to negative contractual intention: below, para.2-185.</w:t>
      </w:r>
    </w:p>
    <w:p>
      <w:pPr>
        <w:tabs>
          <w:tab w:pos="705" w:val="left" w:leader="none"/>
        </w:tabs>
        <w:spacing w:before="228"/>
        <w:ind w:left="165" w:right="0" w:firstLine="0"/>
        <w:jc w:val="left"/>
        <w:rPr>
          <w:sz w:val="20"/>
        </w:rPr>
      </w:pPr>
      <w:bookmarkStart w:name="_bookmark1569" w:id="1571"/>
      <w:bookmarkEnd w:id="1571"/>
      <w:r>
        <w:rPr/>
      </w:r>
      <w:hyperlink w:history="true" w:anchor="_bookmark1538">
        <w:r>
          <w:rPr>
            <w:color w:val="005DA1"/>
            <w:spacing w:val="-4"/>
            <w:position w:val="5"/>
            <w:sz w:val="14"/>
            <w:u w:val="single" w:color="005DA1"/>
          </w:rPr>
          <w:t>813</w:t>
        </w:r>
      </w:hyperlink>
      <w:r>
        <w:rPr>
          <w:spacing w:val="-4"/>
          <w:position w:val="5"/>
          <w:sz w:val="14"/>
        </w:rPr>
        <w:t>.</w:t>
      </w:r>
      <w:r>
        <w:rPr>
          <w:position w:val="5"/>
          <w:sz w:val="14"/>
        </w:rPr>
        <w:tab/>
      </w:r>
      <w:r>
        <w:rPr>
          <w:rFonts w:ascii="Arial"/>
          <w:i/>
          <w:sz w:val="20"/>
        </w:rPr>
        <w:t>[2001] EWCA Civ 274, [2002] 1 All E.R. (Comm) </w:t>
      </w:r>
      <w:r>
        <w:rPr>
          <w:rFonts w:ascii="Arial"/>
          <w:i/>
          <w:spacing w:val="-4"/>
          <w:sz w:val="20"/>
        </w:rPr>
        <w:t>737</w:t>
      </w:r>
      <w:r>
        <w:rPr>
          <w:spacing w:val="-4"/>
          <w:sz w:val="20"/>
        </w:rPr>
        <w:t>.</w:t>
      </w:r>
    </w:p>
    <w:p>
      <w:pPr>
        <w:pStyle w:val="BodyText"/>
        <w:spacing w:before="9"/>
      </w:pPr>
    </w:p>
    <w:p>
      <w:pPr>
        <w:pStyle w:val="BodyText"/>
        <w:spacing w:line="235" w:lineRule="auto"/>
        <w:ind w:left="705" w:right="167" w:hanging="541"/>
        <w:jc w:val="both"/>
      </w:pPr>
      <w:bookmarkStart w:name="_bookmark1570" w:id="1572"/>
      <w:bookmarkEnd w:id="1572"/>
      <w:r>
        <w:rPr/>
      </w:r>
      <w:hyperlink w:history="true" w:anchor="_bookmark1539">
        <w:r>
          <w:rPr>
            <w:color w:val="005DA1"/>
            <w:position w:val="5"/>
            <w:sz w:val="14"/>
            <w:u w:val="single" w:color="005DA1"/>
          </w:rPr>
          <w:t>814</w:t>
        </w:r>
      </w:hyperlink>
      <w:r>
        <w:rPr>
          <w:position w:val="5"/>
          <w:sz w:val="14"/>
        </w:rPr>
        <w:t>.</w:t>
      </w:r>
      <w:r>
        <w:rPr>
          <w:spacing w:val="40"/>
          <w:position w:val="5"/>
          <w:sz w:val="14"/>
        </w:rPr>
        <w:t>  </w:t>
      </w:r>
      <w:r>
        <w:rPr>
          <w:rFonts w:ascii="Arial" w:hAnsi="Arial"/>
          <w:i/>
        </w:rPr>
        <w:t>[2001] EWCA Civ 274, [2002] 1 All E.R. (Comm) 737 </w:t>
      </w:r>
      <w:r>
        <w:rPr/>
        <w:t>at [30]; cf. </w:t>
      </w:r>
      <w:r>
        <w:rPr>
          <w:rFonts w:ascii="Arial" w:hAnsi="Arial"/>
          <w:i/>
        </w:rPr>
        <w:t>Schweppe v Harper [2008] EWCA Civ 442 </w:t>
      </w:r>
      <w:r>
        <w:rPr/>
        <w:t>at [72] (“the concept of reasonable finance is too uncertain to be given any practical meaning”), and at [66], [80], [81]. In that case, C had agreed with D to obtain an annulment of D’s bankruptcy in return for a fee of £50,000 to be paid by D. It was a “fundamental element” (at [59]) of the agreement that C should obtain the necessary </w:t>
      </w:r>
      <w:r>
        <w:rPr/>
        <w:t>finance from a third party. It was held by a majority that the agreement was too uncertain to have contractual force as the agreement did not specify the amount of the loan or the terms of repayment; and it was impossible for the court to determine these matters by applying the standard of reasonableness; and see below, para.2-172. See also </w:t>
      </w:r>
      <w:r>
        <w:rPr>
          <w:rFonts w:ascii="Arial" w:hAnsi="Arial"/>
          <w:i/>
        </w:rPr>
        <w:t>Dhanani v Crasnianski</w:t>
      </w:r>
      <w:r>
        <w:rPr>
          <w:rFonts w:ascii="Arial" w:hAnsi="Arial"/>
          <w:i/>
          <w:spacing w:val="40"/>
        </w:rPr>
        <w:t> </w:t>
      </w:r>
      <w:r>
        <w:rPr>
          <w:rFonts w:ascii="Arial" w:hAnsi="Arial"/>
          <w:i/>
        </w:rPr>
        <w:t>[2011] EWHC 926, [2011] 2 All E.R. (Comm) 799 </w:t>
      </w:r>
      <w:r>
        <w:rPr/>
        <w:t>at [105] (“no objective criteria”).</w:t>
      </w:r>
    </w:p>
    <w:p>
      <w:pPr>
        <w:pStyle w:val="BodyText"/>
        <w:spacing w:before="6"/>
      </w:pPr>
    </w:p>
    <w:p>
      <w:pPr>
        <w:tabs>
          <w:tab w:pos="705" w:val="left" w:leader="none"/>
        </w:tabs>
        <w:spacing w:line="235" w:lineRule="auto" w:before="0"/>
        <w:ind w:left="705" w:right="168" w:hanging="541"/>
        <w:jc w:val="left"/>
        <w:rPr>
          <w:sz w:val="20"/>
        </w:rPr>
      </w:pPr>
      <w:bookmarkStart w:name="_bookmark1571" w:id="1573"/>
      <w:bookmarkEnd w:id="1573"/>
      <w:r>
        <w:rPr/>
      </w:r>
      <w:hyperlink w:history="true" w:anchor="_bookmark1540">
        <w:r>
          <w:rPr>
            <w:color w:val="005DA1"/>
            <w:spacing w:val="-4"/>
            <w:position w:val="5"/>
            <w:sz w:val="14"/>
            <w:u w:val="single" w:color="005DA1"/>
          </w:rPr>
          <w:t>815</w:t>
        </w:r>
      </w:hyperlink>
      <w:r>
        <w:rPr>
          <w:spacing w:val="-4"/>
          <w:position w:val="5"/>
          <w:sz w:val="14"/>
        </w:rPr>
        <w:t>.</w:t>
      </w:r>
      <w:r>
        <w:rPr>
          <w:position w:val="5"/>
          <w:sz w:val="14"/>
        </w:rPr>
        <w:tab/>
      </w:r>
      <w:r>
        <w:rPr>
          <w:rFonts w:ascii="Arial" w:hAnsi="Arial"/>
          <w:i/>
          <w:sz w:val="20"/>
        </w:rPr>
        <w:t>Willis Management (Isle of Man) Ltd v Cable and Wireless Plc [2005] EWCA Civ 806, [2005] 2 Lloyd’s Rep. 597</w:t>
      </w:r>
      <w:r>
        <w:rPr>
          <w:sz w:val="20"/>
        </w:rPr>
        <w:t>.</w:t>
      </w:r>
    </w:p>
    <w:p>
      <w:pPr>
        <w:pStyle w:val="BodyText"/>
        <w:spacing w:before="6"/>
      </w:pPr>
    </w:p>
    <w:p>
      <w:pPr>
        <w:tabs>
          <w:tab w:pos="705" w:val="left" w:leader="none"/>
        </w:tabs>
        <w:spacing w:before="0"/>
        <w:ind w:left="165" w:right="0" w:firstLine="0"/>
        <w:jc w:val="left"/>
        <w:rPr>
          <w:sz w:val="20"/>
        </w:rPr>
      </w:pPr>
      <w:bookmarkStart w:name="_bookmark1572" w:id="1574"/>
      <w:bookmarkEnd w:id="1574"/>
      <w:r>
        <w:rPr/>
      </w:r>
      <w:hyperlink w:history="true" w:anchor="_bookmark1541">
        <w:r>
          <w:rPr>
            <w:color w:val="005DA1"/>
            <w:spacing w:val="-4"/>
            <w:position w:val="5"/>
            <w:sz w:val="14"/>
            <w:u w:val="single" w:color="005DA1"/>
          </w:rPr>
          <w:t>816</w:t>
        </w:r>
      </w:hyperlink>
      <w:r>
        <w:rPr>
          <w:spacing w:val="-4"/>
          <w:position w:val="5"/>
          <w:sz w:val="14"/>
        </w:rPr>
        <w:t>.</w:t>
      </w:r>
      <w:r>
        <w:rPr>
          <w:position w:val="5"/>
          <w:sz w:val="14"/>
        </w:rPr>
        <w:tab/>
      </w:r>
      <w:r>
        <w:rPr>
          <w:rFonts w:ascii="Arial"/>
          <w:i/>
          <w:sz w:val="20"/>
        </w:rPr>
        <w:t>Willis Management (Isle of Man) Ltd v Cable and Wireless Plc [2005] EWCA Civ 806</w:t>
      </w:r>
      <w:r>
        <w:rPr>
          <w:rFonts w:ascii="Arial"/>
          <w:i/>
          <w:spacing w:val="-1"/>
          <w:sz w:val="20"/>
        </w:rPr>
        <w:t> </w:t>
      </w:r>
      <w:r>
        <w:rPr>
          <w:sz w:val="20"/>
        </w:rPr>
        <w:t>at </w:t>
      </w:r>
      <w:r>
        <w:rPr>
          <w:spacing w:val="-2"/>
          <w:sz w:val="20"/>
        </w:rPr>
        <w:t>[24].</w:t>
      </w:r>
    </w:p>
    <w:p>
      <w:pPr>
        <w:pStyle w:val="BodyText"/>
        <w:spacing w:before="5"/>
      </w:pPr>
    </w:p>
    <w:p>
      <w:pPr>
        <w:pStyle w:val="BodyText"/>
        <w:tabs>
          <w:tab w:pos="705" w:val="left" w:leader="none"/>
        </w:tabs>
        <w:ind w:left="165"/>
      </w:pPr>
      <w:bookmarkStart w:name="_bookmark1573" w:id="1575"/>
      <w:bookmarkEnd w:id="1575"/>
      <w:r>
        <w:rPr/>
      </w:r>
      <w:hyperlink w:history="true" w:anchor="_bookmark1542">
        <w:r>
          <w:rPr>
            <w:color w:val="005DA1"/>
            <w:spacing w:val="-4"/>
            <w:position w:val="5"/>
            <w:sz w:val="14"/>
            <w:u w:val="single" w:color="005DA1"/>
          </w:rPr>
          <w:t>817</w:t>
        </w:r>
      </w:hyperlink>
      <w:r>
        <w:rPr>
          <w:spacing w:val="-4"/>
          <w:position w:val="5"/>
          <w:sz w:val="14"/>
        </w:rPr>
        <w:t>.</w:t>
      </w:r>
      <w:r>
        <w:rPr>
          <w:position w:val="5"/>
          <w:sz w:val="14"/>
        </w:rPr>
        <w:tab/>
      </w:r>
      <w:r>
        <w:rPr/>
        <w:t>See</w:t>
      </w:r>
      <w:r>
        <w:rPr>
          <w:spacing w:val="-2"/>
        </w:rPr>
        <w:t> </w:t>
      </w:r>
      <w:r>
        <w:rPr/>
        <w:t>above, para.2-</w:t>
      </w:r>
      <w:r>
        <w:rPr>
          <w:spacing w:val="-4"/>
        </w:rPr>
        <w:t>133.</w:t>
      </w:r>
    </w:p>
    <w:p>
      <w:pPr>
        <w:pStyle w:val="BodyText"/>
        <w:spacing w:before="8"/>
      </w:pPr>
    </w:p>
    <w:p>
      <w:pPr>
        <w:spacing w:line="235" w:lineRule="auto" w:before="1"/>
        <w:ind w:left="705" w:right="167" w:hanging="541"/>
        <w:jc w:val="both"/>
        <w:rPr>
          <w:sz w:val="20"/>
        </w:rPr>
      </w:pPr>
      <w:bookmarkStart w:name="_bookmark1574" w:id="1576"/>
      <w:bookmarkEnd w:id="1576"/>
      <w:r>
        <w:rPr/>
      </w:r>
      <w:hyperlink w:history="true" w:anchor="_bookmark1543">
        <w:r>
          <w:rPr>
            <w:color w:val="005DA1"/>
            <w:position w:val="5"/>
            <w:sz w:val="14"/>
            <w:u w:val="single" w:color="005DA1"/>
          </w:rPr>
          <w:t>818</w:t>
        </w:r>
      </w:hyperlink>
      <w:r>
        <w:rPr>
          <w:position w:val="5"/>
          <w:sz w:val="14"/>
        </w:rPr>
        <w:t>.</w:t>
      </w:r>
      <w:r>
        <w:rPr>
          <w:spacing w:val="80"/>
          <w:position w:val="5"/>
          <w:sz w:val="14"/>
        </w:rPr>
        <w:t>  </w:t>
      </w:r>
      <w:r>
        <w:rPr>
          <w:rFonts w:ascii="Arial" w:hAnsi="Arial"/>
          <w:i/>
          <w:sz w:val="20"/>
        </w:rPr>
        <w:t>David T. Boyd &amp; Co v Louis Louca [1973] 1 Lloyd’s Rep. 209</w:t>
      </w:r>
      <w:r>
        <w:rPr>
          <w:sz w:val="20"/>
        </w:rPr>
        <w:t>; cf. </w:t>
      </w:r>
      <w:r>
        <w:rPr>
          <w:rFonts w:ascii="Arial" w:hAnsi="Arial"/>
          <w:i/>
          <w:sz w:val="20"/>
        </w:rPr>
        <w:t>Siew Soon Wah v Yong </w:t>
      </w:r>
      <w:r>
        <w:rPr>
          <w:rFonts w:ascii="Arial" w:hAnsi="Arial"/>
          <w:i/>
          <w:sz w:val="20"/>
        </w:rPr>
        <w:t>Tong Hong [1973] A.C. 836</w:t>
      </w:r>
      <w:r>
        <w:rPr>
          <w:sz w:val="20"/>
        </w:rPr>
        <w:t>; </w:t>
      </w:r>
      <w:r>
        <w:rPr>
          <w:rFonts w:ascii="Arial" w:hAnsi="Arial"/>
          <w:i/>
          <w:sz w:val="20"/>
        </w:rPr>
        <w:t>Bushwall Properties Ltd v Vortex Properties Ltd [1976] 1 W.L.R. 591</w:t>
      </w:r>
      <w:r>
        <w:rPr>
          <w:sz w:val="20"/>
        </w:rPr>
        <w:t>, above, para.2-119; </w:t>
      </w:r>
      <w:r>
        <w:rPr>
          <w:rFonts w:ascii="Arial" w:hAnsi="Arial"/>
          <w:i/>
          <w:sz w:val="20"/>
        </w:rPr>
        <w:t>Palmer v East and North Herefordshire NHS Trust [2006] EWHC 1997, [2006] Lloyd’s Rep. Med. 427 </w:t>
      </w:r>
      <w:r>
        <w:rPr>
          <w:sz w:val="20"/>
        </w:rPr>
        <w:t>where an agreement between a consultant surgeon and the defendant Trust provided for his being found a “suitable medical attachment” at another</w:t>
      </w:r>
      <w:r>
        <w:rPr>
          <w:spacing w:val="40"/>
          <w:sz w:val="20"/>
        </w:rPr>
        <w:t> </w:t>
      </w:r>
      <w:r>
        <w:rPr>
          <w:sz w:val="20"/>
        </w:rPr>
        <w:t>hospital. Failure to identify that hospital in the agreement did not deprive it of contractual force since the identification was a contingency to be satisfied in the performance of the contract.</w:t>
      </w:r>
    </w:p>
    <w:p>
      <w:pPr>
        <w:pStyle w:val="BodyText"/>
        <w:spacing w:before="3"/>
      </w:pPr>
    </w:p>
    <w:p>
      <w:pPr>
        <w:tabs>
          <w:tab w:pos="705" w:val="left" w:leader="none"/>
        </w:tabs>
        <w:spacing w:before="0"/>
        <w:ind w:left="165" w:right="0" w:firstLine="0"/>
        <w:jc w:val="left"/>
        <w:rPr>
          <w:sz w:val="20"/>
        </w:rPr>
      </w:pPr>
      <w:bookmarkStart w:name="_bookmark1575" w:id="1577"/>
      <w:bookmarkEnd w:id="1577"/>
      <w:r>
        <w:rPr/>
      </w:r>
      <w:hyperlink w:history="true" w:anchor="_bookmark1544">
        <w:r>
          <w:rPr>
            <w:color w:val="005DA1"/>
            <w:spacing w:val="-4"/>
            <w:position w:val="5"/>
            <w:sz w:val="14"/>
            <w:u w:val="single" w:color="005DA1"/>
          </w:rPr>
          <w:t>819</w:t>
        </w:r>
      </w:hyperlink>
      <w:r>
        <w:rPr>
          <w:spacing w:val="-4"/>
          <w:position w:val="5"/>
          <w:sz w:val="14"/>
        </w:rPr>
        <w:t>.</w:t>
      </w:r>
      <w:r>
        <w:rPr>
          <w:position w:val="5"/>
          <w:sz w:val="14"/>
        </w:rPr>
        <w:tab/>
      </w:r>
      <w:r>
        <w:rPr>
          <w:rFonts w:ascii="Arial" w:hAnsi="Arial"/>
          <w:i/>
          <w:sz w:val="20"/>
        </w:rPr>
        <w:t>Bulk Trading Corp Ltd v Zenziper Grains &amp; Feedstuffs [2001] 1 Lloyd’s Rep. </w:t>
      </w:r>
      <w:r>
        <w:rPr>
          <w:rFonts w:ascii="Arial" w:hAnsi="Arial"/>
          <w:i/>
          <w:spacing w:val="-4"/>
          <w:sz w:val="20"/>
        </w:rPr>
        <w:t>357</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545">
        <w:r>
          <w:rPr>
            <w:color w:val="005DA1"/>
            <w:spacing w:val="-4"/>
            <w:position w:val="5"/>
            <w:sz w:val="14"/>
            <w:u w:val="single" w:color="005DA1"/>
          </w:rPr>
          <w:t>820</w:t>
        </w:r>
      </w:hyperlink>
      <w:r>
        <w:rPr>
          <w:spacing w:val="-4"/>
          <w:position w:val="5"/>
          <w:sz w:val="14"/>
        </w:rPr>
        <w:t>.</w:t>
      </w:r>
      <w:r>
        <w:rPr>
          <w:position w:val="5"/>
          <w:sz w:val="14"/>
        </w:rPr>
        <w:tab/>
      </w:r>
      <w:r>
        <w:rPr>
          <w:rFonts w:ascii="Arial" w:hAnsi="Arial"/>
          <w:i/>
          <w:sz w:val="20"/>
        </w:rPr>
        <w:t>[2010] EWCA Civ 485, [2011] 1 Lloyd’s Rep. </w:t>
      </w:r>
      <w:r>
        <w:rPr>
          <w:rFonts w:ascii="Arial" w:hAnsi="Arial"/>
          <w:i/>
          <w:spacing w:val="-5"/>
          <w:sz w:val="20"/>
        </w:rPr>
        <w:t>68</w:t>
      </w:r>
      <w:r>
        <w:rPr>
          <w:spacing w:val="-5"/>
          <w:sz w:val="20"/>
        </w:rPr>
        <w:t>.</w:t>
      </w:r>
    </w:p>
    <w:p>
      <w:pPr>
        <w:pStyle w:val="BodyText"/>
        <w:spacing w:before="5"/>
      </w:pPr>
    </w:p>
    <w:p>
      <w:pPr>
        <w:tabs>
          <w:tab w:pos="705" w:val="left" w:leader="none"/>
        </w:tabs>
        <w:spacing w:before="1"/>
        <w:ind w:left="165" w:right="0" w:firstLine="0"/>
        <w:jc w:val="left"/>
        <w:rPr>
          <w:sz w:val="20"/>
        </w:rPr>
      </w:pPr>
      <w:bookmarkStart w:name="_bookmark1576" w:id="1578"/>
      <w:bookmarkEnd w:id="1578"/>
      <w:r>
        <w:rPr/>
      </w:r>
      <w:hyperlink w:history="true" w:anchor="_bookmark1546">
        <w:r>
          <w:rPr>
            <w:color w:val="005DA1"/>
            <w:spacing w:val="-4"/>
            <w:position w:val="5"/>
            <w:sz w:val="14"/>
            <w:u w:val="single" w:color="005DA1"/>
          </w:rPr>
          <w:t>821</w:t>
        </w:r>
      </w:hyperlink>
      <w:r>
        <w:rPr>
          <w:spacing w:val="-4"/>
          <w:position w:val="5"/>
          <w:sz w:val="14"/>
        </w:rPr>
        <w:t>.</w:t>
      </w:r>
      <w:r>
        <w:rPr>
          <w:position w:val="5"/>
          <w:sz w:val="14"/>
        </w:rPr>
        <w:tab/>
      </w:r>
      <w:r>
        <w:rPr>
          <w:rFonts w:ascii="Arial"/>
          <w:i/>
          <w:sz w:val="20"/>
        </w:rPr>
        <w:t>[2010] EWCA Civ 485</w:t>
      </w:r>
      <w:r>
        <w:rPr>
          <w:rFonts w:ascii="Arial"/>
          <w:i/>
          <w:spacing w:val="-1"/>
          <w:sz w:val="20"/>
        </w:rPr>
        <w:t> </w:t>
      </w:r>
      <w:r>
        <w:rPr>
          <w:sz w:val="20"/>
        </w:rPr>
        <w:t>at </w:t>
      </w:r>
      <w:r>
        <w:rPr>
          <w:spacing w:val="-2"/>
          <w:sz w:val="20"/>
        </w:rPr>
        <w:t>[90].</w:t>
      </w:r>
    </w:p>
    <w:p>
      <w:pPr>
        <w:pStyle w:val="BodyText"/>
        <w:spacing w:before="4"/>
      </w:pPr>
    </w:p>
    <w:p>
      <w:pPr>
        <w:tabs>
          <w:tab w:pos="705" w:val="left" w:leader="none"/>
        </w:tabs>
        <w:spacing w:before="1"/>
        <w:ind w:left="165" w:right="0" w:firstLine="0"/>
        <w:jc w:val="left"/>
        <w:rPr>
          <w:sz w:val="20"/>
        </w:rPr>
      </w:pPr>
      <w:bookmarkStart w:name="_bookmark1577" w:id="1579"/>
      <w:bookmarkEnd w:id="1579"/>
      <w:r>
        <w:rPr/>
      </w:r>
      <w:hyperlink w:history="true" w:anchor="_bookmark1547">
        <w:r>
          <w:rPr>
            <w:color w:val="005DA1"/>
            <w:spacing w:val="-4"/>
            <w:position w:val="5"/>
            <w:sz w:val="14"/>
            <w:u w:val="single" w:color="005DA1"/>
          </w:rPr>
          <w:t>822</w:t>
        </w:r>
      </w:hyperlink>
      <w:r>
        <w:rPr>
          <w:spacing w:val="-4"/>
          <w:position w:val="5"/>
          <w:sz w:val="14"/>
        </w:rPr>
        <w:t>.</w:t>
      </w:r>
      <w:r>
        <w:rPr>
          <w:position w:val="5"/>
          <w:sz w:val="14"/>
        </w:rPr>
        <w:tab/>
      </w:r>
      <w:r>
        <w:rPr>
          <w:rFonts w:ascii="Arial"/>
          <w:i/>
          <w:sz w:val="20"/>
        </w:rPr>
        <w:t>[2010] EWCA Civ 485</w:t>
      </w:r>
      <w:r>
        <w:rPr>
          <w:rFonts w:ascii="Arial"/>
          <w:i/>
          <w:spacing w:val="-1"/>
          <w:sz w:val="20"/>
        </w:rPr>
        <w:t> </w:t>
      </w:r>
      <w:r>
        <w:rPr>
          <w:sz w:val="20"/>
        </w:rPr>
        <w:t>at </w:t>
      </w:r>
      <w:r>
        <w:rPr>
          <w:spacing w:val="-2"/>
          <w:sz w:val="20"/>
        </w:rPr>
        <w:t>[57].</w:t>
      </w:r>
    </w:p>
    <w:p>
      <w:pPr>
        <w:pStyle w:val="BodyText"/>
        <w:spacing w:before="4"/>
      </w:pPr>
    </w:p>
    <w:p>
      <w:pPr>
        <w:tabs>
          <w:tab w:pos="705" w:val="left" w:leader="none"/>
        </w:tabs>
        <w:spacing w:before="1"/>
        <w:ind w:left="165" w:right="0" w:firstLine="0"/>
        <w:jc w:val="left"/>
        <w:rPr>
          <w:sz w:val="20"/>
        </w:rPr>
      </w:pPr>
      <w:bookmarkStart w:name="_bookmark1578" w:id="1580"/>
      <w:bookmarkEnd w:id="1580"/>
      <w:r>
        <w:rPr/>
      </w:r>
      <w:hyperlink w:history="true" w:anchor="_bookmark1548">
        <w:r>
          <w:rPr>
            <w:color w:val="005DA1"/>
            <w:spacing w:val="-4"/>
            <w:position w:val="5"/>
            <w:sz w:val="14"/>
            <w:u w:val="single" w:color="005DA1"/>
          </w:rPr>
          <w:t>823</w:t>
        </w:r>
      </w:hyperlink>
      <w:r>
        <w:rPr>
          <w:spacing w:val="-4"/>
          <w:position w:val="5"/>
          <w:sz w:val="14"/>
        </w:rPr>
        <w:t>.</w:t>
      </w:r>
      <w:r>
        <w:rPr>
          <w:position w:val="5"/>
          <w:sz w:val="14"/>
        </w:rPr>
        <w:tab/>
      </w:r>
      <w:r>
        <w:rPr>
          <w:rFonts w:ascii="Arial"/>
          <w:i/>
          <w:sz w:val="20"/>
        </w:rPr>
        <w:t>[2010] EWCA Civ 485</w:t>
      </w:r>
      <w:r>
        <w:rPr>
          <w:rFonts w:ascii="Arial"/>
          <w:i/>
          <w:spacing w:val="-1"/>
          <w:sz w:val="20"/>
        </w:rPr>
        <w:t> </w:t>
      </w:r>
      <w:r>
        <w:rPr>
          <w:sz w:val="20"/>
        </w:rPr>
        <w:t>at </w:t>
      </w:r>
      <w:r>
        <w:rPr>
          <w:spacing w:val="-2"/>
          <w:sz w:val="20"/>
        </w:rPr>
        <w:t>[57].</w:t>
      </w:r>
    </w:p>
    <w:p>
      <w:pPr>
        <w:pStyle w:val="BodyText"/>
        <w:spacing w:before="4"/>
      </w:pPr>
    </w:p>
    <w:p>
      <w:pPr>
        <w:tabs>
          <w:tab w:pos="705" w:val="left" w:leader="none"/>
        </w:tabs>
        <w:spacing w:before="1"/>
        <w:ind w:left="165" w:right="0" w:firstLine="0"/>
        <w:jc w:val="left"/>
        <w:rPr>
          <w:sz w:val="20"/>
        </w:rPr>
      </w:pPr>
      <w:bookmarkStart w:name="_bookmark1579" w:id="1581"/>
      <w:bookmarkEnd w:id="1581"/>
      <w:r>
        <w:rPr/>
      </w:r>
      <w:hyperlink w:history="true" w:anchor="_bookmark1549">
        <w:r>
          <w:rPr>
            <w:color w:val="005DA1"/>
            <w:spacing w:val="-4"/>
            <w:position w:val="5"/>
            <w:sz w:val="14"/>
            <w:u w:val="single" w:color="005DA1"/>
          </w:rPr>
          <w:t>824</w:t>
        </w:r>
      </w:hyperlink>
      <w:r>
        <w:rPr>
          <w:spacing w:val="-4"/>
          <w:position w:val="5"/>
          <w:sz w:val="14"/>
        </w:rPr>
        <w:t>.</w:t>
      </w:r>
      <w:r>
        <w:rPr>
          <w:position w:val="5"/>
          <w:sz w:val="14"/>
        </w:rPr>
        <w:tab/>
      </w:r>
      <w:r>
        <w:rPr>
          <w:rFonts w:ascii="Arial"/>
          <w:i/>
          <w:sz w:val="20"/>
        </w:rPr>
        <w:t>[2010] EWCA Civ 485</w:t>
      </w:r>
      <w:r>
        <w:rPr>
          <w:rFonts w:ascii="Arial"/>
          <w:i/>
          <w:spacing w:val="-1"/>
          <w:sz w:val="20"/>
        </w:rPr>
        <w:t> </w:t>
      </w:r>
      <w:r>
        <w:rPr>
          <w:sz w:val="20"/>
        </w:rPr>
        <w:t>at </w:t>
      </w:r>
      <w:r>
        <w:rPr>
          <w:spacing w:val="-2"/>
          <w:sz w:val="20"/>
        </w:rPr>
        <w:t>[54].</w:t>
      </w:r>
    </w:p>
    <w:p>
      <w:pPr>
        <w:pStyle w:val="BodyText"/>
        <w:spacing w:before="4"/>
      </w:pPr>
    </w:p>
    <w:p>
      <w:pPr>
        <w:tabs>
          <w:tab w:pos="705" w:val="left" w:leader="none"/>
        </w:tabs>
        <w:spacing w:before="1"/>
        <w:ind w:left="165" w:right="0" w:firstLine="0"/>
        <w:jc w:val="left"/>
        <w:rPr>
          <w:sz w:val="20"/>
        </w:rPr>
      </w:pPr>
      <w:bookmarkStart w:name="_bookmark1580" w:id="1582"/>
      <w:bookmarkEnd w:id="1582"/>
      <w:r>
        <w:rPr/>
      </w:r>
      <w:hyperlink w:history="true" w:anchor="_bookmark1550">
        <w:r>
          <w:rPr>
            <w:color w:val="005DA1"/>
            <w:spacing w:val="-4"/>
            <w:position w:val="5"/>
            <w:sz w:val="14"/>
            <w:u w:val="single" w:color="005DA1"/>
          </w:rPr>
          <w:t>825</w:t>
        </w:r>
      </w:hyperlink>
      <w:r>
        <w:rPr>
          <w:spacing w:val="-4"/>
          <w:position w:val="5"/>
          <w:sz w:val="14"/>
        </w:rPr>
        <w:t>.</w:t>
      </w:r>
      <w:r>
        <w:rPr>
          <w:position w:val="5"/>
          <w:sz w:val="14"/>
        </w:rPr>
        <w:tab/>
      </w:r>
      <w:r>
        <w:rPr>
          <w:rFonts w:ascii="Arial"/>
          <w:i/>
          <w:sz w:val="20"/>
        </w:rPr>
        <w:t>[2010] EWCA Civ 485</w:t>
      </w:r>
      <w:r>
        <w:rPr>
          <w:rFonts w:ascii="Arial"/>
          <w:i/>
          <w:spacing w:val="-1"/>
          <w:sz w:val="20"/>
        </w:rPr>
        <w:t> </w:t>
      </w:r>
      <w:r>
        <w:rPr>
          <w:sz w:val="20"/>
        </w:rPr>
        <w:t>at </w:t>
      </w:r>
      <w:r>
        <w:rPr>
          <w:spacing w:val="-2"/>
          <w:sz w:val="20"/>
        </w:rPr>
        <w:t>[91].</w:t>
      </w:r>
    </w:p>
    <w:p>
      <w:pPr>
        <w:pStyle w:val="BodyText"/>
        <w:spacing w:before="5"/>
      </w:pPr>
    </w:p>
    <w:p>
      <w:pPr>
        <w:tabs>
          <w:tab w:pos="705" w:val="left" w:leader="none"/>
        </w:tabs>
        <w:spacing w:before="0"/>
        <w:ind w:left="165" w:right="0" w:firstLine="0"/>
        <w:jc w:val="left"/>
        <w:rPr>
          <w:sz w:val="20"/>
        </w:rPr>
      </w:pPr>
      <w:bookmarkStart w:name="_bookmark1581" w:id="1583"/>
      <w:bookmarkEnd w:id="1583"/>
      <w:r>
        <w:rPr/>
      </w:r>
      <w:hyperlink w:history="true" w:anchor="_bookmark1551">
        <w:r>
          <w:rPr>
            <w:color w:val="005DA1"/>
            <w:spacing w:val="-4"/>
            <w:position w:val="5"/>
            <w:sz w:val="14"/>
            <w:u w:val="single" w:color="005DA1"/>
          </w:rPr>
          <w:t>826</w:t>
        </w:r>
      </w:hyperlink>
      <w:r>
        <w:rPr>
          <w:spacing w:val="-4"/>
          <w:position w:val="5"/>
          <w:sz w:val="14"/>
        </w:rPr>
        <w:t>.</w:t>
      </w:r>
      <w:r>
        <w:rPr>
          <w:position w:val="5"/>
          <w:sz w:val="14"/>
        </w:rPr>
        <w:tab/>
      </w:r>
      <w:r>
        <w:rPr>
          <w:rFonts w:ascii="Arial" w:hAnsi="Arial"/>
          <w:i/>
          <w:sz w:val="20"/>
        </w:rPr>
        <w:t>Tropwood A.G. of Zug v Jade Enterprises Inc (The Tropwind) [1982] 1 Lloyd’s Rep. </w:t>
      </w:r>
      <w:r>
        <w:rPr>
          <w:rFonts w:ascii="Arial" w:hAnsi="Arial"/>
          <w:i/>
          <w:spacing w:val="-4"/>
          <w:sz w:val="20"/>
        </w:rPr>
        <w:t>232</w:t>
      </w:r>
      <w:r>
        <w:rPr>
          <w:spacing w:val="-4"/>
          <w:sz w:val="20"/>
        </w:rPr>
        <w:t>.</w:t>
      </w:r>
    </w:p>
    <w:p>
      <w:pPr>
        <w:pStyle w:val="BodyText"/>
        <w:spacing w:before="8"/>
      </w:pPr>
    </w:p>
    <w:p>
      <w:pPr>
        <w:spacing w:line="235" w:lineRule="auto" w:before="1"/>
        <w:ind w:left="705" w:right="168" w:hanging="541"/>
        <w:jc w:val="both"/>
        <w:rPr>
          <w:sz w:val="20"/>
        </w:rPr>
      </w:pPr>
      <w:bookmarkStart w:name="_bookmark1582" w:id="1584"/>
      <w:bookmarkEnd w:id="1584"/>
      <w:r>
        <w:rPr/>
      </w:r>
      <w:hyperlink w:history="true" w:anchor="_bookmark1552">
        <w:r>
          <w:rPr>
            <w:color w:val="005DA1"/>
            <w:position w:val="5"/>
            <w:sz w:val="14"/>
            <w:u w:val="single" w:color="005DA1"/>
          </w:rPr>
          <w:t>827</w:t>
        </w:r>
      </w:hyperlink>
      <w:r>
        <w:rPr>
          <w:position w:val="5"/>
          <w:sz w:val="14"/>
        </w:rPr>
        <w:t>.</w:t>
      </w:r>
      <w:r>
        <w:rPr>
          <w:spacing w:val="80"/>
          <w:w w:val="150"/>
          <w:position w:val="5"/>
          <w:sz w:val="14"/>
        </w:rPr>
        <w:t> </w:t>
      </w:r>
      <w:r>
        <w:rPr>
          <w:rFonts w:ascii="Arial" w:hAnsi="Arial"/>
          <w:i/>
          <w:sz w:val="20"/>
        </w:rPr>
        <w:t>[1953] 1 Q.B. 543</w:t>
      </w:r>
      <w:r>
        <w:rPr>
          <w:sz w:val="20"/>
        </w:rPr>
        <w:t>; discussed in </w:t>
      </w:r>
      <w:r>
        <w:rPr>
          <w:rFonts w:ascii="Arial" w:hAnsi="Arial"/>
          <w:i/>
          <w:sz w:val="20"/>
        </w:rPr>
        <w:t>Heisler v Anglo-Dal Ltd [1954] 1 W.L.R. 1273 </w:t>
      </w:r>
      <w:r>
        <w:rPr>
          <w:sz w:val="20"/>
        </w:rPr>
        <w:t>and applied in </w:t>
      </w:r>
      <w:r>
        <w:rPr>
          <w:rFonts w:ascii="Arial" w:hAnsi="Arial"/>
          <w:i/>
          <w:sz w:val="20"/>
        </w:rPr>
        <w:t>Michael Richards Properties Ltd v St Saviour’s [1975] 3 All E.R. 416</w:t>
      </w:r>
      <w:r>
        <w:rPr>
          <w:sz w:val="20"/>
        </w:rPr>
        <w:t>; see also </w:t>
      </w:r>
      <w:r>
        <w:rPr>
          <w:rFonts w:ascii="Arial" w:hAnsi="Arial"/>
          <w:i/>
          <w:sz w:val="20"/>
        </w:rPr>
        <w:t>Slater v </w:t>
      </w:r>
      <w:r>
        <w:rPr>
          <w:rFonts w:ascii="Arial" w:hAnsi="Arial"/>
          <w:i/>
          <w:sz w:val="20"/>
        </w:rPr>
        <w:t>Raw,</w:t>
      </w:r>
      <w:r>
        <w:rPr>
          <w:rFonts w:ascii="Arial" w:hAnsi="Arial"/>
          <w:i/>
          <w:spacing w:val="40"/>
          <w:sz w:val="20"/>
        </w:rPr>
        <w:t> </w:t>
      </w:r>
      <w:r>
        <w:rPr>
          <w:rFonts w:ascii="Arial" w:hAnsi="Arial"/>
          <w:i/>
          <w:sz w:val="20"/>
        </w:rPr>
        <w:t>The Times, October 15, 1977</w:t>
      </w:r>
      <w:r>
        <w:rPr>
          <w:sz w:val="20"/>
        </w:rPr>
        <w:t>.</w:t>
      </w:r>
    </w:p>
    <w:p>
      <w:pPr>
        <w:pStyle w:val="BodyText"/>
        <w:spacing w:before="8"/>
      </w:pPr>
    </w:p>
    <w:p>
      <w:pPr>
        <w:spacing w:line="235" w:lineRule="auto" w:before="0"/>
        <w:ind w:left="705" w:right="168" w:hanging="541"/>
        <w:jc w:val="both"/>
        <w:rPr>
          <w:sz w:val="20"/>
        </w:rPr>
      </w:pPr>
      <w:bookmarkStart w:name="_bookmark1583" w:id="1585"/>
      <w:bookmarkEnd w:id="1585"/>
      <w:r>
        <w:rPr/>
      </w:r>
      <w:hyperlink w:history="true" w:anchor="_bookmark1553">
        <w:r>
          <w:rPr>
            <w:color w:val="005DA1"/>
            <w:position w:val="5"/>
            <w:sz w:val="14"/>
            <w:u w:val="single" w:color="005DA1"/>
          </w:rPr>
          <w:t>828</w:t>
        </w:r>
      </w:hyperlink>
      <w:r>
        <w:rPr>
          <w:position w:val="5"/>
          <w:sz w:val="14"/>
        </w:rPr>
        <w:t>.</w:t>
      </w:r>
      <w:r>
        <w:rPr>
          <w:spacing w:val="40"/>
          <w:position w:val="5"/>
          <w:sz w:val="14"/>
        </w:rPr>
        <w:t>  </w:t>
      </w:r>
      <w:r>
        <w:rPr>
          <w:rFonts w:ascii="Arial" w:hAnsi="Arial"/>
          <w:i/>
          <w:sz w:val="20"/>
        </w:rPr>
        <w:t>E. J. R. Lovelock v Exportles [1968] 1 Lloyd’s Rep. 163</w:t>
      </w:r>
      <w:r>
        <w:rPr>
          <w:sz w:val="20"/>
        </w:rPr>
        <w:t>. cf. </w:t>
      </w:r>
      <w:r>
        <w:rPr>
          <w:rFonts w:ascii="Arial" w:hAnsi="Arial"/>
          <w:i/>
          <w:sz w:val="20"/>
        </w:rPr>
        <w:t>Star Shipping A/S v China National Foreign Trade Transportation Corp (The Star Texas) [1993] 2 Lloyd’s Rep. 445 </w:t>
      </w:r>
      <w:r>
        <w:rPr>
          <w:sz w:val="20"/>
        </w:rPr>
        <w:t>where a </w:t>
      </w:r>
      <w:r>
        <w:rPr>
          <w:sz w:val="20"/>
        </w:rPr>
        <w:t>clause for “arbitration in Beijing or London in defendant’s option” was upheld.</w:t>
      </w:r>
    </w:p>
    <w:p>
      <w:pPr>
        <w:pStyle w:val="BodyText"/>
        <w:spacing w:before="5"/>
      </w:pPr>
    </w:p>
    <w:p>
      <w:pPr>
        <w:tabs>
          <w:tab w:pos="705" w:val="left" w:leader="none"/>
        </w:tabs>
        <w:spacing w:before="1"/>
        <w:ind w:left="165" w:right="0" w:firstLine="0"/>
        <w:jc w:val="left"/>
        <w:rPr>
          <w:sz w:val="20"/>
        </w:rPr>
      </w:pPr>
      <w:bookmarkStart w:name="_bookmark1584" w:id="1586"/>
      <w:bookmarkEnd w:id="1586"/>
      <w:r>
        <w:rPr/>
      </w:r>
      <w:hyperlink w:history="true" w:anchor="_bookmark1554">
        <w:r>
          <w:rPr>
            <w:color w:val="005DA1"/>
            <w:spacing w:val="-4"/>
            <w:position w:val="5"/>
            <w:sz w:val="14"/>
            <w:u w:val="single" w:color="005DA1"/>
          </w:rPr>
          <w:t>829</w:t>
        </w:r>
      </w:hyperlink>
      <w:r>
        <w:rPr>
          <w:spacing w:val="-4"/>
          <w:position w:val="5"/>
          <w:sz w:val="14"/>
        </w:rPr>
        <w:t>.</w:t>
      </w:r>
      <w:r>
        <w:rPr>
          <w:position w:val="5"/>
          <w:sz w:val="14"/>
        </w:rPr>
        <w:tab/>
      </w:r>
      <w:r>
        <w:rPr>
          <w:rFonts w:ascii="Arial"/>
          <w:i/>
          <w:sz w:val="20"/>
        </w:rPr>
        <w:t>[2005] EWCA Civ 405, [2005] 3 All E.R. </w:t>
      </w:r>
      <w:r>
        <w:rPr>
          <w:rFonts w:ascii="Arial"/>
          <w:i/>
          <w:spacing w:val="-4"/>
          <w:sz w:val="20"/>
        </w:rPr>
        <w:t>838</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585" w:id="1587"/>
      <w:bookmarkEnd w:id="1587"/>
      <w:r>
        <w:rPr/>
      </w:r>
      <w:hyperlink w:history="true" w:anchor="_bookmark1555">
        <w:r>
          <w:rPr>
            <w:color w:val="005DA1"/>
            <w:spacing w:val="-4"/>
            <w:position w:val="5"/>
            <w:sz w:val="14"/>
            <w:u w:val="single" w:color="005DA1"/>
          </w:rPr>
          <w:t>830</w:t>
        </w:r>
      </w:hyperlink>
      <w:r>
        <w:rPr>
          <w:spacing w:val="-4"/>
          <w:position w:val="5"/>
          <w:sz w:val="14"/>
        </w:rPr>
        <w:t>.</w:t>
      </w:r>
      <w:r>
        <w:rPr>
          <w:position w:val="5"/>
          <w:sz w:val="14"/>
        </w:rPr>
        <w:tab/>
      </w:r>
      <w:r>
        <w:rPr>
          <w:rFonts w:ascii="Arial"/>
          <w:i/>
          <w:sz w:val="20"/>
        </w:rPr>
        <w:t>[2005] EWCA Civ 405</w:t>
      </w:r>
      <w:r>
        <w:rPr>
          <w:rFonts w:ascii="Arial"/>
          <w:i/>
          <w:spacing w:val="-1"/>
          <w:sz w:val="20"/>
        </w:rPr>
        <w:t> </w:t>
      </w:r>
      <w:r>
        <w:rPr>
          <w:sz w:val="20"/>
        </w:rPr>
        <w:t>at </w:t>
      </w:r>
      <w:r>
        <w:rPr>
          <w:spacing w:val="-2"/>
          <w:sz w:val="20"/>
        </w:rPr>
        <w:t>[31].</w:t>
      </w:r>
    </w:p>
    <w:p>
      <w:pPr>
        <w:pStyle w:val="BodyText"/>
        <w:spacing w:before="4"/>
      </w:pPr>
    </w:p>
    <w:p>
      <w:pPr>
        <w:tabs>
          <w:tab w:pos="705" w:val="left" w:leader="none"/>
        </w:tabs>
        <w:spacing w:before="1"/>
        <w:ind w:left="165" w:right="0" w:firstLine="0"/>
        <w:jc w:val="left"/>
        <w:rPr>
          <w:sz w:val="20"/>
        </w:rPr>
      </w:pPr>
      <w:bookmarkStart w:name="_bookmark1586" w:id="1588"/>
      <w:bookmarkEnd w:id="1588"/>
      <w:r>
        <w:rPr/>
      </w:r>
      <w:hyperlink w:history="true" w:anchor="_bookmark1556">
        <w:r>
          <w:rPr>
            <w:color w:val="005DA1"/>
            <w:spacing w:val="-4"/>
            <w:position w:val="5"/>
            <w:sz w:val="14"/>
            <w:u w:val="single" w:color="005DA1"/>
          </w:rPr>
          <w:t>831</w:t>
        </w:r>
      </w:hyperlink>
      <w:r>
        <w:rPr>
          <w:spacing w:val="-4"/>
          <w:position w:val="5"/>
          <w:sz w:val="14"/>
        </w:rPr>
        <w:t>.</w:t>
      </w:r>
      <w:r>
        <w:rPr>
          <w:position w:val="5"/>
          <w:sz w:val="14"/>
        </w:rPr>
        <w:tab/>
      </w:r>
      <w:r>
        <w:rPr>
          <w:rFonts w:ascii="Arial"/>
          <w:i/>
          <w:sz w:val="20"/>
        </w:rPr>
        <w:t>Pena v Dale [2003] EWHC 3166 (Ch), [2004] 2 B.C.L.C.</w:t>
      </w:r>
      <w:r>
        <w:rPr>
          <w:rFonts w:ascii="Arial"/>
          <w:i/>
          <w:spacing w:val="-1"/>
          <w:sz w:val="20"/>
        </w:rPr>
        <w:t> </w:t>
      </w:r>
      <w:r>
        <w:rPr>
          <w:sz w:val="20"/>
        </w:rPr>
        <w:t>at 508 at </w:t>
      </w:r>
      <w:r>
        <w:rPr>
          <w:spacing w:val="-2"/>
          <w:sz w:val="20"/>
        </w:rPr>
        <w:t>[96].</w:t>
      </w:r>
    </w:p>
    <w:p>
      <w:pPr>
        <w:pStyle w:val="BodyText"/>
        <w:spacing w:before="8"/>
      </w:pPr>
    </w:p>
    <w:p>
      <w:pPr>
        <w:pStyle w:val="BodyText"/>
        <w:spacing w:line="235" w:lineRule="auto"/>
        <w:ind w:left="705" w:right="167" w:hanging="541"/>
        <w:jc w:val="both"/>
      </w:pPr>
      <w:bookmarkStart w:name="_bookmark1587" w:id="1589"/>
      <w:bookmarkEnd w:id="1589"/>
      <w:r>
        <w:rPr/>
      </w:r>
      <w:hyperlink w:history="true" w:anchor="_bookmark1557">
        <w:r>
          <w:rPr>
            <w:color w:val="005DA1"/>
            <w:position w:val="5"/>
            <w:sz w:val="14"/>
            <w:u w:val="single" w:color="005DA1"/>
          </w:rPr>
          <w:t>832</w:t>
        </w:r>
      </w:hyperlink>
      <w:r>
        <w:rPr>
          <w:position w:val="5"/>
          <w:sz w:val="14"/>
        </w:rPr>
        <w:t>.</w:t>
      </w:r>
      <w:r>
        <w:rPr>
          <w:spacing w:val="40"/>
          <w:position w:val="5"/>
          <w:sz w:val="14"/>
        </w:rPr>
        <w:t>  </w:t>
      </w:r>
      <w:r>
        <w:rPr/>
        <w:t>In </w:t>
      </w:r>
      <w:r>
        <w:rPr>
          <w:rFonts w:ascii="Arial" w:hAnsi="Arial"/>
          <w:i/>
        </w:rPr>
        <w:t>Pena v Dale</w:t>
      </w:r>
      <w:r>
        <w:rPr/>
        <w:t>, above n.812, an option agreement which was otherwise clear provided that the grantor would “endeavour to issue these options … in the most tax efficient manner”. The vagueness of this term was held to be no bar to the enforcement of the agreement.</w:t>
      </w:r>
    </w:p>
    <w:p>
      <w:pPr>
        <w:pStyle w:val="BodyText"/>
        <w:spacing w:before="5"/>
      </w:pPr>
    </w:p>
    <w:p>
      <w:pPr>
        <w:tabs>
          <w:tab w:pos="540" w:val="left" w:leader="none"/>
        </w:tabs>
        <w:spacing w:line="227" w:lineRule="exact" w:before="0"/>
        <w:ind w:left="0" w:right="3" w:firstLine="0"/>
        <w:jc w:val="center"/>
        <w:rPr>
          <w:rFonts w:ascii="Arial"/>
          <w:i/>
          <w:sz w:val="20"/>
        </w:rPr>
      </w:pPr>
      <w:bookmarkStart w:name="_bookmark1588" w:id="1590"/>
      <w:bookmarkEnd w:id="1590"/>
      <w:r>
        <w:rPr/>
      </w:r>
      <w:hyperlink w:history="true" w:anchor="_bookmark1558">
        <w:r>
          <w:rPr>
            <w:color w:val="005DA1"/>
            <w:spacing w:val="-4"/>
            <w:position w:val="5"/>
            <w:sz w:val="14"/>
            <w:u w:val="single" w:color="005DA1"/>
          </w:rPr>
          <w:t>833</w:t>
        </w:r>
      </w:hyperlink>
      <w:r>
        <w:rPr>
          <w:spacing w:val="-4"/>
          <w:position w:val="5"/>
          <w:sz w:val="14"/>
        </w:rPr>
        <w:t>.</w:t>
      </w:r>
      <w:r>
        <w:rPr>
          <w:position w:val="5"/>
          <w:sz w:val="14"/>
        </w:rPr>
        <w:tab/>
      </w:r>
      <w:r>
        <w:rPr>
          <w:rFonts w:ascii="Arial"/>
          <w:i/>
          <w:sz w:val="20"/>
        </w:rPr>
        <w:t>Thorner</w:t>
      </w:r>
      <w:r>
        <w:rPr>
          <w:rFonts w:ascii="Arial"/>
          <w:i/>
          <w:spacing w:val="6"/>
          <w:sz w:val="20"/>
        </w:rPr>
        <w:t> </w:t>
      </w:r>
      <w:r>
        <w:rPr>
          <w:rFonts w:ascii="Arial"/>
          <w:i/>
          <w:sz w:val="20"/>
        </w:rPr>
        <w:t>v</w:t>
      </w:r>
      <w:r>
        <w:rPr>
          <w:rFonts w:ascii="Arial"/>
          <w:i/>
          <w:spacing w:val="6"/>
          <w:sz w:val="20"/>
        </w:rPr>
        <w:t> </w:t>
      </w:r>
      <w:r>
        <w:rPr>
          <w:rFonts w:ascii="Arial"/>
          <w:i/>
          <w:sz w:val="20"/>
        </w:rPr>
        <w:t>Major</w:t>
      </w:r>
      <w:r>
        <w:rPr>
          <w:rFonts w:ascii="Arial"/>
          <w:i/>
          <w:spacing w:val="6"/>
          <w:sz w:val="20"/>
        </w:rPr>
        <w:t> </w:t>
      </w:r>
      <w:r>
        <w:rPr>
          <w:rFonts w:ascii="Arial"/>
          <w:i/>
          <w:sz w:val="20"/>
        </w:rPr>
        <w:t>[2009]</w:t>
      </w:r>
      <w:r>
        <w:rPr>
          <w:rFonts w:ascii="Arial"/>
          <w:i/>
          <w:spacing w:val="6"/>
          <w:sz w:val="20"/>
        </w:rPr>
        <w:t> </w:t>
      </w:r>
      <w:r>
        <w:rPr>
          <w:rFonts w:ascii="Arial"/>
          <w:i/>
          <w:sz w:val="20"/>
        </w:rPr>
        <w:t>UKHL</w:t>
      </w:r>
      <w:r>
        <w:rPr>
          <w:rFonts w:ascii="Arial"/>
          <w:i/>
          <w:spacing w:val="6"/>
          <w:sz w:val="20"/>
        </w:rPr>
        <w:t> </w:t>
      </w:r>
      <w:r>
        <w:rPr>
          <w:rFonts w:ascii="Arial"/>
          <w:i/>
          <w:sz w:val="20"/>
        </w:rPr>
        <w:t>18,</w:t>
      </w:r>
      <w:r>
        <w:rPr>
          <w:rFonts w:ascii="Arial"/>
          <w:i/>
          <w:spacing w:val="6"/>
          <w:sz w:val="20"/>
        </w:rPr>
        <w:t> </w:t>
      </w:r>
      <w:r>
        <w:rPr>
          <w:rFonts w:ascii="Arial"/>
          <w:i/>
          <w:sz w:val="20"/>
        </w:rPr>
        <w:t>[2009]</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776</w:t>
      </w:r>
      <w:r>
        <w:rPr>
          <w:rFonts w:ascii="Arial"/>
          <w:i/>
          <w:spacing w:val="5"/>
          <w:sz w:val="20"/>
        </w:rPr>
        <w:t> </w:t>
      </w:r>
      <w:r>
        <w:rPr>
          <w:sz w:val="20"/>
        </w:rPr>
        <w:t>at</w:t>
      </w:r>
      <w:r>
        <w:rPr>
          <w:spacing w:val="6"/>
          <w:sz w:val="20"/>
        </w:rPr>
        <w:t> </w:t>
      </w:r>
      <w:r>
        <w:rPr>
          <w:sz w:val="20"/>
        </w:rPr>
        <w:t>[18].</w:t>
      </w:r>
      <w:r>
        <w:rPr>
          <w:spacing w:val="6"/>
          <w:sz w:val="20"/>
        </w:rPr>
        <w:t> </w:t>
      </w:r>
      <w:r>
        <w:rPr>
          <w:sz w:val="20"/>
        </w:rPr>
        <w:t>See</w:t>
      </w:r>
      <w:r>
        <w:rPr>
          <w:spacing w:val="6"/>
          <w:sz w:val="20"/>
        </w:rPr>
        <w:t> </w:t>
      </w:r>
      <w:r>
        <w:rPr>
          <w:sz w:val="20"/>
        </w:rPr>
        <w:t>also</w:t>
      </w:r>
      <w:r>
        <w:rPr>
          <w:spacing w:val="6"/>
          <w:sz w:val="20"/>
        </w:rPr>
        <w:t> </w:t>
      </w:r>
      <w:r>
        <w:rPr>
          <w:rFonts w:ascii="Arial"/>
          <w:i/>
          <w:sz w:val="20"/>
        </w:rPr>
        <w:t>Air</w:t>
      </w:r>
      <w:r>
        <w:rPr>
          <w:rFonts w:ascii="Arial"/>
          <w:i/>
          <w:spacing w:val="6"/>
          <w:sz w:val="20"/>
        </w:rPr>
        <w:t> </w:t>
      </w:r>
      <w:r>
        <w:rPr>
          <w:rFonts w:ascii="Arial"/>
          <w:i/>
          <w:sz w:val="20"/>
        </w:rPr>
        <w:t>Studios</w:t>
      </w:r>
      <w:r>
        <w:rPr>
          <w:rFonts w:ascii="Arial"/>
          <w:i/>
          <w:spacing w:val="6"/>
          <w:sz w:val="20"/>
        </w:rPr>
        <w:t> </w:t>
      </w:r>
      <w:r>
        <w:rPr>
          <w:rFonts w:ascii="Arial"/>
          <w:i/>
          <w:spacing w:val="-2"/>
          <w:sz w:val="20"/>
        </w:rPr>
        <w:t>(Lyndhurst)</w:t>
      </w:r>
    </w:p>
    <w:p>
      <w:pPr>
        <w:spacing w:line="235" w:lineRule="auto" w:before="2"/>
        <w:ind w:left="705" w:right="167" w:firstLine="0"/>
        <w:jc w:val="both"/>
        <w:rPr>
          <w:sz w:val="20"/>
        </w:rPr>
      </w:pPr>
      <w:r>
        <w:rPr>
          <w:rFonts w:ascii="Arial" w:hAnsi="Arial"/>
          <w:i/>
          <w:sz w:val="20"/>
        </w:rPr>
        <w:t>Ltd v Lombard North Central Plc [2012] EWHC 3162 (QB), [2013] 1 Lloyd’s Rep. 63 </w:t>
      </w:r>
      <w:r>
        <w:rPr>
          <w:sz w:val="20"/>
        </w:rPr>
        <w:t>at [73] and </w:t>
      </w:r>
      <w:r>
        <w:rPr>
          <w:rFonts w:ascii="Arial" w:hAnsi="Arial"/>
          <w:i/>
          <w:sz w:val="20"/>
        </w:rPr>
        <w:t>Alhamrani</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Alhamrani</w:t>
      </w:r>
      <w:r>
        <w:rPr>
          <w:rFonts w:ascii="Arial" w:hAnsi="Arial"/>
          <w:i/>
          <w:spacing w:val="-2"/>
          <w:sz w:val="20"/>
        </w:rPr>
        <w:t> </w:t>
      </w:r>
      <w:r>
        <w:rPr>
          <w:rFonts w:ascii="Arial" w:hAnsi="Arial"/>
          <w:i/>
          <w:sz w:val="20"/>
        </w:rPr>
        <w:t>[2014]</w:t>
      </w:r>
      <w:r>
        <w:rPr>
          <w:rFonts w:ascii="Arial" w:hAnsi="Arial"/>
          <w:i/>
          <w:spacing w:val="-2"/>
          <w:sz w:val="20"/>
        </w:rPr>
        <w:t> </w:t>
      </w:r>
      <w:r>
        <w:rPr>
          <w:rFonts w:ascii="Arial" w:hAnsi="Arial"/>
          <w:i/>
          <w:sz w:val="20"/>
        </w:rPr>
        <w:t>UKPC</w:t>
      </w:r>
      <w:r>
        <w:rPr>
          <w:rFonts w:ascii="Arial" w:hAnsi="Arial"/>
          <w:i/>
          <w:spacing w:val="-2"/>
          <w:sz w:val="20"/>
        </w:rPr>
        <w:t> </w:t>
      </w:r>
      <w:r>
        <w:rPr>
          <w:rFonts w:ascii="Arial" w:hAnsi="Arial"/>
          <w:i/>
          <w:sz w:val="20"/>
        </w:rPr>
        <w:t>37</w:t>
      </w:r>
      <w:r>
        <w:rPr>
          <w:rFonts w:ascii="Arial" w:hAnsi="Arial"/>
          <w:i/>
          <w:spacing w:val="-3"/>
          <w:sz w:val="20"/>
        </w:rPr>
        <w:t> </w:t>
      </w:r>
      <w:r>
        <w:rPr>
          <w:sz w:val="20"/>
        </w:rPr>
        <w:t>at</w:t>
      </w:r>
      <w:r>
        <w:rPr>
          <w:spacing w:val="-2"/>
          <w:sz w:val="20"/>
        </w:rPr>
        <w:t> </w:t>
      </w:r>
      <w:r>
        <w:rPr>
          <w:sz w:val="20"/>
        </w:rPr>
        <w:t>[23]–[24]</w:t>
      </w:r>
      <w:r>
        <w:rPr>
          <w:spacing w:val="-2"/>
          <w:sz w:val="20"/>
        </w:rPr>
        <w:t> </w:t>
      </w:r>
      <w:r>
        <w:rPr>
          <w:sz w:val="20"/>
        </w:rPr>
        <w:t>where</w:t>
      </w:r>
      <w:r>
        <w:rPr>
          <w:spacing w:val="-2"/>
          <w:sz w:val="20"/>
        </w:rPr>
        <w:t> </w:t>
      </w:r>
      <w:r>
        <w:rPr>
          <w:sz w:val="20"/>
        </w:rPr>
        <w:t>the</w:t>
      </w:r>
      <w:r>
        <w:rPr>
          <w:spacing w:val="-2"/>
          <w:sz w:val="20"/>
        </w:rPr>
        <w:t> </w:t>
      </w:r>
      <w:r>
        <w:rPr>
          <w:sz w:val="20"/>
        </w:rPr>
        <w:t>Privy</w:t>
      </w:r>
      <w:r>
        <w:rPr>
          <w:spacing w:val="-2"/>
          <w:sz w:val="20"/>
        </w:rPr>
        <w:t> </w:t>
      </w:r>
      <w:r>
        <w:rPr>
          <w:sz w:val="20"/>
        </w:rPr>
        <w:t>Council</w:t>
      </w:r>
      <w:r>
        <w:rPr>
          <w:spacing w:val="-2"/>
          <w:sz w:val="20"/>
        </w:rPr>
        <w:t> </w:t>
      </w:r>
      <w:r>
        <w:rPr>
          <w:sz w:val="20"/>
        </w:rPr>
        <w:t>said</w:t>
      </w:r>
      <w:r>
        <w:rPr>
          <w:spacing w:val="-2"/>
          <w:sz w:val="20"/>
        </w:rPr>
        <w:t> </w:t>
      </w:r>
      <w:r>
        <w:rPr>
          <w:sz w:val="20"/>
        </w:rPr>
        <w:t>that</w:t>
      </w:r>
      <w:r>
        <w:rPr>
          <w:spacing w:val="-2"/>
          <w:sz w:val="20"/>
        </w:rPr>
        <w:t> </w:t>
      </w:r>
      <w:r>
        <w:rPr>
          <w:sz w:val="20"/>
        </w:rPr>
        <w:t>“evidence of the context or factual matrix is admissible on the question whether the agreement is ambiguous”.</w:t>
      </w:r>
      <w:r>
        <w:rPr>
          <w:spacing w:val="-2"/>
          <w:sz w:val="20"/>
        </w:rPr>
        <w:t> </w:t>
      </w:r>
      <w:r>
        <w:rPr>
          <w:sz w:val="20"/>
        </w:rPr>
        <w:t>If</w:t>
      </w:r>
      <w:r>
        <w:rPr>
          <w:spacing w:val="-2"/>
          <w:sz w:val="20"/>
        </w:rPr>
        <w:t> </w:t>
      </w:r>
      <w:r>
        <w:rPr>
          <w:sz w:val="20"/>
        </w:rPr>
        <w:t>it</w:t>
      </w:r>
      <w:r>
        <w:rPr>
          <w:spacing w:val="-2"/>
          <w:sz w:val="20"/>
        </w:rPr>
        <w:t> </w:t>
      </w:r>
      <w:r>
        <w:rPr>
          <w:sz w:val="20"/>
        </w:rPr>
        <w:t>is</w:t>
      </w:r>
      <w:r>
        <w:rPr>
          <w:spacing w:val="-2"/>
          <w:sz w:val="20"/>
        </w:rPr>
        <w:t> </w:t>
      </w:r>
      <w:r>
        <w:rPr>
          <w:sz w:val="20"/>
        </w:rPr>
        <w:t>ambiguous,</w:t>
      </w:r>
      <w:r>
        <w:rPr>
          <w:spacing w:val="-2"/>
          <w:sz w:val="20"/>
        </w:rPr>
        <w:t> </w:t>
      </w:r>
      <w:r>
        <w:rPr>
          <w:sz w:val="20"/>
        </w:rPr>
        <w:t>the</w:t>
      </w:r>
      <w:r>
        <w:rPr>
          <w:spacing w:val="-2"/>
          <w:sz w:val="20"/>
        </w:rPr>
        <w:t> </w:t>
      </w:r>
      <w:r>
        <w:rPr>
          <w:sz w:val="20"/>
        </w:rPr>
        <w:t>court</w:t>
      </w:r>
      <w:r>
        <w:rPr>
          <w:spacing w:val="-2"/>
          <w:sz w:val="20"/>
        </w:rPr>
        <w:t> </w:t>
      </w:r>
      <w:r>
        <w:rPr>
          <w:sz w:val="20"/>
        </w:rPr>
        <w:t>would</w:t>
      </w:r>
      <w:r>
        <w:rPr>
          <w:spacing w:val="-2"/>
          <w:sz w:val="20"/>
        </w:rPr>
        <w:t> </w:t>
      </w:r>
      <w:r>
        <w:rPr>
          <w:sz w:val="20"/>
        </w:rPr>
        <w:t>then</w:t>
      </w:r>
      <w:r>
        <w:rPr>
          <w:spacing w:val="-2"/>
          <w:sz w:val="20"/>
        </w:rPr>
        <w:t> </w:t>
      </w:r>
      <w:r>
        <w:rPr>
          <w:sz w:val="20"/>
        </w:rPr>
        <w:t>consider</w:t>
      </w:r>
      <w:r>
        <w:rPr>
          <w:spacing w:val="-2"/>
          <w:sz w:val="20"/>
        </w:rPr>
        <w:t> </w:t>
      </w:r>
      <w:r>
        <w:rPr>
          <w:sz w:val="20"/>
        </w:rPr>
        <w:t>all</w:t>
      </w:r>
      <w:r>
        <w:rPr>
          <w:spacing w:val="-2"/>
          <w:sz w:val="20"/>
        </w:rPr>
        <w:t> </w:t>
      </w:r>
      <w:r>
        <w:rPr>
          <w:sz w:val="20"/>
        </w:rPr>
        <w:t>permissible</w:t>
      </w:r>
      <w:r>
        <w:rPr>
          <w:spacing w:val="-2"/>
          <w:sz w:val="20"/>
        </w:rPr>
        <w:t> </w:t>
      </w:r>
      <w:r>
        <w:rPr>
          <w:sz w:val="20"/>
        </w:rPr>
        <w:t>evidence,</w:t>
      </w:r>
      <w:r>
        <w:rPr>
          <w:spacing w:val="-2"/>
          <w:sz w:val="20"/>
        </w:rPr>
        <w:t> </w:t>
      </w:r>
      <w:r>
        <w:rPr>
          <w:sz w:val="20"/>
        </w:rPr>
        <w:t>including custom, which might bear on the underlying question of what the parties intended to agree.</w:t>
      </w:r>
    </w:p>
    <w:p>
      <w:pPr>
        <w:pStyle w:val="BodyText"/>
        <w:spacing w:before="191"/>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8. - Conditional </w:t>
      </w:r>
      <w:r>
        <w:rPr>
          <w:rFonts w:ascii="Arial"/>
          <w:b/>
          <w:spacing w:val="-2"/>
          <w:sz w:val="24"/>
        </w:rPr>
        <w:t>Agreements</w:t>
      </w:r>
    </w:p>
    <w:p>
      <w:pPr>
        <w:pStyle w:val="ListParagraph"/>
        <w:numPr>
          <w:ilvl w:val="0"/>
          <w:numId w:val="8"/>
        </w:numPr>
        <w:tabs>
          <w:tab w:pos="3998" w:val="left" w:leader="none"/>
        </w:tabs>
        <w:spacing w:line="240" w:lineRule="auto" w:before="194" w:after="0"/>
        <w:ind w:left="3998" w:right="0" w:hanging="360"/>
        <w:jc w:val="left"/>
        <w:rPr>
          <w:b/>
          <w:sz w:val="24"/>
        </w:rPr>
      </w:pPr>
      <w:r>
        <w:rPr>
          <w:b/>
          <w:sz w:val="24"/>
        </w:rPr>
        <w:t>- </w:t>
      </w:r>
      <w:r>
        <w:rPr>
          <w:b/>
          <w:spacing w:val="-2"/>
          <w:sz w:val="24"/>
        </w:rPr>
        <w:t>Classification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Introductory</w:t>
      </w:r>
    </w:p>
    <w:p>
      <w:pPr>
        <w:pStyle w:val="BodyText"/>
        <w:spacing w:before="42"/>
        <w:rPr>
          <w:rFonts w:ascii="Arial"/>
          <w:b/>
          <w:sz w:val="18"/>
        </w:rPr>
      </w:pPr>
    </w:p>
    <w:p>
      <w:pPr>
        <w:pStyle w:val="Heading2"/>
      </w:pPr>
      <w:r>
        <w:rPr/>
        <w:t>2-</w:t>
      </w:r>
      <w:r>
        <w:rPr>
          <w:spacing w:val="-5"/>
        </w:rPr>
        <w:t>156</w:t>
      </w:r>
    </w:p>
    <w:p>
      <w:pPr>
        <w:pStyle w:val="BodyText"/>
        <w:spacing w:line="235" w:lineRule="auto" w:before="202"/>
        <w:ind w:left="165" w:right="167"/>
        <w:jc w:val="both"/>
      </w:pPr>
      <w:r>
        <w:rPr/>
        <w:t>An agreement is conditional if its operation depends on an event which is not certain to occur. </w:t>
      </w:r>
      <w:bookmarkStart w:name="_bookmark1589" w:id="1591"/>
      <w:bookmarkEnd w:id="1591"/>
      <w:r>
        <w:rPr/>
        <w:t>Discussions</w:t>
      </w:r>
      <w:r>
        <w:rPr/>
        <w:t> of this topic are made difficult by the fact that in the law of contract the word “condition” bears many senses: it is “a chameleon-like word which takes on its meaning from its </w:t>
      </w:r>
      <w:r>
        <w:rPr/>
        <w:t>surroundings”.</w:t>
      </w:r>
      <w:r>
        <w:rPr>
          <w:spacing w:val="40"/>
        </w:rPr>
        <w:t> </w:t>
      </w:r>
      <w:r>
        <w:rPr>
          <w:color w:val="005DA1"/>
          <w:u w:val="single" w:color="005DA1"/>
          <w:vertAlign w:val="superscript"/>
        </w:rPr>
        <w:t>834</w:t>
      </w:r>
      <w:r>
        <w:rPr>
          <w:color w:val="005DA1"/>
          <w:vertAlign w:val="baseline"/>
        </w:rPr>
        <w:t> </w:t>
      </w:r>
      <w:r>
        <w:rPr>
          <w:vertAlign w:val="baseline"/>
        </w:rPr>
        <w:t>At this stage, we are concerned with only one of these meanings; but to clear the ground it is necessary to draw a number of preliminary distinctions.</w:t>
      </w:r>
    </w:p>
    <w:p>
      <w:pPr>
        <w:pStyle w:val="BodyText"/>
      </w:pPr>
    </w:p>
    <w:p>
      <w:pPr>
        <w:pStyle w:val="BodyText"/>
        <w:spacing w:before="37"/>
      </w:pPr>
    </w:p>
    <w:p>
      <w:pPr>
        <w:spacing w:before="0"/>
        <w:ind w:left="165" w:right="0" w:firstLine="0"/>
        <w:jc w:val="left"/>
        <w:rPr>
          <w:rFonts w:ascii="Arial"/>
          <w:b/>
          <w:sz w:val="18"/>
        </w:rPr>
      </w:pPr>
      <w:r>
        <w:rPr>
          <w:rFonts w:ascii="Arial"/>
          <w:b/>
          <w:sz w:val="18"/>
        </w:rPr>
        <w:t>Contingent and promissory </w:t>
      </w:r>
      <w:r>
        <w:rPr>
          <w:rFonts w:ascii="Arial"/>
          <w:b/>
          <w:spacing w:val="-2"/>
          <w:sz w:val="18"/>
        </w:rPr>
        <w:t>conditions</w:t>
      </w:r>
    </w:p>
    <w:p>
      <w:pPr>
        <w:pStyle w:val="BodyText"/>
        <w:spacing w:before="41"/>
        <w:rPr>
          <w:rFonts w:ascii="Arial"/>
          <w:b/>
          <w:sz w:val="18"/>
        </w:rPr>
      </w:pPr>
    </w:p>
    <w:p>
      <w:pPr>
        <w:pStyle w:val="Heading2"/>
      </w:pPr>
      <w:r>
        <w:rPr/>
        <w:t>2-</w:t>
      </w:r>
      <w:r>
        <w:rPr>
          <w:spacing w:val="-5"/>
        </w:rPr>
        <w:t>157</w:t>
      </w:r>
    </w:p>
    <w:p>
      <w:pPr>
        <w:pStyle w:val="BodyText"/>
        <w:spacing w:line="235" w:lineRule="auto" w:before="203"/>
        <w:ind w:left="165" w:right="168"/>
        <w:jc w:val="both"/>
      </w:pPr>
      <w:bookmarkStart w:name="_bookmark1590" w:id="1592"/>
      <w:bookmarkEnd w:id="1592"/>
      <w:r>
        <w:rPr/>
      </w:r>
      <w:r>
        <w:rPr/>
        <w:t>The word </w:t>
      </w:r>
      <w:r>
        <w:rPr>
          <w:rFonts w:ascii="Arial" w:hAnsi="Arial"/>
          <w:i/>
        </w:rPr>
        <w:t>"condition"</w:t>
      </w:r>
      <w:r>
        <w:rPr>
          <w:rFonts w:ascii="Arial" w:hAnsi="Arial"/>
          <w:i/>
          <w:spacing w:val="80"/>
        </w:rPr>
        <w:t> </w:t>
      </w:r>
      <w:r>
        <w:rPr/>
        <w:t>may refer either to an </w:t>
      </w:r>
      <w:r>
        <w:rPr>
          <w:rFonts w:ascii="Arial" w:hAnsi="Arial"/>
          <w:i/>
        </w:rPr>
        <w:t>event</w:t>
      </w:r>
      <w:r>
        <w:rPr/>
        <w:t>, or to a </w:t>
      </w:r>
      <w:r>
        <w:rPr>
          <w:rFonts w:ascii="Arial" w:hAnsi="Arial"/>
          <w:i/>
        </w:rPr>
        <w:t>term </w:t>
      </w:r>
      <w:r>
        <w:rPr/>
        <w:t>of a contract (as in the </w:t>
      </w:r>
      <w:r>
        <w:rPr/>
        <w:t>phrase “conditions of sale” </w:t>
      </w:r>
      <w:r>
        <w:rPr>
          <w:color w:val="005DA1"/>
          <w:u w:val="single" w:color="005DA1"/>
          <w:vertAlign w:val="superscript"/>
        </w:rPr>
        <w:t>835</w:t>
      </w:r>
      <w:r>
        <w:rPr>
          <w:vertAlign w:val="baseline"/>
        </w:rPr>
        <w:t>). Where </w:t>
      </w:r>
      <w:r>
        <w:rPr>
          <w:rFonts w:ascii="Arial" w:hAnsi="Arial"/>
          <w:i/>
          <w:vertAlign w:val="baseline"/>
        </w:rPr>
        <w:t>"condition"</w:t>
      </w:r>
      <w:r>
        <w:rPr>
          <w:rFonts w:ascii="Arial" w:hAnsi="Arial"/>
          <w:i/>
          <w:spacing w:val="40"/>
          <w:vertAlign w:val="baseline"/>
        </w:rPr>
        <w:t> </w:t>
      </w:r>
      <w:r>
        <w:rPr>
          <w:vertAlign w:val="baseline"/>
        </w:rPr>
        <w:t>refers to an event, that event may be one of the following.</w:t>
      </w:r>
    </w:p>
    <w:p>
      <w:pPr>
        <w:pStyle w:val="BodyText"/>
      </w:pPr>
    </w:p>
    <w:p>
      <w:pPr>
        <w:pStyle w:val="BodyText"/>
        <w:spacing w:before="195"/>
      </w:pPr>
    </w:p>
    <w:p>
      <w:pPr>
        <w:pStyle w:val="BodyText"/>
        <w:ind w:left="164"/>
      </w:pPr>
      <w:r>
        <w:rPr>
          <w:spacing w:val="-5"/>
        </w:rPr>
        <w:t>(1)</w:t>
      </w:r>
    </w:p>
    <w:p>
      <w:pPr>
        <w:pStyle w:val="BodyText"/>
        <w:spacing w:line="235" w:lineRule="auto" w:before="114"/>
        <w:ind w:left="644" w:right="167"/>
        <w:jc w:val="both"/>
      </w:pPr>
      <w:r>
        <w:rPr/>
        <w:t>It</w:t>
      </w:r>
      <w:r>
        <w:rPr>
          <w:spacing w:val="-2"/>
        </w:rPr>
        <w:t> </w:t>
      </w:r>
      <w:r>
        <w:rPr/>
        <w:t>may</w:t>
      </w:r>
      <w:r>
        <w:rPr>
          <w:spacing w:val="-2"/>
        </w:rPr>
        <w:t> </w:t>
      </w:r>
      <w:r>
        <w:rPr/>
        <w:t>refer</w:t>
      </w:r>
      <w:r>
        <w:rPr>
          <w:spacing w:val="-2"/>
        </w:rPr>
        <w:t> </w:t>
      </w:r>
      <w:r>
        <w:rPr/>
        <w:t>to</w:t>
      </w:r>
      <w:r>
        <w:rPr>
          <w:spacing w:val="-2"/>
        </w:rPr>
        <w:t> </w:t>
      </w:r>
      <w:r>
        <w:rPr/>
        <w:t>an</w:t>
      </w:r>
      <w:r>
        <w:rPr>
          <w:spacing w:val="-2"/>
        </w:rPr>
        <w:t> </w:t>
      </w:r>
      <w:r>
        <w:rPr/>
        <w:t>occurrence</w:t>
      </w:r>
      <w:r>
        <w:rPr>
          <w:spacing w:val="-2"/>
        </w:rPr>
        <w:t> </w:t>
      </w:r>
      <w:r>
        <w:rPr/>
        <w:t>which</w:t>
      </w:r>
      <w:r>
        <w:rPr>
          <w:spacing w:val="-2"/>
        </w:rPr>
        <w:t> </w:t>
      </w:r>
      <w:r>
        <w:rPr/>
        <w:t>neither</w:t>
      </w:r>
      <w:r>
        <w:rPr>
          <w:spacing w:val="-2"/>
        </w:rPr>
        <w:t> </w:t>
      </w:r>
      <w:r>
        <w:rPr/>
        <w:t>party</w:t>
      </w:r>
      <w:r>
        <w:rPr>
          <w:spacing w:val="-2"/>
        </w:rPr>
        <w:t> </w:t>
      </w:r>
      <w:r>
        <w:rPr/>
        <w:t>undertakes</w:t>
      </w:r>
      <w:r>
        <w:rPr>
          <w:spacing w:val="-2"/>
        </w:rPr>
        <w:t> </w:t>
      </w:r>
      <w:r>
        <w:rPr/>
        <w:t>to</w:t>
      </w:r>
      <w:r>
        <w:rPr>
          <w:spacing w:val="-2"/>
        </w:rPr>
        <w:t> </w:t>
      </w:r>
      <w:r>
        <w:rPr/>
        <w:t>bring</w:t>
      </w:r>
      <w:r>
        <w:rPr>
          <w:spacing w:val="-2"/>
        </w:rPr>
        <w:t> </w:t>
      </w:r>
      <w:r>
        <w:rPr/>
        <w:t>about.</w:t>
      </w:r>
      <w:r>
        <w:rPr>
          <w:spacing w:val="-2"/>
        </w:rPr>
        <w:t> </w:t>
      </w:r>
      <w:r>
        <w:rPr/>
        <w:t>Where,</w:t>
      </w:r>
      <w:r>
        <w:rPr>
          <w:spacing w:val="-2"/>
        </w:rPr>
        <w:t> </w:t>
      </w:r>
      <w:r>
        <w:rPr/>
        <w:t>for</w:t>
      </w:r>
      <w:r>
        <w:rPr>
          <w:spacing w:val="-2"/>
        </w:rPr>
        <w:t> </w:t>
      </w:r>
      <w:r>
        <w:rPr/>
        <w:t>example, a contract requires A to work for B, and B to pay A £50, “if it rains tomorrow,” the obligations of both parties are contingent on the happening of the specified event. This may therefore be described as a </w:t>
      </w:r>
      <w:r>
        <w:rPr>
          <w:rFonts w:ascii="Arial" w:hAnsi="Arial"/>
          <w:i/>
        </w:rPr>
        <w:t>contingent </w:t>
      </w:r>
      <w:r>
        <w:rPr/>
        <w:t>condition.</w:t>
      </w:r>
    </w:p>
    <w:p>
      <w:pPr>
        <w:pStyle w:val="BodyText"/>
      </w:pPr>
    </w:p>
    <w:p>
      <w:pPr>
        <w:pStyle w:val="BodyText"/>
        <w:spacing w:before="35"/>
      </w:pPr>
    </w:p>
    <w:p>
      <w:pPr>
        <w:pStyle w:val="BodyText"/>
        <w:ind w:left="164"/>
      </w:pPr>
      <w:r>
        <w:rPr>
          <w:spacing w:val="-5"/>
        </w:rPr>
        <w:t>(2)</w:t>
      </w:r>
    </w:p>
    <w:p>
      <w:pPr>
        <w:pStyle w:val="BodyText"/>
        <w:spacing w:line="235" w:lineRule="auto" w:before="114"/>
        <w:ind w:left="644" w:right="167"/>
        <w:jc w:val="both"/>
      </w:pPr>
      <w:r>
        <w:rPr/>
        <w:t>It</w:t>
      </w:r>
      <w:r>
        <w:rPr>
          <w:spacing w:val="-2"/>
        </w:rPr>
        <w:t> </w:t>
      </w:r>
      <w:r>
        <w:rPr/>
        <w:t>may</w:t>
      </w:r>
      <w:r>
        <w:rPr>
          <w:spacing w:val="-2"/>
        </w:rPr>
        <w:t> </w:t>
      </w:r>
      <w:r>
        <w:rPr/>
        <w:t>refer</w:t>
      </w:r>
      <w:r>
        <w:rPr>
          <w:spacing w:val="-2"/>
        </w:rPr>
        <w:t> </w:t>
      </w:r>
      <w:r>
        <w:rPr/>
        <w:t>to</w:t>
      </w:r>
      <w:r>
        <w:rPr>
          <w:spacing w:val="-2"/>
        </w:rPr>
        <w:t> </w:t>
      </w:r>
      <w:r>
        <w:rPr/>
        <w:t>the</w:t>
      </w:r>
      <w:r>
        <w:rPr>
          <w:spacing w:val="-2"/>
        </w:rPr>
        <w:t> </w:t>
      </w:r>
      <w:r>
        <w:rPr/>
        <w:t>performance</w:t>
      </w:r>
      <w:r>
        <w:rPr>
          <w:spacing w:val="-2"/>
        </w:rPr>
        <w:t> </w:t>
      </w:r>
      <w:r>
        <w:rPr/>
        <w:t>by</w:t>
      </w:r>
      <w:r>
        <w:rPr>
          <w:spacing w:val="-2"/>
        </w:rPr>
        <w:t> </w:t>
      </w:r>
      <w:r>
        <w:rPr/>
        <w:t>one</w:t>
      </w:r>
      <w:r>
        <w:rPr>
          <w:spacing w:val="-2"/>
        </w:rPr>
        <w:t> </w:t>
      </w:r>
      <w:r>
        <w:rPr/>
        <w:t>party</w:t>
      </w:r>
      <w:r>
        <w:rPr>
          <w:spacing w:val="-2"/>
        </w:rPr>
        <w:t> </w:t>
      </w:r>
      <w:r>
        <w:rPr/>
        <w:t>of</w:t>
      </w:r>
      <w:r>
        <w:rPr>
          <w:spacing w:val="-2"/>
        </w:rPr>
        <w:t> </w:t>
      </w:r>
      <w:r>
        <w:rPr/>
        <w:t>his</w:t>
      </w:r>
      <w:r>
        <w:rPr>
          <w:spacing w:val="-2"/>
        </w:rPr>
        <w:t> </w:t>
      </w:r>
      <w:r>
        <w:rPr/>
        <w:t>undertaking.</w:t>
      </w:r>
      <w:r>
        <w:rPr>
          <w:spacing w:val="-2"/>
        </w:rPr>
        <w:t> </w:t>
      </w:r>
      <w:r>
        <w:rPr/>
        <w:t>Where,</w:t>
      </w:r>
      <w:r>
        <w:rPr>
          <w:spacing w:val="-2"/>
        </w:rPr>
        <w:t> </w:t>
      </w:r>
      <w:r>
        <w:rPr/>
        <w:t>for</w:t>
      </w:r>
      <w:r>
        <w:rPr>
          <w:spacing w:val="-2"/>
        </w:rPr>
        <w:t> </w:t>
      </w:r>
      <w:r>
        <w:rPr/>
        <w:t>example,</w:t>
      </w:r>
      <w:r>
        <w:rPr>
          <w:spacing w:val="-2"/>
        </w:rPr>
        <w:t> </w:t>
      </w:r>
      <w:r>
        <w:rPr/>
        <w:t>A</w:t>
      </w:r>
      <w:r>
        <w:rPr>
          <w:spacing w:val="-2"/>
        </w:rPr>
        <w:t> </w:t>
      </w:r>
      <w:r>
        <w:rPr/>
        <w:t>agrees</w:t>
      </w:r>
      <w:r>
        <w:rPr>
          <w:spacing w:val="-2"/>
        </w:rPr>
        <w:t> </w:t>
      </w:r>
      <w:r>
        <w:rPr/>
        <w:t>to work for B at a weekly wage payable at the end of the week, the contract is immediately binding on both parties, but B is not liable to pay until A has performed his promise to work. Such </w:t>
      </w:r>
      <w:bookmarkStart w:name="_bookmark1591" w:id="1593"/>
      <w:bookmarkEnd w:id="1593"/>
      <w:r>
        <w:rPr/>
        <w:t>performance</w:t>
      </w:r>
      <w:r>
        <w:rPr/>
        <w:t> is a condition of B’s liability, and, as A has promised to render it, the condition may be described as </w:t>
      </w:r>
      <w:r>
        <w:rPr>
          <w:rFonts w:ascii="Arial" w:hAnsi="Arial"/>
          <w:i/>
        </w:rPr>
        <w:t>promissory</w:t>
      </w:r>
      <w:r>
        <w:rPr/>
        <w:t>. </w:t>
      </w:r>
      <w:r>
        <w:rPr>
          <w:color w:val="005DA1"/>
          <w:u w:val="single" w:color="005DA1"/>
          <w:vertAlign w:val="superscript"/>
        </w:rPr>
        <w:t>836</w:t>
      </w:r>
    </w:p>
    <w:p>
      <w:pPr>
        <w:pStyle w:val="BodyText"/>
      </w:pPr>
    </w:p>
    <w:p>
      <w:pPr>
        <w:pStyle w:val="BodyText"/>
        <w:spacing w:before="34"/>
      </w:pPr>
    </w:p>
    <w:p>
      <w:pPr>
        <w:pStyle w:val="BodyText"/>
        <w:ind w:left="165"/>
      </w:pPr>
      <w:r>
        <w:rPr>
          <w:spacing w:val="-5"/>
        </w:rPr>
        <w:t>(3)</w:t>
      </w:r>
    </w:p>
    <w:p>
      <w:pPr>
        <w:pStyle w:val="BodyText"/>
        <w:spacing w:line="235" w:lineRule="auto" w:before="114"/>
        <w:ind w:left="645" w:right="167"/>
        <w:jc w:val="both"/>
      </w:pPr>
      <w:r>
        <w:rPr/>
        <w:t>An intermediate situation arises in the case of a unilateral contract, in which performance by the </w:t>
      </w:r>
      <w:bookmarkStart w:name="_bookmark1592" w:id="1594"/>
      <w:bookmarkEnd w:id="1594"/>
      <w:r>
        <w:rPr/>
        <w:t>promisor</w:t>
      </w:r>
      <w:r>
        <w:rPr/>
        <w:t> becomes due on the performance by the promisee of the stipulated act (such </w:t>
      </w:r>
      <w:r>
        <w:rPr/>
        <w:t>as walking to York) or abstention (such as not smoking for a year). </w:t>
      </w:r>
      <w:r>
        <w:rPr>
          <w:color w:val="005DA1"/>
          <w:u w:val="single" w:color="005DA1"/>
          <w:vertAlign w:val="superscript"/>
        </w:rPr>
        <w:t>837</w:t>
      </w:r>
      <w:r>
        <w:rPr>
          <w:color w:val="005DA1"/>
          <w:vertAlign w:val="baseline"/>
        </w:rPr>
        <w:t> </w:t>
      </w:r>
      <w:r>
        <w:rPr>
          <w:vertAlign w:val="baseline"/>
        </w:rPr>
        <w:t>Since it follows from the </w:t>
      </w:r>
      <w:bookmarkStart w:name="_bookmark1593" w:id="1595"/>
      <w:bookmarkEnd w:id="1595"/>
      <w:r>
        <w:rPr>
          <w:vertAlign w:val="baseline"/>
        </w:rPr>
        <w:t>nature</w:t>
      </w:r>
      <w:r>
        <w:rPr>
          <w:vertAlign w:val="baseline"/>
        </w:rPr>
        <w:t> of such a contract that the promisee has not promised to render the stipulated performance, the condition on which his entitlement depends </w:t>
      </w:r>
      <w:r>
        <w:rPr>
          <w:color w:val="005DA1"/>
          <w:u w:val="single" w:color="005DA1"/>
          <w:vertAlign w:val="superscript"/>
        </w:rPr>
        <w:t>838</w:t>
      </w:r>
      <w:r>
        <w:rPr>
          <w:color w:val="005DA1"/>
          <w:vertAlign w:val="baseline"/>
        </w:rPr>
        <w:t> </w:t>
      </w:r>
      <w:r>
        <w:rPr>
          <w:vertAlign w:val="baseline"/>
        </w:rPr>
        <w:t>is properly classified as </w:t>
      </w:r>
      <w:r>
        <w:rPr>
          <w:spacing w:val="-2"/>
          <w:vertAlign w:val="baseline"/>
        </w:rPr>
        <w:t>contingent.</w:t>
      </w:r>
    </w:p>
    <w:p>
      <w:pPr>
        <w:pStyle w:val="BodyText"/>
        <w:spacing w:after="0" w:line="235" w:lineRule="auto"/>
        <w:jc w:val="both"/>
        <w:sectPr>
          <w:headerReference w:type="default" r:id="rId27"/>
          <w:pgSz w:w="11900" w:h="16840"/>
          <w:pgMar w:header="971" w:footer="0" w:top="1300" w:bottom="280" w:left="1275" w:right="1275"/>
          <w:pgNumType w:start="1"/>
        </w:sectPr>
      </w:pPr>
    </w:p>
    <w:p>
      <w:pPr>
        <w:pStyle w:val="BodyText"/>
      </w:pPr>
    </w:p>
    <w:p>
      <w:pPr>
        <w:pStyle w:val="BodyText"/>
        <w:spacing w:before="46"/>
      </w:pPr>
    </w:p>
    <w:p>
      <w:pPr>
        <w:pStyle w:val="BodyText"/>
        <w:spacing w:before="1"/>
        <w:ind w:left="165"/>
        <w:jc w:val="both"/>
      </w:pPr>
      <w:r>
        <w:rPr/>
        <w:t>Our concern here is with contingent </w:t>
      </w:r>
      <w:r>
        <w:rPr>
          <w:spacing w:val="-2"/>
        </w:rPr>
        <w:t>conditions.</w:t>
      </w:r>
    </w:p>
    <w:p>
      <w:pPr>
        <w:pStyle w:val="BodyText"/>
      </w:pPr>
    </w:p>
    <w:p>
      <w:pPr>
        <w:pStyle w:val="BodyText"/>
        <w:spacing w:before="37"/>
      </w:pPr>
    </w:p>
    <w:p>
      <w:pPr>
        <w:spacing w:before="0"/>
        <w:ind w:left="165" w:right="0" w:firstLine="0"/>
        <w:jc w:val="both"/>
        <w:rPr>
          <w:rFonts w:ascii="Arial"/>
          <w:b/>
          <w:sz w:val="18"/>
        </w:rPr>
      </w:pPr>
      <w:r>
        <w:rPr>
          <w:rFonts w:ascii="Arial"/>
          <w:b/>
          <w:sz w:val="18"/>
        </w:rPr>
        <w:t>Conditions precedent and </w:t>
      </w:r>
      <w:r>
        <w:rPr>
          <w:rFonts w:ascii="Arial"/>
          <w:b/>
          <w:spacing w:val="-2"/>
          <w:sz w:val="18"/>
        </w:rPr>
        <w:t>subsequent</w:t>
      </w:r>
    </w:p>
    <w:p>
      <w:pPr>
        <w:pStyle w:val="BodyText"/>
        <w:spacing w:before="41"/>
        <w:rPr>
          <w:rFonts w:ascii="Arial"/>
          <w:b/>
          <w:sz w:val="18"/>
        </w:rPr>
      </w:pPr>
    </w:p>
    <w:p>
      <w:pPr>
        <w:pStyle w:val="Heading2"/>
      </w:pPr>
      <w:r>
        <w:rPr/>
        <w:t>2-</w:t>
      </w:r>
      <w:r>
        <w:rPr>
          <w:spacing w:val="-5"/>
        </w:rPr>
        <w:t>158</w:t>
      </w:r>
    </w:p>
    <w:p>
      <w:pPr>
        <w:pStyle w:val="BodyText"/>
        <w:spacing w:line="235" w:lineRule="auto" w:before="203"/>
        <w:ind w:left="165" w:right="167"/>
        <w:jc w:val="both"/>
      </w:pPr>
      <w:bookmarkStart w:name="_bookmark1594" w:id="1596"/>
      <w:bookmarkEnd w:id="1596"/>
      <w:r>
        <w:rPr/>
      </w:r>
      <w:r>
        <w:rPr/>
        <w:t>Contingent conditions may be precedent or subsequent. </w:t>
      </w:r>
      <w:r>
        <w:rPr>
          <w:color w:val="005DA1"/>
          <w:u w:val="single" w:color="005DA1"/>
          <w:vertAlign w:val="superscript"/>
        </w:rPr>
        <w:t>839</w:t>
      </w:r>
      <w:r>
        <w:rPr>
          <w:color w:val="005DA1"/>
          <w:vertAlign w:val="baseline"/>
        </w:rPr>
        <w:t> </w:t>
      </w:r>
      <w:r>
        <w:rPr>
          <w:vertAlign w:val="baseline"/>
        </w:rPr>
        <w:t>A condition is precedent if it provides that the contract is not to be binding until the specified event occurs. It is subsequent if it provides that a </w:t>
      </w:r>
      <w:bookmarkStart w:name="_bookmark1595" w:id="1597"/>
      <w:bookmarkEnd w:id="1597"/>
      <w:r>
        <w:rPr>
          <w:vertAlign w:val="baseline"/>
        </w:rPr>
        <w:t>previously</w:t>
      </w:r>
      <w:r>
        <w:rPr>
          <w:vertAlign w:val="baseline"/>
        </w:rPr>
        <w:t> binding contract is to determine on the occurrence of the specified event: e.g. where </w:t>
      </w:r>
      <w:r>
        <w:rPr>
          <w:vertAlign w:val="baseline"/>
        </w:rPr>
        <w:t>A </w:t>
      </w:r>
      <w:bookmarkStart w:name="_bookmark1596" w:id="1598"/>
      <w:bookmarkEnd w:id="1598"/>
      <w:r>
        <w:rPr>
          <w:vertAlign w:val="baseline"/>
        </w:rPr>
        <w:t>contracts</w:t>
      </w:r>
      <w:r>
        <w:rPr>
          <w:vertAlign w:val="baseline"/>
        </w:rPr>
        <w:t> to pay an allowance to B until B marries. </w:t>
      </w:r>
      <w:r>
        <w:rPr>
          <w:color w:val="005DA1"/>
          <w:u w:val="single" w:color="005DA1"/>
          <w:vertAlign w:val="superscript"/>
        </w:rPr>
        <w:t>840</w:t>
      </w:r>
      <w:r>
        <w:rPr>
          <w:color w:val="005DA1"/>
          <w:vertAlign w:val="baseline"/>
        </w:rPr>
        <w:t> </w:t>
      </w:r>
      <w:r>
        <w:rPr>
          <w:vertAlign w:val="baseline"/>
        </w:rPr>
        <w:t>A provision entitling a party to terminate a contract on the occurrence or non-occurrence of a specified event </w:t>
      </w:r>
      <w:r>
        <w:rPr>
          <w:color w:val="005DA1"/>
          <w:u w:val="single" w:color="005DA1"/>
          <w:vertAlign w:val="superscript"/>
        </w:rPr>
        <w:t>841</w:t>
      </w:r>
      <w:r>
        <w:rPr>
          <w:color w:val="005DA1"/>
          <w:vertAlign w:val="baseline"/>
        </w:rPr>
        <w:t> </w:t>
      </w:r>
      <w:r>
        <w:rPr>
          <w:vertAlign w:val="baseline"/>
        </w:rPr>
        <w:t>would likewise amount to, or give rise, to a condition subsequent.</w:t>
      </w:r>
    </w:p>
    <w:p>
      <w:pPr>
        <w:pStyle w:val="BodyText"/>
      </w:pPr>
    </w:p>
    <w:p>
      <w:pPr>
        <w:pStyle w:val="BodyText"/>
        <w:spacing w:before="37"/>
      </w:pPr>
      <w:r>
        <w:rPr/>
        <mc:AlternateContent>
          <mc:Choice Requires="wps">
            <w:drawing>
              <wp:anchor distT="0" distB="0" distL="0" distR="0" allowOverlap="1" layoutInCell="1" locked="0" behindDoc="1" simplePos="0" relativeHeight="487620096">
                <wp:simplePos x="0" y="0"/>
                <wp:positionH relativeFrom="page">
                  <wp:posOffset>914400</wp:posOffset>
                </wp:positionH>
                <wp:positionV relativeFrom="paragraph">
                  <wp:posOffset>185269</wp:posOffset>
                </wp:positionV>
                <wp:extent cx="5724525" cy="1270"/>
                <wp:effectExtent l="0" t="0" r="0" b="0"/>
                <wp:wrapTopAndBottom/>
                <wp:docPr id="126" name="Graphic 126"/>
                <wp:cNvGraphicFramePr>
                  <a:graphicFrameLocks/>
                </wp:cNvGraphicFramePr>
                <a:graphic>
                  <a:graphicData uri="http://schemas.microsoft.com/office/word/2010/wordprocessingShape">
                    <wps:wsp>
                      <wps:cNvPr id="126" name="Graphic 12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88172pt;width:450.75pt;height:.1pt;mso-position-horizontal-relative:page;mso-position-vertical-relative:paragraph;z-index:-15696384;mso-wrap-distance-left:0;mso-wrap-distance-right:0" id="docshape43" coordorigin="1440,292" coordsize="9015,0" path="m1440,292l10454,292e" filled="false" stroked="true" strokeweight="1pt" strokecolor="#000000">
                <v:path arrowok="t"/>
                <v:stroke dashstyle="solid"/>
                <w10:wrap type="topAndBottom"/>
              </v:shape>
            </w:pict>
          </mc:Fallback>
        </mc:AlternateContent>
      </w:r>
    </w:p>
    <w:p>
      <w:pPr>
        <w:pStyle w:val="BodyText"/>
        <w:spacing w:before="97"/>
      </w:pPr>
    </w:p>
    <w:p>
      <w:pPr>
        <w:tabs>
          <w:tab w:pos="705" w:val="left" w:leader="none"/>
        </w:tabs>
        <w:spacing w:before="0"/>
        <w:ind w:left="165" w:right="0" w:firstLine="0"/>
        <w:jc w:val="left"/>
        <w:rPr>
          <w:sz w:val="20"/>
        </w:rPr>
      </w:pPr>
      <w:bookmarkStart w:name="_bookmark1597" w:id="1599"/>
      <w:bookmarkEnd w:id="1599"/>
      <w:r>
        <w:rPr/>
      </w:r>
      <w:hyperlink w:history="true" w:anchor="_bookmark1589">
        <w:r>
          <w:rPr>
            <w:color w:val="005DA1"/>
            <w:spacing w:val="-4"/>
            <w:position w:val="5"/>
            <w:sz w:val="14"/>
            <w:u w:val="single" w:color="005DA1"/>
          </w:rPr>
          <w:t>834</w:t>
        </w:r>
      </w:hyperlink>
      <w:r>
        <w:rPr>
          <w:spacing w:val="-4"/>
          <w:position w:val="5"/>
          <w:sz w:val="14"/>
        </w:rPr>
        <w:t>.</w:t>
      </w:r>
      <w:r>
        <w:rPr>
          <w:position w:val="5"/>
          <w:sz w:val="14"/>
        </w:rPr>
        <w:tab/>
      </w:r>
      <w:r>
        <w:rPr>
          <w:rFonts w:ascii="Arial"/>
          <w:i/>
          <w:sz w:val="20"/>
        </w:rPr>
        <w:t>Skips A/S Nordheim v Petrofina SA (The Varenna) [1984] Q.B. 599, </w:t>
      </w:r>
      <w:r>
        <w:rPr>
          <w:rFonts w:ascii="Arial"/>
          <w:i/>
          <w:spacing w:val="-4"/>
          <w:sz w:val="20"/>
        </w:rPr>
        <w:t>618</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598" w:id="1600"/>
      <w:bookmarkEnd w:id="1600"/>
      <w:r>
        <w:rPr/>
      </w:r>
      <w:hyperlink w:history="true" w:anchor="_bookmark1590">
        <w:r>
          <w:rPr>
            <w:color w:val="005DA1"/>
            <w:spacing w:val="-4"/>
            <w:position w:val="5"/>
            <w:sz w:val="14"/>
            <w:u w:val="single" w:color="005DA1"/>
          </w:rPr>
          <w:t>835</w:t>
        </w:r>
      </w:hyperlink>
      <w:r>
        <w:rPr>
          <w:spacing w:val="-4"/>
          <w:position w:val="5"/>
          <w:sz w:val="14"/>
        </w:rPr>
        <w:t>.</w:t>
      </w:r>
      <w:r>
        <w:rPr>
          <w:position w:val="5"/>
          <w:sz w:val="14"/>
        </w:rPr>
        <w:tab/>
      </w:r>
      <w:r>
        <w:rPr>
          <w:rFonts w:ascii="Arial"/>
          <w:i/>
          <w:sz w:val="20"/>
        </w:rPr>
        <w:t>Property and Bloodstock Ltd v Emerton [1968] Ch. 94, </w:t>
      </w:r>
      <w:r>
        <w:rPr>
          <w:rFonts w:ascii="Arial"/>
          <w:i/>
          <w:spacing w:val="-4"/>
          <w:sz w:val="20"/>
        </w:rPr>
        <w:t>118</w:t>
      </w:r>
      <w:r>
        <w:rPr>
          <w:spacing w:val="-4"/>
          <w:sz w:val="20"/>
        </w:rPr>
        <w:t>.</w:t>
      </w:r>
    </w:p>
    <w:p>
      <w:pPr>
        <w:pStyle w:val="BodyText"/>
        <w:spacing w:before="9"/>
      </w:pPr>
    </w:p>
    <w:p>
      <w:pPr>
        <w:spacing w:line="235" w:lineRule="auto" w:before="0"/>
        <w:ind w:left="705" w:right="167" w:hanging="541"/>
        <w:jc w:val="both"/>
        <w:rPr>
          <w:rFonts w:ascii="Arial" w:hAnsi="Arial"/>
          <w:i/>
          <w:sz w:val="20"/>
        </w:rPr>
      </w:pPr>
      <w:bookmarkStart w:name="_bookmark1599" w:id="1601"/>
      <w:bookmarkEnd w:id="1601"/>
      <w:r>
        <w:rPr/>
      </w:r>
      <w:hyperlink w:history="true" w:anchor="_bookmark1591">
        <w:r>
          <w:rPr>
            <w:color w:val="005DA1"/>
            <w:position w:val="5"/>
            <w:sz w:val="14"/>
            <w:u w:val="single" w:color="005DA1"/>
          </w:rPr>
          <w:t>836</w:t>
        </w:r>
      </w:hyperlink>
      <w:r>
        <w:rPr>
          <w:position w:val="5"/>
          <w:sz w:val="14"/>
        </w:rPr>
        <w:t>.</w:t>
      </w:r>
      <w:r>
        <w:rPr>
          <w:spacing w:val="40"/>
          <w:position w:val="5"/>
          <w:sz w:val="14"/>
        </w:rPr>
        <w:t>  </w:t>
      </w:r>
      <w:r>
        <w:rPr>
          <w:sz w:val="20"/>
        </w:rPr>
        <w:t>For the distinction between </w:t>
      </w:r>
      <w:r>
        <w:rPr>
          <w:rFonts w:ascii="Arial" w:hAnsi="Arial"/>
          <w:i/>
          <w:sz w:val="20"/>
        </w:rPr>
        <w:t>promissory </w:t>
      </w:r>
      <w:r>
        <w:rPr>
          <w:sz w:val="20"/>
        </w:rPr>
        <w:t>and </w:t>
      </w:r>
      <w:r>
        <w:rPr>
          <w:rFonts w:ascii="Arial" w:hAnsi="Arial"/>
          <w:i/>
          <w:sz w:val="20"/>
        </w:rPr>
        <w:t>contingent </w:t>
      </w:r>
      <w:r>
        <w:rPr>
          <w:sz w:val="20"/>
        </w:rPr>
        <w:t>condition see Chalmers, </w:t>
      </w:r>
      <w:r>
        <w:rPr>
          <w:rFonts w:ascii="Arial" w:hAnsi="Arial"/>
          <w:i/>
          <w:sz w:val="20"/>
        </w:rPr>
        <w:t>Sale of Goods</w:t>
      </w:r>
      <w:r>
        <w:rPr>
          <w:sz w:val="20"/>
        </w:rPr>
        <w:t>, 18th</w:t>
      </w:r>
      <w:r>
        <w:rPr>
          <w:spacing w:val="21"/>
          <w:sz w:val="20"/>
        </w:rPr>
        <w:t> </w:t>
      </w:r>
      <w:r>
        <w:rPr>
          <w:sz w:val="20"/>
        </w:rPr>
        <w:t>edn</w:t>
      </w:r>
      <w:r>
        <w:rPr>
          <w:spacing w:val="21"/>
          <w:sz w:val="20"/>
        </w:rPr>
        <w:t> </w:t>
      </w:r>
      <w:r>
        <w:rPr>
          <w:sz w:val="20"/>
        </w:rPr>
        <w:t>(1981),</w:t>
      </w:r>
      <w:r>
        <w:rPr>
          <w:spacing w:val="21"/>
          <w:sz w:val="20"/>
        </w:rPr>
        <w:t> </w:t>
      </w:r>
      <w:r>
        <w:rPr>
          <w:sz w:val="20"/>
        </w:rPr>
        <w:t>App.2,</w:t>
      </w:r>
      <w:r>
        <w:rPr>
          <w:spacing w:val="21"/>
          <w:sz w:val="20"/>
        </w:rPr>
        <w:t> </w:t>
      </w:r>
      <w:r>
        <w:rPr>
          <w:sz w:val="20"/>
        </w:rPr>
        <w:t>Note</w:t>
      </w:r>
      <w:r>
        <w:rPr>
          <w:spacing w:val="21"/>
          <w:sz w:val="20"/>
        </w:rPr>
        <w:t> </w:t>
      </w:r>
      <w:r>
        <w:rPr>
          <w:sz w:val="20"/>
        </w:rPr>
        <w:t>A;</w:t>
      </w:r>
      <w:r>
        <w:rPr>
          <w:spacing w:val="21"/>
          <w:sz w:val="20"/>
        </w:rPr>
        <w:t> </w:t>
      </w:r>
      <w:r>
        <w:rPr>
          <w:rFonts w:ascii="Arial" w:hAnsi="Arial"/>
          <w:i/>
          <w:sz w:val="20"/>
        </w:rPr>
        <w:t>Roadworks</w:t>
      </w:r>
      <w:r>
        <w:rPr>
          <w:rFonts w:ascii="Arial" w:hAnsi="Arial"/>
          <w:i/>
          <w:spacing w:val="21"/>
          <w:sz w:val="20"/>
        </w:rPr>
        <w:t> </w:t>
      </w:r>
      <w:r>
        <w:rPr>
          <w:rFonts w:ascii="Arial" w:hAnsi="Arial"/>
          <w:i/>
          <w:sz w:val="20"/>
        </w:rPr>
        <w:t>(1952)</w:t>
      </w:r>
      <w:r>
        <w:rPr>
          <w:rFonts w:ascii="Arial" w:hAnsi="Arial"/>
          <w:i/>
          <w:spacing w:val="21"/>
          <w:sz w:val="20"/>
        </w:rPr>
        <w:t> </w:t>
      </w:r>
      <w:r>
        <w:rPr>
          <w:rFonts w:ascii="Arial" w:hAnsi="Arial"/>
          <w:i/>
          <w:sz w:val="20"/>
        </w:rPr>
        <w:t>Ltd</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Charman</w:t>
      </w:r>
      <w:r>
        <w:rPr>
          <w:rFonts w:ascii="Arial" w:hAnsi="Arial"/>
          <w:i/>
          <w:spacing w:val="21"/>
          <w:sz w:val="20"/>
        </w:rPr>
        <w:t> </w:t>
      </w:r>
      <w:r>
        <w:rPr>
          <w:rFonts w:ascii="Arial" w:hAnsi="Arial"/>
          <w:i/>
          <w:sz w:val="20"/>
        </w:rPr>
        <w:t>[1994]</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Lloyd’s</w:t>
      </w:r>
      <w:r>
        <w:rPr>
          <w:rFonts w:ascii="Arial" w:hAnsi="Arial"/>
          <w:i/>
          <w:spacing w:val="21"/>
          <w:sz w:val="20"/>
        </w:rPr>
        <w:t> </w:t>
      </w:r>
      <w:r>
        <w:rPr>
          <w:rFonts w:ascii="Arial" w:hAnsi="Arial"/>
          <w:i/>
          <w:sz w:val="20"/>
        </w:rPr>
        <w:t>Rep.</w:t>
      </w:r>
      <w:r>
        <w:rPr>
          <w:rFonts w:ascii="Arial" w:hAnsi="Arial"/>
          <w:i/>
          <w:spacing w:val="21"/>
          <w:sz w:val="20"/>
        </w:rPr>
        <w:t> </w:t>
      </w:r>
      <w:r>
        <w:rPr>
          <w:rFonts w:ascii="Arial" w:hAnsi="Arial"/>
          <w:i/>
          <w:spacing w:val="-5"/>
          <w:sz w:val="20"/>
        </w:rPr>
        <w:t>99,</w:t>
      </w:r>
    </w:p>
    <w:p>
      <w:pPr>
        <w:spacing w:line="235" w:lineRule="auto" w:before="0"/>
        <w:ind w:left="705" w:right="167" w:firstLine="0"/>
        <w:jc w:val="both"/>
        <w:rPr>
          <w:sz w:val="20"/>
        </w:rPr>
      </w:pPr>
      <w:r>
        <w:rPr>
          <w:rFonts w:ascii="Arial" w:hAnsi="Arial"/>
          <w:i/>
          <w:sz w:val="20"/>
        </w:rPr>
        <w:t>103</w:t>
      </w:r>
      <w:r>
        <w:rPr>
          <w:sz w:val="20"/>
        </w:rPr>
        <w:t>; </w:t>
      </w:r>
      <w:r>
        <w:rPr>
          <w:rFonts w:ascii="Arial" w:hAnsi="Arial"/>
          <w:i/>
          <w:sz w:val="20"/>
        </w:rPr>
        <w:t>Total Gas Marketing Ltd v Arco British Ltd [1998] 2 Lloyd’s Rep. 209, 215, 218</w:t>
      </w:r>
      <w:r>
        <w:rPr>
          <w:sz w:val="20"/>
        </w:rPr>
        <w:t>. The discussion</w:t>
      </w:r>
      <w:r>
        <w:rPr>
          <w:spacing w:val="-2"/>
          <w:sz w:val="20"/>
        </w:rPr>
        <w:t> </w:t>
      </w:r>
      <w:r>
        <w:rPr>
          <w:sz w:val="20"/>
        </w:rPr>
        <w:t>in</w:t>
      </w:r>
      <w:r>
        <w:rPr>
          <w:spacing w:val="-2"/>
          <w:sz w:val="20"/>
        </w:rPr>
        <w:t> </w:t>
      </w:r>
      <w:r>
        <w:rPr>
          <w:sz w:val="20"/>
        </w:rPr>
        <w:t>para.2–148</w:t>
      </w:r>
      <w:r>
        <w:rPr>
          <w:spacing w:val="-2"/>
          <w:sz w:val="20"/>
        </w:rPr>
        <w:t> </w:t>
      </w:r>
      <w:r>
        <w:rPr>
          <w:sz w:val="20"/>
        </w:rPr>
        <w:t>of</w:t>
      </w:r>
      <w:r>
        <w:rPr>
          <w:spacing w:val="-2"/>
          <w:sz w:val="20"/>
        </w:rPr>
        <w:t> </w:t>
      </w:r>
      <w:r>
        <w:rPr>
          <w:sz w:val="20"/>
        </w:rPr>
        <w:t>the</w:t>
      </w:r>
      <w:r>
        <w:rPr>
          <w:spacing w:val="-2"/>
          <w:sz w:val="20"/>
        </w:rPr>
        <w:t> </w:t>
      </w:r>
      <w:r>
        <w:rPr>
          <w:sz w:val="20"/>
        </w:rPr>
        <w:t>30th</w:t>
      </w:r>
      <w:r>
        <w:rPr>
          <w:spacing w:val="-2"/>
          <w:sz w:val="20"/>
        </w:rPr>
        <w:t> </w:t>
      </w:r>
      <w:r>
        <w:rPr>
          <w:sz w:val="20"/>
        </w:rPr>
        <w:t>edition</w:t>
      </w:r>
      <w:r>
        <w:rPr>
          <w:spacing w:val="-2"/>
          <w:sz w:val="20"/>
        </w:rPr>
        <w:t> </w:t>
      </w:r>
      <w:r>
        <w:rPr>
          <w:sz w:val="20"/>
        </w:rPr>
        <w:t>of</w:t>
      </w:r>
      <w:r>
        <w:rPr>
          <w:spacing w:val="-2"/>
          <w:sz w:val="20"/>
        </w:rPr>
        <w:t> </w:t>
      </w:r>
      <w:r>
        <w:rPr>
          <w:sz w:val="20"/>
        </w:rPr>
        <w:t>this</w:t>
      </w:r>
      <w:r>
        <w:rPr>
          <w:spacing w:val="-2"/>
          <w:sz w:val="20"/>
        </w:rPr>
        <w:t> </w:t>
      </w:r>
      <w:r>
        <w:rPr>
          <w:sz w:val="20"/>
        </w:rPr>
        <w:t>book</w:t>
      </w:r>
      <w:r>
        <w:rPr>
          <w:spacing w:val="-2"/>
          <w:sz w:val="20"/>
        </w:rPr>
        <w:t> </w:t>
      </w:r>
      <w:r>
        <w:rPr>
          <w:sz w:val="20"/>
        </w:rPr>
        <w:t>(para.2–157</w:t>
      </w:r>
      <w:r>
        <w:rPr>
          <w:spacing w:val="-2"/>
          <w:sz w:val="20"/>
        </w:rPr>
        <w:t> </w:t>
      </w:r>
      <w:r>
        <w:rPr>
          <w:sz w:val="20"/>
        </w:rPr>
        <w:t>of</w:t>
      </w:r>
      <w:r>
        <w:rPr>
          <w:spacing w:val="-2"/>
          <w:sz w:val="20"/>
        </w:rPr>
        <w:t> </w:t>
      </w:r>
      <w:r>
        <w:rPr>
          <w:sz w:val="20"/>
        </w:rPr>
        <w:t>this</w:t>
      </w:r>
      <w:r>
        <w:rPr>
          <w:spacing w:val="-2"/>
          <w:sz w:val="20"/>
        </w:rPr>
        <w:t> </w:t>
      </w:r>
      <w:r>
        <w:rPr>
          <w:sz w:val="20"/>
        </w:rPr>
        <w:t>edition)</w:t>
      </w:r>
      <w:r>
        <w:rPr>
          <w:spacing w:val="-2"/>
          <w:sz w:val="20"/>
        </w:rPr>
        <w:t> </w:t>
      </w:r>
      <w:r>
        <w:rPr>
          <w:sz w:val="20"/>
        </w:rPr>
        <w:t>is</w:t>
      </w:r>
      <w:r>
        <w:rPr>
          <w:spacing w:val="-2"/>
          <w:sz w:val="20"/>
        </w:rPr>
        <w:t> </w:t>
      </w:r>
      <w:r>
        <w:rPr>
          <w:sz w:val="20"/>
        </w:rPr>
        <w:t>cited</w:t>
      </w:r>
      <w:r>
        <w:rPr>
          <w:spacing w:val="-2"/>
          <w:sz w:val="20"/>
        </w:rPr>
        <w:t> </w:t>
      </w:r>
      <w:r>
        <w:rPr>
          <w:sz w:val="20"/>
        </w:rPr>
        <w:t>with apparent approval in </w:t>
      </w:r>
      <w:r>
        <w:rPr>
          <w:rFonts w:ascii="Arial" w:hAnsi="Arial"/>
          <w:i/>
          <w:sz w:val="20"/>
        </w:rPr>
        <w:t>UK Power GmbH v Kuok Oils and Grains Pte [2009] EWHC 1940, [2009]</w:t>
      </w:r>
      <w:r>
        <w:rPr>
          <w:rFonts w:ascii="Arial" w:hAnsi="Arial"/>
          <w:i/>
          <w:spacing w:val="40"/>
          <w:sz w:val="20"/>
        </w:rPr>
        <w:t> </w:t>
      </w:r>
      <w:r>
        <w:rPr>
          <w:rFonts w:ascii="Arial" w:hAnsi="Arial"/>
          <w:i/>
          <w:sz w:val="20"/>
        </w:rPr>
        <w:t>2 Lloyd’s Rep. </w:t>
      </w:r>
      <w:r>
        <w:rPr>
          <w:sz w:val="20"/>
        </w:rPr>
        <w:t>at [14]; see also at [15], [22]; it was there held that stipulations to requiring (1) a buyer of goods to open a transferable letter of credit and (2) the seller to provide a “Proof of Product”</w:t>
      </w:r>
      <w:r>
        <w:rPr>
          <w:spacing w:val="-1"/>
          <w:sz w:val="20"/>
        </w:rPr>
        <w:t> </w:t>
      </w:r>
      <w:r>
        <w:rPr>
          <w:sz w:val="20"/>
        </w:rPr>
        <w:t>certificate</w:t>
      </w:r>
      <w:r>
        <w:rPr>
          <w:spacing w:val="-1"/>
          <w:sz w:val="20"/>
        </w:rPr>
        <w:t> </w:t>
      </w:r>
      <w:r>
        <w:rPr>
          <w:sz w:val="20"/>
        </w:rPr>
        <w:t>were</w:t>
      </w:r>
      <w:r>
        <w:rPr>
          <w:spacing w:val="-1"/>
          <w:sz w:val="20"/>
        </w:rPr>
        <w:t> </w:t>
      </w:r>
      <w:r>
        <w:rPr>
          <w:sz w:val="20"/>
        </w:rPr>
        <w:t>promissory,</w:t>
      </w:r>
      <w:r>
        <w:rPr>
          <w:spacing w:val="-1"/>
          <w:sz w:val="20"/>
        </w:rPr>
        <w:t> </w:t>
      </w:r>
      <w:r>
        <w:rPr>
          <w:sz w:val="20"/>
        </w:rPr>
        <w:t>as</w:t>
      </w:r>
      <w:r>
        <w:rPr>
          <w:spacing w:val="-1"/>
          <w:sz w:val="20"/>
        </w:rPr>
        <w:t> </w:t>
      </w:r>
      <w:r>
        <w:rPr>
          <w:sz w:val="20"/>
        </w:rPr>
        <w:t>opposed</w:t>
      </w:r>
      <w:r>
        <w:rPr>
          <w:spacing w:val="-1"/>
          <w:sz w:val="20"/>
        </w:rPr>
        <w:t> </w:t>
      </w:r>
      <w:r>
        <w:rPr>
          <w:sz w:val="20"/>
        </w:rPr>
        <w:t>to</w:t>
      </w:r>
      <w:r>
        <w:rPr>
          <w:spacing w:val="-1"/>
          <w:sz w:val="20"/>
        </w:rPr>
        <w:t> </w:t>
      </w:r>
      <w:r>
        <w:rPr>
          <w:sz w:val="20"/>
        </w:rPr>
        <w:t>contingent,</w:t>
      </w:r>
      <w:r>
        <w:rPr>
          <w:spacing w:val="-1"/>
          <w:sz w:val="20"/>
        </w:rPr>
        <w:t> </w:t>
      </w:r>
      <w:r>
        <w:rPr>
          <w:sz w:val="20"/>
        </w:rPr>
        <w:t>conditions.</w:t>
      </w:r>
      <w:r>
        <w:rPr>
          <w:spacing w:val="-1"/>
          <w:sz w:val="20"/>
        </w:rPr>
        <w:t> </w:t>
      </w:r>
      <w:r>
        <w:rPr>
          <w:sz w:val="20"/>
        </w:rPr>
        <w:t>Similarly,</w:t>
      </w:r>
      <w:r>
        <w:rPr>
          <w:spacing w:val="-1"/>
          <w:sz w:val="20"/>
        </w:rPr>
        <w:t> </w:t>
      </w:r>
      <w:r>
        <w:rPr>
          <w:sz w:val="20"/>
        </w:rPr>
        <w:t>in</w:t>
      </w:r>
      <w:r>
        <w:rPr>
          <w:spacing w:val="-2"/>
          <w:sz w:val="20"/>
        </w:rPr>
        <w:t> </w:t>
      </w:r>
      <w:r>
        <w:rPr>
          <w:rFonts w:ascii="Arial" w:hAnsi="Arial"/>
          <w:i/>
          <w:sz w:val="20"/>
        </w:rPr>
        <w:t>Vitol</w:t>
      </w:r>
      <w:r>
        <w:rPr>
          <w:rFonts w:ascii="Arial" w:hAnsi="Arial"/>
          <w:i/>
          <w:spacing w:val="-1"/>
          <w:sz w:val="20"/>
        </w:rPr>
        <w:t> </w:t>
      </w:r>
      <w:r>
        <w:rPr>
          <w:rFonts w:ascii="Arial" w:hAnsi="Arial"/>
          <w:i/>
          <w:sz w:val="20"/>
        </w:rPr>
        <w:t>SA v Conoil Plc [2009] EWHC 1144 (Comm), [2009] 2 Lloyd’s Rep. 466 </w:t>
      </w:r>
      <w:r>
        <w:rPr>
          <w:sz w:val="20"/>
        </w:rPr>
        <w:t>a contract of sale required a buyer to pay by letter of credit and provided that the seller was not obliged to discharge the goods before receipt of the letter; and it was held that the issue of the letter of credit was not “a condition precedent to the contract becoming enforceable” (at [16]). In the terminology of paras 2-157 and 2-158 of the text above, it was a promissory, not a contingent, condition.</w:t>
      </w:r>
    </w:p>
    <w:p>
      <w:pPr>
        <w:pStyle w:val="BodyText"/>
        <w:spacing w:before="1"/>
      </w:pPr>
    </w:p>
    <w:p>
      <w:pPr>
        <w:pStyle w:val="BodyText"/>
        <w:tabs>
          <w:tab w:pos="705" w:val="left" w:leader="none"/>
        </w:tabs>
        <w:ind w:left="165"/>
      </w:pPr>
      <w:bookmarkStart w:name="_bookmark1600" w:id="1602"/>
      <w:bookmarkEnd w:id="1602"/>
      <w:r>
        <w:rPr/>
      </w:r>
      <w:hyperlink w:history="true" w:anchor="_bookmark1592">
        <w:r>
          <w:rPr>
            <w:color w:val="005DA1"/>
            <w:spacing w:val="-4"/>
            <w:position w:val="5"/>
            <w:sz w:val="14"/>
            <w:u w:val="single" w:color="005DA1"/>
          </w:rPr>
          <w:t>837</w:t>
        </w:r>
      </w:hyperlink>
      <w:r>
        <w:rPr>
          <w:spacing w:val="-4"/>
          <w:position w:val="5"/>
          <w:sz w:val="14"/>
        </w:rPr>
        <w:t>.</w:t>
      </w:r>
      <w:r>
        <w:rPr>
          <w:position w:val="5"/>
          <w:sz w:val="14"/>
        </w:rPr>
        <w:tab/>
      </w:r>
      <w:r>
        <w:rPr/>
        <w:t>See</w:t>
      </w:r>
      <w:r>
        <w:rPr>
          <w:spacing w:val="-2"/>
        </w:rPr>
        <w:t> </w:t>
      </w:r>
      <w:r>
        <w:rPr/>
        <w:t>above, para.2-</w:t>
      </w:r>
      <w:r>
        <w:rPr>
          <w:spacing w:val="-4"/>
        </w:rPr>
        <w:t>082.</w:t>
      </w:r>
    </w:p>
    <w:p>
      <w:pPr>
        <w:pStyle w:val="BodyText"/>
        <w:spacing w:before="5"/>
      </w:pPr>
    </w:p>
    <w:p>
      <w:pPr>
        <w:tabs>
          <w:tab w:pos="705" w:val="left" w:leader="none"/>
        </w:tabs>
        <w:spacing w:before="0"/>
        <w:ind w:left="165" w:right="0" w:firstLine="0"/>
        <w:jc w:val="left"/>
        <w:rPr>
          <w:sz w:val="20"/>
        </w:rPr>
      </w:pPr>
      <w:bookmarkStart w:name="_bookmark1601" w:id="1603"/>
      <w:bookmarkEnd w:id="1603"/>
      <w:r>
        <w:rPr/>
      </w:r>
      <w:hyperlink w:history="true" w:anchor="_bookmark1593">
        <w:r>
          <w:rPr>
            <w:color w:val="005DA1"/>
            <w:spacing w:val="-4"/>
            <w:position w:val="5"/>
            <w:sz w:val="14"/>
            <w:u w:val="single" w:color="005DA1"/>
          </w:rPr>
          <w:t>838</w:t>
        </w:r>
      </w:hyperlink>
      <w:r>
        <w:rPr>
          <w:spacing w:val="-4"/>
          <w:position w:val="5"/>
          <w:sz w:val="14"/>
        </w:rPr>
        <w:t>.</w:t>
      </w:r>
      <w:r>
        <w:rPr>
          <w:position w:val="5"/>
          <w:sz w:val="14"/>
        </w:rPr>
        <w:tab/>
      </w:r>
      <w:r>
        <w:rPr>
          <w:sz w:val="20"/>
        </w:rPr>
        <w:t>e.g. </w:t>
      </w:r>
      <w:r>
        <w:rPr>
          <w:rFonts w:ascii="Arial"/>
          <w:i/>
          <w:sz w:val="20"/>
        </w:rPr>
        <w:t>Soulsbury v Soulsbury [2007] EWCA Civ 969</w:t>
      </w:r>
      <w:r>
        <w:rPr>
          <w:rFonts w:ascii="Arial"/>
          <w:i/>
          <w:spacing w:val="-1"/>
          <w:sz w:val="20"/>
        </w:rPr>
        <w:t> </w:t>
      </w:r>
      <w:r>
        <w:rPr>
          <w:sz w:val="20"/>
        </w:rPr>
        <w:t>at [50]; above, para.2-084; below </w:t>
      </w:r>
      <w:r>
        <w:rPr>
          <w:spacing w:val="-2"/>
          <w:sz w:val="20"/>
        </w:rPr>
        <w:t>n.821.</w:t>
      </w:r>
    </w:p>
    <w:p>
      <w:pPr>
        <w:pStyle w:val="BodyText"/>
        <w:spacing w:before="9"/>
      </w:pPr>
    </w:p>
    <w:p>
      <w:pPr>
        <w:spacing w:line="235" w:lineRule="auto" w:before="0"/>
        <w:ind w:left="705" w:right="167" w:hanging="541"/>
        <w:jc w:val="both"/>
        <w:rPr>
          <w:rFonts w:ascii="Arial" w:hAnsi="Arial"/>
          <w:i/>
          <w:sz w:val="20"/>
        </w:rPr>
      </w:pPr>
      <w:bookmarkStart w:name="_bookmark1602" w:id="1604"/>
      <w:bookmarkEnd w:id="1604"/>
      <w:r>
        <w:rPr/>
      </w:r>
      <w:hyperlink w:history="true" w:anchor="_bookmark1594">
        <w:r>
          <w:rPr>
            <w:color w:val="005DA1"/>
            <w:position w:val="5"/>
            <w:sz w:val="14"/>
            <w:u w:val="single" w:color="005DA1"/>
          </w:rPr>
          <w:t>839</w:t>
        </w:r>
      </w:hyperlink>
      <w:r>
        <w:rPr>
          <w:position w:val="5"/>
          <w:sz w:val="14"/>
        </w:rPr>
        <w:t>.</w:t>
      </w:r>
      <w:r>
        <w:rPr>
          <w:spacing w:val="80"/>
          <w:position w:val="5"/>
          <w:sz w:val="14"/>
        </w:rPr>
        <w:t> </w:t>
      </w:r>
      <w:r>
        <w:rPr>
          <w:sz w:val="20"/>
        </w:rPr>
        <w:t>Conditions precedent are also sometimes called “suspensive”, and conditions </w:t>
      </w:r>
      <w:r>
        <w:rPr>
          <w:sz w:val="20"/>
        </w:rPr>
        <w:t>subsequent “resolutive”</w:t>
      </w:r>
      <w:r>
        <w:rPr>
          <w:spacing w:val="-2"/>
          <w:sz w:val="20"/>
        </w:rPr>
        <w:t> </w:t>
      </w:r>
      <w:r>
        <w:rPr>
          <w:sz w:val="20"/>
        </w:rPr>
        <w:t>conditions:</w:t>
      </w:r>
      <w:r>
        <w:rPr>
          <w:spacing w:val="-2"/>
          <w:sz w:val="20"/>
        </w:rPr>
        <w:t> </w:t>
      </w:r>
      <w:r>
        <w:rPr>
          <w:sz w:val="20"/>
        </w:rPr>
        <w:t>see</w:t>
      </w:r>
      <w:r>
        <w:rPr>
          <w:spacing w:val="-2"/>
          <w:sz w:val="20"/>
        </w:rPr>
        <w:t> </w:t>
      </w:r>
      <w:r>
        <w:rPr>
          <w:sz w:val="20"/>
        </w:rPr>
        <w:t>Treitel,</w:t>
      </w:r>
      <w:r>
        <w:rPr>
          <w:spacing w:val="-3"/>
          <w:sz w:val="20"/>
        </w:rPr>
        <w:t> </w:t>
      </w:r>
      <w:r>
        <w:rPr>
          <w:rFonts w:ascii="Arial" w:hAnsi="Arial"/>
          <w:i/>
          <w:sz w:val="20"/>
        </w:rPr>
        <w:t>Remedies</w:t>
      </w:r>
      <w:r>
        <w:rPr>
          <w:rFonts w:ascii="Arial" w:hAnsi="Arial"/>
          <w:i/>
          <w:spacing w:val="-2"/>
          <w:sz w:val="20"/>
        </w:rPr>
        <w:t> </w:t>
      </w:r>
      <w:r>
        <w:rPr>
          <w:rFonts w:ascii="Arial" w:hAnsi="Arial"/>
          <w:i/>
          <w:sz w:val="20"/>
        </w:rPr>
        <w:t>for</w:t>
      </w:r>
      <w:r>
        <w:rPr>
          <w:rFonts w:ascii="Arial" w:hAnsi="Arial"/>
          <w:i/>
          <w:spacing w:val="-2"/>
          <w:sz w:val="20"/>
        </w:rPr>
        <w:t> </w:t>
      </w:r>
      <w:r>
        <w:rPr>
          <w:rFonts w:ascii="Arial" w:hAnsi="Arial"/>
          <w:i/>
          <w:sz w:val="20"/>
        </w:rPr>
        <w:t>Breach</w:t>
      </w:r>
      <w:r>
        <w:rPr>
          <w:rFonts w:ascii="Arial" w:hAnsi="Arial"/>
          <w:i/>
          <w:spacing w:val="-2"/>
          <w:sz w:val="20"/>
        </w:rPr>
        <w:t> </w:t>
      </w:r>
      <w:r>
        <w:rPr>
          <w:rFonts w:ascii="Arial" w:hAnsi="Arial"/>
          <w:i/>
          <w:sz w:val="20"/>
        </w:rPr>
        <w:t>of</w:t>
      </w:r>
      <w:r>
        <w:rPr>
          <w:rFonts w:ascii="Arial" w:hAnsi="Arial"/>
          <w:i/>
          <w:spacing w:val="-2"/>
          <w:sz w:val="20"/>
        </w:rPr>
        <w:t> </w:t>
      </w:r>
      <w:r>
        <w:rPr>
          <w:rFonts w:ascii="Arial" w:hAnsi="Arial"/>
          <w:i/>
          <w:sz w:val="20"/>
        </w:rPr>
        <w:t>Contract</w:t>
      </w:r>
      <w:r>
        <w:rPr>
          <w:rFonts w:ascii="Arial" w:hAnsi="Arial"/>
          <w:i/>
          <w:spacing w:val="-3"/>
          <w:sz w:val="20"/>
        </w:rPr>
        <w:t> </w:t>
      </w:r>
      <w:r>
        <w:rPr>
          <w:sz w:val="20"/>
        </w:rPr>
        <w:t>(1988)</w:t>
      </w:r>
      <w:r>
        <w:rPr>
          <w:spacing w:val="-2"/>
          <w:sz w:val="20"/>
        </w:rPr>
        <w:t> </w:t>
      </w:r>
      <w:r>
        <w:rPr>
          <w:sz w:val="20"/>
        </w:rPr>
        <w:t>262–263.</w:t>
      </w:r>
      <w:r>
        <w:rPr>
          <w:spacing w:val="-2"/>
          <w:sz w:val="20"/>
        </w:rPr>
        <w:t> </w:t>
      </w:r>
      <w:r>
        <w:rPr>
          <w:sz w:val="20"/>
        </w:rPr>
        <w:t>In</w:t>
      </w:r>
      <w:r>
        <w:rPr>
          <w:spacing w:val="-3"/>
          <w:sz w:val="20"/>
        </w:rPr>
        <w:t> </w:t>
      </w:r>
      <w:r>
        <w:rPr>
          <w:rFonts w:ascii="Arial" w:hAnsi="Arial"/>
          <w:i/>
          <w:sz w:val="20"/>
        </w:rPr>
        <w:t>Ignazio Messina &amp; Co v Polskie Linie Oceaniczne [1995] 2 Lloyd’s Rep. 566, 580 </w:t>
      </w:r>
      <w:r>
        <w:rPr>
          <w:sz w:val="20"/>
        </w:rPr>
        <w:t>a condition there under discussion was said to be “a true condition subsequent or suspensive condition”. “Subsequent” here seems to be a misprint for “precedent”. Conversely, in </w:t>
      </w:r>
      <w:r>
        <w:rPr>
          <w:rFonts w:ascii="Arial" w:hAnsi="Arial"/>
          <w:i/>
          <w:sz w:val="20"/>
        </w:rPr>
        <w:t>Golden Strait Corporation</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Nippon</w:t>
      </w:r>
      <w:r>
        <w:rPr>
          <w:rFonts w:ascii="Arial" w:hAnsi="Arial"/>
          <w:i/>
          <w:spacing w:val="20"/>
          <w:sz w:val="20"/>
        </w:rPr>
        <w:t> </w:t>
      </w:r>
      <w:r>
        <w:rPr>
          <w:rFonts w:ascii="Arial" w:hAnsi="Arial"/>
          <w:i/>
          <w:sz w:val="20"/>
        </w:rPr>
        <w:t>Yusen</w:t>
      </w:r>
      <w:r>
        <w:rPr>
          <w:rFonts w:ascii="Arial" w:hAnsi="Arial"/>
          <w:i/>
          <w:spacing w:val="20"/>
          <w:sz w:val="20"/>
        </w:rPr>
        <w:t> </w:t>
      </w:r>
      <w:r>
        <w:rPr>
          <w:rFonts w:ascii="Arial" w:hAnsi="Arial"/>
          <w:i/>
          <w:sz w:val="20"/>
        </w:rPr>
        <w:t>Kubishika</w:t>
      </w:r>
      <w:r>
        <w:rPr>
          <w:rFonts w:ascii="Arial" w:hAnsi="Arial"/>
          <w:i/>
          <w:spacing w:val="20"/>
          <w:sz w:val="20"/>
        </w:rPr>
        <w:t> </w:t>
      </w:r>
      <w:r>
        <w:rPr>
          <w:rFonts w:ascii="Arial" w:hAnsi="Arial"/>
          <w:i/>
          <w:sz w:val="20"/>
        </w:rPr>
        <w:t>Kaisha</w:t>
      </w:r>
      <w:r>
        <w:rPr>
          <w:rFonts w:ascii="Arial" w:hAnsi="Arial"/>
          <w:i/>
          <w:spacing w:val="20"/>
          <w:sz w:val="20"/>
        </w:rPr>
        <w:t> </w:t>
      </w:r>
      <w:r>
        <w:rPr>
          <w:rFonts w:ascii="Arial" w:hAnsi="Arial"/>
          <w:i/>
          <w:sz w:val="20"/>
        </w:rPr>
        <w:t>(The</w:t>
      </w:r>
      <w:r>
        <w:rPr>
          <w:rFonts w:ascii="Arial" w:hAnsi="Arial"/>
          <w:i/>
          <w:spacing w:val="20"/>
          <w:sz w:val="20"/>
        </w:rPr>
        <w:t> </w:t>
      </w:r>
      <w:r>
        <w:rPr>
          <w:rFonts w:ascii="Arial" w:hAnsi="Arial"/>
          <w:i/>
          <w:sz w:val="20"/>
        </w:rPr>
        <w:t>Golden</w:t>
      </w:r>
      <w:r>
        <w:rPr>
          <w:rFonts w:ascii="Arial" w:hAnsi="Arial"/>
          <w:i/>
          <w:spacing w:val="20"/>
          <w:sz w:val="20"/>
        </w:rPr>
        <w:t> </w:t>
      </w:r>
      <w:r>
        <w:rPr>
          <w:rFonts w:ascii="Arial" w:hAnsi="Arial"/>
          <w:i/>
          <w:sz w:val="20"/>
        </w:rPr>
        <w:t>Victory)</w:t>
      </w:r>
      <w:r>
        <w:rPr>
          <w:rFonts w:ascii="Arial" w:hAnsi="Arial"/>
          <w:i/>
          <w:spacing w:val="20"/>
          <w:sz w:val="20"/>
        </w:rPr>
        <w:t> </w:t>
      </w:r>
      <w:r>
        <w:rPr>
          <w:rFonts w:ascii="Arial" w:hAnsi="Arial"/>
          <w:i/>
          <w:sz w:val="20"/>
        </w:rPr>
        <w:t>[2007]</w:t>
      </w:r>
      <w:r>
        <w:rPr>
          <w:rFonts w:ascii="Arial" w:hAnsi="Arial"/>
          <w:i/>
          <w:spacing w:val="20"/>
          <w:sz w:val="20"/>
        </w:rPr>
        <w:t> </w:t>
      </w:r>
      <w:r>
        <w:rPr>
          <w:rFonts w:ascii="Arial" w:hAnsi="Arial"/>
          <w:i/>
          <w:sz w:val="20"/>
        </w:rPr>
        <w:t>UKHL</w:t>
      </w:r>
      <w:r>
        <w:rPr>
          <w:rFonts w:ascii="Arial" w:hAnsi="Arial"/>
          <w:i/>
          <w:spacing w:val="20"/>
          <w:sz w:val="20"/>
        </w:rPr>
        <w:t> </w:t>
      </w:r>
      <w:r>
        <w:rPr>
          <w:rFonts w:ascii="Arial" w:hAnsi="Arial"/>
          <w:i/>
          <w:sz w:val="20"/>
        </w:rPr>
        <w:t>1,</w:t>
      </w:r>
      <w:r>
        <w:rPr>
          <w:rFonts w:ascii="Arial" w:hAnsi="Arial"/>
          <w:i/>
          <w:spacing w:val="20"/>
          <w:sz w:val="20"/>
        </w:rPr>
        <w:t> </w:t>
      </w:r>
      <w:r>
        <w:rPr>
          <w:rFonts w:ascii="Arial" w:hAnsi="Arial"/>
          <w:i/>
          <w:sz w:val="20"/>
        </w:rPr>
        <w:t>[2007]</w:t>
      </w:r>
      <w:r>
        <w:rPr>
          <w:rFonts w:ascii="Arial" w:hAnsi="Arial"/>
          <w:i/>
          <w:spacing w:val="20"/>
          <w:sz w:val="20"/>
        </w:rPr>
        <w:t> </w:t>
      </w:r>
      <w:r>
        <w:rPr>
          <w:rFonts w:ascii="Arial" w:hAnsi="Arial"/>
          <w:i/>
          <w:spacing w:val="-10"/>
          <w:sz w:val="20"/>
        </w:rPr>
        <w:t>2</w:t>
      </w:r>
    </w:p>
    <w:p>
      <w:pPr>
        <w:pStyle w:val="BodyText"/>
        <w:spacing w:line="235" w:lineRule="auto"/>
        <w:ind w:left="705" w:right="167"/>
        <w:jc w:val="both"/>
      </w:pPr>
      <w:r>
        <w:rPr>
          <w:rFonts w:ascii="Arial"/>
          <w:i/>
        </w:rPr>
        <w:t>A.C. 353 </w:t>
      </w:r>
      <w:r>
        <w:rPr/>
        <w:t>a time charter contained a war clause by which each party was to have a right </w:t>
      </w:r>
      <w:r>
        <w:rPr/>
        <w:t>to cancel</w:t>
      </w:r>
      <w:r>
        <w:rPr>
          <w:spacing w:val="3"/>
        </w:rPr>
        <w:t> </w:t>
      </w:r>
      <w:r>
        <w:rPr/>
        <w:t>if</w:t>
      </w:r>
      <w:r>
        <w:rPr>
          <w:spacing w:val="3"/>
        </w:rPr>
        <w:t> </w:t>
      </w:r>
      <w:r>
        <w:rPr/>
        <w:t>war</w:t>
      </w:r>
      <w:r>
        <w:rPr>
          <w:spacing w:val="3"/>
        </w:rPr>
        <w:t> </w:t>
      </w:r>
      <w:r>
        <w:rPr/>
        <w:t>broke</w:t>
      </w:r>
      <w:r>
        <w:rPr>
          <w:spacing w:val="3"/>
        </w:rPr>
        <w:t> </w:t>
      </w:r>
      <w:r>
        <w:rPr/>
        <w:t>out</w:t>
      </w:r>
      <w:r>
        <w:rPr>
          <w:spacing w:val="3"/>
        </w:rPr>
        <w:t> </w:t>
      </w:r>
      <w:r>
        <w:rPr/>
        <w:t>between</w:t>
      </w:r>
      <w:r>
        <w:rPr>
          <w:spacing w:val="3"/>
        </w:rPr>
        <w:t> </w:t>
      </w:r>
      <w:r>
        <w:rPr/>
        <w:t>specified</w:t>
      </w:r>
      <w:r>
        <w:rPr>
          <w:spacing w:val="3"/>
        </w:rPr>
        <w:t> </w:t>
      </w:r>
      <w:r>
        <w:rPr/>
        <w:t>countries.</w:t>
      </w:r>
      <w:r>
        <w:rPr>
          <w:spacing w:val="3"/>
        </w:rPr>
        <w:t> </w:t>
      </w:r>
      <w:r>
        <w:rPr/>
        <w:t>This</w:t>
      </w:r>
      <w:r>
        <w:rPr>
          <w:spacing w:val="3"/>
        </w:rPr>
        <w:t> </w:t>
      </w:r>
      <w:r>
        <w:rPr/>
        <w:t>clause</w:t>
      </w:r>
      <w:r>
        <w:rPr>
          <w:spacing w:val="3"/>
        </w:rPr>
        <w:t> </w:t>
      </w:r>
      <w:r>
        <w:rPr/>
        <w:t>was</w:t>
      </w:r>
      <w:r>
        <w:rPr>
          <w:spacing w:val="3"/>
        </w:rPr>
        <w:t> </w:t>
      </w:r>
      <w:r>
        <w:rPr/>
        <w:t>described</w:t>
      </w:r>
      <w:r>
        <w:rPr>
          <w:spacing w:val="3"/>
        </w:rPr>
        <w:t> </w:t>
      </w:r>
      <w:r>
        <w:rPr/>
        <w:t>at</w:t>
      </w:r>
      <w:r>
        <w:rPr>
          <w:spacing w:val="3"/>
        </w:rPr>
        <w:t> </w:t>
      </w:r>
      <w:r>
        <w:rPr/>
        <w:t>[59],</w:t>
      </w:r>
      <w:r>
        <w:rPr>
          <w:spacing w:val="3"/>
        </w:rPr>
        <w:t> </w:t>
      </w:r>
      <w:r>
        <w:rPr/>
        <w:t>[74]</w:t>
      </w:r>
      <w:r>
        <w:rPr>
          <w:spacing w:val="3"/>
        </w:rPr>
        <w:t> </w:t>
      </w:r>
      <w:r>
        <w:rPr>
          <w:spacing w:val="-5"/>
        </w:rPr>
        <w:t>an</w:t>
      </w:r>
      <w:r>
        <w:rPr>
          <w:spacing w:val="-5"/>
        </w:rPr>
        <w:t>d</w:t>
      </w:r>
    </w:p>
    <w:p>
      <w:pPr>
        <w:pStyle w:val="BodyText"/>
        <w:spacing w:line="235" w:lineRule="auto"/>
        <w:ind w:left="705" w:right="167"/>
        <w:jc w:val="both"/>
      </w:pPr>
      <w:r>
        <w:rPr/>
        <w:t>[82] as a “suspensive” condition. With great respect, it is submitted that a clause of this kind (entitling parties to bring contractual obligations to an end) is more properly described </w:t>
      </w:r>
      <w:r>
        <w:rPr/>
        <w:t>as resolutive. For difficulties in drawing the distinction between the two types of condition, see below n.821, para.2-162, n.834 and para.2-161 at nn.832, 833.</w:t>
      </w:r>
    </w:p>
    <w:p>
      <w:pPr>
        <w:pStyle w:val="BodyText"/>
        <w:spacing w:before="5"/>
      </w:pPr>
    </w:p>
    <w:p>
      <w:pPr>
        <w:spacing w:line="235" w:lineRule="auto" w:before="1"/>
        <w:ind w:left="705" w:right="167" w:hanging="541"/>
        <w:jc w:val="both"/>
        <w:rPr>
          <w:sz w:val="20"/>
        </w:rPr>
      </w:pPr>
      <w:bookmarkStart w:name="_bookmark1603" w:id="1605"/>
      <w:bookmarkEnd w:id="1605"/>
      <w:r>
        <w:rPr/>
      </w:r>
      <w:hyperlink w:history="true" w:anchor="_bookmark1595">
        <w:r>
          <w:rPr>
            <w:color w:val="005DA1"/>
            <w:position w:val="5"/>
            <w:sz w:val="14"/>
            <w:u w:val="single" w:color="005DA1"/>
          </w:rPr>
          <w:t>840</w:t>
        </w:r>
      </w:hyperlink>
      <w:r>
        <w:rPr>
          <w:position w:val="5"/>
          <w:sz w:val="14"/>
        </w:rPr>
        <w:t>.</w:t>
      </w:r>
      <w:r>
        <w:rPr>
          <w:spacing w:val="40"/>
          <w:position w:val="5"/>
          <w:sz w:val="14"/>
        </w:rPr>
        <w:t>  </w:t>
      </w:r>
      <w:r>
        <w:rPr>
          <w:sz w:val="20"/>
        </w:rPr>
        <w:t>cf. </w:t>
      </w:r>
      <w:r>
        <w:rPr>
          <w:rFonts w:ascii="Arial" w:hAnsi="Arial"/>
          <w:i/>
          <w:sz w:val="20"/>
        </w:rPr>
        <w:t>Brown v Knowsley B.C. [1986] I.R.L.R. 102 </w:t>
      </w:r>
      <w:r>
        <w:rPr>
          <w:sz w:val="20"/>
        </w:rPr>
        <w:t>(appointment to “last only as long as sufficient funds were provided” from specified sources); (semble) </w:t>
      </w:r>
      <w:r>
        <w:rPr>
          <w:rFonts w:ascii="Arial" w:hAnsi="Arial"/>
          <w:i/>
          <w:sz w:val="20"/>
        </w:rPr>
        <w:t>Gyllenhammar &amp; Partners </w:t>
      </w:r>
      <w:r>
        <w:rPr>
          <w:rFonts w:ascii="Arial" w:hAnsi="Arial"/>
          <w:i/>
          <w:sz w:val="20"/>
        </w:rPr>
        <w:t>International v Sour Brodogradevna Industria [1989] 2 Lloyd’s Rep. 403</w:t>
      </w:r>
      <w:r>
        <w:rPr>
          <w:rFonts w:ascii="Arial" w:hAnsi="Arial"/>
          <w:i/>
          <w:spacing w:val="-1"/>
          <w:sz w:val="20"/>
        </w:rPr>
        <w:t> </w:t>
      </w:r>
      <w:r>
        <w:rPr>
          <w:sz w:val="20"/>
        </w:rPr>
        <w:t>(contract to “become null and void” if certain</w:t>
      </w:r>
      <w:r>
        <w:rPr>
          <w:spacing w:val="-3"/>
          <w:sz w:val="20"/>
        </w:rPr>
        <w:t> </w:t>
      </w:r>
      <w:r>
        <w:rPr>
          <w:sz w:val="20"/>
        </w:rPr>
        <w:t>consents</w:t>
      </w:r>
      <w:r>
        <w:rPr>
          <w:spacing w:val="-3"/>
          <w:sz w:val="20"/>
        </w:rPr>
        <w:t> </w:t>
      </w:r>
      <w:r>
        <w:rPr>
          <w:sz w:val="20"/>
        </w:rPr>
        <w:t>were</w:t>
      </w:r>
      <w:r>
        <w:rPr>
          <w:spacing w:val="-3"/>
          <w:sz w:val="20"/>
        </w:rPr>
        <w:t> </w:t>
      </w:r>
      <w:r>
        <w:rPr>
          <w:sz w:val="20"/>
        </w:rPr>
        <w:t>not</w:t>
      </w:r>
      <w:r>
        <w:rPr>
          <w:spacing w:val="-3"/>
          <w:sz w:val="20"/>
        </w:rPr>
        <w:t> </w:t>
      </w:r>
      <w:r>
        <w:rPr>
          <w:sz w:val="20"/>
        </w:rPr>
        <w:t>obtained)</w:t>
      </w:r>
      <w:r>
        <w:rPr>
          <w:spacing w:val="-3"/>
          <w:sz w:val="20"/>
        </w:rPr>
        <w:t> </w:t>
      </w:r>
      <w:r>
        <w:rPr>
          <w:sz w:val="20"/>
        </w:rPr>
        <w:t>and</w:t>
      </w:r>
      <w:r>
        <w:rPr>
          <w:spacing w:val="-4"/>
          <w:sz w:val="20"/>
        </w:rPr>
        <w:t> </w:t>
      </w:r>
      <w:r>
        <w:rPr>
          <w:rFonts w:ascii="Arial" w:hAnsi="Arial"/>
          <w:i/>
          <w:sz w:val="20"/>
        </w:rPr>
        <w:t>Jameson</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CEGB</w:t>
      </w:r>
      <w:r>
        <w:rPr>
          <w:rFonts w:ascii="Arial" w:hAnsi="Arial"/>
          <w:i/>
          <w:spacing w:val="-3"/>
          <w:sz w:val="20"/>
        </w:rPr>
        <w:t> </w:t>
      </w:r>
      <w:r>
        <w:rPr>
          <w:rFonts w:ascii="Arial" w:hAnsi="Arial"/>
          <w:i/>
          <w:sz w:val="20"/>
        </w:rPr>
        <w:t>[2000]</w:t>
      </w:r>
      <w:r>
        <w:rPr>
          <w:rFonts w:ascii="Arial" w:hAnsi="Arial"/>
          <w:i/>
          <w:spacing w:val="-3"/>
          <w:sz w:val="20"/>
        </w:rPr>
        <w:t> </w:t>
      </w:r>
      <w:r>
        <w:rPr>
          <w:rFonts w:ascii="Arial" w:hAnsi="Arial"/>
          <w:i/>
          <w:sz w:val="20"/>
        </w:rPr>
        <w:t>1</w:t>
      </w:r>
      <w:r>
        <w:rPr>
          <w:rFonts w:ascii="Arial" w:hAnsi="Arial"/>
          <w:i/>
          <w:spacing w:val="-3"/>
          <w:sz w:val="20"/>
        </w:rPr>
        <w:t> </w:t>
      </w:r>
      <w:r>
        <w:rPr>
          <w:rFonts w:ascii="Arial" w:hAnsi="Arial"/>
          <w:i/>
          <w:sz w:val="20"/>
        </w:rPr>
        <w:t>A.C.</w:t>
      </w:r>
      <w:r>
        <w:rPr>
          <w:rFonts w:ascii="Arial" w:hAnsi="Arial"/>
          <w:i/>
          <w:spacing w:val="-3"/>
          <w:sz w:val="20"/>
        </w:rPr>
        <w:t> </w:t>
      </w:r>
      <w:r>
        <w:rPr>
          <w:rFonts w:ascii="Arial" w:hAnsi="Arial"/>
          <w:i/>
          <w:sz w:val="20"/>
        </w:rPr>
        <w:t>455</w:t>
      </w:r>
      <w:r>
        <w:rPr>
          <w:rFonts w:ascii="Arial" w:hAnsi="Arial"/>
          <w:i/>
          <w:spacing w:val="-4"/>
          <w:sz w:val="20"/>
        </w:rPr>
        <w:t> </w:t>
      </w:r>
      <w:r>
        <w:rPr>
          <w:sz w:val="20"/>
        </w:rPr>
        <w:t>at</w:t>
      </w:r>
      <w:r>
        <w:rPr>
          <w:spacing w:val="-3"/>
          <w:sz w:val="20"/>
        </w:rPr>
        <w:t> </w:t>
      </w:r>
      <w:r>
        <w:rPr>
          <w:sz w:val="20"/>
        </w:rPr>
        <w:t>477</w:t>
      </w:r>
      <w:r>
        <w:rPr>
          <w:spacing w:val="-3"/>
          <w:sz w:val="20"/>
        </w:rPr>
        <w:t> </w:t>
      </w:r>
      <w:r>
        <w:rPr>
          <w:sz w:val="20"/>
        </w:rPr>
        <w:t>(settlement of tort claim immediately binding but subject to implied resolutive condition that it was to</w:t>
      </w:r>
      <w:r>
        <w:rPr>
          <w:spacing w:val="40"/>
          <w:sz w:val="20"/>
        </w:rPr>
        <w:t> </w:t>
      </w:r>
      <w:r>
        <w:rPr>
          <w:sz w:val="20"/>
        </w:rPr>
        <w:t>become</w:t>
      </w:r>
      <w:r>
        <w:rPr>
          <w:spacing w:val="-3"/>
          <w:sz w:val="20"/>
        </w:rPr>
        <w:t> </w:t>
      </w:r>
      <w:r>
        <w:rPr>
          <w:sz w:val="20"/>
        </w:rPr>
        <w:t>void</w:t>
      </w:r>
      <w:r>
        <w:rPr>
          <w:spacing w:val="-3"/>
          <w:sz w:val="20"/>
        </w:rPr>
        <w:t> </w:t>
      </w:r>
      <w:r>
        <w:rPr>
          <w:sz w:val="20"/>
        </w:rPr>
        <w:t>if</w:t>
      </w:r>
      <w:r>
        <w:rPr>
          <w:spacing w:val="-3"/>
          <w:sz w:val="20"/>
        </w:rPr>
        <w:t> </w:t>
      </w:r>
      <w:r>
        <w:rPr>
          <w:sz w:val="20"/>
        </w:rPr>
        <w:t>the</w:t>
      </w:r>
      <w:r>
        <w:rPr>
          <w:spacing w:val="-3"/>
          <w:sz w:val="20"/>
        </w:rPr>
        <w:t> </w:t>
      </w:r>
      <w:r>
        <w:rPr>
          <w:sz w:val="20"/>
        </w:rPr>
        <w:t>agreed</w:t>
      </w:r>
      <w:r>
        <w:rPr>
          <w:spacing w:val="-3"/>
          <w:sz w:val="20"/>
        </w:rPr>
        <w:t> </w:t>
      </w:r>
      <w:r>
        <w:rPr>
          <w:sz w:val="20"/>
        </w:rPr>
        <w:t>amount</w:t>
      </w:r>
      <w:r>
        <w:rPr>
          <w:spacing w:val="-3"/>
          <w:sz w:val="20"/>
        </w:rPr>
        <w:t> </w:t>
      </w:r>
      <w:r>
        <w:rPr>
          <w:sz w:val="20"/>
        </w:rPr>
        <w:t>was</w:t>
      </w:r>
      <w:r>
        <w:rPr>
          <w:spacing w:val="-3"/>
          <w:sz w:val="20"/>
        </w:rPr>
        <w:t> </w:t>
      </w:r>
      <w:r>
        <w:rPr>
          <w:sz w:val="20"/>
        </w:rPr>
        <w:t>not</w:t>
      </w:r>
      <w:r>
        <w:rPr>
          <w:spacing w:val="-3"/>
          <w:sz w:val="20"/>
        </w:rPr>
        <w:t> </w:t>
      </w:r>
      <w:r>
        <w:rPr>
          <w:sz w:val="20"/>
        </w:rPr>
        <w:t>paid);</w:t>
      </w:r>
      <w:r>
        <w:rPr>
          <w:spacing w:val="-4"/>
          <w:sz w:val="20"/>
        </w:rPr>
        <w:t> </w:t>
      </w:r>
      <w:r>
        <w:rPr>
          <w:rFonts w:ascii="Arial" w:hAnsi="Arial"/>
          <w:i/>
          <w:sz w:val="20"/>
        </w:rPr>
        <w:t>Covington</w:t>
      </w:r>
      <w:r>
        <w:rPr>
          <w:rFonts w:ascii="Arial" w:hAnsi="Arial"/>
          <w:i/>
          <w:spacing w:val="-3"/>
          <w:sz w:val="20"/>
        </w:rPr>
        <w:t> </w:t>
      </w:r>
      <w:r>
        <w:rPr>
          <w:rFonts w:ascii="Arial" w:hAnsi="Arial"/>
          <w:i/>
          <w:sz w:val="20"/>
        </w:rPr>
        <w:t>Marine</w:t>
      </w:r>
      <w:r>
        <w:rPr>
          <w:rFonts w:ascii="Arial" w:hAnsi="Arial"/>
          <w:i/>
          <w:spacing w:val="-3"/>
          <w:sz w:val="20"/>
        </w:rPr>
        <w:t> </w:t>
      </w:r>
      <w:r>
        <w:rPr>
          <w:rFonts w:ascii="Arial" w:hAnsi="Arial"/>
          <w:i/>
          <w:sz w:val="20"/>
        </w:rPr>
        <w:t>Corp</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Xiamen</w:t>
      </w:r>
      <w:r>
        <w:rPr>
          <w:rFonts w:ascii="Arial" w:hAnsi="Arial"/>
          <w:i/>
          <w:spacing w:val="-3"/>
          <w:sz w:val="20"/>
        </w:rPr>
        <w:t> </w:t>
      </w:r>
      <w:r>
        <w:rPr>
          <w:rFonts w:ascii="Arial" w:hAnsi="Arial"/>
          <w:i/>
          <w:sz w:val="20"/>
        </w:rPr>
        <w:t>Shipbuilding Industry</w:t>
      </w:r>
      <w:r>
        <w:rPr>
          <w:rFonts w:ascii="Arial" w:hAnsi="Arial"/>
          <w:i/>
          <w:spacing w:val="26"/>
          <w:sz w:val="20"/>
        </w:rPr>
        <w:t> </w:t>
      </w:r>
      <w:r>
        <w:rPr>
          <w:rFonts w:ascii="Arial" w:hAnsi="Arial"/>
          <w:i/>
          <w:sz w:val="20"/>
        </w:rPr>
        <w:t>Corp</w:t>
      </w:r>
      <w:r>
        <w:rPr>
          <w:rFonts w:ascii="Arial" w:hAnsi="Arial"/>
          <w:i/>
          <w:spacing w:val="26"/>
          <w:sz w:val="20"/>
        </w:rPr>
        <w:t> </w:t>
      </w:r>
      <w:r>
        <w:rPr>
          <w:rFonts w:ascii="Arial" w:hAnsi="Arial"/>
          <w:i/>
          <w:sz w:val="20"/>
        </w:rPr>
        <w:t>[2005]</w:t>
      </w:r>
      <w:r>
        <w:rPr>
          <w:rFonts w:ascii="Arial" w:hAnsi="Arial"/>
          <w:i/>
          <w:spacing w:val="26"/>
          <w:sz w:val="20"/>
        </w:rPr>
        <w:t> </w:t>
      </w:r>
      <w:r>
        <w:rPr>
          <w:rFonts w:ascii="Arial" w:hAnsi="Arial"/>
          <w:i/>
          <w:sz w:val="20"/>
        </w:rPr>
        <w:t>EWHC</w:t>
      </w:r>
      <w:r>
        <w:rPr>
          <w:rFonts w:ascii="Arial" w:hAnsi="Arial"/>
          <w:i/>
          <w:spacing w:val="26"/>
          <w:sz w:val="20"/>
        </w:rPr>
        <w:t> </w:t>
      </w:r>
      <w:r>
        <w:rPr>
          <w:rFonts w:ascii="Arial" w:hAnsi="Arial"/>
          <w:i/>
          <w:sz w:val="20"/>
        </w:rPr>
        <w:t>2912</w:t>
      </w:r>
      <w:r>
        <w:rPr>
          <w:rFonts w:ascii="Arial" w:hAnsi="Arial"/>
          <w:i/>
          <w:spacing w:val="26"/>
          <w:sz w:val="20"/>
        </w:rPr>
        <w:t> </w:t>
      </w:r>
      <w:r>
        <w:rPr>
          <w:rFonts w:ascii="Arial" w:hAnsi="Arial"/>
          <w:i/>
          <w:sz w:val="20"/>
        </w:rPr>
        <w:t>(Comm),</w:t>
      </w:r>
      <w:r>
        <w:rPr>
          <w:rFonts w:ascii="Arial" w:hAnsi="Arial"/>
          <w:i/>
          <w:spacing w:val="26"/>
          <w:sz w:val="20"/>
        </w:rPr>
        <w:t> </w:t>
      </w:r>
      <w:r>
        <w:rPr>
          <w:rFonts w:ascii="Arial" w:hAnsi="Arial"/>
          <w:i/>
          <w:sz w:val="20"/>
        </w:rPr>
        <w:t>[2006]</w:t>
      </w:r>
      <w:r>
        <w:rPr>
          <w:rFonts w:ascii="Arial" w:hAnsi="Arial"/>
          <w:i/>
          <w:spacing w:val="26"/>
          <w:sz w:val="20"/>
        </w:rPr>
        <w:t> </w:t>
      </w:r>
      <w:r>
        <w:rPr>
          <w:rFonts w:ascii="Arial" w:hAnsi="Arial"/>
          <w:i/>
          <w:sz w:val="20"/>
        </w:rPr>
        <w:t>1</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748</w:t>
      </w:r>
      <w:r>
        <w:rPr>
          <w:rFonts w:ascii="Arial" w:hAnsi="Arial"/>
          <w:i/>
          <w:spacing w:val="25"/>
          <w:sz w:val="20"/>
        </w:rPr>
        <w:t> </w:t>
      </w:r>
      <w:r>
        <w:rPr>
          <w:sz w:val="20"/>
        </w:rPr>
        <w:t>at</w:t>
      </w:r>
      <w:r>
        <w:rPr>
          <w:spacing w:val="26"/>
          <w:sz w:val="20"/>
        </w:rPr>
        <w:t> </w:t>
      </w:r>
      <w:r>
        <w:rPr>
          <w:sz w:val="20"/>
        </w:rPr>
        <w:t>[49]</w:t>
      </w:r>
      <w:r>
        <w:rPr>
          <w:spacing w:val="26"/>
          <w:sz w:val="20"/>
        </w:rPr>
        <w:t> </w:t>
      </w:r>
      <w:r>
        <w:rPr>
          <w:sz w:val="20"/>
        </w:rPr>
        <w:t>(contract</w:t>
      </w:r>
      <w:r>
        <w:rPr>
          <w:spacing w:val="26"/>
          <w:sz w:val="20"/>
        </w:rPr>
        <w:t> </w:t>
      </w:r>
      <w:r>
        <w:rPr>
          <w:sz w:val="20"/>
        </w:rPr>
        <w:t>to</w:t>
      </w:r>
      <w:r>
        <w:rPr>
          <w:spacing w:val="26"/>
          <w:sz w:val="20"/>
        </w:rPr>
        <w:t> </w:t>
      </w:r>
      <w:r>
        <w:rPr>
          <w:spacing w:val="-5"/>
          <w:sz w:val="20"/>
        </w:rPr>
        <w:t>be</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jc w:val="both"/>
      </w:pPr>
      <w:r>
        <w:rPr/>
        <w:t>“automatically rescinded” if parties to a shipbuilding contract could not reach agreement </w:t>
      </w:r>
      <w:r>
        <w:rPr/>
        <w:t>within 20 days as to the supplier of the main engine). The distinction between conditions precedent and subsequent was criticised by Holmes (The Common Law (1881), 371); for discussion of</w:t>
      </w:r>
      <w:r>
        <w:rPr>
          <w:spacing w:val="40"/>
        </w:rPr>
        <w:t> </w:t>
      </w:r>
      <w:r>
        <w:rPr/>
        <w:t>this criticism, see Treitel, </w:t>
      </w:r>
      <w:r>
        <w:rPr>
          <w:rFonts w:ascii="Arial" w:hAnsi="Arial"/>
          <w:i/>
        </w:rPr>
        <w:t>Remedies for Breach of Contract </w:t>
      </w:r>
      <w:r>
        <w:rPr/>
        <w:t>(1988), 263–264. English authority recognises that the distinction is by no means always clear cut: see para.2-161 below at n.833. In</w:t>
      </w:r>
      <w:r>
        <w:rPr>
          <w:spacing w:val="2"/>
        </w:rPr>
        <w:t> </w:t>
      </w:r>
      <w:r>
        <w:rPr>
          <w:rFonts w:ascii="Arial" w:hAnsi="Arial"/>
          <w:i/>
        </w:rPr>
        <w:t>Soulsbury</w:t>
      </w:r>
      <w:r>
        <w:rPr>
          <w:rFonts w:ascii="Arial" w:hAnsi="Arial"/>
          <w:i/>
          <w:spacing w:val="3"/>
        </w:rPr>
        <w:t> </w:t>
      </w:r>
      <w:r>
        <w:rPr>
          <w:rFonts w:ascii="Arial" w:hAnsi="Arial"/>
          <w:i/>
        </w:rPr>
        <w:t>v</w:t>
      </w:r>
      <w:r>
        <w:rPr>
          <w:rFonts w:ascii="Arial" w:hAnsi="Arial"/>
          <w:i/>
          <w:spacing w:val="3"/>
        </w:rPr>
        <w:t> </w:t>
      </w:r>
      <w:r>
        <w:rPr>
          <w:rFonts w:ascii="Arial" w:hAnsi="Arial"/>
          <w:i/>
        </w:rPr>
        <w:t>Soulsbury</w:t>
      </w:r>
      <w:r>
        <w:rPr>
          <w:rFonts w:ascii="Arial" w:hAnsi="Arial"/>
          <w:i/>
          <w:spacing w:val="3"/>
        </w:rPr>
        <w:t> </w:t>
      </w:r>
      <w:r>
        <w:rPr>
          <w:rFonts w:ascii="Arial" w:hAnsi="Arial"/>
          <w:i/>
        </w:rPr>
        <w:t>[2007]</w:t>
      </w:r>
      <w:r>
        <w:rPr>
          <w:rFonts w:ascii="Arial" w:hAnsi="Arial"/>
          <w:i/>
          <w:spacing w:val="3"/>
        </w:rPr>
        <w:t> </w:t>
      </w:r>
      <w:r>
        <w:rPr>
          <w:rFonts w:ascii="Arial" w:hAnsi="Arial"/>
          <w:i/>
        </w:rPr>
        <w:t>EWCA</w:t>
      </w:r>
      <w:r>
        <w:rPr>
          <w:rFonts w:ascii="Arial" w:hAnsi="Arial"/>
          <w:i/>
          <w:spacing w:val="3"/>
        </w:rPr>
        <w:t> </w:t>
      </w:r>
      <w:r>
        <w:rPr>
          <w:rFonts w:ascii="Arial" w:hAnsi="Arial"/>
          <w:i/>
        </w:rPr>
        <w:t>Civ</w:t>
      </w:r>
      <w:r>
        <w:rPr>
          <w:rFonts w:ascii="Arial" w:hAnsi="Arial"/>
          <w:i/>
          <w:spacing w:val="3"/>
        </w:rPr>
        <w:t> </w:t>
      </w:r>
      <w:r>
        <w:rPr>
          <w:rFonts w:ascii="Arial" w:hAnsi="Arial"/>
          <w:i/>
        </w:rPr>
        <w:t>969</w:t>
      </w:r>
      <w:r>
        <w:rPr/>
        <w:t>,</w:t>
      </w:r>
      <w:r>
        <w:rPr>
          <w:spacing w:val="3"/>
        </w:rPr>
        <w:t> </w:t>
      </w:r>
      <w:r>
        <w:rPr/>
        <w:t>above,</w:t>
      </w:r>
      <w:r>
        <w:rPr>
          <w:spacing w:val="3"/>
        </w:rPr>
        <w:t> </w:t>
      </w:r>
      <w:r>
        <w:rPr/>
        <w:t>para.2-084,</w:t>
      </w:r>
      <w:r>
        <w:rPr>
          <w:spacing w:val="3"/>
        </w:rPr>
        <w:t> </w:t>
      </w:r>
      <w:r>
        <w:rPr/>
        <w:t>H</w:t>
      </w:r>
      <w:r>
        <w:rPr>
          <w:spacing w:val="3"/>
        </w:rPr>
        <w:t> </w:t>
      </w:r>
      <w:r>
        <w:rPr/>
        <w:t>promised</w:t>
      </w:r>
      <w:r>
        <w:rPr>
          <w:spacing w:val="3"/>
        </w:rPr>
        <w:t> </w:t>
      </w:r>
      <w:r>
        <w:rPr/>
        <w:t>W</w:t>
      </w:r>
      <w:r>
        <w:rPr>
          <w:spacing w:val="3"/>
        </w:rPr>
        <w:t> </w:t>
      </w:r>
      <w:r>
        <w:rPr/>
        <w:t>to</w:t>
      </w:r>
      <w:r>
        <w:rPr>
          <w:spacing w:val="3"/>
        </w:rPr>
        <w:t> </w:t>
      </w:r>
      <w:r>
        <w:rPr/>
        <w:t>leave</w:t>
      </w:r>
      <w:r>
        <w:rPr>
          <w:spacing w:val="3"/>
        </w:rPr>
        <w:t> </w:t>
      </w:r>
      <w:r>
        <w:rPr>
          <w:spacing w:val="-5"/>
        </w:rPr>
        <w:t>her</w:t>
      </w:r>
    </w:p>
    <w:p>
      <w:pPr>
        <w:pStyle w:val="BodyText"/>
        <w:spacing w:line="235" w:lineRule="auto"/>
        <w:ind w:left="705" w:right="167"/>
        <w:jc w:val="both"/>
      </w:pPr>
      <w:r>
        <w:rPr/>
        <w:t>£100,000 if W (1) did not enforce or seek to enforce a maintenance order (obtained in </w:t>
      </w:r>
      <w:r>
        <w:rPr/>
        <w:t>divorce proceedings) against him during their joint lives and (2) she survived H (at [10]). These conditions were described as “subsequent” (at [22], where the second is said simply to be the death</w:t>
      </w:r>
      <w:r>
        <w:rPr>
          <w:spacing w:val="-2"/>
        </w:rPr>
        <w:t> </w:t>
      </w:r>
      <w:r>
        <w:rPr/>
        <w:t>of</w:t>
      </w:r>
      <w:r>
        <w:rPr>
          <w:spacing w:val="-2"/>
        </w:rPr>
        <w:t> </w:t>
      </w:r>
      <w:r>
        <w:rPr/>
        <w:t>H,</w:t>
      </w:r>
      <w:r>
        <w:rPr>
          <w:spacing w:val="-2"/>
        </w:rPr>
        <w:t> </w:t>
      </w:r>
      <w:r>
        <w:rPr/>
        <w:t>without</w:t>
      </w:r>
      <w:r>
        <w:rPr>
          <w:spacing w:val="-2"/>
        </w:rPr>
        <w:t> </w:t>
      </w:r>
      <w:r>
        <w:rPr/>
        <w:t>any</w:t>
      </w:r>
      <w:r>
        <w:rPr>
          <w:spacing w:val="-2"/>
        </w:rPr>
        <w:t> </w:t>
      </w:r>
      <w:r>
        <w:rPr/>
        <w:t>reference</w:t>
      </w:r>
      <w:r>
        <w:rPr>
          <w:spacing w:val="-2"/>
        </w:rPr>
        <w:t> </w:t>
      </w:r>
      <w:r>
        <w:rPr/>
        <w:t>to</w:t>
      </w:r>
      <w:r>
        <w:rPr>
          <w:spacing w:val="-2"/>
        </w:rPr>
        <w:t> </w:t>
      </w:r>
      <w:r>
        <w:rPr/>
        <w:t>W’s</w:t>
      </w:r>
      <w:r>
        <w:rPr>
          <w:spacing w:val="-2"/>
        </w:rPr>
        <w:t> </w:t>
      </w:r>
      <w:r>
        <w:rPr/>
        <w:t>surviving</w:t>
      </w:r>
      <w:r>
        <w:rPr>
          <w:spacing w:val="-2"/>
        </w:rPr>
        <w:t> </w:t>
      </w:r>
      <w:r>
        <w:rPr/>
        <w:t>H).</w:t>
      </w:r>
      <w:r>
        <w:rPr>
          <w:spacing w:val="-2"/>
        </w:rPr>
        <w:t> </w:t>
      </w:r>
      <w:r>
        <w:rPr/>
        <w:t>Since</w:t>
      </w:r>
      <w:r>
        <w:rPr>
          <w:spacing w:val="-2"/>
        </w:rPr>
        <w:t> </w:t>
      </w:r>
      <w:r>
        <w:rPr/>
        <w:t>H’s</w:t>
      </w:r>
      <w:r>
        <w:rPr>
          <w:spacing w:val="-2"/>
        </w:rPr>
        <w:t> </w:t>
      </w:r>
      <w:r>
        <w:rPr/>
        <w:t>estate</w:t>
      </w:r>
      <w:r>
        <w:rPr>
          <w:spacing w:val="-2"/>
        </w:rPr>
        <w:t> </w:t>
      </w:r>
      <w:r>
        <w:rPr/>
        <w:t>did</w:t>
      </w:r>
      <w:r>
        <w:rPr>
          <w:spacing w:val="-2"/>
        </w:rPr>
        <w:t> </w:t>
      </w:r>
      <w:r>
        <w:rPr/>
        <w:t>not</w:t>
      </w:r>
      <w:r>
        <w:rPr>
          <w:spacing w:val="-2"/>
        </w:rPr>
        <w:t> </w:t>
      </w:r>
      <w:r>
        <w:rPr/>
        <w:t>become</w:t>
      </w:r>
      <w:r>
        <w:rPr>
          <w:spacing w:val="-2"/>
        </w:rPr>
        <w:t> </w:t>
      </w:r>
      <w:r>
        <w:rPr/>
        <w:t>liable</w:t>
      </w:r>
      <w:r>
        <w:rPr>
          <w:spacing w:val="-2"/>
        </w:rPr>
        <w:t> </w:t>
      </w:r>
      <w:r>
        <w:rPr/>
        <w:t>for the £100,000 until both conditions had been satisfied, it might seem that they should more properly have been classified as </w:t>
      </w:r>
      <w:r>
        <w:rPr>
          <w:rFonts w:ascii="Arial" w:hAnsi="Arial"/>
          <w:i/>
        </w:rPr>
        <w:t>precedent</w:t>
      </w:r>
      <w:r>
        <w:rPr/>
        <w:t>. Their description as “subsequent” may reflect the facts that, once W had begun the stipulated forbearance, H could no longer revoke his promise (above, para.2-084) and that, if W had, after having begun to forbear, </w:t>
      </w:r>
      <w:r>
        <w:rPr>
          <w:rFonts w:ascii="Arial" w:hAnsi="Arial"/>
          <w:i/>
        </w:rPr>
        <w:t>then </w:t>
      </w:r>
      <w:r>
        <w:rPr/>
        <w:t>sought to enforce</w:t>
      </w:r>
      <w:r>
        <w:rPr>
          <w:spacing w:val="40"/>
        </w:rPr>
        <w:t> </w:t>
      </w:r>
      <w:r>
        <w:rPr/>
        <w:t>the</w:t>
      </w:r>
      <w:r>
        <w:rPr>
          <w:spacing w:val="-2"/>
        </w:rPr>
        <w:t> </w:t>
      </w:r>
      <w:r>
        <w:rPr/>
        <w:t>order,</w:t>
      </w:r>
      <w:r>
        <w:rPr>
          <w:spacing w:val="-2"/>
        </w:rPr>
        <w:t> </w:t>
      </w:r>
      <w:r>
        <w:rPr/>
        <w:t>she</w:t>
      </w:r>
      <w:r>
        <w:rPr>
          <w:spacing w:val="-2"/>
        </w:rPr>
        <w:t> </w:t>
      </w:r>
      <w:r>
        <w:rPr/>
        <w:t>would</w:t>
      </w:r>
      <w:r>
        <w:rPr>
          <w:spacing w:val="-2"/>
        </w:rPr>
        <w:t> </w:t>
      </w:r>
      <w:r>
        <w:rPr/>
        <w:t>have</w:t>
      </w:r>
      <w:r>
        <w:rPr>
          <w:spacing w:val="-2"/>
        </w:rPr>
        <w:t> </w:t>
      </w:r>
      <w:r>
        <w:rPr/>
        <w:t>lost</w:t>
      </w:r>
      <w:r>
        <w:rPr>
          <w:spacing w:val="-2"/>
        </w:rPr>
        <w:t> </w:t>
      </w:r>
      <w:r>
        <w:rPr/>
        <w:t>any</w:t>
      </w:r>
      <w:r>
        <w:rPr>
          <w:spacing w:val="-2"/>
        </w:rPr>
        <w:t> </w:t>
      </w:r>
      <w:r>
        <w:rPr/>
        <w:t>right</w:t>
      </w:r>
      <w:r>
        <w:rPr>
          <w:spacing w:val="-2"/>
        </w:rPr>
        <w:t> </w:t>
      </w:r>
      <w:r>
        <w:rPr/>
        <w:t>to</w:t>
      </w:r>
      <w:r>
        <w:rPr>
          <w:spacing w:val="-3"/>
        </w:rPr>
        <w:t> </w:t>
      </w:r>
      <w:r>
        <w:rPr>
          <w:rFonts w:ascii="Arial" w:hAnsi="Arial"/>
          <w:i/>
        </w:rPr>
        <w:t>damages</w:t>
      </w:r>
      <w:r>
        <w:rPr>
          <w:rFonts w:ascii="Arial" w:hAnsi="Arial"/>
          <w:i/>
          <w:spacing w:val="-2"/>
        </w:rPr>
        <w:t> </w:t>
      </w:r>
      <w:r>
        <w:rPr/>
        <w:t>in</w:t>
      </w:r>
      <w:r>
        <w:rPr>
          <w:spacing w:val="-2"/>
        </w:rPr>
        <w:t> </w:t>
      </w:r>
      <w:r>
        <w:rPr/>
        <w:t>respect</w:t>
      </w:r>
      <w:r>
        <w:rPr>
          <w:spacing w:val="-2"/>
        </w:rPr>
        <w:t> </w:t>
      </w:r>
      <w:r>
        <w:rPr/>
        <w:t>of</w:t>
      </w:r>
      <w:r>
        <w:rPr>
          <w:spacing w:val="-2"/>
        </w:rPr>
        <w:t> </w:t>
      </w:r>
      <w:r>
        <w:rPr/>
        <w:t>any</w:t>
      </w:r>
      <w:r>
        <w:rPr>
          <w:spacing w:val="-2"/>
        </w:rPr>
        <w:t> </w:t>
      </w:r>
      <w:r>
        <w:rPr/>
        <w:t>purported</w:t>
      </w:r>
      <w:r>
        <w:rPr>
          <w:spacing w:val="-2"/>
        </w:rPr>
        <w:t> </w:t>
      </w:r>
      <w:r>
        <w:rPr/>
        <w:t>revocation</w:t>
      </w:r>
      <w:r>
        <w:rPr>
          <w:spacing w:val="-2"/>
        </w:rPr>
        <w:t> </w:t>
      </w:r>
      <w:r>
        <w:rPr/>
        <w:t>by</w:t>
      </w:r>
      <w:r>
        <w:rPr>
          <w:spacing w:val="-2"/>
        </w:rPr>
        <w:t> </w:t>
      </w:r>
      <w:r>
        <w:rPr/>
        <w:t>H which she might have had (before her change of course) by virtue of her earlier forbearance (see above, para.2-091). But her right </w:t>
      </w:r>
      <w:r>
        <w:rPr>
          <w:rFonts w:ascii="Arial" w:hAnsi="Arial"/>
          <w:i/>
        </w:rPr>
        <w:t>to payment of the £100,000 </w:t>
      </w:r>
      <w:r>
        <w:rPr/>
        <w:t>as an agreed sum would not have accrued until both of the above conditions had been fully satisfied. The starting point for assessing damages would no doubt be the £100,000; but that sum would have to be discounted: e.g. (if the action were brought during the parties’ joint lives), by the risk of W’s not surviving H and by the factor of accelerated payment.</w:t>
      </w:r>
    </w:p>
    <w:p>
      <w:pPr>
        <w:pStyle w:val="BodyText"/>
        <w:spacing w:before="2"/>
      </w:pPr>
    </w:p>
    <w:p>
      <w:pPr>
        <w:pStyle w:val="BodyText"/>
        <w:spacing w:line="235" w:lineRule="auto"/>
        <w:ind w:left="705" w:right="167" w:hanging="541"/>
        <w:jc w:val="both"/>
      </w:pPr>
      <w:bookmarkStart w:name="_bookmark1604" w:id="1606"/>
      <w:bookmarkEnd w:id="1606"/>
      <w:r>
        <w:rPr/>
      </w:r>
      <w:hyperlink w:history="true" w:anchor="_bookmark1596">
        <w:r>
          <w:rPr>
            <w:color w:val="005DA1"/>
            <w:position w:val="5"/>
            <w:sz w:val="14"/>
            <w:u w:val="single" w:color="005DA1"/>
          </w:rPr>
          <w:t>841</w:t>
        </w:r>
      </w:hyperlink>
      <w:r>
        <w:rPr>
          <w:position w:val="5"/>
          <w:sz w:val="14"/>
        </w:rPr>
        <w:t>.</w:t>
      </w:r>
      <w:r>
        <w:rPr>
          <w:spacing w:val="40"/>
          <w:position w:val="5"/>
          <w:sz w:val="14"/>
        </w:rPr>
        <w:t>  </w:t>
      </w:r>
      <w:r>
        <w:rPr/>
        <w:t>See the further provision in the contract in the </w:t>
      </w:r>
      <w:r>
        <w:rPr>
          <w:rFonts w:ascii="Arial"/>
          <w:i/>
        </w:rPr>
        <w:t>Vitol </w:t>
      </w:r>
      <w:r>
        <w:rPr/>
        <w:t>case (above, para.2-157 n.817) giving the seller the right to terminate the contract if the letter of credit were not made operative by </w:t>
      </w:r>
      <w:r>
        <w:rPr/>
        <w:t>a specified date.</w:t>
      </w:r>
    </w:p>
    <w:p>
      <w:pPr>
        <w:pStyle w:val="BodyText"/>
        <w:spacing w:before="192"/>
      </w:pPr>
    </w:p>
    <w:p>
      <w:pPr>
        <w:spacing w:before="1"/>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940" w:right="943" w:firstLine="0"/>
        <w:jc w:val="center"/>
        <w:rPr>
          <w:rFonts w:ascii="Arial"/>
          <w:b/>
          <w:sz w:val="24"/>
        </w:rPr>
      </w:pPr>
      <w:r>
        <w:rPr>
          <w:rFonts w:ascii="Arial"/>
          <w:b/>
          <w:sz w:val="24"/>
        </w:rPr>
        <w:t>Section 8. - Conditional </w:t>
      </w:r>
      <w:r>
        <w:rPr>
          <w:rFonts w:ascii="Arial"/>
          <w:b/>
          <w:spacing w:val="-2"/>
          <w:sz w:val="24"/>
        </w:rPr>
        <w:t>Agreements</w:t>
      </w:r>
    </w:p>
    <w:p>
      <w:pPr>
        <w:pStyle w:val="ListParagraph"/>
        <w:numPr>
          <w:ilvl w:val="0"/>
          <w:numId w:val="8"/>
        </w:numPr>
        <w:tabs>
          <w:tab w:pos="3538" w:val="left" w:leader="none"/>
        </w:tabs>
        <w:spacing w:line="240" w:lineRule="auto" w:before="194" w:after="0"/>
        <w:ind w:left="3538" w:right="0" w:hanging="373"/>
        <w:jc w:val="left"/>
        <w:rPr>
          <w:b/>
          <w:sz w:val="24"/>
        </w:rPr>
      </w:pPr>
      <w:r>
        <w:rPr>
          <w:b/>
          <w:sz w:val="24"/>
        </w:rPr>
        <w:t>- Degrees of </w:t>
      </w:r>
      <w:r>
        <w:rPr>
          <w:b/>
          <w:spacing w:val="-2"/>
          <w:sz w:val="24"/>
        </w:rPr>
        <w:t>Obligation</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Effects of agreements subject to contingent conditions precedent: in </w:t>
      </w:r>
      <w:r>
        <w:rPr>
          <w:rFonts w:ascii="Arial"/>
          <w:b/>
          <w:spacing w:val="-2"/>
          <w:sz w:val="18"/>
        </w:rPr>
        <w:t>general</w:t>
      </w:r>
    </w:p>
    <w:p>
      <w:pPr>
        <w:pStyle w:val="BodyText"/>
        <w:spacing w:before="42"/>
        <w:rPr>
          <w:rFonts w:ascii="Arial"/>
          <w:b/>
          <w:sz w:val="18"/>
        </w:rPr>
      </w:pPr>
    </w:p>
    <w:p>
      <w:pPr>
        <w:pStyle w:val="Heading2"/>
      </w:pPr>
      <w:r>
        <w:rPr/>
        <w:t>2-</w:t>
      </w:r>
      <w:r>
        <w:rPr>
          <w:spacing w:val="-5"/>
        </w:rPr>
        <w:t>159</w:t>
      </w:r>
    </w:p>
    <w:p>
      <w:pPr>
        <w:pStyle w:val="BodyText"/>
        <w:spacing w:line="235" w:lineRule="auto" w:before="202"/>
        <w:ind w:left="165" w:right="167"/>
        <w:jc w:val="both"/>
      </w:pPr>
      <w:bookmarkStart w:name="_bookmark1605" w:id="1607"/>
      <w:bookmarkEnd w:id="1607"/>
      <w:r>
        <w:rPr/>
      </w:r>
      <w:r>
        <w:rPr/>
        <w:t>Where</w:t>
      </w:r>
      <w:r>
        <w:rPr>
          <w:spacing w:val="-1"/>
        </w:rPr>
        <w:t> </w:t>
      </w:r>
      <w:r>
        <w:rPr/>
        <w:t>an</w:t>
      </w:r>
      <w:r>
        <w:rPr>
          <w:spacing w:val="-1"/>
        </w:rPr>
        <w:t> </w:t>
      </w:r>
      <w:r>
        <w:rPr/>
        <w:t>agreement</w:t>
      </w:r>
      <w:r>
        <w:rPr>
          <w:spacing w:val="-1"/>
        </w:rPr>
        <w:t> </w:t>
      </w:r>
      <w:r>
        <w:rPr/>
        <w:t>is</w:t>
      </w:r>
      <w:r>
        <w:rPr>
          <w:spacing w:val="-1"/>
        </w:rPr>
        <w:t> </w:t>
      </w:r>
      <w:r>
        <w:rPr/>
        <w:t>subject</w:t>
      </w:r>
      <w:r>
        <w:rPr>
          <w:spacing w:val="-1"/>
        </w:rPr>
        <w:t> </w:t>
      </w:r>
      <w:r>
        <w:rPr/>
        <w:t>to</w:t>
      </w:r>
      <w:r>
        <w:rPr>
          <w:spacing w:val="-1"/>
        </w:rPr>
        <w:t> </w:t>
      </w:r>
      <w:r>
        <w:rPr/>
        <w:t>a</w:t>
      </w:r>
      <w:r>
        <w:rPr>
          <w:spacing w:val="-1"/>
        </w:rPr>
        <w:t> </w:t>
      </w:r>
      <w:r>
        <w:rPr/>
        <w:t>contingent</w:t>
      </w:r>
      <w:r>
        <w:rPr>
          <w:spacing w:val="-1"/>
        </w:rPr>
        <w:t> </w:t>
      </w:r>
      <w:r>
        <w:rPr/>
        <w:t>condition</w:t>
      </w:r>
      <w:r>
        <w:rPr>
          <w:spacing w:val="-1"/>
        </w:rPr>
        <w:t> </w:t>
      </w:r>
      <w:r>
        <w:rPr/>
        <w:t>precedent,</w:t>
      </w:r>
      <w:r>
        <w:rPr>
          <w:spacing w:val="-1"/>
        </w:rPr>
        <w:t> </w:t>
      </w:r>
      <w:r>
        <w:rPr/>
        <w:t>there</w:t>
      </w:r>
      <w:r>
        <w:rPr>
          <w:spacing w:val="-1"/>
        </w:rPr>
        <w:t> </w:t>
      </w:r>
      <w:r>
        <w:rPr/>
        <w:t>is,</w:t>
      </w:r>
      <w:r>
        <w:rPr>
          <w:spacing w:val="-1"/>
        </w:rPr>
        <w:t> </w:t>
      </w:r>
      <w:r>
        <w:rPr/>
        <w:t>before</w:t>
      </w:r>
      <w:r>
        <w:rPr>
          <w:spacing w:val="-1"/>
        </w:rPr>
        <w:t> </w:t>
      </w:r>
      <w:r>
        <w:rPr/>
        <w:t>the</w:t>
      </w:r>
      <w:r>
        <w:rPr>
          <w:spacing w:val="-1"/>
        </w:rPr>
        <w:t> </w:t>
      </w:r>
      <w:r>
        <w:rPr/>
        <w:t>occurrence</w:t>
      </w:r>
      <w:r>
        <w:rPr>
          <w:spacing w:val="-1"/>
        </w:rPr>
        <w:t> </w:t>
      </w:r>
      <w:r>
        <w:rPr/>
        <w:t>of the condition, no duty on either party to render the principal performance promised by him </w:t>
      </w:r>
      <w:r>
        <w:rPr>
          <w:color w:val="005DA1"/>
          <w:u w:val="single" w:color="005DA1"/>
          <w:vertAlign w:val="superscript"/>
        </w:rPr>
        <w:t>842</w:t>
      </w:r>
      <w:r>
        <w:rPr>
          <w:vertAlign w:val="baseline"/>
        </w:rPr>
        <w:t>: for example, a seller is not bound to deliver and a buyer is not bound to pay. Nor, in such a case, does either party undertake that the condition will occur. But an agreement subject to such a condition may impose some degree of obligation on the parties or on one of them. Whether it has this effect, and if </w:t>
      </w:r>
      <w:bookmarkStart w:name="_bookmark1606" w:id="1608"/>
      <w:bookmarkEnd w:id="1608"/>
      <w:r>
        <w:rPr>
          <w:vertAlign w:val="baseline"/>
        </w:rPr>
        <w:t>so</w:t>
      </w:r>
      <w:r>
        <w:rPr>
          <w:vertAlign w:val="baseline"/>
        </w:rPr>
        <w:t> what degree of obligation is imposed, depends on the true construction of the term specifying condition. </w:t>
      </w:r>
      <w:r>
        <w:rPr>
          <w:color w:val="005DA1"/>
          <w:u w:val="single" w:color="005DA1"/>
          <w:vertAlign w:val="superscript"/>
        </w:rPr>
        <w:t>843</w:t>
      </w:r>
      <w:r>
        <w:rPr>
          <w:color w:val="005DA1"/>
          <w:vertAlign w:val="baseline"/>
        </w:rPr>
        <w:t> </w:t>
      </w:r>
      <w:r>
        <w:rPr>
          <w:vertAlign w:val="baseline"/>
        </w:rPr>
        <w:t>Various possible degrees of obligation are discussed in paras 2-160—2-164 below.</w:t>
      </w:r>
    </w:p>
    <w:p>
      <w:pPr>
        <w:pStyle w:val="BodyText"/>
      </w:pPr>
    </w:p>
    <w:p>
      <w:pPr>
        <w:pStyle w:val="BodyText"/>
        <w:spacing w:before="36"/>
      </w:pPr>
    </w:p>
    <w:p>
      <w:pPr>
        <w:spacing w:before="0"/>
        <w:ind w:left="165" w:right="0" w:firstLine="0"/>
        <w:jc w:val="left"/>
        <w:rPr>
          <w:rFonts w:ascii="Arial"/>
          <w:b/>
          <w:sz w:val="18"/>
        </w:rPr>
      </w:pPr>
      <w:r>
        <w:rPr>
          <w:rFonts w:ascii="Arial"/>
          <w:b/>
          <w:sz w:val="18"/>
        </w:rPr>
        <w:t>Unrestricted right to </w:t>
      </w:r>
      <w:r>
        <w:rPr>
          <w:rFonts w:ascii="Arial"/>
          <w:b/>
          <w:spacing w:val="-2"/>
          <w:sz w:val="18"/>
        </w:rPr>
        <w:t>withdraw</w:t>
      </w:r>
    </w:p>
    <w:p>
      <w:pPr>
        <w:pStyle w:val="BodyText"/>
        <w:spacing w:before="41"/>
        <w:rPr>
          <w:rFonts w:ascii="Arial"/>
          <w:b/>
          <w:sz w:val="18"/>
        </w:rPr>
      </w:pPr>
    </w:p>
    <w:p>
      <w:pPr>
        <w:pStyle w:val="Heading2"/>
        <w:spacing w:before="1"/>
      </w:pPr>
      <w:r>
        <w:rPr/>
        <w:t>2-</w:t>
      </w:r>
      <w:r>
        <w:rPr>
          <w:spacing w:val="-5"/>
        </w:rPr>
        <w:t>160</w:t>
      </w:r>
    </w:p>
    <w:p>
      <w:pPr>
        <w:pStyle w:val="BodyText"/>
        <w:spacing w:line="235" w:lineRule="auto" w:before="202"/>
        <w:ind w:left="165" w:right="167"/>
        <w:jc w:val="both"/>
      </w:pPr>
      <w:bookmarkStart w:name="_bookmark1607" w:id="1609"/>
      <w:bookmarkEnd w:id="1609"/>
      <w:r>
        <w:rPr/>
      </w:r>
      <w:r>
        <w:rPr/>
        <w:t>One possibility is that, before the event occurs, each party is free to withdraw from the agreement. In </w:t>
      </w:r>
      <w:r>
        <w:rPr>
          <w:rFonts w:ascii="Arial" w:hAnsi="Arial"/>
          <w:i/>
        </w:rPr>
        <w:t>Pym v Campbell </w:t>
      </w:r>
      <w:r>
        <w:rPr>
          <w:color w:val="005DA1"/>
          <w:u w:val="single" w:color="005DA1"/>
          <w:vertAlign w:val="superscript"/>
        </w:rPr>
        <w:t>844</w:t>
      </w:r>
      <w:r>
        <w:rPr>
          <w:color w:val="005DA1"/>
          <w:vertAlign w:val="baseline"/>
        </w:rPr>
        <w:t> </w:t>
      </w:r>
      <w:r>
        <w:rPr>
          <w:vertAlign w:val="baseline"/>
        </w:rPr>
        <w:t>an agreement for the sale of a patent was executed, but the parties at the </w:t>
      </w:r>
      <w:r>
        <w:rPr>
          <w:vertAlign w:val="baseline"/>
        </w:rPr>
        <w:t>same time agreed that it should not “be the agreement” unless a third party approved of the invention. He </w:t>
      </w:r>
      <w:bookmarkStart w:name="_bookmark1608" w:id="1610"/>
      <w:bookmarkEnd w:id="1610"/>
      <w:r>
        <w:rPr>
          <w:vertAlign w:val="baseline"/>
        </w:rPr>
        <w:t>did</w:t>
      </w:r>
      <w:r>
        <w:rPr>
          <w:vertAlign w:val="baseline"/>
        </w:rPr>
        <w:t> not approve, and it was held that the buyer was not liable for refusing to perform. The written agreement was “not an agreement at all”.</w:t>
      </w:r>
      <w:r>
        <w:rPr>
          <w:spacing w:val="-1"/>
          <w:vertAlign w:val="baseline"/>
        </w:rPr>
        <w:t> </w:t>
      </w:r>
      <w:r>
        <w:rPr>
          <w:color w:val="005DA1"/>
          <w:u w:val="single" w:color="005DA1"/>
          <w:vertAlign w:val="superscript"/>
        </w:rPr>
        <w:t>845</w:t>
      </w:r>
      <w:r>
        <w:rPr>
          <w:color w:val="005DA1"/>
          <w:vertAlign w:val="baseline"/>
        </w:rPr>
        <w:t> </w:t>
      </w:r>
      <w:r>
        <w:rPr>
          <w:vertAlign w:val="baseline"/>
        </w:rPr>
        <w:t>If this is taken literally, either party could have withdrawn even before the third party had given his opinion.</w:t>
      </w:r>
    </w:p>
    <w:p>
      <w:pPr>
        <w:pStyle w:val="BodyText"/>
      </w:pPr>
    </w:p>
    <w:p>
      <w:pPr>
        <w:pStyle w:val="BodyText"/>
        <w:spacing w:before="36"/>
      </w:pPr>
    </w:p>
    <w:p>
      <w:pPr>
        <w:spacing w:before="1"/>
        <w:ind w:left="165" w:right="0" w:firstLine="0"/>
        <w:jc w:val="left"/>
        <w:rPr>
          <w:rFonts w:ascii="Arial"/>
          <w:b/>
          <w:sz w:val="18"/>
        </w:rPr>
      </w:pPr>
      <w:r>
        <w:rPr>
          <w:rFonts w:ascii="Arial"/>
          <w:b/>
          <w:sz w:val="18"/>
        </w:rPr>
        <w:t>Restricted right to </w:t>
      </w:r>
      <w:r>
        <w:rPr>
          <w:rFonts w:ascii="Arial"/>
          <w:b/>
          <w:spacing w:val="-2"/>
          <w:sz w:val="18"/>
        </w:rPr>
        <w:t>withdraw</w:t>
      </w:r>
    </w:p>
    <w:p>
      <w:pPr>
        <w:pStyle w:val="BodyText"/>
        <w:spacing w:before="41"/>
        <w:rPr>
          <w:rFonts w:ascii="Arial"/>
          <w:b/>
          <w:sz w:val="18"/>
        </w:rPr>
      </w:pPr>
    </w:p>
    <w:p>
      <w:pPr>
        <w:pStyle w:val="Heading2"/>
      </w:pPr>
      <w:r>
        <w:rPr/>
        <w:t>2-</w:t>
      </w:r>
      <w:r>
        <w:rPr>
          <w:spacing w:val="-5"/>
        </w:rPr>
        <w:t>161</w:t>
      </w:r>
    </w:p>
    <w:p>
      <w:pPr>
        <w:pStyle w:val="BodyText"/>
        <w:spacing w:line="235" w:lineRule="auto" w:before="203"/>
        <w:ind w:left="164" w:right="167"/>
        <w:jc w:val="both"/>
      </w:pPr>
      <w:bookmarkStart w:name="_bookmark1609" w:id="1611"/>
      <w:bookmarkEnd w:id="1611"/>
      <w:r>
        <w:rPr/>
      </w:r>
      <w:r>
        <w:rPr/>
        <w:t>A second possibility is that, before the event occurs, the main obligations have not accrued; but that, </w:t>
      </w:r>
      <w:bookmarkStart w:name="_bookmark1610" w:id="1612"/>
      <w:bookmarkEnd w:id="1612"/>
      <w:r>
        <w:rPr/>
        <w:t>so</w:t>
      </w:r>
      <w:r>
        <w:rPr/>
        <w:t> long as the event can still occur, one (or both) of the parties cannot withdraw. </w:t>
      </w:r>
      <w:r>
        <w:rPr>
          <w:color w:val="005DA1"/>
          <w:u w:val="single" w:color="005DA1"/>
          <w:vertAlign w:val="superscript"/>
        </w:rPr>
        <w:t>846</w:t>
      </w:r>
      <w:r>
        <w:rPr>
          <w:color w:val="005DA1"/>
          <w:vertAlign w:val="baseline"/>
        </w:rPr>
        <w:t> </w:t>
      </w:r>
      <w:r>
        <w:rPr>
          <w:vertAlign w:val="baseline"/>
        </w:rPr>
        <w:t>Thus in </w:t>
      </w:r>
      <w:r>
        <w:rPr>
          <w:rFonts w:ascii="Arial" w:hAnsi="Arial"/>
          <w:i/>
          <w:vertAlign w:val="baseline"/>
        </w:rPr>
        <w:t>Smith </w:t>
      </w:r>
      <w:r>
        <w:rPr>
          <w:rFonts w:ascii="Arial" w:hAnsi="Arial"/>
          <w:i/>
          <w:vertAlign w:val="baseline"/>
        </w:rPr>
        <w:t>v </w:t>
      </w:r>
      <w:bookmarkStart w:name="_bookmark1611" w:id="1613"/>
      <w:bookmarkEnd w:id="1613"/>
      <w:r>
        <w:rPr>
          <w:rFonts w:ascii="Arial" w:hAnsi="Arial"/>
          <w:i/>
          <w:vertAlign w:val="baseline"/>
        </w:rPr>
        <w:t>Butler</w:t>
      </w:r>
      <w:r>
        <w:rPr>
          <w:rFonts w:ascii="Arial" w:hAnsi="Arial"/>
          <w:i/>
          <w:vertAlign w:val="baseline"/>
        </w:rPr>
        <w:t> </w:t>
      </w:r>
      <w:r>
        <w:rPr>
          <w:color w:val="005DA1"/>
          <w:u w:val="single" w:color="005DA1"/>
          <w:vertAlign w:val="superscript"/>
        </w:rPr>
        <w:t>847</w:t>
      </w:r>
      <w:r>
        <w:rPr>
          <w:color w:val="005DA1"/>
          <w:vertAlign w:val="baseline"/>
        </w:rPr>
        <w:t> </w:t>
      </w:r>
      <w:r>
        <w:rPr>
          <w:vertAlign w:val="baseline"/>
        </w:rPr>
        <w:t>A bought land from B on condition that a loan to B (secured by a mortgage on the premises) would be transferred to A. </w:t>
      </w:r>
      <w:r>
        <w:rPr>
          <w:color w:val="005DA1"/>
          <w:u w:val="single" w:color="005DA1"/>
          <w:vertAlign w:val="superscript"/>
        </w:rPr>
        <w:t>848</w:t>
      </w:r>
      <w:r>
        <w:rPr>
          <w:color w:val="005DA1"/>
          <w:vertAlign w:val="baseline"/>
        </w:rPr>
        <w:t> </w:t>
      </w:r>
      <w:r>
        <w:rPr>
          <w:vertAlign w:val="baseline"/>
        </w:rPr>
        <w:t>It was held that A could not withdraw before the time fixed for completion:</w:t>
      </w:r>
      <w:r>
        <w:rPr>
          <w:spacing w:val="-1"/>
          <w:vertAlign w:val="baseline"/>
        </w:rPr>
        <w:t> </w:t>
      </w:r>
      <w:r>
        <w:rPr>
          <w:vertAlign w:val="baseline"/>
        </w:rPr>
        <w:t>he</w:t>
      </w:r>
      <w:r>
        <w:rPr>
          <w:spacing w:val="-1"/>
          <w:vertAlign w:val="baseline"/>
        </w:rPr>
        <w:t> </w:t>
      </w:r>
      <w:r>
        <w:rPr>
          <w:vertAlign w:val="baseline"/>
        </w:rPr>
        <w:t>was</w:t>
      </w:r>
      <w:r>
        <w:rPr>
          <w:spacing w:val="-1"/>
          <w:vertAlign w:val="baseline"/>
        </w:rPr>
        <w:t> </w:t>
      </w:r>
      <w:r>
        <w:rPr>
          <w:vertAlign w:val="baseline"/>
        </w:rPr>
        <w:t>bound</w:t>
      </w:r>
      <w:r>
        <w:rPr>
          <w:spacing w:val="-1"/>
          <w:vertAlign w:val="baseline"/>
        </w:rPr>
        <w:t> </w:t>
      </w:r>
      <w:r>
        <w:rPr>
          <w:vertAlign w:val="baseline"/>
        </w:rPr>
        <w:t>to</w:t>
      </w:r>
      <w:r>
        <w:rPr>
          <w:spacing w:val="-1"/>
          <w:vertAlign w:val="baseline"/>
        </w:rPr>
        <w:t> </w:t>
      </w:r>
      <w:r>
        <w:rPr>
          <w:vertAlign w:val="baseline"/>
        </w:rPr>
        <w:t>wait</w:t>
      </w:r>
      <w:r>
        <w:rPr>
          <w:spacing w:val="-1"/>
          <w:vertAlign w:val="baseline"/>
        </w:rPr>
        <w:t> </w:t>
      </w:r>
      <w:r>
        <w:rPr>
          <w:vertAlign w:val="baseline"/>
        </w:rPr>
        <w:t>until</w:t>
      </w:r>
      <w:r>
        <w:rPr>
          <w:spacing w:val="-1"/>
          <w:vertAlign w:val="baseline"/>
        </w:rPr>
        <w:t> </w:t>
      </w:r>
      <w:r>
        <w:rPr>
          <w:vertAlign w:val="baseline"/>
        </w:rPr>
        <w:t>then</w:t>
      </w:r>
      <w:r>
        <w:rPr>
          <w:spacing w:val="-1"/>
          <w:vertAlign w:val="baseline"/>
        </w:rPr>
        <w:t> </w:t>
      </w:r>
      <w:r>
        <w:rPr>
          <w:vertAlign w:val="baseline"/>
        </w:rPr>
        <w:t>to</w:t>
      </w:r>
      <w:r>
        <w:rPr>
          <w:spacing w:val="-1"/>
          <w:vertAlign w:val="baseline"/>
        </w:rPr>
        <w:t> </w:t>
      </w:r>
      <w:r>
        <w:rPr>
          <w:vertAlign w:val="baseline"/>
        </w:rPr>
        <w:t>see</w:t>
      </w:r>
      <w:r>
        <w:rPr>
          <w:spacing w:val="-1"/>
          <w:vertAlign w:val="baseline"/>
        </w:rPr>
        <w:t> </w:t>
      </w:r>
      <w:r>
        <w:rPr>
          <w:vertAlign w:val="baseline"/>
        </w:rPr>
        <w:t>whether</w:t>
      </w:r>
      <w:r>
        <w:rPr>
          <w:spacing w:val="-1"/>
          <w:vertAlign w:val="baseline"/>
        </w:rPr>
        <w:t> </w:t>
      </w:r>
      <w:r>
        <w:rPr>
          <w:vertAlign w:val="baseline"/>
        </w:rPr>
        <w:t>B</w:t>
      </w:r>
      <w:r>
        <w:rPr>
          <w:spacing w:val="-1"/>
          <w:vertAlign w:val="baseline"/>
        </w:rPr>
        <w:t> </w:t>
      </w:r>
      <w:r>
        <w:rPr>
          <w:vertAlign w:val="baseline"/>
        </w:rPr>
        <w:t>could</w:t>
      </w:r>
      <w:r>
        <w:rPr>
          <w:spacing w:val="-1"/>
          <w:vertAlign w:val="baseline"/>
        </w:rPr>
        <w:t> </w:t>
      </w:r>
      <w:r>
        <w:rPr>
          <w:vertAlign w:val="baseline"/>
        </w:rPr>
        <w:t>arrange</w:t>
      </w:r>
      <w:r>
        <w:rPr>
          <w:spacing w:val="-1"/>
          <w:vertAlign w:val="baseline"/>
        </w:rPr>
        <w:t> </w:t>
      </w:r>
      <w:r>
        <w:rPr>
          <w:vertAlign w:val="baseline"/>
        </w:rPr>
        <w:t>the</w:t>
      </w:r>
      <w:r>
        <w:rPr>
          <w:spacing w:val="-1"/>
          <w:vertAlign w:val="baseline"/>
        </w:rPr>
        <w:t> </w:t>
      </w:r>
      <w:r>
        <w:rPr>
          <w:vertAlign w:val="baseline"/>
        </w:rPr>
        <w:t>transfer.</w:t>
      </w:r>
      <w:r>
        <w:rPr>
          <w:spacing w:val="-1"/>
          <w:vertAlign w:val="baseline"/>
        </w:rPr>
        <w:t> </w:t>
      </w:r>
      <w:r>
        <w:rPr>
          <w:vertAlign w:val="baseline"/>
        </w:rPr>
        <w:t>However,</w:t>
      </w:r>
      <w:r>
        <w:rPr>
          <w:spacing w:val="-1"/>
          <w:vertAlign w:val="baseline"/>
        </w:rPr>
        <w:t> </w:t>
      </w:r>
      <w:r>
        <w:rPr>
          <w:vertAlign w:val="baseline"/>
        </w:rPr>
        <w:t>if</w:t>
      </w:r>
      <w:r>
        <w:rPr>
          <w:spacing w:val="-1"/>
          <w:vertAlign w:val="baseline"/>
        </w:rPr>
        <w:t> </w:t>
      </w:r>
      <w:r>
        <w:rPr>
          <w:vertAlign w:val="baseline"/>
        </w:rPr>
        <w:t>it </w:t>
      </w:r>
      <w:bookmarkStart w:name="_bookmark1612" w:id="1614"/>
      <w:bookmarkEnd w:id="1614"/>
      <w:r>
        <w:rPr>
          <w:vertAlign w:val="baseline"/>
        </w:rPr>
        <w:t>becomes</w:t>
      </w:r>
      <w:r>
        <w:rPr>
          <w:vertAlign w:val="baseline"/>
        </w:rPr>
        <w:t> clear that the condition has not occurred, or that it can no longer occur, within the time </w:t>
      </w:r>
      <w:bookmarkStart w:name="_bookmark1613" w:id="1615"/>
      <w:bookmarkEnd w:id="1615"/>
      <w:r>
        <w:rPr>
          <w:vertAlign w:val="baseline"/>
        </w:rPr>
        <w:t>specified</w:t>
      </w:r>
      <w:r>
        <w:rPr>
          <w:vertAlign w:val="baseline"/>
        </w:rPr>
        <w:t> in the contract, </w:t>
      </w:r>
      <w:r>
        <w:rPr>
          <w:color w:val="005DA1"/>
          <w:u w:val="single" w:color="005DA1"/>
          <w:vertAlign w:val="superscript"/>
        </w:rPr>
        <w:t>849</w:t>
      </w:r>
      <w:r>
        <w:rPr>
          <w:color w:val="005DA1"/>
          <w:vertAlign w:val="baseline"/>
        </w:rPr>
        <w:t> </w:t>
      </w:r>
      <w:r>
        <w:rPr>
          <w:vertAlign w:val="baseline"/>
        </w:rPr>
        <w:t>the parties will be under no further obligations under the contract. In such </w:t>
      </w:r>
      <w:bookmarkStart w:name="_bookmark1614" w:id="1616"/>
      <w:bookmarkEnd w:id="1616"/>
      <w:r>
        <w:rPr>
          <w:vertAlign w:val="baseline"/>
        </w:rPr>
        <w:t>a</w:t>
      </w:r>
      <w:r>
        <w:rPr>
          <w:vertAlign w:val="baseline"/>
        </w:rPr>
        <w:t> case, the effect of the non-occurrence of the condition is that the parties are “no longer bound” </w:t>
      </w:r>
      <w:r>
        <w:rPr>
          <w:color w:val="005DA1"/>
          <w:u w:val="single" w:color="005DA1"/>
          <w:vertAlign w:val="superscript"/>
        </w:rPr>
        <w:t>850</w:t>
      </w:r>
      <w:r>
        <w:rPr>
          <w:color w:val="005DA1"/>
          <w:spacing w:val="40"/>
          <w:vertAlign w:val="baseline"/>
        </w:rPr>
        <w:t> </w:t>
      </w:r>
      <w:bookmarkStart w:name="_bookmark1615" w:id="1617"/>
      <w:bookmarkEnd w:id="1617"/>
      <w:r>
        <w:rPr>
          <w:color w:val="005DA1"/>
          <w:w w:val="92"/>
          <w:vertAlign w:val="baseline"/>
        </w:rPr>
      </w:r>
      <w:r>
        <w:rPr>
          <w:vertAlign w:val="baseline"/>
        </w:rPr>
        <w:t>by the contract, or that the contract is “discharged”. </w:t>
      </w:r>
      <w:r>
        <w:rPr>
          <w:color w:val="005DA1"/>
          <w:u w:val="single" w:color="005DA1"/>
          <w:vertAlign w:val="superscript"/>
        </w:rPr>
        <w:t>851</w:t>
      </w:r>
      <w:r>
        <w:rPr>
          <w:color w:val="005DA1"/>
          <w:vertAlign w:val="baseline"/>
        </w:rPr>
        <w:t> </w:t>
      </w:r>
      <w:r>
        <w:rPr>
          <w:vertAlign w:val="baseline"/>
        </w:rPr>
        <w:t>What the parties have called a “condition precedent” can thus operate as, or have the effect of, a condition subsequent. </w:t>
      </w:r>
      <w:r>
        <w:rPr>
          <w:color w:val="005DA1"/>
          <w:u w:val="single" w:color="005DA1"/>
          <w:vertAlign w:val="superscript"/>
        </w:rPr>
        <w:t>852</w:t>
      </w:r>
    </w:p>
    <w:p>
      <w:pPr>
        <w:pStyle w:val="BodyText"/>
      </w:pPr>
    </w:p>
    <w:p>
      <w:pPr>
        <w:pStyle w:val="BodyText"/>
        <w:spacing w:before="34"/>
      </w:pPr>
    </w:p>
    <w:p>
      <w:pPr>
        <w:spacing w:before="0"/>
        <w:ind w:left="165" w:right="0" w:firstLine="0"/>
        <w:jc w:val="left"/>
        <w:rPr>
          <w:rFonts w:ascii="Arial"/>
          <w:b/>
          <w:sz w:val="18"/>
        </w:rPr>
      </w:pPr>
      <w:r>
        <w:rPr>
          <w:rFonts w:ascii="Arial"/>
          <w:b/>
          <w:sz w:val="18"/>
        </w:rPr>
        <w:t>Duty not to prevent occurrence of the </w:t>
      </w:r>
      <w:r>
        <w:rPr>
          <w:rFonts w:ascii="Arial"/>
          <w:b/>
          <w:spacing w:val="-2"/>
          <w:sz w:val="18"/>
        </w:rPr>
        <w:t>event</w:t>
      </w:r>
    </w:p>
    <w:p>
      <w:pPr>
        <w:spacing w:after="0"/>
        <w:jc w:val="left"/>
        <w:rPr>
          <w:rFonts w:ascii="Arial"/>
          <w:b/>
          <w:sz w:val="18"/>
        </w:rPr>
        <w:sectPr>
          <w:headerReference w:type="default" r:id="rId28"/>
          <w:pgSz w:w="11900" w:h="16840"/>
          <w:pgMar w:header="971" w:footer="0" w:top="1300" w:bottom="280" w:left="1275" w:right="1275"/>
          <w:pgNumType w:start="1"/>
        </w:sectPr>
      </w:pPr>
    </w:p>
    <w:p>
      <w:pPr>
        <w:pStyle w:val="Heading2"/>
        <w:spacing w:before="262"/>
      </w:pPr>
      <w:r>
        <w:rPr/>
        <w:t>2-</w:t>
      </w:r>
      <w:r>
        <w:rPr>
          <w:spacing w:val="-5"/>
        </w:rPr>
        <w:t>162</w:t>
      </w:r>
    </w:p>
    <w:p>
      <w:pPr>
        <w:pStyle w:val="BodyText"/>
        <w:spacing w:line="235" w:lineRule="auto" w:before="202"/>
        <w:ind w:left="165" w:right="167"/>
        <w:jc w:val="both"/>
      </w:pPr>
      <w:r>
        <w:rPr/>
        <w:t>A third possibility is that, before the event occurs, the main obligations have not accrued; but that </w:t>
      </w:r>
      <w:r>
        <w:rPr/>
        <w:t>in </w:t>
      </w:r>
      <w:bookmarkStart w:name="_bookmark1616" w:id="1618"/>
      <w:bookmarkEnd w:id="1618"/>
      <w:r>
        <w:rPr/>
        <w:t>the</w:t>
      </w:r>
      <w:r>
        <w:rPr/>
        <w:t> meantime neither party must do anything to prevent the occurrence of that event. Thus in </w:t>
      </w:r>
      <w:r>
        <w:rPr>
          <w:rFonts w:ascii="Arial" w:hAnsi="Arial"/>
          <w:i/>
        </w:rPr>
        <w:t>Mackay v Dick </w:t>
      </w:r>
      <w:r>
        <w:rPr>
          <w:color w:val="005DA1"/>
          <w:u w:val="single" w:color="005DA1"/>
          <w:vertAlign w:val="superscript"/>
        </w:rPr>
        <w:t>853</w:t>
      </w:r>
      <w:r>
        <w:rPr>
          <w:color w:val="005DA1"/>
          <w:vertAlign w:val="baseline"/>
        </w:rPr>
        <w:t> </w:t>
      </w:r>
      <w:r>
        <w:rPr>
          <w:vertAlign w:val="baseline"/>
        </w:rPr>
        <w:t>an excavating machine was sold on condition that it could excavate at a specified rate on the</w:t>
      </w:r>
      <w:r>
        <w:rPr>
          <w:spacing w:val="-1"/>
          <w:vertAlign w:val="baseline"/>
        </w:rPr>
        <w:t> </w:t>
      </w:r>
      <w:r>
        <w:rPr>
          <w:vertAlign w:val="baseline"/>
        </w:rPr>
        <w:t>buyer’s</w:t>
      </w:r>
      <w:r>
        <w:rPr>
          <w:spacing w:val="-1"/>
          <w:vertAlign w:val="baseline"/>
        </w:rPr>
        <w:t> </w:t>
      </w:r>
      <w:r>
        <w:rPr>
          <w:vertAlign w:val="baseline"/>
        </w:rPr>
        <w:t>property.</w:t>
      </w:r>
      <w:r>
        <w:rPr>
          <w:spacing w:val="-1"/>
          <w:vertAlign w:val="baseline"/>
        </w:rPr>
        <w:t> </w:t>
      </w:r>
      <w:r>
        <w:rPr>
          <w:vertAlign w:val="baseline"/>
        </w:rPr>
        <w:t>The</w:t>
      </w:r>
      <w:r>
        <w:rPr>
          <w:spacing w:val="-1"/>
          <w:vertAlign w:val="baseline"/>
        </w:rPr>
        <w:t> </w:t>
      </w:r>
      <w:r>
        <w:rPr>
          <w:vertAlign w:val="baseline"/>
        </w:rPr>
        <w:t>buyer’s</w:t>
      </w:r>
      <w:r>
        <w:rPr>
          <w:spacing w:val="-1"/>
          <w:vertAlign w:val="baseline"/>
        </w:rPr>
        <w:t> </w:t>
      </w:r>
      <w:r>
        <w:rPr>
          <w:vertAlign w:val="baseline"/>
        </w:rPr>
        <w:t>refusal</w:t>
      </w:r>
      <w:r>
        <w:rPr>
          <w:spacing w:val="-1"/>
          <w:vertAlign w:val="baseline"/>
        </w:rPr>
        <w:t> </w:t>
      </w:r>
      <w:r>
        <w:rPr>
          <w:vertAlign w:val="baseline"/>
        </w:rPr>
        <w:t>to</w:t>
      </w:r>
      <w:r>
        <w:rPr>
          <w:spacing w:val="-1"/>
          <w:vertAlign w:val="baseline"/>
        </w:rPr>
        <w:t> </w:t>
      </w:r>
      <w:r>
        <w:rPr>
          <w:vertAlign w:val="baseline"/>
        </w:rPr>
        <w:t>provide</w:t>
      </w:r>
      <w:r>
        <w:rPr>
          <w:spacing w:val="-1"/>
          <w:vertAlign w:val="baseline"/>
        </w:rPr>
        <w:t> </w:t>
      </w:r>
      <w:r>
        <w:rPr>
          <w:vertAlign w:val="baseline"/>
        </w:rPr>
        <w:t>facilities</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proper</w:t>
      </w:r>
      <w:r>
        <w:rPr>
          <w:spacing w:val="-1"/>
          <w:vertAlign w:val="baseline"/>
        </w:rPr>
        <w:t> </w:t>
      </w:r>
      <w:r>
        <w:rPr>
          <w:vertAlign w:val="baseline"/>
        </w:rPr>
        <w:t>trial</w:t>
      </w:r>
      <w:r>
        <w:rPr>
          <w:spacing w:val="-1"/>
          <w:vertAlign w:val="baseline"/>
        </w:rPr>
        <w:t> </w:t>
      </w:r>
      <w:r>
        <w:rPr>
          <w:vertAlign w:val="baseline"/>
        </w:rPr>
        <w:t>was</w:t>
      </w:r>
      <w:r>
        <w:rPr>
          <w:spacing w:val="-1"/>
          <w:vertAlign w:val="baseline"/>
        </w:rPr>
        <w:t> </w:t>
      </w:r>
      <w:r>
        <w:rPr>
          <w:vertAlign w:val="baseline"/>
        </w:rPr>
        <w:t>held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w:t>
      </w:r>
      <w:r>
        <w:rPr>
          <w:spacing w:val="-1"/>
          <w:vertAlign w:val="baseline"/>
        </w:rPr>
        <w:t> </w:t>
      </w:r>
      <w:r>
        <w:rPr>
          <w:vertAlign w:val="baseline"/>
        </w:rPr>
        <w:t>breach. Similarly, the seller would have been in breach, had he refused to subject the machine to the proper </w:t>
      </w:r>
      <w:bookmarkStart w:name="_bookmark1617" w:id="1619"/>
      <w:bookmarkEnd w:id="1619"/>
      <w:r>
        <w:rPr>
          <w:vertAlign w:val="baseline"/>
        </w:rPr>
        <w:t>test.</w:t>
      </w:r>
      <w:r>
        <w:rPr>
          <w:vertAlign w:val="baseline"/>
        </w:rPr>
        <w:t> A party’s refusal to perform an implied obligation to co-operate with the other has been held to</w:t>
      </w:r>
      <w:r>
        <w:rPr>
          <w:spacing w:val="80"/>
          <w:vertAlign w:val="baseline"/>
        </w:rPr>
        <w:t> </w:t>
      </w:r>
      <w:r>
        <w:rPr>
          <w:vertAlign w:val="baseline"/>
        </w:rPr>
        <w:t>be actionable on the same principle. </w:t>
      </w:r>
      <w:r>
        <w:rPr>
          <w:color w:val="005DA1"/>
          <w:u w:val="single" w:color="005DA1"/>
          <w:vertAlign w:val="superscript"/>
        </w:rPr>
        <w:t>854</w:t>
      </w:r>
      <w:r>
        <w:rPr>
          <w:color w:val="005DA1"/>
          <w:vertAlign w:val="baseline"/>
        </w:rPr>
        <w:t> </w:t>
      </w:r>
      <w:r>
        <w:rPr>
          <w:vertAlign w:val="baseline"/>
        </w:rPr>
        <w:t>That principle is further illustrated by a case </w:t>
      </w:r>
      <w:r>
        <w:rPr>
          <w:color w:val="005DA1"/>
          <w:u w:val="single" w:color="005DA1"/>
          <w:vertAlign w:val="superscript"/>
        </w:rPr>
        <w:t>855</w:t>
      </w:r>
      <w:r>
        <w:rPr>
          <w:color w:val="005DA1"/>
          <w:vertAlign w:val="baseline"/>
        </w:rPr>
        <w:t> </w:t>
      </w:r>
      <w:r>
        <w:rPr>
          <w:vertAlign w:val="baseline"/>
        </w:rPr>
        <w:t>in which a professional footballer was transferred for a fee, part of which was to be paid only after he had scored 20 goals. Before he had done so, the new club dropped him from their first team, and they were held to be in breach as they had not given the player a reasonable opportunity to score the 20 goals. The duty not to prevent the occurrence of the condition has been explained as resting on an implied term </w:t>
      </w:r>
      <w:bookmarkStart w:name="_bookmark1618" w:id="1620"/>
      <w:bookmarkEnd w:id="1620"/>
      <w:r>
        <w:rPr>
          <w:vertAlign w:val="baseline"/>
        </w:rPr>
        <w:t>and</w:t>
      </w:r>
      <w:r>
        <w:rPr>
          <w:vertAlign w:val="baseline"/>
        </w:rPr>
        <w:t> this explanation limits the scope of the duty in a number of ways. For example, the implied term </w:t>
      </w:r>
      <w:bookmarkStart w:name="_bookmark1619" w:id="1621"/>
      <w:bookmarkEnd w:id="1621"/>
      <w:r>
        <w:rPr>
          <w:vertAlign w:val="baseline"/>
        </w:rPr>
        <w:t>may</w:t>
      </w:r>
      <w:r>
        <w:rPr>
          <w:vertAlign w:val="baseline"/>
        </w:rPr>
        <w:t> be only to the effect that a party will not </w:t>
      </w:r>
      <w:r>
        <w:rPr>
          <w:rFonts w:ascii="Arial" w:hAnsi="Arial"/>
          <w:i/>
          <w:vertAlign w:val="baseline"/>
        </w:rPr>
        <w:t>deliberately </w:t>
      </w:r>
      <w:r>
        <w:rPr>
          <w:vertAlign w:val="baseline"/>
        </w:rPr>
        <w:t>prevent the occurrence of the condition </w:t>
      </w:r>
      <w:r>
        <w:rPr>
          <w:color w:val="005DA1"/>
          <w:u w:val="single" w:color="005DA1"/>
          <w:vertAlign w:val="superscript"/>
        </w:rPr>
        <w:t>856</w:t>
      </w:r>
      <w:r>
        <w:rPr>
          <w:vertAlign w:val="baseline"/>
        </w:rPr>
        <w:t>;</w:t>
      </w:r>
      <w:r>
        <w:rPr>
          <w:spacing w:val="40"/>
          <w:vertAlign w:val="baseline"/>
        </w:rPr>
        <w:t> </w:t>
      </w:r>
      <w:r>
        <w:rPr>
          <w:vertAlign w:val="baseline"/>
        </w:rPr>
        <w:t>or (even more narrowly) that he will not </w:t>
      </w:r>
      <w:r>
        <w:rPr>
          <w:rFonts w:ascii="Arial" w:hAnsi="Arial"/>
          <w:i/>
          <w:vertAlign w:val="baseline"/>
        </w:rPr>
        <w:t>wrongfully </w:t>
      </w:r>
      <w:r>
        <w:rPr>
          <w:vertAlign w:val="baseline"/>
        </w:rPr>
        <w:t>do so. </w:t>
      </w:r>
      <w:r>
        <w:rPr>
          <w:color w:val="005DA1"/>
          <w:u w:val="single" w:color="005DA1"/>
          <w:vertAlign w:val="superscript"/>
        </w:rPr>
        <w:t>857</w:t>
      </w:r>
      <w:r>
        <w:rPr>
          <w:color w:val="005DA1"/>
          <w:vertAlign w:val="baseline"/>
        </w:rPr>
        <w:t> </w:t>
      </w:r>
      <w:r>
        <w:rPr>
          <w:vertAlign w:val="baseline"/>
        </w:rPr>
        <w:t>The latter type of implication may allow a party to engage in certain kinds of deliberate prevention but not in others: for example, it may allow a company which has promised an employee the opportunity of earning a bonus to deprive him of that </w:t>
      </w:r>
      <w:bookmarkStart w:name="_bookmark1620" w:id="1622"/>
      <w:bookmarkEnd w:id="1622"/>
      <w:r>
        <w:rPr>
          <w:vertAlign w:val="baseline"/>
        </w:rPr>
        <w:t>opportunity</w:t>
      </w:r>
      <w:r>
        <w:rPr>
          <w:vertAlign w:val="baseline"/>
        </w:rPr>
        <w:t> by going out of business, but not, in general, by simply dismissing him, before the bonus </w:t>
      </w:r>
      <w:bookmarkStart w:name="_bookmark1621" w:id="1623"/>
      <w:bookmarkEnd w:id="1623"/>
      <w:r>
        <w:rPr>
          <w:vertAlign w:val="baseline"/>
        </w:rPr>
        <w:t>has</w:t>
      </w:r>
      <w:r>
        <w:rPr>
          <w:spacing w:val="-3"/>
          <w:vertAlign w:val="baseline"/>
        </w:rPr>
        <w:t> </w:t>
      </w:r>
      <w:r>
        <w:rPr>
          <w:vertAlign w:val="baseline"/>
        </w:rPr>
        <w:t>become</w:t>
      </w:r>
      <w:r>
        <w:rPr>
          <w:spacing w:val="-3"/>
          <w:vertAlign w:val="baseline"/>
        </w:rPr>
        <w:t> </w:t>
      </w:r>
      <w:r>
        <w:rPr>
          <w:vertAlign w:val="baseline"/>
        </w:rPr>
        <w:t>due</w:t>
      </w:r>
      <w:r>
        <w:rPr>
          <w:spacing w:val="-3"/>
          <w:vertAlign w:val="baseline"/>
        </w:rPr>
        <w:t> </w:t>
      </w:r>
      <w:r>
        <w:rPr>
          <w:color w:val="005DA1"/>
          <w:u w:val="single" w:color="005DA1"/>
          <w:vertAlign w:val="superscript"/>
        </w:rPr>
        <w:t>858</w:t>
      </w:r>
      <w:r>
        <w:rPr>
          <w:vertAlign w:val="baseline"/>
        </w:rPr>
        <w:t>;</w:t>
      </w:r>
      <w:r>
        <w:rPr>
          <w:spacing w:val="-3"/>
          <w:vertAlign w:val="baseline"/>
        </w:rPr>
        <w:t> </w:t>
      </w:r>
      <w:r>
        <w:rPr>
          <w:vertAlign w:val="baseline"/>
        </w:rPr>
        <w:t>but</w:t>
      </w:r>
      <w:r>
        <w:rPr>
          <w:spacing w:val="-3"/>
          <w:vertAlign w:val="baseline"/>
        </w:rPr>
        <w:t> </w:t>
      </w:r>
      <w:r>
        <w:rPr>
          <w:vertAlign w:val="baseline"/>
        </w:rPr>
        <w:t>this</w:t>
      </w:r>
      <w:r>
        <w:rPr>
          <w:spacing w:val="-3"/>
          <w:vertAlign w:val="baseline"/>
        </w:rPr>
        <w:t> </w:t>
      </w:r>
      <w:r>
        <w:rPr>
          <w:vertAlign w:val="baseline"/>
        </w:rPr>
        <w:t>general</w:t>
      </w:r>
      <w:r>
        <w:rPr>
          <w:spacing w:val="-3"/>
          <w:vertAlign w:val="baseline"/>
        </w:rPr>
        <w:t> </w:t>
      </w:r>
      <w:r>
        <w:rPr>
          <w:vertAlign w:val="baseline"/>
        </w:rPr>
        <w:t>rule</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displaced</w:t>
      </w:r>
      <w:r>
        <w:rPr>
          <w:spacing w:val="-3"/>
          <w:vertAlign w:val="baseline"/>
        </w:rPr>
        <w:t> </w:t>
      </w:r>
      <w:r>
        <w:rPr>
          <w:vertAlign w:val="baseline"/>
        </w:rPr>
        <w:t>by</w:t>
      </w:r>
      <w:r>
        <w:rPr>
          <w:spacing w:val="-3"/>
          <w:vertAlign w:val="baseline"/>
        </w:rPr>
        <w:t> </w:t>
      </w:r>
      <w:r>
        <w:rPr>
          <w:vertAlign w:val="baseline"/>
        </w:rPr>
        <w:t>an</w:t>
      </w:r>
      <w:r>
        <w:rPr>
          <w:spacing w:val="-3"/>
          <w:vertAlign w:val="baseline"/>
        </w:rPr>
        <w:t> </w:t>
      </w:r>
      <w:r>
        <w:rPr>
          <w:vertAlign w:val="baseline"/>
        </w:rPr>
        <w:t>express</w:t>
      </w:r>
      <w:r>
        <w:rPr>
          <w:spacing w:val="-3"/>
          <w:vertAlign w:val="baseline"/>
        </w:rPr>
        <w:t> </w:t>
      </w:r>
      <w:r>
        <w:rPr>
          <w:vertAlign w:val="baseline"/>
        </w:rPr>
        <w:t>term</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e.g.</w:t>
      </w:r>
      <w:r>
        <w:rPr>
          <w:spacing w:val="-3"/>
          <w:vertAlign w:val="baseline"/>
        </w:rPr>
        <w:t> </w:t>
      </w:r>
      <w:r>
        <w:rPr>
          <w:vertAlign w:val="baseline"/>
        </w:rPr>
        <w:t>by one</w:t>
      </w:r>
      <w:r>
        <w:rPr>
          <w:spacing w:val="6"/>
          <w:vertAlign w:val="baseline"/>
        </w:rPr>
        <w:t> </w:t>
      </w:r>
      <w:r>
        <w:rPr>
          <w:vertAlign w:val="baseline"/>
        </w:rPr>
        <w:t>providing</w:t>
      </w:r>
      <w:r>
        <w:rPr>
          <w:spacing w:val="6"/>
          <w:vertAlign w:val="baseline"/>
        </w:rPr>
        <w:t> </w:t>
      </w:r>
      <w:r>
        <w:rPr>
          <w:vertAlign w:val="baseline"/>
        </w:rPr>
        <w:t>that</w:t>
      </w:r>
      <w:r>
        <w:rPr>
          <w:spacing w:val="6"/>
          <w:vertAlign w:val="baseline"/>
        </w:rPr>
        <w:t> </w:t>
      </w:r>
      <w:r>
        <w:rPr>
          <w:vertAlign w:val="baseline"/>
        </w:rPr>
        <w:t>the</w:t>
      </w:r>
      <w:r>
        <w:rPr>
          <w:spacing w:val="6"/>
          <w:vertAlign w:val="baseline"/>
        </w:rPr>
        <w:t> </w:t>
      </w:r>
      <w:r>
        <w:rPr>
          <w:vertAlign w:val="baseline"/>
        </w:rPr>
        <w:t>employee</w:t>
      </w:r>
      <w:r>
        <w:rPr>
          <w:spacing w:val="6"/>
          <w:vertAlign w:val="baseline"/>
        </w:rPr>
        <w:t> </w:t>
      </w:r>
      <w:r>
        <w:rPr>
          <w:vertAlign w:val="baseline"/>
        </w:rPr>
        <w:t>“must</w:t>
      </w:r>
      <w:r>
        <w:rPr>
          <w:spacing w:val="6"/>
          <w:vertAlign w:val="baseline"/>
        </w:rPr>
        <w:t> </w:t>
      </w:r>
      <w:r>
        <w:rPr>
          <w:vertAlign w:val="baseline"/>
        </w:rPr>
        <w:t>be</w:t>
      </w:r>
      <w:r>
        <w:rPr>
          <w:spacing w:val="6"/>
          <w:vertAlign w:val="baseline"/>
        </w:rPr>
        <w:t> </w:t>
      </w:r>
      <w:r>
        <w:rPr>
          <w:vertAlign w:val="baseline"/>
        </w:rPr>
        <w:t>employed</w:t>
      </w:r>
      <w:r>
        <w:rPr>
          <w:spacing w:val="6"/>
          <w:vertAlign w:val="baseline"/>
        </w:rPr>
        <w:t> </w:t>
      </w:r>
      <w:r>
        <w:rPr>
          <w:vertAlign w:val="baseline"/>
        </w:rPr>
        <w:t>by</w:t>
      </w:r>
      <w:r>
        <w:rPr>
          <w:spacing w:val="6"/>
          <w:vertAlign w:val="baseline"/>
        </w:rPr>
        <w:t> </w:t>
      </w:r>
      <w:r>
        <w:rPr>
          <w:vertAlign w:val="baseline"/>
        </w:rPr>
        <w:t>the</w:t>
      </w:r>
      <w:r>
        <w:rPr>
          <w:spacing w:val="6"/>
          <w:vertAlign w:val="baseline"/>
        </w:rPr>
        <w:t> </w:t>
      </w:r>
      <w:r>
        <w:rPr>
          <w:vertAlign w:val="baseline"/>
        </w:rPr>
        <w:t>[employer]</w:t>
      </w:r>
      <w:r>
        <w:rPr>
          <w:spacing w:val="6"/>
          <w:vertAlign w:val="baseline"/>
        </w:rPr>
        <w:t> </w:t>
      </w:r>
      <w:r>
        <w:rPr>
          <w:vertAlign w:val="baseline"/>
        </w:rPr>
        <w:t>in</w:t>
      </w:r>
      <w:r>
        <w:rPr>
          <w:spacing w:val="6"/>
          <w:vertAlign w:val="baseline"/>
        </w:rPr>
        <w:t> </w:t>
      </w:r>
      <w:r>
        <w:rPr>
          <w:vertAlign w:val="baseline"/>
        </w:rPr>
        <w:t>order</w:t>
      </w:r>
      <w:r>
        <w:rPr>
          <w:spacing w:val="6"/>
          <w:vertAlign w:val="baseline"/>
        </w:rPr>
        <w:t> </w:t>
      </w:r>
      <w:r>
        <w:rPr>
          <w:vertAlign w:val="baseline"/>
        </w:rPr>
        <w:t>to</w:t>
      </w:r>
      <w:r>
        <w:rPr>
          <w:spacing w:val="6"/>
          <w:vertAlign w:val="baseline"/>
        </w:rPr>
        <w:t> </w:t>
      </w:r>
      <w:r>
        <w:rPr>
          <w:vertAlign w:val="baseline"/>
        </w:rPr>
        <w:t>receive</w:t>
      </w:r>
      <w:r>
        <w:rPr>
          <w:spacing w:val="6"/>
          <w:vertAlign w:val="baseline"/>
        </w:rPr>
        <w:t> </w:t>
      </w:r>
      <w:r>
        <w:rPr>
          <w:vertAlign w:val="baseline"/>
        </w:rPr>
        <w:t>the</w:t>
      </w:r>
      <w:r>
        <w:rPr>
          <w:spacing w:val="6"/>
          <w:vertAlign w:val="baseline"/>
        </w:rPr>
        <w:t> </w:t>
      </w:r>
      <w:r>
        <w:rPr>
          <w:spacing w:val="-2"/>
          <w:vertAlign w:val="baseline"/>
        </w:rPr>
        <w:t>bonus”.</w:t>
      </w:r>
    </w:p>
    <w:p>
      <w:pPr>
        <w:spacing w:line="106" w:lineRule="exact" w:before="0"/>
        <w:ind w:left="165" w:right="0" w:firstLine="0"/>
        <w:jc w:val="left"/>
        <w:rPr>
          <w:sz w:val="12"/>
        </w:rPr>
      </w:pPr>
      <w:r>
        <w:rPr>
          <w:color w:val="005DA1"/>
          <w:spacing w:val="-5"/>
          <w:sz w:val="12"/>
          <w:u w:val="single" w:color="005DA1"/>
        </w:rPr>
        <w:t>859</w:t>
      </w:r>
    </w:p>
    <w:p>
      <w:pPr>
        <w:pStyle w:val="BodyText"/>
        <w:rPr>
          <w:sz w:val="12"/>
        </w:rPr>
      </w:pPr>
    </w:p>
    <w:p>
      <w:pPr>
        <w:pStyle w:val="BodyText"/>
        <w:rPr>
          <w:sz w:val="12"/>
        </w:rPr>
      </w:pPr>
    </w:p>
    <w:p>
      <w:pPr>
        <w:pStyle w:val="BodyText"/>
        <w:rPr>
          <w:sz w:val="12"/>
        </w:rPr>
      </w:pPr>
    </w:p>
    <w:p>
      <w:pPr>
        <w:pStyle w:val="BodyText"/>
        <w:spacing w:before="58"/>
        <w:rPr>
          <w:sz w:val="12"/>
        </w:rPr>
      </w:pPr>
    </w:p>
    <w:p>
      <w:pPr>
        <w:spacing w:before="0"/>
        <w:ind w:left="165" w:right="0" w:firstLine="0"/>
        <w:jc w:val="both"/>
        <w:rPr>
          <w:rFonts w:ascii="Arial" w:hAnsi="Arial"/>
          <w:b/>
          <w:sz w:val="18"/>
        </w:rPr>
      </w:pPr>
      <w:r>
        <w:rPr>
          <w:rFonts w:ascii="Arial" w:hAnsi="Arial"/>
          <w:b/>
          <w:sz w:val="18"/>
        </w:rPr>
        <w:t>Condition of </w:t>
      </w:r>
      <w:r>
        <w:rPr>
          <w:rFonts w:ascii="Arial" w:hAnsi="Arial"/>
          <w:b/>
          <w:spacing w:val="-2"/>
          <w:sz w:val="18"/>
        </w:rPr>
        <w:t>“satisfaction”</w:t>
      </w:r>
    </w:p>
    <w:p>
      <w:pPr>
        <w:pStyle w:val="BodyText"/>
        <w:spacing w:before="42"/>
        <w:rPr>
          <w:rFonts w:ascii="Arial"/>
          <w:b/>
          <w:sz w:val="18"/>
        </w:rPr>
      </w:pPr>
    </w:p>
    <w:p>
      <w:pPr>
        <w:pStyle w:val="Heading2"/>
      </w:pPr>
      <w:r>
        <w:rPr/>
        <w:t>2-</w:t>
      </w:r>
      <w:r>
        <w:rPr>
          <w:spacing w:val="-5"/>
        </w:rPr>
        <w:t>163</w:t>
      </w:r>
    </w:p>
    <w:p>
      <w:pPr>
        <w:pStyle w:val="BodyText"/>
        <w:spacing w:line="235" w:lineRule="auto" w:before="202"/>
        <w:ind w:left="164" w:right="167"/>
        <w:jc w:val="both"/>
      </w:pPr>
      <w:bookmarkStart w:name="_bookmark1622" w:id="1624"/>
      <w:bookmarkEnd w:id="1624"/>
      <w:r>
        <w:rPr/>
      </w:r>
      <w:r>
        <w:rPr/>
        <w:t>The possibility of excluding the implied term discussed in para.2-162 above by an express contrary provision </w:t>
      </w:r>
      <w:r>
        <w:rPr>
          <w:color w:val="005DA1"/>
          <w:u w:val="single" w:color="005DA1"/>
          <w:vertAlign w:val="superscript"/>
        </w:rPr>
        <w:t>860</w:t>
      </w:r>
      <w:r>
        <w:rPr>
          <w:color w:val="005DA1"/>
          <w:vertAlign w:val="baseline"/>
        </w:rPr>
        <w:t> </w:t>
      </w:r>
      <w:r>
        <w:rPr>
          <w:vertAlign w:val="baseline"/>
        </w:rPr>
        <w:t>is further illustrated by a provision making the operation of a contract depend on </w:t>
      </w:r>
      <w:r>
        <w:rPr>
          <w:vertAlign w:val="baseline"/>
        </w:rPr>
        <w:t>the </w:t>
      </w:r>
      <w:bookmarkStart w:name="_bookmark1623" w:id="1625"/>
      <w:bookmarkEnd w:id="1625"/>
      <w:r>
        <w:rPr>
          <w:vertAlign w:val="baseline"/>
        </w:rPr>
        <w:t>“satisfaction”</w:t>
      </w:r>
      <w:r>
        <w:rPr>
          <w:vertAlign w:val="baseline"/>
        </w:rPr>
        <w:t> of one of the parties with the subject-matter or other aspects relating to the other’s </w:t>
      </w:r>
      <w:bookmarkStart w:name="_bookmark1624" w:id="1626"/>
      <w:bookmarkEnd w:id="1626"/>
      <w:r>
        <w:rPr>
          <w:vertAlign w:val="baseline"/>
        </w:rPr>
        <w:t>performance.</w:t>
      </w:r>
      <w:r>
        <w:rPr>
          <w:vertAlign w:val="baseline"/>
        </w:rPr>
        <w:t> </w:t>
      </w:r>
      <w:r>
        <w:rPr>
          <w:color w:val="005DA1"/>
          <w:u w:val="single" w:color="005DA1"/>
          <w:vertAlign w:val="superscript"/>
        </w:rPr>
        <w:t>861</w:t>
      </w:r>
      <w:r>
        <w:rPr>
          <w:color w:val="005DA1"/>
          <w:vertAlign w:val="baseline"/>
        </w:rPr>
        <w:t> </w:t>
      </w:r>
      <w:r>
        <w:rPr>
          <w:vertAlign w:val="baseline"/>
        </w:rPr>
        <w:t>Thus it has been held that there was no contract where a house was bought “subject </w:t>
      </w:r>
      <w:bookmarkStart w:name="_bookmark1625" w:id="1627"/>
      <w:bookmarkEnd w:id="1627"/>
      <w:r>
        <w:rPr>
          <w:vertAlign w:val="baseline"/>
        </w:rPr>
        <w:t>to</w:t>
      </w:r>
      <w:r>
        <w:rPr>
          <w:vertAlign w:val="baseline"/>
        </w:rPr>
        <w:t> satisfactory mortgage” </w:t>
      </w:r>
      <w:r>
        <w:rPr>
          <w:color w:val="005DA1"/>
          <w:u w:val="single" w:color="005DA1"/>
          <w:vertAlign w:val="superscript"/>
        </w:rPr>
        <w:t>862</w:t>
      </w:r>
      <w:r>
        <w:rPr>
          <w:vertAlign w:val="baseline"/>
        </w:rPr>
        <w:t>; and where a boat was bought “subject to satisfactory survey” </w:t>
      </w:r>
      <w:r>
        <w:rPr>
          <w:color w:val="005DA1"/>
          <w:u w:val="single" w:color="005DA1"/>
          <w:vertAlign w:val="superscript"/>
        </w:rPr>
        <w:t>863</w:t>
      </w:r>
      <w:r>
        <w:rPr>
          <w:color w:val="005DA1"/>
          <w:vertAlign w:val="baseline"/>
        </w:rPr>
        <w:t> </w:t>
      </w:r>
      <w:r>
        <w:rPr>
          <w:vertAlign w:val="baseline"/>
        </w:rPr>
        <w:t>it was held that the buyer was not bound if he expressed his dissatisfaction, </w:t>
      </w:r>
      <w:r>
        <w:rPr>
          <w:color w:val="005DA1"/>
          <w:u w:val="single" w:color="005DA1"/>
          <w:vertAlign w:val="superscript"/>
        </w:rPr>
        <w:t>864</w:t>
      </w:r>
      <w:r>
        <w:rPr>
          <w:color w:val="005DA1"/>
          <w:vertAlign w:val="baseline"/>
        </w:rPr>
        <w:t> </w:t>
      </w:r>
      <w:r>
        <w:rPr>
          <w:vertAlign w:val="baseline"/>
        </w:rPr>
        <w:t>in spite of the fact that such </w:t>
      </w:r>
      <w:bookmarkStart w:name="_bookmark1626" w:id="1628"/>
      <w:bookmarkEnd w:id="1628"/>
      <w:r>
        <w:rPr>
          <w:vertAlign w:val="baseline"/>
        </w:rPr>
        <w:t>expression</w:t>
      </w:r>
      <w:r>
        <w:rPr>
          <w:vertAlign w:val="baseline"/>
        </w:rPr>
        <w:t> was a deliberate act on his part which prevented the occurrence of the condition. The same is true where goods are bought on approval and the buyer does not approve them, </w:t>
      </w:r>
      <w:r>
        <w:rPr>
          <w:color w:val="005DA1"/>
          <w:u w:val="single" w:color="005DA1"/>
          <w:vertAlign w:val="superscript"/>
        </w:rPr>
        <w:t>865</w:t>
      </w:r>
      <w:r>
        <w:rPr>
          <w:color w:val="005DA1"/>
          <w:vertAlign w:val="baseline"/>
        </w:rPr>
        <w:t> </w:t>
      </w:r>
      <w:r>
        <w:rPr>
          <w:vertAlign w:val="baseline"/>
        </w:rPr>
        <w:t>and </w:t>
      </w:r>
      <w:bookmarkStart w:name="_bookmark1627" w:id="1629"/>
      <w:bookmarkEnd w:id="1629"/>
      <w:r>
        <w:rPr>
          <w:vertAlign w:val="baseline"/>
        </w:rPr>
        <w:t>where</w:t>
      </w:r>
      <w:r>
        <w:rPr>
          <w:vertAlign w:val="baseline"/>
        </w:rPr>
        <w:t> an offer of employment is made “subject to satisfactory references”, and the prospective employer does not regard the references as satisfactory. </w:t>
      </w:r>
      <w:r>
        <w:rPr>
          <w:color w:val="005DA1"/>
          <w:u w:val="single" w:color="005DA1"/>
          <w:vertAlign w:val="superscript"/>
        </w:rPr>
        <w:t>866</w:t>
      </w:r>
      <w:r>
        <w:rPr>
          <w:color w:val="005DA1"/>
          <w:vertAlign w:val="baseline"/>
        </w:rPr>
        <w:t> </w:t>
      </w:r>
      <w:r>
        <w:rPr>
          <w:vertAlign w:val="baseline"/>
        </w:rPr>
        <w:t>There is some apparent conflict in the </w:t>
      </w:r>
      <w:bookmarkStart w:name="_bookmark1628" w:id="1630"/>
      <w:bookmarkEnd w:id="1630"/>
      <w:r>
        <w:rPr>
          <w:vertAlign w:val="baseline"/>
        </w:rPr>
        <w:t>authorities</w:t>
      </w:r>
      <w:r>
        <w:rPr>
          <w:vertAlign w:val="baseline"/>
        </w:rPr>
        <w:t> on the question whether the law imposes any restriction on the freedom of action of the party on whose satisfaction the operation of the contract depends. In one case </w:t>
      </w:r>
      <w:r>
        <w:rPr>
          <w:color w:val="005DA1"/>
          <w:u w:val="single" w:color="005DA1"/>
          <w:vertAlign w:val="superscript"/>
        </w:rPr>
        <w:t>867</w:t>
      </w:r>
      <w:r>
        <w:rPr>
          <w:color w:val="005DA1"/>
          <w:vertAlign w:val="baseline"/>
        </w:rPr>
        <w:t> </w:t>
      </w:r>
      <w:r>
        <w:rPr>
          <w:vertAlign w:val="baseline"/>
        </w:rPr>
        <w:t>a proposed royalty agreement relating to the use by a manufacturer of an invention was “subject to detailed evaluation of </w:t>
      </w:r>
      <w:bookmarkStart w:name="_bookmark1629" w:id="1631"/>
      <w:bookmarkEnd w:id="1631"/>
      <w:r>
        <w:rPr>
          <w:vertAlign w:val="baseline"/>
        </w:rPr>
        <w:t>production</w:t>
      </w:r>
      <w:r>
        <w:rPr>
          <w:vertAlign w:val="baseline"/>
        </w:rPr>
        <w:t> and marketing feasibility” by the manufacturer. It was held that his discretion whether to </w:t>
      </w:r>
      <w:bookmarkStart w:name="_bookmark1630" w:id="1632"/>
      <w:bookmarkEnd w:id="1632"/>
      <w:r>
        <w:rPr>
          <w:vertAlign w:val="baseline"/>
        </w:rPr>
        <w:t>enter</w:t>
      </w:r>
      <w:r>
        <w:rPr>
          <w:vertAlign w:val="baseline"/>
        </w:rPr>
        <w:t> into the contract was “unfettered by any obligation to act reasonably or in good faith” </w:t>
      </w:r>
      <w:r>
        <w:rPr>
          <w:color w:val="005DA1"/>
          <w:u w:val="single" w:color="005DA1"/>
          <w:vertAlign w:val="superscript"/>
        </w:rPr>
        <w:t>868</w:t>
      </w:r>
      <w:r>
        <w:rPr>
          <w:color w:val="005DA1"/>
          <w:vertAlign w:val="baseline"/>
        </w:rPr>
        <w:t> </w:t>
      </w:r>
      <w:r>
        <w:rPr>
          <w:vertAlign w:val="baseline"/>
        </w:rPr>
        <w:t>and</w:t>
      </w:r>
      <w:r>
        <w:rPr>
          <w:spacing w:val="40"/>
          <w:vertAlign w:val="baseline"/>
        </w:rPr>
        <w:t> </w:t>
      </w:r>
      <w:r>
        <w:rPr>
          <w:vertAlign w:val="baseline"/>
        </w:rPr>
        <w:t>that, as his satisfaction had not been communicated </w:t>
      </w:r>
      <w:r>
        <w:rPr>
          <w:color w:val="005DA1"/>
          <w:u w:val="single" w:color="005DA1"/>
          <w:vertAlign w:val="superscript"/>
        </w:rPr>
        <w:t>869</w:t>
      </w:r>
      <w:r>
        <w:rPr>
          <w:color w:val="005DA1"/>
          <w:vertAlign w:val="baseline"/>
        </w:rPr>
        <w:t> </w:t>
      </w:r>
      <w:r>
        <w:rPr>
          <w:vertAlign w:val="baseline"/>
        </w:rPr>
        <w:t>to the other party, the agreement had not acquired contractual force. On the other hand, where a ship was sold “subject to satisfactory </w:t>
      </w:r>
      <w:bookmarkStart w:name="_bookmark1631" w:id="1633"/>
      <w:bookmarkEnd w:id="1633"/>
      <w:r>
        <w:rPr>
          <w:vertAlign w:val="baseline"/>
        </w:rPr>
        <w:t>completion</w:t>
      </w:r>
      <w:r>
        <w:rPr>
          <w:vertAlign w:val="baseline"/>
        </w:rPr>
        <w:t> of two trial voyages” it was said that such a stipulation was to be construed as “subject to bona fides”. </w:t>
      </w:r>
      <w:r>
        <w:rPr>
          <w:color w:val="005DA1"/>
          <w:u w:val="single" w:color="005DA1"/>
          <w:vertAlign w:val="superscript"/>
        </w:rPr>
        <w:t>870</w:t>
      </w:r>
      <w:r>
        <w:rPr>
          <w:color w:val="005DA1"/>
          <w:vertAlign w:val="baseline"/>
        </w:rPr>
        <w:t> </w:t>
      </w:r>
      <w:r>
        <w:rPr>
          <w:vertAlign w:val="baseline"/>
        </w:rPr>
        <w:t>The distinction between the two lines of cases turns, ultimately, on the construction of </w:t>
      </w:r>
      <w:bookmarkStart w:name="_bookmark1632" w:id="1634"/>
      <w:bookmarkEnd w:id="1634"/>
      <w:r>
        <w:rPr>
          <w:vertAlign w:val="baseline"/>
        </w:rPr>
        <w:t>the</w:t>
      </w:r>
      <w:r>
        <w:rPr>
          <w:vertAlign w:val="baseline"/>
        </w:rPr>
        <w:t> agreement. Even if this requires the discretion to be exercised in good faith, it does not follow that it</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exercised</w:t>
      </w:r>
      <w:r>
        <w:rPr>
          <w:spacing w:val="-3"/>
          <w:vertAlign w:val="baseline"/>
        </w:rPr>
        <w:t> </w:t>
      </w:r>
      <w:r>
        <w:rPr>
          <w:vertAlign w:val="baseline"/>
        </w:rPr>
        <w:t>reasonably;</w:t>
      </w:r>
      <w:r>
        <w:rPr>
          <w:spacing w:val="-3"/>
          <w:vertAlign w:val="baseline"/>
        </w:rPr>
        <w:t> </w:t>
      </w:r>
      <w:r>
        <w:rPr>
          <w:vertAlign w:val="baseline"/>
        </w:rPr>
        <w:t>the</w:t>
      </w:r>
      <w:r>
        <w:rPr>
          <w:spacing w:val="-3"/>
          <w:vertAlign w:val="baseline"/>
        </w:rPr>
        <w:t> </w:t>
      </w:r>
      <w:r>
        <w:rPr>
          <w:vertAlign w:val="baseline"/>
        </w:rPr>
        <w:t>matter</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left</w:t>
      </w:r>
      <w:r>
        <w:rPr>
          <w:spacing w:val="-3"/>
          <w:vertAlign w:val="baseline"/>
        </w:rPr>
        <w:t> </w:t>
      </w:r>
      <w:r>
        <w:rPr>
          <w:vertAlign w:val="baseline"/>
        </w:rPr>
        <w:t>to</w:t>
      </w:r>
      <w:r>
        <w:rPr>
          <w:spacing w:val="-3"/>
          <w:vertAlign w:val="baseline"/>
        </w:rPr>
        <w:t> </w:t>
      </w:r>
      <w:r>
        <w:rPr>
          <w:vertAlign w:val="baseline"/>
        </w:rPr>
        <w:t>the</w:t>
      </w:r>
      <w:r>
        <w:rPr>
          <w:spacing w:val="-3"/>
          <w:vertAlign w:val="baseline"/>
        </w:rPr>
        <w:t> </w:t>
      </w:r>
      <w:r>
        <w:rPr>
          <w:vertAlign w:val="baseline"/>
        </w:rPr>
        <w:t>relevant</w:t>
      </w:r>
      <w:r>
        <w:rPr>
          <w:spacing w:val="-3"/>
          <w:vertAlign w:val="baseline"/>
        </w:rPr>
        <w:t> </w:t>
      </w:r>
      <w:r>
        <w:rPr>
          <w:vertAlign w:val="baseline"/>
        </w:rPr>
        <w:t>party’s</w:t>
      </w:r>
      <w:r>
        <w:rPr>
          <w:spacing w:val="-3"/>
          <w:vertAlign w:val="baseline"/>
        </w:rPr>
        <w:t> </w:t>
      </w:r>
      <w:r>
        <w:rPr>
          <w:vertAlign w:val="baseline"/>
        </w:rPr>
        <w:t>“subjective</w:t>
      </w:r>
      <w:r>
        <w:rPr>
          <w:spacing w:val="-3"/>
          <w:vertAlign w:val="baseline"/>
        </w:rPr>
        <w:t> </w:t>
      </w:r>
      <w:r>
        <w:rPr>
          <w:vertAlign w:val="baseline"/>
        </w:rPr>
        <w:t>decision”.</w:t>
      </w:r>
      <w:r>
        <w:rPr>
          <w:spacing w:val="-4"/>
          <w:vertAlign w:val="baseline"/>
        </w:rPr>
        <w:t> </w:t>
      </w:r>
      <w:r>
        <w:rPr>
          <w:color w:val="005DA1"/>
          <w:u w:val="single" w:color="005DA1"/>
          <w:vertAlign w:val="superscript"/>
        </w:rPr>
        <w:t>871</w:t>
      </w:r>
      <w:r>
        <w:rPr>
          <w:color w:val="005DA1"/>
          <w:vertAlign w:val="baseline"/>
        </w:rPr>
        <w:t> </w:t>
      </w:r>
      <w:bookmarkStart w:name="_bookmark1633" w:id="1635"/>
      <w:bookmarkEnd w:id="1635"/>
      <w:r>
        <w:rPr>
          <w:color w:val="005DA1"/>
          <w:w w:val="92"/>
          <w:vertAlign w:val="baseline"/>
        </w:rPr>
      </w:r>
      <w:r>
        <w:rPr>
          <w:vertAlign w:val="baseline"/>
        </w:rPr>
        <w:t>It has also been held that the party on whose satisfaction the operation of the contract depends must at least provide facilities for, or not impede, the inspection referred to in the agreement. </w:t>
      </w:r>
      <w:r>
        <w:rPr>
          <w:color w:val="005DA1"/>
          <w:u w:val="single" w:color="005DA1"/>
          <w:vertAlign w:val="superscript"/>
        </w:rPr>
        <w:t>872</w:t>
      </w:r>
      <w:r>
        <w:rPr>
          <w:color w:val="005DA1"/>
          <w:vertAlign w:val="baseline"/>
        </w:rPr>
        <w:t> </w:t>
      </w:r>
      <w:r>
        <w:rPr>
          <w:vertAlign w:val="baseline"/>
        </w:rPr>
        <w:t>Of course</w:t>
      </w:r>
      <w:r>
        <w:rPr>
          <w:spacing w:val="40"/>
          <w:vertAlign w:val="baseline"/>
        </w:rPr>
        <w:t> </w:t>
      </w:r>
      <w:bookmarkStart w:name="_bookmark1634" w:id="1636"/>
      <w:bookmarkEnd w:id="1636"/>
      <w:r>
        <w:rPr>
          <w:vertAlign w:val="baseline"/>
        </w:rPr>
        <w:t>if</w:t>
      </w:r>
      <w:r>
        <w:rPr>
          <w:vertAlign w:val="baseline"/>
        </w:rPr>
        <w:t> the result of the inspection is unsatisfactory, the principal obligation of the contract will not take effect. </w:t>
      </w:r>
      <w:r>
        <w:rPr>
          <w:color w:val="005DA1"/>
          <w:u w:val="single" w:color="005DA1"/>
          <w:vertAlign w:val="superscript"/>
        </w:rPr>
        <w:t>873</w:t>
      </w:r>
    </w:p>
    <w:p>
      <w:pPr>
        <w:pStyle w:val="BodyText"/>
      </w:pPr>
    </w:p>
    <w:p>
      <w:pPr>
        <w:pStyle w:val="BodyText"/>
        <w:spacing w:before="29"/>
      </w:pPr>
    </w:p>
    <w:p>
      <w:pPr>
        <w:spacing w:before="0"/>
        <w:ind w:left="165" w:right="0" w:firstLine="0"/>
        <w:jc w:val="both"/>
        <w:rPr>
          <w:rFonts w:ascii="Arial"/>
          <w:b/>
          <w:sz w:val="18"/>
        </w:rPr>
      </w:pPr>
      <w:r>
        <w:rPr>
          <w:rFonts w:ascii="Arial"/>
          <w:b/>
          <w:sz w:val="18"/>
        </w:rPr>
        <w:t>Duty of reasonable diligence to bring about the </w:t>
      </w:r>
      <w:r>
        <w:rPr>
          <w:rFonts w:ascii="Arial"/>
          <w:b/>
          <w:spacing w:val="-2"/>
          <w:sz w:val="18"/>
        </w:rPr>
        <w:t>event</w:t>
      </w:r>
    </w:p>
    <w:p>
      <w:pPr>
        <w:pStyle w:val="BodyText"/>
        <w:spacing w:before="42"/>
        <w:rPr>
          <w:rFonts w:ascii="Arial"/>
          <w:b/>
          <w:sz w:val="18"/>
        </w:rPr>
      </w:pPr>
    </w:p>
    <w:p>
      <w:pPr>
        <w:pStyle w:val="Heading2"/>
      </w:pPr>
      <w:r>
        <w:rPr/>
        <w:t>2-</w:t>
      </w:r>
      <w:r>
        <w:rPr>
          <w:spacing w:val="-5"/>
        </w:rPr>
        <w:t>164</w:t>
      </w:r>
    </w:p>
    <w:p>
      <w:pPr>
        <w:pStyle w:val="BodyText"/>
        <w:spacing w:before="199"/>
        <w:ind w:left="165"/>
        <w:jc w:val="both"/>
      </w:pPr>
      <w:r>
        <w:rPr/>
        <w:t>A</w:t>
      </w:r>
      <w:r>
        <w:rPr>
          <w:spacing w:val="6"/>
        </w:rPr>
        <w:t> </w:t>
      </w:r>
      <w:r>
        <w:rPr/>
        <w:t>fourth</w:t>
      </w:r>
      <w:r>
        <w:rPr>
          <w:spacing w:val="6"/>
        </w:rPr>
        <w:t> </w:t>
      </w:r>
      <w:r>
        <w:rPr/>
        <w:t>possibility</w:t>
      </w:r>
      <w:r>
        <w:rPr>
          <w:spacing w:val="6"/>
        </w:rPr>
        <w:t> </w:t>
      </w:r>
      <w:r>
        <w:rPr/>
        <w:t>is</w:t>
      </w:r>
      <w:r>
        <w:rPr>
          <w:spacing w:val="6"/>
        </w:rPr>
        <w:t> </w:t>
      </w:r>
      <w:r>
        <w:rPr/>
        <w:t>that,</w:t>
      </w:r>
      <w:r>
        <w:rPr>
          <w:spacing w:val="6"/>
        </w:rPr>
        <w:t> </w:t>
      </w:r>
      <w:r>
        <w:rPr/>
        <w:t>before</w:t>
      </w:r>
      <w:r>
        <w:rPr>
          <w:spacing w:val="6"/>
        </w:rPr>
        <w:t> </w:t>
      </w:r>
      <w:r>
        <w:rPr/>
        <w:t>the</w:t>
      </w:r>
      <w:r>
        <w:rPr>
          <w:spacing w:val="6"/>
        </w:rPr>
        <w:t> </w:t>
      </w:r>
      <w:r>
        <w:rPr/>
        <w:t>event</w:t>
      </w:r>
      <w:r>
        <w:rPr>
          <w:spacing w:val="6"/>
        </w:rPr>
        <w:t> </w:t>
      </w:r>
      <w:r>
        <w:rPr/>
        <w:t>occurs,</w:t>
      </w:r>
      <w:r>
        <w:rPr>
          <w:spacing w:val="6"/>
        </w:rPr>
        <w:t> </w:t>
      </w:r>
      <w:r>
        <w:rPr/>
        <w:t>the</w:t>
      </w:r>
      <w:r>
        <w:rPr>
          <w:spacing w:val="6"/>
        </w:rPr>
        <w:t> </w:t>
      </w:r>
      <w:r>
        <w:rPr/>
        <w:t>main</w:t>
      </w:r>
      <w:r>
        <w:rPr>
          <w:spacing w:val="6"/>
        </w:rPr>
        <w:t> </w:t>
      </w:r>
      <w:r>
        <w:rPr/>
        <w:t>obligations</w:t>
      </w:r>
      <w:r>
        <w:rPr>
          <w:spacing w:val="6"/>
        </w:rPr>
        <w:t> </w:t>
      </w:r>
      <w:r>
        <w:rPr/>
        <w:t>do</w:t>
      </w:r>
      <w:r>
        <w:rPr>
          <w:spacing w:val="6"/>
        </w:rPr>
        <w:t> </w:t>
      </w:r>
      <w:r>
        <w:rPr/>
        <w:t>not</w:t>
      </w:r>
      <w:r>
        <w:rPr>
          <w:spacing w:val="6"/>
        </w:rPr>
        <w:t> </w:t>
      </w:r>
      <w:r>
        <w:rPr/>
        <w:t>accrue</w:t>
      </w:r>
      <w:r>
        <w:rPr>
          <w:spacing w:val="6"/>
        </w:rPr>
        <w:t> </w:t>
      </w:r>
      <w:r>
        <w:rPr/>
        <w:t>but</w:t>
      </w:r>
      <w:r>
        <w:rPr>
          <w:spacing w:val="6"/>
        </w:rPr>
        <w:t> </w:t>
      </w:r>
      <w:r>
        <w:rPr/>
        <w:t>that</w:t>
      </w:r>
      <w:r>
        <w:rPr>
          <w:spacing w:val="6"/>
        </w:rPr>
        <w:t> </w:t>
      </w:r>
      <w:r>
        <w:rPr/>
        <w:t>one</w:t>
      </w:r>
      <w:r>
        <w:rPr>
          <w:spacing w:val="6"/>
        </w:rPr>
        <w:t> </w:t>
      </w:r>
      <w:r>
        <w:rPr>
          <w:spacing w:val="-5"/>
        </w:rPr>
        <w:t>of</w:t>
      </w:r>
    </w:p>
    <w:p>
      <w:pPr>
        <w:pStyle w:val="BodyText"/>
        <w:spacing w:after="0"/>
        <w:jc w:val="both"/>
        <w:sectPr>
          <w:pgSz w:w="11900" w:h="16840"/>
          <w:pgMar w:header="971" w:footer="0" w:top="1300" w:bottom="280" w:left="1275" w:right="1275"/>
        </w:sectPr>
      </w:pPr>
    </w:p>
    <w:p>
      <w:pPr>
        <w:pStyle w:val="BodyText"/>
        <w:spacing w:line="235" w:lineRule="auto" w:before="210"/>
        <w:ind w:left="164" w:right="167"/>
        <w:jc w:val="both"/>
      </w:pPr>
      <w:r>
        <w:rPr/>
        <w:t>the parties undertakes to use reasonable efforts to bring the event about (without </w:t>
      </w:r>
      <w:r>
        <w:rPr/>
        <w:t>absolutely undertaking that his efforts will succeed). This construction was applied, for instance, where land was sold subject to the condition that the purchaser should obtain planning permission to use the land as</w:t>
      </w:r>
      <w:r>
        <w:rPr>
          <w:spacing w:val="80"/>
        </w:rPr>
        <w:t> </w:t>
      </w:r>
      <w:bookmarkStart w:name="_bookmark1635" w:id="1637"/>
      <w:bookmarkEnd w:id="1637"/>
      <w:r>
        <w:rPr/>
        <w:t>a</w:t>
      </w:r>
      <w:r>
        <w:rPr/>
        <w:t> transport depot: he was bound to make reasonable efforts to obtain the permission, but he was free </w:t>
      </w:r>
      <w:bookmarkStart w:name="_bookmark1636" w:id="1638"/>
      <w:bookmarkEnd w:id="1638"/>
      <w:r>
        <w:rPr/>
        <w:t>from</w:t>
      </w:r>
      <w:r>
        <w:rPr>
          <w:spacing w:val="-2"/>
        </w:rPr>
        <w:t> </w:t>
      </w:r>
      <w:r>
        <w:rPr/>
        <w:t>liability</w:t>
      </w:r>
      <w:r>
        <w:rPr>
          <w:spacing w:val="-2"/>
        </w:rPr>
        <w:t> </w:t>
      </w:r>
      <w:r>
        <w:rPr/>
        <w:t>when</w:t>
      </w:r>
      <w:r>
        <w:rPr>
          <w:spacing w:val="-2"/>
        </w:rPr>
        <w:t> </w:t>
      </w:r>
      <w:r>
        <w:rPr/>
        <w:t>those</w:t>
      </w:r>
      <w:r>
        <w:rPr>
          <w:spacing w:val="-2"/>
        </w:rPr>
        <w:t> </w:t>
      </w:r>
      <w:r>
        <w:rPr/>
        <w:t>efforts</w:t>
      </w:r>
      <w:r>
        <w:rPr>
          <w:spacing w:val="-2"/>
        </w:rPr>
        <w:t> </w:t>
      </w:r>
      <w:r>
        <w:rPr/>
        <w:t>failed.</w:t>
      </w:r>
      <w:r>
        <w:rPr>
          <w:spacing w:val="-2"/>
        </w:rPr>
        <w:t> </w:t>
      </w:r>
      <w:r>
        <w:rPr>
          <w:color w:val="005DA1"/>
          <w:u w:val="single" w:color="005DA1"/>
          <w:vertAlign w:val="superscript"/>
        </w:rPr>
        <w:t>874</w:t>
      </w:r>
      <w:r>
        <w:rPr>
          <w:color w:val="005DA1"/>
          <w:spacing w:val="-2"/>
          <w:vertAlign w:val="baseline"/>
        </w:rPr>
        <w:t> </w:t>
      </w:r>
      <w:r>
        <w:rPr>
          <w:vertAlign w:val="baseline"/>
        </w:rPr>
        <w:t>Similarly,</w:t>
      </w:r>
      <w:r>
        <w:rPr>
          <w:spacing w:val="-2"/>
          <w:vertAlign w:val="baseline"/>
        </w:rPr>
        <w:t> </w:t>
      </w:r>
      <w:r>
        <w:rPr>
          <w:vertAlign w:val="baseline"/>
        </w:rPr>
        <w:t>where</w:t>
      </w:r>
      <w:r>
        <w:rPr>
          <w:spacing w:val="-2"/>
          <w:vertAlign w:val="baseline"/>
        </w:rPr>
        <w:t> </w:t>
      </w:r>
      <w:r>
        <w:rPr>
          <w:vertAlign w:val="baseline"/>
        </w:rPr>
        <w:t>goods</w:t>
      </w:r>
      <w:r>
        <w:rPr>
          <w:spacing w:val="-2"/>
          <w:vertAlign w:val="baseline"/>
        </w:rPr>
        <w:t> </w:t>
      </w:r>
      <w:r>
        <w:rPr>
          <w:vertAlign w:val="baseline"/>
        </w:rPr>
        <w:t>are</w:t>
      </w:r>
      <w:r>
        <w:rPr>
          <w:spacing w:val="-2"/>
          <w:vertAlign w:val="baseline"/>
        </w:rPr>
        <w:t> </w:t>
      </w:r>
      <w:r>
        <w:rPr>
          <w:vertAlign w:val="baseline"/>
        </w:rPr>
        <w:t>sold</w:t>
      </w:r>
      <w:r>
        <w:rPr>
          <w:spacing w:val="-2"/>
          <w:vertAlign w:val="baseline"/>
        </w:rPr>
        <w:t> </w:t>
      </w:r>
      <w:r>
        <w:rPr>
          <w:vertAlign w:val="baseline"/>
        </w:rPr>
        <w:t>“subject</w:t>
      </w:r>
      <w:r>
        <w:rPr>
          <w:spacing w:val="-2"/>
          <w:vertAlign w:val="baseline"/>
        </w:rPr>
        <w:t> </w:t>
      </w:r>
      <w:r>
        <w:rPr>
          <w:vertAlign w:val="baseline"/>
        </w:rPr>
        <w:t>to</w:t>
      </w:r>
      <w:r>
        <w:rPr>
          <w:spacing w:val="-2"/>
          <w:vertAlign w:val="baseline"/>
        </w:rPr>
        <w:t> </w:t>
      </w:r>
      <w:r>
        <w:rPr>
          <w:vertAlign w:val="baseline"/>
        </w:rPr>
        <w:t>export</w:t>
      </w:r>
      <w:r>
        <w:rPr>
          <w:spacing w:val="-2"/>
          <w:vertAlign w:val="baseline"/>
        </w:rPr>
        <w:t> </w:t>
      </w:r>
      <w:r>
        <w:rPr>
          <w:vertAlign w:val="baseline"/>
        </w:rPr>
        <w:t>(or</w:t>
      </w:r>
      <w:r>
        <w:rPr>
          <w:spacing w:val="-2"/>
          <w:vertAlign w:val="baseline"/>
        </w:rPr>
        <w:t> </w:t>
      </w:r>
      <w:r>
        <w:rPr>
          <w:vertAlign w:val="baseline"/>
        </w:rPr>
        <w:t>import) </w:t>
      </w:r>
      <w:bookmarkStart w:name="_bookmark1637" w:id="1639"/>
      <w:bookmarkEnd w:id="1639"/>
      <w:r>
        <w:rPr>
          <w:vertAlign w:val="baseline"/>
        </w:rPr>
        <w:t>licence”,</w:t>
      </w:r>
      <w:r>
        <w:rPr>
          <w:vertAlign w:val="baseline"/>
        </w:rPr>
        <w:t> the party whose duty it is to obtain the licence </w:t>
      </w:r>
      <w:r>
        <w:rPr>
          <w:color w:val="005DA1"/>
          <w:u w:val="single" w:color="005DA1"/>
          <w:vertAlign w:val="superscript"/>
        </w:rPr>
        <w:t>875</w:t>
      </w:r>
      <w:r>
        <w:rPr>
          <w:color w:val="005DA1"/>
          <w:vertAlign w:val="baseline"/>
        </w:rPr>
        <w:t> </w:t>
      </w:r>
      <w:r>
        <w:rPr>
          <w:vertAlign w:val="baseline"/>
        </w:rPr>
        <w:t>does not prima facie promise absolutely </w:t>
      </w:r>
      <w:bookmarkStart w:name="_bookmark1638" w:id="1640"/>
      <w:bookmarkEnd w:id="1640"/>
      <w:r>
        <w:rPr>
          <w:vertAlign w:val="baseline"/>
        </w:rPr>
        <w:t>that</w:t>
      </w:r>
      <w:r>
        <w:rPr>
          <w:vertAlign w:val="baseline"/>
        </w:rPr>
        <w:t> a licence will be obtained </w:t>
      </w:r>
      <w:r>
        <w:rPr>
          <w:color w:val="005DA1"/>
          <w:u w:val="single" w:color="005DA1"/>
          <w:vertAlign w:val="superscript"/>
        </w:rPr>
        <w:t>876</w:t>
      </w:r>
      <w:r>
        <w:rPr>
          <w:vertAlign w:val="baseline"/>
        </w:rPr>
        <w:t>; but only undertakes to make reasonable efforts to that end. </w:t>
      </w:r>
      <w:r>
        <w:rPr>
          <w:color w:val="005DA1"/>
          <w:u w:val="single" w:color="005DA1"/>
          <w:vertAlign w:val="superscript"/>
        </w:rPr>
        <w:t>877</w:t>
      </w:r>
      <w:r>
        <w:rPr>
          <w:color w:val="005DA1"/>
          <w:vertAlign w:val="baseline"/>
        </w:rPr>
        <w:t> </w:t>
      </w:r>
      <w:r>
        <w:rPr>
          <w:vertAlign w:val="baseline"/>
        </w:rPr>
        <w:t>The </w:t>
      </w:r>
      <w:bookmarkStart w:name="_bookmark1639" w:id="1641"/>
      <w:bookmarkEnd w:id="1641"/>
      <w:r>
        <w:rPr>
          <w:vertAlign w:val="baseline"/>
        </w:rPr>
        <w:t>principal</w:t>
      </w:r>
      <w:r>
        <w:rPr>
          <w:vertAlign w:val="baseline"/>
        </w:rPr>
        <w:t> obligations to buy and sell will not take effect if no licence is obtained </w:t>
      </w:r>
      <w:r>
        <w:rPr>
          <w:color w:val="005DA1"/>
          <w:u w:val="single" w:color="005DA1"/>
          <w:vertAlign w:val="superscript"/>
        </w:rPr>
        <w:t>878</w:t>
      </w:r>
      <w:r>
        <w:rPr>
          <w:vertAlign w:val="baseline"/>
        </w:rPr>
        <w:t>; but if the party who should have made reasonable efforts has failed to do so he will be liable in damages, </w:t>
      </w:r>
      <w:r>
        <w:rPr>
          <w:color w:val="005DA1"/>
          <w:u w:val="single" w:color="005DA1"/>
          <w:vertAlign w:val="superscript"/>
        </w:rPr>
        <w:t>879</w:t>
      </w:r>
      <w:r>
        <w:rPr>
          <w:color w:val="005DA1"/>
          <w:vertAlign w:val="baseline"/>
        </w:rPr>
        <w:t> </w:t>
      </w:r>
      <w:r>
        <w:rPr>
          <w:vertAlign w:val="baseline"/>
        </w:rPr>
        <w:t>unless he </w:t>
      </w:r>
      <w:bookmarkStart w:name="_bookmark1640" w:id="1642"/>
      <w:bookmarkEnd w:id="1642"/>
      <w:r>
        <w:rPr>
          <w:vertAlign w:val="baseline"/>
        </w:rPr>
        <w:t>can</w:t>
      </w:r>
      <w:r>
        <w:rPr>
          <w:vertAlign w:val="baseline"/>
        </w:rPr>
        <w:t> show that any such efforts, which he should have made would (if made) have necessarily been unsuccessful. </w:t>
      </w:r>
      <w:r>
        <w:rPr>
          <w:color w:val="005DA1"/>
          <w:u w:val="single" w:color="005DA1"/>
          <w:vertAlign w:val="superscript"/>
        </w:rPr>
        <w:t>880</w:t>
      </w:r>
      <w:r>
        <w:rPr>
          <w:color w:val="005DA1"/>
          <w:vertAlign w:val="baseline"/>
        </w:rPr>
        <w:t> </w:t>
      </w:r>
      <w:r>
        <w:rPr>
          <w:vertAlign w:val="baseline"/>
        </w:rPr>
        <w:t>The same principles have been applied where an agreement was made “subject to the approval of the court”; and where an agreement was made to assign a lease which could be </w:t>
      </w:r>
      <w:bookmarkStart w:name="_bookmark1641" w:id="1643"/>
      <w:bookmarkEnd w:id="1643"/>
      <w:r>
        <w:rPr>
          <w:vertAlign w:val="baseline"/>
        </w:rPr>
        <w:t>assigned</w:t>
      </w:r>
      <w:r>
        <w:rPr>
          <w:vertAlign w:val="baseline"/>
        </w:rPr>
        <w:t> only with the consent of the landlord. In such cases the requisite approval or consent must </w:t>
      </w:r>
      <w:bookmarkStart w:name="_bookmark1642" w:id="1644"/>
      <w:bookmarkEnd w:id="1644"/>
      <w:r>
        <w:rPr>
          <w:vertAlign w:val="baseline"/>
        </w:rPr>
        <w:t>be</w:t>
      </w:r>
      <w:r>
        <w:rPr>
          <w:vertAlign w:val="baseline"/>
        </w:rPr>
        <w:t> sought; but the main obligations do not accrue until the approval or consent is given, </w:t>
      </w:r>
      <w:r>
        <w:rPr>
          <w:color w:val="005DA1"/>
          <w:u w:val="single" w:color="005DA1"/>
          <w:vertAlign w:val="superscript"/>
        </w:rPr>
        <w:t>881</w:t>
      </w:r>
      <w:r>
        <w:rPr>
          <w:color w:val="005DA1"/>
          <w:vertAlign w:val="baseline"/>
        </w:rPr>
        <w:t> </w:t>
      </w:r>
      <w:r>
        <w:rPr>
          <w:vertAlign w:val="baseline"/>
        </w:rPr>
        <w:t>and if it is refused the principal obligation will not take effect. </w:t>
      </w:r>
      <w:r>
        <w:rPr>
          <w:color w:val="005DA1"/>
          <w:u w:val="single" w:color="005DA1"/>
          <w:vertAlign w:val="superscript"/>
        </w:rPr>
        <w:t>882</w:t>
      </w:r>
    </w:p>
    <w:p>
      <w:pPr>
        <w:pStyle w:val="BodyText"/>
      </w:pPr>
    </w:p>
    <w:p>
      <w:pPr>
        <w:pStyle w:val="BodyText"/>
        <w:spacing w:before="33"/>
      </w:pPr>
    </w:p>
    <w:p>
      <w:pPr>
        <w:spacing w:before="0"/>
        <w:ind w:left="165" w:right="0" w:firstLine="0"/>
        <w:jc w:val="both"/>
        <w:rPr>
          <w:rFonts w:ascii="Arial"/>
          <w:b/>
          <w:sz w:val="18"/>
        </w:rPr>
      </w:pPr>
      <w:r>
        <w:rPr>
          <w:rFonts w:ascii="Arial"/>
          <w:b/>
          <w:sz w:val="18"/>
        </w:rPr>
        <w:t>Principal and subsidiary </w:t>
      </w:r>
      <w:r>
        <w:rPr>
          <w:rFonts w:ascii="Arial"/>
          <w:b/>
          <w:spacing w:val="-2"/>
          <w:sz w:val="18"/>
        </w:rPr>
        <w:t>obligations</w:t>
      </w:r>
    </w:p>
    <w:p>
      <w:pPr>
        <w:pStyle w:val="BodyText"/>
        <w:spacing w:before="41"/>
        <w:rPr>
          <w:rFonts w:ascii="Arial"/>
          <w:b/>
          <w:sz w:val="18"/>
        </w:rPr>
      </w:pPr>
    </w:p>
    <w:p>
      <w:pPr>
        <w:pStyle w:val="Heading2"/>
        <w:spacing w:before="1"/>
      </w:pPr>
      <w:r>
        <w:rPr/>
        <w:t>2-</w:t>
      </w:r>
      <w:r>
        <w:rPr>
          <w:spacing w:val="-5"/>
        </w:rPr>
        <w:t>165</w:t>
      </w:r>
    </w:p>
    <w:p>
      <w:pPr>
        <w:pStyle w:val="BodyText"/>
        <w:spacing w:line="235" w:lineRule="auto" w:before="202"/>
        <w:ind w:left="165" w:right="167"/>
        <w:jc w:val="both"/>
      </w:pPr>
      <w:r>
        <w:rPr/>
        <w:t>It will be seen that, in cases falling within the categories discussed in paras 2-161—2-164 above, a distinction must be drawn between two types of obligation: the principal obligation of each party (e.g. to buy and sell) and a subsidiary obligation, i.e. one not to withdraw, not to prevent occurrence of </w:t>
      </w:r>
      <w:r>
        <w:rPr/>
        <w:t>the condition, or to make reasonable efforts to bring it about. One view is that the party who fails to </w:t>
      </w:r>
      <w:bookmarkStart w:name="_bookmark1643" w:id="1645"/>
      <w:bookmarkEnd w:id="1645"/>
      <w:r>
        <w:rPr/>
        <w:t>perform</w:t>
      </w:r>
      <w:r>
        <w:rPr/>
        <w:t> the subsidiary obligation is to be treated as if the condition had occurred; and that he is then liable on the principal obligation. Thus in </w:t>
      </w:r>
      <w:r>
        <w:rPr>
          <w:rFonts w:ascii="Arial" w:hAnsi="Arial"/>
          <w:i/>
        </w:rPr>
        <w:t>Mackay v Dick </w:t>
      </w:r>
      <w:r>
        <w:rPr>
          <w:color w:val="005DA1"/>
          <w:u w:val="single" w:color="005DA1"/>
          <w:vertAlign w:val="superscript"/>
        </w:rPr>
        <w:t>883</w:t>
      </w:r>
      <w:r>
        <w:rPr>
          <w:color w:val="005DA1"/>
          <w:vertAlign w:val="baseline"/>
        </w:rPr>
        <w:t> </w:t>
      </w:r>
      <w:r>
        <w:rPr>
          <w:vertAlign w:val="baseline"/>
        </w:rPr>
        <w:t>the buyer was held liable </w:t>
      </w:r>
      <w:r>
        <w:rPr>
          <w:rFonts w:ascii="Arial" w:hAnsi="Arial"/>
          <w:i/>
          <w:vertAlign w:val="baseline"/>
        </w:rPr>
        <w:t>for the price</w:t>
      </w:r>
      <w:r>
        <w:rPr>
          <w:vertAlign w:val="baseline"/>
        </w:rPr>
        <w:t>; but there was no discussion as to the remedy. In principle it seems wrong to hold him so liable, for such a result ignores the possibility that, in that case, the machine might have failed to come up to the standard required by the contract, even if proper facilities for trial had been provided. It is submitted that the correct result in cases of this kind is to award </w:t>
      </w:r>
      <w:r>
        <w:rPr>
          <w:rFonts w:ascii="Arial" w:hAnsi="Arial"/>
          <w:i/>
          <w:vertAlign w:val="baseline"/>
        </w:rPr>
        <w:t>damages </w:t>
      </w:r>
      <w:r>
        <w:rPr>
          <w:vertAlign w:val="baseline"/>
        </w:rPr>
        <w:t>for breach of the subsidiary</w:t>
      </w:r>
      <w:r>
        <w:rPr>
          <w:spacing w:val="80"/>
          <w:vertAlign w:val="baseline"/>
        </w:rPr>
        <w:t> </w:t>
      </w:r>
      <w:bookmarkStart w:name="_bookmark1644" w:id="1646"/>
      <w:bookmarkEnd w:id="1646"/>
      <w:r>
        <w:rPr>
          <w:vertAlign w:val="baseline"/>
        </w:rPr>
        <w:t>obligation:</w:t>
      </w:r>
      <w:r>
        <w:rPr>
          <w:vertAlign w:val="baseline"/>
        </w:rPr>
        <w:t> in assessing such damages, the court can take into account the possibility that the condition might not have occurred, even if there had been no such breach. </w:t>
      </w:r>
      <w:r>
        <w:rPr>
          <w:color w:val="005DA1"/>
          <w:u w:val="single" w:color="005DA1"/>
          <w:vertAlign w:val="superscript"/>
        </w:rPr>
        <w:t>884</w:t>
      </w:r>
      <w:r>
        <w:rPr>
          <w:color w:val="005DA1"/>
          <w:vertAlign w:val="baseline"/>
        </w:rPr>
        <w:t> </w:t>
      </w:r>
      <w:r>
        <w:rPr>
          <w:vertAlign w:val="baseline"/>
        </w:rPr>
        <w:t>To hold the party in breach liable for the full performance promised by him, on the fiction that the condition had occurred, seems to introduce into this branch of the law a punitive element that is inappropriate to a contractual </w:t>
      </w:r>
      <w:bookmarkStart w:name="_bookmark1645" w:id="1647"/>
      <w:bookmarkEnd w:id="1647"/>
      <w:r>
        <w:rPr>
          <w:vertAlign w:val="baseline"/>
        </w:rPr>
        <w:t>action.</w:t>
      </w:r>
      <w:r>
        <w:rPr>
          <w:vertAlign w:val="baseline"/>
        </w:rPr>
        <w:t> The most recent authority rightly holds that such a doctrine of “fictional fulfilment” of a</w:t>
      </w:r>
      <w:r>
        <w:rPr>
          <w:spacing w:val="40"/>
          <w:vertAlign w:val="baseline"/>
        </w:rPr>
        <w:t> </w:t>
      </w:r>
      <w:r>
        <w:rPr>
          <w:vertAlign w:val="baseline"/>
        </w:rPr>
        <w:t>condition does not form part of English law. </w:t>
      </w:r>
      <w:r>
        <w:rPr>
          <w:color w:val="005DA1"/>
          <w:u w:val="single" w:color="005DA1"/>
          <w:vertAlign w:val="superscript"/>
        </w:rPr>
        <w:t>885</w:t>
      </w:r>
    </w:p>
    <w:p>
      <w:pPr>
        <w:pStyle w:val="BodyText"/>
      </w:pPr>
    </w:p>
    <w:p>
      <w:pPr>
        <w:pStyle w:val="BodyText"/>
        <w:spacing w:before="33"/>
      </w:pPr>
    </w:p>
    <w:p>
      <w:pPr>
        <w:spacing w:before="0"/>
        <w:ind w:left="165" w:right="0" w:firstLine="0"/>
        <w:jc w:val="left"/>
        <w:rPr>
          <w:rFonts w:ascii="Arial"/>
          <w:b/>
          <w:sz w:val="18"/>
        </w:rPr>
      </w:pPr>
      <w:r>
        <w:rPr>
          <w:rFonts w:ascii="Arial"/>
          <w:b/>
          <w:sz w:val="18"/>
        </w:rPr>
        <w:t>Waiver of </w:t>
      </w:r>
      <w:r>
        <w:rPr>
          <w:rFonts w:ascii="Arial"/>
          <w:b/>
          <w:spacing w:val="-2"/>
          <w:sz w:val="18"/>
        </w:rPr>
        <w:t>condition</w:t>
      </w:r>
    </w:p>
    <w:p>
      <w:pPr>
        <w:pStyle w:val="BodyText"/>
        <w:spacing w:before="41"/>
        <w:rPr>
          <w:rFonts w:ascii="Arial"/>
          <w:b/>
          <w:sz w:val="18"/>
        </w:rPr>
      </w:pPr>
    </w:p>
    <w:p>
      <w:pPr>
        <w:pStyle w:val="Heading2"/>
      </w:pPr>
      <w:r>
        <w:rPr/>
        <w:t>2-</w:t>
      </w:r>
      <w:r>
        <w:rPr>
          <w:spacing w:val="-5"/>
        </w:rPr>
        <w:t>166</w:t>
      </w:r>
    </w:p>
    <w:p>
      <w:pPr>
        <w:pStyle w:val="BodyText"/>
        <w:spacing w:line="235" w:lineRule="auto" w:before="203"/>
        <w:ind w:left="165" w:right="167"/>
        <w:jc w:val="both"/>
      </w:pPr>
      <w:bookmarkStart w:name="_bookmark1646" w:id="1648"/>
      <w:bookmarkEnd w:id="1648"/>
      <w:r>
        <w:rPr/>
      </w:r>
      <w:r>
        <w:rPr/>
        <w:t>Where a condition is inserted entirely for the benefit of one party, that party may waive the </w:t>
      </w:r>
      <w:r>
        <w:rPr/>
        <w:t>condition.</w:t>
      </w:r>
      <w:r>
        <w:rPr>
          <w:spacing w:val="40"/>
        </w:rPr>
        <w:t> </w:t>
      </w:r>
      <w:r>
        <w:rPr/>
        <w:t>If he does so, he can then sue </w:t>
      </w:r>
      <w:r>
        <w:rPr>
          <w:color w:val="005DA1"/>
          <w:u w:val="single" w:color="005DA1"/>
          <w:vertAlign w:val="superscript"/>
        </w:rPr>
        <w:t>886</w:t>
      </w:r>
      <w:r>
        <w:rPr>
          <w:color w:val="005DA1"/>
          <w:vertAlign w:val="baseline"/>
        </w:rPr>
        <w:t> </w:t>
      </w:r>
      <w:r>
        <w:rPr>
          <w:vertAlign w:val="baseline"/>
        </w:rPr>
        <w:t>and be sued </w:t>
      </w:r>
      <w:r>
        <w:rPr>
          <w:color w:val="005DA1"/>
          <w:u w:val="single" w:color="005DA1"/>
          <w:vertAlign w:val="superscript"/>
        </w:rPr>
        <w:t>887</w:t>
      </w:r>
      <w:r>
        <w:rPr>
          <w:color w:val="005DA1"/>
          <w:vertAlign w:val="baseline"/>
        </w:rPr>
        <w:t> </w:t>
      </w:r>
      <w:r>
        <w:rPr>
          <w:vertAlign w:val="baseline"/>
        </w:rPr>
        <w:t>on the contract as if the condition had occurred. Obviously</w:t>
      </w:r>
      <w:r>
        <w:rPr>
          <w:spacing w:val="40"/>
          <w:vertAlign w:val="baseline"/>
        </w:rPr>
        <w:t> </w:t>
      </w:r>
      <w:r>
        <w:rPr>
          <w:vertAlign w:val="baseline"/>
        </w:rPr>
        <w:t>this</w:t>
      </w:r>
      <w:r>
        <w:rPr>
          <w:spacing w:val="40"/>
          <w:vertAlign w:val="baseline"/>
        </w:rPr>
        <w:t> </w:t>
      </w:r>
      <w:r>
        <w:rPr>
          <w:vertAlign w:val="baseline"/>
        </w:rPr>
        <w:t>rule</w:t>
      </w:r>
      <w:r>
        <w:rPr>
          <w:spacing w:val="40"/>
          <w:vertAlign w:val="baseline"/>
        </w:rPr>
        <w:t> </w:t>
      </w:r>
      <w:r>
        <w:rPr>
          <w:vertAlign w:val="baseline"/>
        </w:rPr>
        <w:t>does</w:t>
      </w:r>
      <w:r>
        <w:rPr>
          <w:spacing w:val="40"/>
          <w:vertAlign w:val="baseline"/>
        </w:rPr>
        <w:t> </w:t>
      </w:r>
      <w:r>
        <w:rPr>
          <w:vertAlign w:val="baseline"/>
        </w:rPr>
        <w:t>not</w:t>
      </w:r>
      <w:r>
        <w:rPr>
          <w:spacing w:val="40"/>
          <w:vertAlign w:val="baseline"/>
        </w:rPr>
        <w:t> </w:t>
      </w:r>
      <w:r>
        <w:rPr>
          <w:vertAlign w:val="baseline"/>
        </w:rPr>
        <w:t>apply</w:t>
      </w:r>
      <w:r>
        <w:rPr>
          <w:spacing w:val="40"/>
          <w:vertAlign w:val="baseline"/>
        </w:rPr>
        <w:t> </w:t>
      </w:r>
      <w:r>
        <w:rPr>
          <w:vertAlign w:val="baseline"/>
        </w:rPr>
        <w:t>to</w:t>
      </w:r>
      <w:r>
        <w:rPr>
          <w:spacing w:val="40"/>
          <w:vertAlign w:val="baseline"/>
        </w:rPr>
        <w:t> </w:t>
      </w:r>
      <w:r>
        <w:rPr>
          <w:vertAlign w:val="baseline"/>
        </w:rPr>
        <w:t>cases</w:t>
      </w:r>
      <w:r>
        <w:rPr>
          <w:spacing w:val="40"/>
          <w:vertAlign w:val="baseline"/>
        </w:rPr>
        <w:t> </w:t>
      </w:r>
      <w:r>
        <w:rPr>
          <w:vertAlign w:val="baseline"/>
        </w:rPr>
        <w:t>falling</w:t>
      </w:r>
      <w:r>
        <w:rPr>
          <w:spacing w:val="40"/>
          <w:vertAlign w:val="baseline"/>
        </w:rPr>
        <w:t> </w:t>
      </w:r>
      <w:r>
        <w:rPr>
          <w:vertAlign w:val="baseline"/>
        </w:rPr>
        <w:t>within</w:t>
      </w:r>
      <w:r>
        <w:rPr>
          <w:spacing w:val="40"/>
          <w:vertAlign w:val="baseline"/>
        </w:rPr>
        <w:t> </w:t>
      </w:r>
      <w:r>
        <w:rPr>
          <w:vertAlign w:val="baseline"/>
        </w:rPr>
        <w:t>the</w:t>
      </w:r>
      <w:r>
        <w:rPr>
          <w:spacing w:val="40"/>
          <w:vertAlign w:val="baseline"/>
        </w:rPr>
        <w:t> </w:t>
      </w:r>
      <w:r>
        <w:rPr>
          <w:vertAlign w:val="baseline"/>
        </w:rPr>
        <w:t>category</w:t>
      </w:r>
      <w:r>
        <w:rPr>
          <w:spacing w:val="40"/>
          <w:vertAlign w:val="baseline"/>
        </w:rPr>
        <w:t> </w:t>
      </w:r>
      <w:r>
        <w:rPr>
          <w:vertAlign w:val="baseline"/>
        </w:rPr>
        <w:t>of</w:t>
      </w:r>
      <w:r>
        <w:rPr>
          <w:spacing w:val="40"/>
          <w:vertAlign w:val="baseline"/>
        </w:rPr>
        <w:t> </w:t>
      </w:r>
      <w:r>
        <w:rPr>
          <w:vertAlign w:val="baseline"/>
        </w:rPr>
        <w:t>cases</w:t>
      </w:r>
      <w:r>
        <w:rPr>
          <w:spacing w:val="40"/>
          <w:vertAlign w:val="baseline"/>
        </w:rPr>
        <w:t> </w:t>
      </w:r>
      <w:r>
        <w:rPr>
          <w:vertAlign w:val="baseline"/>
        </w:rPr>
        <w:t>discussed</w:t>
      </w:r>
      <w:r>
        <w:rPr>
          <w:spacing w:val="40"/>
          <w:vertAlign w:val="baseline"/>
        </w:rPr>
        <w:t> </w:t>
      </w:r>
      <w:r>
        <w:rPr>
          <w:vertAlign w:val="baseline"/>
        </w:rPr>
        <w:t>in para.2-160 above, in which there is no contract at all before the condition occurs. Nor can the party</w:t>
      </w:r>
      <w:r>
        <w:rPr>
          <w:spacing w:val="40"/>
          <w:vertAlign w:val="baseline"/>
        </w:rPr>
        <w:t> </w:t>
      </w:r>
      <w:bookmarkStart w:name="_bookmark1647" w:id="1649"/>
      <w:bookmarkEnd w:id="1649"/>
      <w:r>
        <w:rPr>
          <w:vertAlign w:val="baseline"/>
        </w:rPr>
        <w:t>for</w:t>
      </w:r>
      <w:r>
        <w:rPr>
          <w:vertAlign w:val="baseline"/>
        </w:rPr>
        <w:t> whose benefit the condition was inserted waive it (so as to enforce the contract) after the other party has duly exercised a right, conferred by one of its other terms, to terminate the contract. </w:t>
      </w:r>
      <w:r>
        <w:rPr>
          <w:color w:val="005DA1"/>
          <w:u w:val="single" w:color="005DA1"/>
          <w:vertAlign w:val="superscript"/>
        </w:rPr>
        <w:t>888</w:t>
      </w:r>
    </w:p>
    <w:p>
      <w:pPr>
        <w:pStyle w:val="BodyText"/>
      </w:pPr>
    </w:p>
    <w:p>
      <w:pPr>
        <w:pStyle w:val="BodyText"/>
        <w:spacing w:before="37"/>
      </w:pPr>
      <w:r>
        <w:rPr/>
        <mc:AlternateContent>
          <mc:Choice Requires="wps">
            <w:drawing>
              <wp:anchor distT="0" distB="0" distL="0" distR="0" allowOverlap="1" layoutInCell="1" locked="0" behindDoc="1" simplePos="0" relativeHeight="487620608">
                <wp:simplePos x="0" y="0"/>
                <wp:positionH relativeFrom="page">
                  <wp:posOffset>914400</wp:posOffset>
                </wp:positionH>
                <wp:positionV relativeFrom="paragraph">
                  <wp:posOffset>185099</wp:posOffset>
                </wp:positionV>
                <wp:extent cx="5724525" cy="1270"/>
                <wp:effectExtent l="0" t="0" r="0" b="0"/>
                <wp:wrapTopAndBottom/>
                <wp:docPr id="128" name="Graphic 128"/>
                <wp:cNvGraphicFramePr>
                  <a:graphicFrameLocks/>
                </wp:cNvGraphicFramePr>
                <a:graphic>
                  <a:graphicData uri="http://schemas.microsoft.com/office/word/2010/wordprocessingShape">
                    <wps:wsp>
                      <wps:cNvPr id="128" name="Graphic 12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74793pt;width:450.75pt;height:.1pt;mso-position-horizontal-relative:page;mso-position-vertical-relative:paragraph;z-index:-15695872;mso-wrap-distance-left:0;mso-wrap-distance-right:0" id="docshape45" coordorigin="1440,291" coordsize="9015,0" path="m1440,291l10454,291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bookmarkStart w:name="_bookmark1648" w:id="1650"/>
      <w:bookmarkEnd w:id="1650"/>
      <w:r>
        <w:rPr/>
      </w:r>
      <w:hyperlink w:history="true" w:anchor="_bookmark1605">
        <w:r>
          <w:rPr>
            <w:color w:val="005DA1"/>
            <w:spacing w:val="-4"/>
            <w:position w:val="5"/>
            <w:sz w:val="14"/>
            <w:u w:val="single" w:color="005DA1"/>
          </w:rPr>
          <w:t>842</w:t>
        </w:r>
      </w:hyperlink>
      <w:r>
        <w:rPr>
          <w:spacing w:val="-4"/>
          <w:position w:val="5"/>
          <w:sz w:val="14"/>
        </w:rPr>
        <w:t>.</w:t>
      </w:r>
      <w:r>
        <w:rPr>
          <w:position w:val="5"/>
          <w:sz w:val="14"/>
        </w:rPr>
        <w:tab/>
      </w:r>
      <w:r>
        <w:rPr>
          <w:sz w:val="20"/>
        </w:rPr>
        <w:t>In </w:t>
      </w:r>
      <w:r>
        <w:rPr>
          <w:rFonts w:ascii="Arial"/>
          <w:i/>
          <w:sz w:val="20"/>
        </w:rPr>
        <w:t>Schweppe v Harper [2008] EWCA Civ 442 </w:t>
      </w:r>
      <w:r>
        <w:rPr>
          <w:sz w:val="20"/>
        </w:rPr>
        <w:t>Dyson L.J. at [64] referred to the text above (in </w:t>
      </w:r>
      <w:r>
        <w:rPr>
          <w:sz w:val="20"/>
        </w:rPr>
        <w:t>a previous edition of this book) with apparent approval.</w:t>
      </w:r>
    </w:p>
    <w:p>
      <w:pPr>
        <w:pStyle w:val="BodyText"/>
        <w:spacing w:before="9"/>
      </w:pPr>
    </w:p>
    <w:p>
      <w:pPr>
        <w:tabs>
          <w:tab w:pos="705" w:val="left" w:leader="none"/>
        </w:tabs>
        <w:spacing w:line="235" w:lineRule="auto" w:before="0"/>
        <w:ind w:left="705" w:right="168" w:hanging="541"/>
        <w:jc w:val="left"/>
        <w:rPr>
          <w:sz w:val="20"/>
        </w:rPr>
      </w:pPr>
      <w:bookmarkStart w:name="_bookmark1649" w:id="1651"/>
      <w:bookmarkEnd w:id="1651"/>
      <w:r>
        <w:rPr/>
      </w:r>
      <w:hyperlink w:history="true" w:anchor="_bookmark1606">
        <w:r>
          <w:rPr>
            <w:color w:val="005DA1"/>
            <w:spacing w:val="-4"/>
            <w:position w:val="5"/>
            <w:sz w:val="14"/>
            <w:u w:val="single" w:color="005DA1"/>
          </w:rPr>
          <w:t>843</w:t>
        </w:r>
      </w:hyperlink>
      <w:r>
        <w:rPr>
          <w:spacing w:val="-4"/>
          <w:position w:val="5"/>
          <w:sz w:val="14"/>
        </w:rPr>
        <w:t>.</w:t>
      </w:r>
      <w:r>
        <w:rPr>
          <w:position w:val="5"/>
          <w:sz w:val="14"/>
        </w:rPr>
        <w:tab/>
      </w:r>
      <w:r>
        <w:rPr>
          <w:sz w:val="20"/>
        </w:rPr>
        <w:t>For special difficulties where the condition precedent is implied, see </w:t>
      </w:r>
      <w:r>
        <w:rPr>
          <w:rFonts w:ascii="Arial"/>
          <w:i/>
          <w:sz w:val="20"/>
        </w:rPr>
        <w:t>Bentworth Finance Ltd </w:t>
      </w:r>
      <w:r>
        <w:rPr>
          <w:rFonts w:ascii="Arial"/>
          <w:i/>
          <w:sz w:val="20"/>
        </w:rPr>
        <w:t>v</w:t>
      </w:r>
      <w:r>
        <w:rPr>
          <w:rFonts w:ascii="Arial"/>
          <w:i/>
          <w:spacing w:val="80"/>
          <w:sz w:val="20"/>
        </w:rPr>
        <w:t> </w:t>
      </w:r>
      <w:r>
        <w:rPr>
          <w:rFonts w:ascii="Arial"/>
          <w:i/>
          <w:sz w:val="20"/>
        </w:rPr>
        <w:t>Lubert [1968] 1 Q.B. 680</w:t>
      </w:r>
      <w:r>
        <w:rPr>
          <w:sz w:val="20"/>
        </w:rPr>
        <w:t>; Carnegie 31 M.L.R. 78.</w:t>
      </w:r>
    </w:p>
    <w:p>
      <w:pPr>
        <w:pStyle w:val="BodyText"/>
        <w:spacing w:before="5"/>
      </w:pPr>
    </w:p>
    <w:p>
      <w:pPr>
        <w:tabs>
          <w:tab w:pos="705" w:val="left" w:leader="none"/>
        </w:tabs>
        <w:spacing w:before="1"/>
        <w:ind w:left="165" w:right="0" w:firstLine="0"/>
        <w:jc w:val="left"/>
        <w:rPr>
          <w:sz w:val="20"/>
        </w:rPr>
      </w:pPr>
      <w:bookmarkStart w:name="_bookmark1650" w:id="1652"/>
      <w:bookmarkEnd w:id="1652"/>
      <w:r>
        <w:rPr/>
      </w:r>
      <w:hyperlink w:history="true" w:anchor="_bookmark1607">
        <w:r>
          <w:rPr>
            <w:color w:val="005DA1"/>
            <w:spacing w:val="-4"/>
            <w:position w:val="5"/>
            <w:sz w:val="14"/>
            <w:u w:val="single" w:color="005DA1"/>
          </w:rPr>
          <w:t>844</w:t>
        </w:r>
      </w:hyperlink>
      <w:r>
        <w:rPr>
          <w:spacing w:val="-4"/>
          <w:position w:val="5"/>
          <w:sz w:val="14"/>
        </w:rPr>
        <w:t>.</w:t>
      </w:r>
      <w:r>
        <w:rPr>
          <w:position w:val="5"/>
          <w:sz w:val="14"/>
        </w:rPr>
        <w:tab/>
      </w:r>
      <w:r>
        <w:rPr>
          <w:rFonts w:ascii="Arial"/>
          <w:i/>
          <w:sz w:val="20"/>
        </w:rPr>
        <w:t>(1856)</w:t>
      </w:r>
      <w:r>
        <w:rPr>
          <w:rFonts w:ascii="Arial"/>
          <w:i/>
          <w:spacing w:val="-2"/>
          <w:sz w:val="20"/>
        </w:rPr>
        <w:t> </w:t>
      </w:r>
      <w:r>
        <w:rPr>
          <w:rFonts w:ascii="Arial"/>
          <w:i/>
          <w:sz w:val="20"/>
        </w:rPr>
        <w:t>6 E. &amp; B. </w:t>
      </w:r>
      <w:r>
        <w:rPr>
          <w:rFonts w:ascii="Arial"/>
          <w:i/>
          <w:spacing w:val="-4"/>
          <w:sz w:val="20"/>
        </w:rPr>
        <w:t>370</w:t>
      </w:r>
      <w:r>
        <w:rPr>
          <w:spacing w:val="-4"/>
          <w:sz w:val="20"/>
        </w:rPr>
        <w:t>.</w:t>
      </w:r>
    </w:p>
    <w:p>
      <w:pPr>
        <w:spacing w:after="0"/>
        <w:jc w:val="left"/>
        <w:rPr>
          <w:sz w:val="20"/>
        </w:rPr>
        <w:sectPr>
          <w:pgSz w:w="11900" w:h="16840"/>
          <w:pgMar w:header="971" w:footer="0" w:top="1300" w:bottom="280" w:left="1275" w:right="1275"/>
        </w:sectPr>
      </w:pPr>
    </w:p>
    <w:p>
      <w:pPr>
        <w:tabs>
          <w:tab w:pos="705" w:val="left" w:leader="none"/>
        </w:tabs>
        <w:spacing w:before="166"/>
        <w:ind w:left="165" w:right="0" w:firstLine="0"/>
        <w:jc w:val="left"/>
        <w:rPr>
          <w:sz w:val="20"/>
        </w:rPr>
      </w:pPr>
      <w:hyperlink w:history="true" w:anchor="_bookmark1608">
        <w:r>
          <w:rPr>
            <w:color w:val="005DA1"/>
            <w:spacing w:val="-4"/>
            <w:position w:val="5"/>
            <w:sz w:val="14"/>
            <w:u w:val="single" w:color="005DA1"/>
          </w:rPr>
          <w:t>845</w:t>
        </w:r>
      </w:hyperlink>
      <w:r>
        <w:rPr>
          <w:spacing w:val="-4"/>
          <w:position w:val="5"/>
          <w:sz w:val="14"/>
        </w:rPr>
        <w:t>.</w:t>
      </w:r>
      <w:r>
        <w:rPr>
          <w:position w:val="5"/>
          <w:sz w:val="14"/>
        </w:rPr>
        <w:tab/>
      </w:r>
      <w:r>
        <w:rPr>
          <w:rFonts w:ascii="Arial"/>
          <w:i/>
          <w:sz w:val="20"/>
        </w:rPr>
        <w:t>(1856)</w:t>
      </w:r>
      <w:r>
        <w:rPr>
          <w:rFonts w:ascii="Arial"/>
          <w:i/>
          <w:spacing w:val="-2"/>
          <w:sz w:val="20"/>
        </w:rPr>
        <w:t> </w:t>
      </w:r>
      <w:r>
        <w:rPr>
          <w:rFonts w:ascii="Arial"/>
          <w:i/>
          <w:sz w:val="20"/>
        </w:rPr>
        <w:t>6 E. &amp; B. 370</w:t>
      </w:r>
      <w:r>
        <w:rPr>
          <w:rFonts w:ascii="Arial"/>
          <w:i/>
          <w:spacing w:val="-1"/>
          <w:sz w:val="20"/>
        </w:rPr>
        <w:t> </w:t>
      </w:r>
      <w:r>
        <w:rPr>
          <w:sz w:val="20"/>
        </w:rPr>
        <w:t>at </w:t>
      </w:r>
      <w:r>
        <w:rPr>
          <w:spacing w:val="-4"/>
          <w:sz w:val="20"/>
        </w:rPr>
        <w:t>374.</w:t>
      </w:r>
    </w:p>
    <w:p>
      <w:pPr>
        <w:pStyle w:val="BodyText"/>
        <w:spacing w:before="9"/>
      </w:pPr>
    </w:p>
    <w:p>
      <w:pPr>
        <w:pStyle w:val="BodyText"/>
        <w:spacing w:line="235" w:lineRule="auto"/>
        <w:ind w:left="705" w:right="167" w:hanging="541"/>
        <w:jc w:val="both"/>
      </w:pPr>
      <w:bookmarkStart w:name="_bookmark1651" w:id="1653"/>
      <w:bookmarkEnd w:id="1653"/>
      <w:r>
        <w:rPr/>
      </w:r>
      <w:hyperlink w:history="true" w:anchor="_bookmark1609">
        <w:r>
          <w:rPr>
            <w:color w:val="005DA1"/>
            <w:position w:val="5"/>
            <w:sz w:val="14"/>
            <w:u w:val="single" w:color="005DA1"/>
          </w:rPr>
          <w:t>846</w:t>
        </w:r>
      </w:hyperlink>
      <w:r>
        <w:rPr>
          <w:position w:val="5"/>
          <w:sz w:val="14"/>
        </w:rPr>
        <w:t>.</w:t>
      </w:r>
      <w:r>
        <w:rPr>
          <w:spacing w:val="40"/>
          <w:position w:val="5"/>
          <w:sz w:val="14"/>
        </w:rPr>
        <w:t>  </w:t>
      </w:r>
      <w:r>
        <w:rPr/>
        <w:t>A fortiori, a party cannot withdraw after the event has actually occurred. This was the position </w:t>
      </w:r>
      <w:r>
        <w:rPr/>
        <w:t>in </w:t>
      </w:r>
      <w:r>
        <w:rPr>
          <w:rFonts w:ascii="Arial"/>
          <w:i/>
        </w:rPr>
        <w:t>McGahon v Crest Nicholson Regeneration Ltd [2010] EWCA Civ 842, [2010] 2 E.G.L.R. 84 </w:t>
      </w:r>
      <w:r>
        <w:rPr/>
        <w:t>where a contract gave either party the right to rescind if a specified event had not occurred by June 1. After that time, one of the parties gave a notice to rescind but at the time of the notice the event had occurred. It was held that the contract no longer allowed such a notice to be</w:t>
      </w:r>
      <w:r>
        <w:rPr>
          <w:spacing w:val="40"/>
        </w:rPr>
        <w:t> </w:t>
      </w:r>
      <w:r>
        <w:rPr/>
        <w:t>given after the specified event had occurred.</w:t>
      </w:r>
    </w:p>
    <w:p>
      <w:pPr>
        <w:pStyle w:val="BodyText"/>
        <w:spacing w:before="8"/>
      </w:pPr>
    </w:p>
    <w:p>
      <w:pPr>
        <w:spacing w:line="235" w:lineRule="auto" w:before="0"/>
        <w:ind w:left="705" w:right="168" w:hanging="541"/>
        <w:jc w:val="both"/>
        <w:rPr>
          <w:sz w:val="20"/>
        </w:rPr>
      </w:pPr>
      <w:bookmarkStart w:name="_bookmark1652" w:id="1654"/>
      <w:bookmarkEnd w:id="1654"/>
      <w:r>
        <w:rPr/>
      </w:r>
      <w:hyperlink w:history="true" w:anchor="_bookmark1610">
        <w:r>
          <w:rPr>
            <w:color w:val="005DA1"/>
            <w:position w:val="5"/>
            <w:sz w:val="14"/>
            <w:u w:val="single" w:color="005DA1"/>
          </w:rPr>
          <w:t>847</w:t>
        </w:r>
      </w:hyperlink>
      <w:r>
        <w:rPr>
          <w:position w:val="5"/>
          <w:sz w:val="14"/>
        </w:rPr>
        <w:t>.</w:t>
      </w:r>
      <w:r>
        <w:rPr>
          <w:spacing w:val="80"/>
          <w:position w:val="5"/>
          <w:sz w:val="14"/>
        </w:rPr>
        <w:t>  </w:t>
      </w:r>
      <w:r>
        <w:rPr>
          <w:rFonts w:ascii="Arial" w:hAnsi="Arial"/>
          <w:i/>
          <w:sz w:val="20"/>
        </w:rPr>
        <w:t>[1900] 1 Q.B. 694</w:t>
      </w:r>
      <w:r>
        <w:rPr>
          <w:sz w:val="20"/>
        </w:rPr>
        <w:t>, cf. </w:t>
      </w:r>
      <w:r>
        <w:rPr>
          <w:rFonts w:ascii="Arial" w:hAnsi="Arial"/>
          <w:i/>
          <w:sz w:val="20"/>
        </w:rPr>
        <w:t>Felixstowe Dock &amp; Ry Co v British Transport Docks Bd [1976] 2 Lloyd’s Rep. 656</w:t>
      </w:r>
      <w:r>
        <w:rPr>
          <w:sz w:val="20"/>
        </w:rPr>
        <w:t>; </w:t>
      </w:r>
      <w:r>
        <w:rPr>
          <w:rFonts w:ascii="Arial" w:hAnsi="Arial"/>
          <w:i/>
          <w:sz w:val="20"/>
        </w:rPr>
        <w:t>Alan Estates Ltd v W. G. Stores Ltd [1982] Ch. 511, 520</w:t>
      </w:r>
      <w:r>
        <w:rPr>
          <w:sz w:val="20"/>
        </w:rPr>
        <w:t>; </w:t>
      </w:r>
      <w:r>
        <w:rPr>
          <w:rFonts w:ascii="Arial" w:hAnsi="Arial"/>
          <w:i/>
          <w:sz w:val="20"/>
        </w:rPr>
        <w:t>Spectra International Plc v Tiscali UK Ltd [2002] EWHC 2084 (Comm) </w:t>
      </w:r>
      <w:r>
        <w:rPr>
          <w:sz w:val="20"/>
        </w:rPr>
        <w:t>at [119]. See also </w:t>
      </w:r>
      <w:r>
        <w:rPr>
          <w:rFonts w:ascii="Arial" w:hAnsi="Arial"/>
          <w:i/>
          <w:sz w:val="20"/>
        </w:rPr>
        <w:t>Lomas v JFB Firth Rixon Inc [2012]</w:t>
      </w:r>
      <w:r>
        <w:rPr>
          <w:rFonts w:ascii="Arial" w:hAnsi="Arial"/>
          <w:i/>
          <w:spacing w:val="6"/>
          <w:sz w:val="20"/>
        </w:rPr>
        <w:t> </w:t>
      </w:r>
      <w:r>
        <w:rPr>
          <w:rFonts w:ascii="Arial" w:hAnsi="Arial"/>
          <w:i/>
          <w:sz w:val="20"/>
        </w:rPr>
        <w:t>EWCA</w:t>
      </w:r>
      <w:r>
        <w:rPr>
          <w:rFonts w:ascii="Arial" w:hAnsi="Arial"/>
          <w:i/>
          <w:spacing w:val="6"/>
          <w:sz w:val="20"/>
        </w:rPr>
        <w:t> </w:t>
      </w:r>
      <w:r>
        <w:rPr>
          <w:rFonts w:ascii="Arial" w:hAnsi="Arial"/>
          <w:i/>
          <w:sz w:val="20"/>
        </w:rPr>
        <w:t>Civ</w:t>
      </w:r>
      <w:r>
        <w:rPr>
          <w:rFonts w:ascii="Arial" w:hAnsi="Arial"/>
          <w:i/>
          <w:spacing w:val="6"/>
          <w:sz w:val="20"/>
        </w:rPr>
        <w:t> </w:t>
      </w:r>
      <w:r>
        <w:rPr>
          <w:rFonts w:ascii="Arial" w:hAnsi="Arial"/>
          <w:i/>
          <w:sz w:val="20"/>
        </w:rPr>
        <w:t>419,</w:t>
      </w:r>
      <w:r>
        <w:rPr>
          <w:rFonts w:ascii="Arial" w:hAnsi="Arial"/>
          <w:i/>
          <w:spacing w:val="6"/>
          <w:sz w:val="20"/>
        </w:rPr>
        <w:t> </w:t>
      </w:r>
      <w:r>
        <w:rPr>
          <w:rFonts w:ascii="Arial" w:hAnsi="Arial"/>
          <w:i/>
          <w:sz w:val="20"/>
        </w:rPr>
        <w:t>[2012]</w:t>
      </w:r>
      <w:r>
        <w:rPr>
          <w:rFonts w:ascii="Arial" w:hAnsi="Arial"/>
          <w:i/>
          <w:spacing w:val="6"/>
          <w:sz w:val="20"/>
        </w:rPr>
        <w:t> </w:t>
      </w:r>
      <w:r>
        <w:rPr>
          <w:rFonts w:ascii="Arial" w:hAnsi="Arial"/>
          <w:i/>
          <w:sz w:val="20"/>
        </w:rPr>
        <w:t>2</w:t>
      </w:r>
      <w:r>
        <w:rPr>
          <w:rFonts w:ascii="Arial" w:hAnsi="Arial"/>
          <w:i/>
          <w:spacing w:val="6"/>
          <w:sz w:val="20"/>
        </w:rPr>
        <w:t> </w:t>
      </w:r>
      <w:r>
        <w:rPr>
          <w:rFonts w:ascii="Arial" w:hAnsi="Arial"/>
          <w:i/>
          <w:sz w:val="20"/>
        </w:rPr>
        <w:t>All</w:t>
      </w:r>
      <w:r>
        <w:rPr>
          <w:rFonts w:ascii="Arial" w:hAnsi="Arial"/>
          <w:i/>
          <w:spacing w:val="6"/>
          <w:sz w:val="20"/>
        </w:rPr>
        <w:t> </w:t>
      </w:r>
      <w:r>
        <w:rPr>
          <w:rFonts w:ascii="Arial" w:hAnsi="Arial"/>
          <w:i/>
          <w:sz w:val="20"/>
        </w:rPr>
        <w:t>E.R.</w:t>
      </w:r>
      <w:r>
        <w:rPr>
          <w:rFonts w:ascii="Arial" w:hAnsi="Arial"/>
          <w:i/>
          <w:spacing w:val="6"/>
          <w:sz w:val="20"/>
        </w:rPr>
        <w:t> </w:t>
      </w:r>
      <w:r>
        <w:rPr>
          <w:rFonts w:ascii="Arial" w:hAnsi="Arial"/>
          <w:i/>
          <w:sz w:val="20"/>
        </w:rPr>
        <w:t>(Comm)</w:t>
      </w:r>
      <w:r>
        <w:rPr>
          <w:rFonts w:ascii="Arial" w:hAnsi="Arial"/>
          <w:i/>
          <w:spacing w:val="6"/>
          <w:sz w:val="20"/>
        </w:rPr>
        <w:t> </w:t>
      </w:r>
      <w:r>
        <w:rPr>
          <w:rFonts w:ascii="Arial" w:hAnsi="Arial"/>
          <w:i/>
          <w:sz w:val="20"/>
        </w:rPr>
        <w:t>1076</w:t>
      </w:r>
      <w:r>
        <w:rPr>
          <w:rFonts w:ascii="Arial" w:hAnsi="Arial"/>
          <w:i/>
          <w:spacing w:val="5"/>
          <w:sz w:val="20"/>
        </w:rPr>
        <w:t> </w:t>
      </w:r>
      <w:r>
        <w:rPr>
          <w:sz w:val="20"/>
        </w:rPr>
        <w:t>at</w:t>
      </w:r>
      <w:r>
        <w:rPr>
          <w:spacing w:val="6"/>
          <w:sz w:val="20"/>
        </w:rPr>
        <w:t> </w:t>
      </w:r>
      <w:r>
        <w:rPr>
          <w:sz w:val="20"/>
        </w:rPr>
        <w:t>[29]–[30]</w:t>
      </w:r>
      <w:r>
        <w:rPr>
          <w:spacing w:val="6"/>
          <w:sz w:val="20"/>
        </w:rPr>
        <w:t> </w:t>
      </w:r>
      <w:r>
        <w:rPr>
          <w:sz w:val="20"/>
        </w:rPr>
        <w:t>accepting</w:t>
      </w:r>
      <w:r>
        <w:rPr>
          <w:spacing w:val="6"/>
          <w:sz w:val="20"/>
        </w:rPr>
        <w:t> </w:t>
      </w:r>
      <w:r>
        <w:rPr>
          <w:sz w:val="20"/>
        </w:rPr>
        <w:t>the</w:t>
      </w:r>
      <w:r>
        <w:rPr>
          <w:spacing w:val="6"/>
          <w:sz w:val="20"/>
        </w:rPr>
        <w:t> </w:t>
      </w:r>
      <w:r>
        <w:rPr>
          <w:sz w:val="20"/>
        </w:rPr>
        <w:t>view</w:t>
      </w:r>
      <w:r>
        <w:rPr>
          <w:spacing w:val="6"/>
          <w:sz w:val="20"/>
        </w:rPr>
        <w:t> </w:t>
      </w:r>
      <w:r>
        <w:rPr>
          <w:sz w:val="20"/>
        </w:rPr>
        <w:t>of</w:t>
      </w:r>
      <w:r>
        <w:rPr>
          <w:spacing w:val="6"/>
          <w:sz w:val="20"/>
        </w:rPr>
        <w:t> </w:t>
      </w:r>
      <w:r>
        <w:rPr>
          <w:spacing w:val="-2"/>
          <w:sz w:val="20"/>
        </w:rPr>
        <w:t>Austin</w:t>
      </w:r>
    </w:p>
    <w:p>
      <w:pPr>
        <w:spacing w:line="235" w:lineRule="auto" w:before="0"/>
        <w:ind w:left="705" w:right="167" w:firstLine="0"/>
        <w:jc w:val="both"/>
        <w:rPr>
          <w:rFonts w:ascii="Arial" w:hAnsi="Arial"/>
          <w:i/>
          <w:sz w:val="20"/>
        </w:rPr>
      </w:pPr>
      <w:r>
        <w:rPr>
          <w:sz w:val="20"/>
        </w:rPr>
        <w:t>J. in </w:t>
      </w:r>
      <w:r>
        <w:rPr>
          <w:rFonts w:ascii="Arial" w:hAnsi="Arial"/>
          <w:i/>
          <w:sz w:val="20"/>
        </w:rPr>
        <w:t>Simms v TXU Electricity Ltd [2003] NSWSC 1169, (2003) 204 A.L.R. 659 </w:t>
      </w:r>
      <w:r>
        <w:rPr>
          <w:sz w:val="20"/>
        </w:rPr>
        <w:t>at [12] </w:t>
      </w:r>
      <w:r>
        <w:rPr>
          <w:sz w:val="20"/>
        </w:rPr>
        <w:t>that, where a “payment obligation” was subject to a condition precedent, “it might be said (with </w:t>
      </w:r>
      <w:r>
        <w:rPr>
          <w:sz w:val="20"/>
        </w:rPr>
        <w:t>only approximate accuracy) that the payment obligation is ‘suspended’ while the condition </w:t>
      </w:r>
      <w:r>
        <w:rPr>
          <w:sz w:val="20"/>
        </w:rPr>
        <w:t>remains unfulfilled</w:t>
      </w:r>
      <w:r>
        <w:rPr>
          <w:spacing w:val="39"/>
          <w:sz w:val="20"/>
        </w:rPr>
        <w:t> </w:t>
      </w:r>
      <w:r>
        <w:rPr>
          <w:sz w:val="20"/>
        </w:rPr>
        <w:t>…</w:t>
      </w:r>
      <w:r>
        <w:rPr>
          <w:spacing w:val="39"/>
          <w:sz w:val="20"/>
        </w:rPr>
        <w:t> </w:t>
      </w:r>
      <w:r>
        <w:rPr>
          <w:sz w:val="20"/>
        </w:rPr>
        <w:t>”;</w:t>
      </w:r>
      <w:r>
        <w:rPr>
          <w:spacing w:val="39"/>
          <w:sz w:val="20"/>
        </w:rPr>
        <w:t> </w:t>
      </w:r>
      <w:r>
        <w:rPr>
          <w:sz w:val="20"/>
        </w:rPr>
        <w:t>cf.</w:t>
      </w:r>
      <w:r>
        <w:rPr>
          <w:spacing w:val="39"/>
          <w:sz w:val="20"/>
        </w:rPr>
        <w:t> </w:t>
      </w:r>
      <w:r>
        <w:rPr>
          <w:rFonts w:ascii="Arial" w:hAnsi="Arial"/>
          <w:i/>
          <w:sz w:val="20"/>
        </w:rPr>
        <w:t>Gold</w:t>
      </w:r>
      <w:r>
        <w:rPr>
          <w:rFonts w:ascii="Arial" w:hAnsi="Arial"/>
          <w:i/>
          <w:spacing w:val="39"/>
          <w:sz w:val="20"/>
        </w:rPr>
        <w:t> </w:t>
      </w:r>
      <w:r>
        <w:rPr>
          <w:rFonts w:ascii="Arial" w:hAnsi="Arial"/>
          <w:i/>
          <w:sz w:val="20"/>
        </w:rPr>
        <w:t>Group</w:t>
      </w:r>
      <w:r>
        <w:rPr>
          <w:rFonts w:ascii="Arial" w:hAnsi="Arial"/>
          <w:i/>
          <w:spacing w:val="39"/>
          <w:sz w:val="20"/>
        </w:rPr>
        <w:t> </w:t>
      </w:r>
      <w:r>
        <w:rPr>
          <w:rFonts w:ascii="Arial" w:hAnsi="Arial"/>
          <w:i/>
          <w:sz w:val="20"/>
        </w:rPr>
        <w:t>Properties</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BDW</w:t>
      </w:r>
      <w:r>
        <w:rPr>
          <w:rFonts w:ascii="Arial" w:hAnsi="Arial"/>
          <w:i/>
          <w:spacing w:val="39"/>
          <w:sz w:val="20"/>
        </w:rPr>
        <w:t> </w:t>
      </w:r>
      <w:r>
        <w:rPr>
          <w:rFonts w:ascii="Arial" w:hAnsi="Arial"/>
          <w:i/>
          <w:sz w:val="20"/>
        </w:rPr>
        <w:t>Properties</w:t>
      </w:r>
      <w:r>
        <w:rPr>
          <w:rFonts w:ascii="Arial" w:hAnsi="Arial"/>
          <w:i/>
          <w:spacing w:val="39"/>
          <w:sz w:val="20"/>
        </w:rPr>
        <w:t> </w:t>
      </w:r>
      <w:r>
        <w:rPr>
          <w:rFonts w:ascii="Arial" w:hAnsi="Arial"/>
          <w:i/>
          <w:sz w:val="20"/>
        </w:rPr>
        <w:t>Ltd</w:t>
      </w:r>
      <w:r>
        <w:rPr>
          <w:rFonts w:ascii="Arial" w:hAnsi="Arial"/>
          <w:i/>
          <w:spacing w:val="39"/>
          <w:sz w:val="20"/>
        </w:rPr>
        <w:t> </w:t>
      </w:r>
      <w:r>
        <w:rPr>
          <w:rFonts w:ascii="Arial" w:hAnsi="Arial"/>
          <w:i/>
          <w:sz w:val="20"/>
        </w:rPr>
        <w:t>[2010]</w:t>
      </w:r>
      <w:r>
        <w:rPr>
          <w:rFonts w:ascii="Arial" w:hAnsi="Arial"/>
          <w:i/>
          <w:spacing w:val="39"/>
          <w:sz w:val="20"/>
        </w:rPr>
        <w:t> </w:t>
      </w:r>
      <w:r>
        <w:rPr>
          <w:rFonts w:ascii="Arial" w:hAnsi="Arial"/>
          <w:i/>
          <w:sz w:val="20"/>
        </w:rPr>
        <w:t>EWHC</w:t>
      </w:r>
      <w:r>
        <w:rPr>
          <w:rFonts w:ascii="Arial" w:hAnsi="Arial"/>
          <w:i/>
          <w:spacing w:val="39"/>
          <w:sz w:val="20"/>
        </w:rPr>
        <w:t> </w:t>
      </w:r>
      <w:r>
        <w:rPr>
          <w:rFonts w:ascii="Arial" w:hAnsi="Arial"/>
          <w:i/>
          <w:sz w:val="20"/>
        </w:rPr>
        <w:t>323,</w:t>
      </w:r>
      <w:r>
        <w:rPr>
          <w:rFonts w:ascii="Arial" w:hAnsi="Arial"/>
          <w:i/>
          <w:spacing w:val="39"/>
          <w:sz w:val="20"/>
        </w:rPr>
        <w:t> </w:t>
      </w:r>
      <w:r>
        <w:rPr>
          <w:rFonts w:ascii="Arial" w:hAnsi="Arial"/>
          <w:i/>
          <w:spacing w:val="-2"/>
          <w:sz w:val="20"/>
        </w:rPr>
        <w:t>[2010</w:t>
      </w:r>
      <w:r>
        <w:rPr>
          <w:rFonts w:ascii="Arial" w:hAnsi="Arial"/>
          <w:i/>
          <w:spacing w:val="-2"/>
          <w:sz w:val="20"/>
        </w:rPr>
        <w:t>]</w:t>
      </w:r>
    </w:p>
    <w:p>
      <w:pPr>
        <w:pStyle w:val="BodyText"/>
        <w:spacing w:line="235" w:lineRule="auto"/>
        <w:ind w:left="705" w:right="168"/>
        <w:jc w:val="both"/>
      </w:pPr>
      <w:r>
        <w:rPr>
          <w:rFonts w:ascii="Arial" w:hAnsi="Arial"/>
          <w:i/>
        </w:rPr>
        <w:t>B.L.R. 235 </w:t>
      </w:r>
      <w:r>
        <w:rPr/>
        <w:t>at [58]: “a </w:t>
      </w:r>
      <w:r>
        <w:rPr>
          <w:rFonts w:ascii="Arial" w:hAnsi="Arial"/>
          <w:i/>
        </w:rPr>
        <w:t>binding </w:t>
      </w:r>
      <w:r>
        <w:rPr/>
        <w:t>contract which </w:t>
      </w:r>
      <w:r>
        <w:rPr>
          <w:rFonts w:ascii="Arial" w:hAnsi="Arial"/>
          <w:i/>
        </w:rPr>
        <w:t>suspends </w:t>
      </w:r>
      <w:r>
        <w:rPr/>
        <w:t>some or all of the obligations of one or both parties pending fulfilment of the condition” (italics supplied).</w:t>
      </w:r>
    </w:p>
    <w:p>
      <w:pPr>
        <w:pStyle w:val="BodyText"/>
        <w:spacing w:before="2"/>
      </w:pPr>
    </w:p>
    <w:p>
      <w:pPr>
        <w:pStyle w:val="BodyText"/>
        <w:tabs>
          <w:tab w:pos="705" w:val="left" w:leader="none"/>
        </w:tabs>
        <w:spacing w:line="227" w:lineRule="exact"/>
        <w:ind w:left="165"/>
      </w:pPr>
      <w:bookmarkStart w:name="_bookmark1653" w:id="1655"/>
      <w:bookmarkEnd w:id="1655"/>
      <w:r>
        <w:rPr/>
      </w:r>
      <w:hyperlink w:history="true" w:anchor="_bookmark1611">
        <w:r>
          <w:rPr>
            <w:color w:val="005DA1"/>
            <w:spacing w:val="-4"/>
            <w:position w:val="5"/>
            <w:sz w:val="14"/>
            <w:u w:val="single" w:color="005DA1"/>
          </w:rPr>
          <w:t>848</w:t>
        </w:r>
      </w:hyperlink>
      <w:r>
        <w:rPr>
          <w:spacing w:val="-4"/>
          <w:position w:val="5"/>
          <w:sz w:val="14"/>
        </w:rPr>
        <w:t>.</w:t>
      </w:r>
      <w:r>
        <w:rPr>
          <w:position w:val="5"/>
          <w:sz w:val="14"/>
        </w:rPr>
        <w:tab/>
      </w:r>
      <w:r>
        <w:rPr/>
        <w:t>On</w:t>
      </w:r>
      <w:r>
        <w:rPr>
          <w:spacing w:val="20"/>
        </w:rPr>
        <w:t> </w:t>
      </w:r>
      <w:r>
        <w:rPr/>
        <w:t>agreements</w:t>
      </w:r>
      <w:r>
        <w:rPr>
          <w:spacing w:val="20"/>
        </w:rPr>
        <w:t> </w:t>
      </w:r>
      <w:r>
        <w:rPr/>
        <w:t>“subject</w:t>
      </w:r>
      <w:r>
        <w:rPr>
          <w:spacing w:val="20"/>
        </w:rPr>
        <w:t> </w:t>
      </w:r>
      <w:r>
        <w:rPr/>
        <w:t>to</w:t>
      </w:r>
      <w:r>
        <w:rPr>
          <w:spacing w:val="20"/>
        </w:rPr>
        <w:t> </w:t>
      </w:r>
      <w:r>
        <w:rPr/>
        <w:t>finance,”</w:t>
      </w:r>
      <w:r>
        <w:rPr>
          <w:spacing w:val="20"/>
        </w:rPr>
        <w:t> </w:t>
      </w:r>
      <w:r>
        <w:rPr/>
        <w:t>see</w:t>
      </w:r>
      <w:r>
        <w:rPr>
          <w:spacing w:val="20"/>
        </w:rPr>
        <w:t> </w:t>
      </w:r>
      <w:r>
        <w:rPr/>
        <w:t>Coote,</w:t>
      </w:r>
      <w:r>
        <w:rPr>
          <w:spacing w:val="20"/>
        </w:rPr>
        <w:t> </w:t>
      </w:r>
      <w:r>
        <w:rPr/>
        <w:t>40</w:t>
      </w:r>
      <w:r>
        <w:rPr>
          <w:spacing w:val="20"/>
        </w:rPr>
        <w:t> </w:t>
      </w:r>
      <w:r>
        <w:rPr/>
        <w:t>Conv.</w:t>
      </w:r>
      <w:r>
        <w:rPr>
          <w:spacing w:val="20"/>
        </w:rPr>
        <w:t> </w:t>
      </w:r>
      <w:r>
        <w:rPr/>
        <w:t>N.S.</w:t>
      </w:r>
      <w:r>
        <w:rPr>
          <w:spacing w:val="20"/>
        </w:rPr>
        <w:t> </w:t>
      </w:r>
      <w:r>
        <w:rPr/>
        <w:t>37;</w:t>
      </w:r>
      <w:r>
        <w:rPr>
          <w:spacing w:val="20"/>
        </w:rPr>
        <w:t> </w:t>
      </w:r>
      <w:r>
        <w:rPr/>
        <w:t>Furmston,</w:t>
      </w:r>
      <w:r>
        <w:rPr>
          <w:spacing w:val="20"/>
        </w:rPr>
        <w:t> </w:t>
      </w:r>
      <w:r>
        <w:rPr/>
        <w:t>3</w:t>
      </w:r>
      <w:r>
        <w:rPr>
          <w:spacing w:val="20"/>
        </w:rPr>
        <w:t> </w:t>
      </w:r>
      <w:r>
        <w:rPr/>
        <w:t>O.J.L.S.</w:t>
      </w:r>
      <w:r>
        <w:rPr>
          <w:spacing w:val="20"/>
        </w:rPr>
        <w:t> </w:t>
      </w:r>
      <w:r>
        <w:rPr>
          <w:spacing w:val="-4"/>
        </w:rPr>
        <w:t>438,</w:t>
      </w:r>
    </w:p>
    <w:p>
      <w:pPr>
        <w:spacing w:line="227" w:lineRule="exact" w:before="0"/>
        <w:ind w:left="705" w:right="0" w:firstLine="0"/>
        <w:jc w:val="left"/>
        <w:rPr>
          <w:sz w:val="20"/>
        </w:rPr>
      </w:pPr>
      <w:r>
        <w:rPr>
          <w:sz w:val="20"/>
        </w:rPr>
        <w:t>discussing</w:t>
      </w:r>
      <w:r>
        <w:rPr>
          <w:spacing w:val="-1"/>
          <w:sz w:val="20"/>
        </w:rPr>
        <w:t> </w:t>
      </w:r>
      <w:r>
        <w:rPr>
          <w:rFonts w:ascii="Arial"/>
          <w:i/>
          <w:sz w:val="20"/>
        </w:rPr>
        <w:t>Meehan v Jones (1982) 149 C.L.R. </w:t>
      </w:r>
      <w:r>
        <w:rPr>
          <w:rFonts w:ascii="Arial"/>
          <w:i/>
          <w:spacing w:val="-4"/>
          <w:sz w:val="20"/>
        </w:rPr>
        <w:t>571</w:t>
      </w:r>
      <w:r>
        <w:rPr>
          <w:spacing w:val="-4"/>
          <w:sz w:val="20"/>
        </w:rPr>
        <w:t>.</w:t>
      </w:r>
    </w:p>
    <w:p>
      <w:pPr>
        <w:pStyle w:val="BodyText"/>
        <w:spacing w:before="9"/>
      </w:pPr>
    </w:p>
    <w:p>
      <w:pPr>
        <w:spacing w:line="235" w:lineRule="auto" w:before="0"/>
        <w:ind w:left="705" w:right="167" w:hanging="541"/>
        <w:jc w:val="both"/>
        <w:rPr>
          <w:sz w:val="20"/>
        </w:rPr>
      </w:pPr>
      <w:bookmarkStart w:name="_bookmark1654" w:id="1656"/>
      <w:bookmarkEnd w:id="1656"/>
      <w:r>
        <w:rPr/>
      </w:r>
      <w:hyperlink w:history="true" w:anchor="_bookmark1612">
        <w:r>
          <w:rPr>
            <w:color w:val="005DA1"/>
            <w:position w:val="5"/>
            <w:sz w:val="14"/>
            <w:u w:val="single" w:color="005DA1"/>
          </w:rPr>
          <w:t>849</w:t>
        </w:r>
      </w:hyperlink>
      <w:r>
        <w:rPr>
          <w:position w:val="5"/>
          <w:sz w:val="14"/>
        </w:rPr>
        <w:t>.</w:t>
      </w:r>
      <w:r>
        <w:rPr>
          <w:spacing w:val="80"/>
          <w:w w:val="150"/>
          <w:position w:val="5"/>
          <w:sz w:val="14"/>
        </w:rPr>
        <w:t> </w:t>
      </w:r>
      <w:r>
        <w:rPr>
          <w:sz w:val="20"/>
        </w:rPr>
        <w:t>There</w:t>
      </w:r>
      <w:r>
        <w:rPr>
          <w:spacing w:val="40"/>
          <w:sz w:val="20"/>
        </w:rPr>
        <w:t> </w:t>
      </w:r>
      <w:r>
        <w:rPr>
          <w:sz w:val="20"/>
        </w:rPr>
        <w:t>is</w:t>
      </w:r>
      <w:r>
        <w:rPr>
          <w:spacing w:val="40"/>
          <w:sz w:val="20"/>
        </w:rPr>
        <w:t> </w:t>
      </w:r>
      <w:r>
        <w:rPr>
          <w:sz w:val="20"/>
        </w:rPr>
        <w:t>some</w:t>
      </w:r>
      <w:r>
        <w:rPr>
          <w:spacing w:val="40"/>
          <w:sz w:val="20"/>
        </w:rPr>
        <w:t> </w:t>
      </w:r>
      <w:r>
        <w:rPr>
          <w:sz w:val="20"/>
        </w:rPr>
        <w:t>judicial</w:t>
      </w:r>
      <w:r>
        <w:rPr>
          <w:spacing w:val="40"/>
          <w:sz w:val="20"/>
        </w:rPr>
        <w:t> </w:t>
      </w:r>
      <w:r>
        <w:rPr>
          <w:sz w:val="20"/>
        </w:rPr>
        <w:t>support</w:t>
      </w:r>
      <w:r>
        <w:rPr>
          <w:spacing w:val="40"/>
          <w:sz w:val="20"/>
        </w:rPr>
        <w:t> </w:t>
      </w:r>
      <w:r>
        <w:rPr>
          <w:sz w:val="20"/>
        </w:rPr>
        <w:t>for</w:t>
      </w:r>
      <w:r>
        <w:rPr>
          <w:spacing w:val="40"/>
          <w:sz w:val="20"/>
        </w:rPr>
        <w:t> </w:t>
      </w:r>
      <w:r>
        <w:rPr>
          <w:sz w:val="20"/>
        </w:rPr>
        <w:t>the</w:t>
      </w:r>
      <w:r>
        <w:rPr>
          <w:spacing w:val="40"/>
          <w:sz w:val="20"/>
        </w:rPr>
        <w:t> </w:t>
      </w:r>
      <w:r>
        <w:rPr>
          <w:sz w:val="20"/>
        </w:rPr>
        <w:t>view</w:t>
      </w:r>
      <w:r>
        <w:rPr>
          <w:spacing w:val="40"/>
          <w:sz w:val="20"/>
        </w:rPr>
        <w:t> </w:t>
      </w:r>
      <w:r>
        <w:rPr>
          <w:sz w:val="20"/>
        </w:rPr>
        <w:t>that</w:t>
      </w:r>
      <w:r>
        <w:rPr>
          <w:spacing w:val="40"/>
          <w:sz w:val="20"/>
        </w:rPr>
        <w:t> </w:t>
      </w:r>
      <w:r>
        <w:rPr>
          <w:sz w:val="20"/>
        </w:rPr>
        <w:t>if</w:t>
      </w:r>
      <w:r>
        <w:rPr>
          <w:spacing w:val="40"/>
          <w:sz w:val="20"/>
        </w:rPr>
        <w:t> </w:t>
      </w:r>
      <w:r>
        <w:rPr>
          <w:sz w:val="20"/>
        </w:rPr>
        <w:t>a</w:t>
      </w:r>
      <w:r>
        <w:rPr>
          <w:spacing w:val="40"/>
          <w:sz w:val="20"/>
        </w:rPr>
        <w:t> </w:t>
      </w:r>
      <w:r>
        <w:rPr>
          <w:sz w:val="20"/>
        </w:rPr>
        <w:t>conditional</w:t>
      </w:r>
      <w:r>
        <w:rPr>
          <w:spacing w:val="40"/>
          <w:sz w:val="20"/>
        </w:rPr>
        <w:t> </w:t>
      </w:r>
      <w:r>
        <w:rPr>
          <w:sz w:val="20"/>
        </w:rPr>
        <w:t>contract</w:t>
      </w:r>
      <w:r>
        <w:rPr>
          <w:spacing w:val="40"/>
          <w:sz w:val="20"/>
        </w:rPr>
        <w:t> </w:t>
      </w:r>
      <w:r>
        <w:rPr>
          <w:sz w:val="20"/>
        </w:rPr>
        <w:t>(of</w:t>
      </w:r>
      <w:r>
        <w:rPr>
          <w:spacing w:val="40"/>
          <w:sz w:val="20"/>
        </w:rPr>
        <w:t> </w:t>
      </w:r>
      <w:r>
        <w:rPr>
          <w:sz w:val="20"/>
        </w:rPr>
        <w:t>professional indemnity insurance) specified no time by or within which the condition (to which the insurer’s liability was subject) must occur, then the condition would have to be satisfied within </w:t>
      </w:r>
      <w:r>
        <w:rPr>
          <w:sz w:val="20"/>
        </w:rPr>
        <w:t>a reasonable time: see </w:t>
      </w:r>
      <w:r>
        <w:rPr>
          <w:rFonts w:ascii="Arial" w:hAnsi="Arial"/>
          <w:i/>
          <w:sz w:val="20"/>
        </w:rPr>
        <w:t>Beazley Underwriting Ltd v Travellers Companies Inc [2011] EWHC 1520 (Comm), [2012] 1 All E.R. (Comm) 1241 </w:t>
      </w:r>
      <w:r>
        <w:rPr>
          <w:sz w:val="20"/>
        </w:rPr>
        <w:t>at [185]; though, as the same passage goes on to</w:t>
      </w:r>
      <w:r>
        <w:rPr>
          <w:spacing w:val="40"/>
          <w:sz w:val="20"/>
        </w:rPr>
        <w:t> </w:t>
      </w:r>
      <w:r>
        <w:rPr>
          <w:sz w:val="20"/>
        </w:rPr>
        <w:t>point out, “[t]hat would leave the assured in a somewhat precarious position”.</w:t>
      </w:r>
    </w:p>
    <w:p>
      <w:pPr>
        <w:pStyle w:val="BodyText"/>
        <w:spacing w:before="8"/>
      </w:pPr>
    </w:p>
    <w:p>
      <w:pPr>
        <w:spacing w:line="235" w:lineRule="auto" w:before="0"/>
        <w:ind w:left="705" w:right="167" w:hanging="541"/>
        <w:jc w:val="both"/>
        <w:rPr>
          <w:sz w:val="20"/>
        </w:rPr>
      </w:pPr>
      <w:bookmarkStart w:name="_bookmark1655" w:id="1657"/>
      <w:bookmarkEnd w:id="1657"/>
      <w:r>
        <w:rPr/>
      </w:r>
      <w:hyperlink w:history="true" w:anchor="_bookmark1613">
        <w:r>
          <w:rPr>
            <w:color w:val="005DA1"/>
            <w:position w:val="5"/>
            <w:sz w:val="14"/>
            <w:u w:val="single" w:color="005DA1"/>
          </w:rPr>
          <w:t>850</w:t>
        </w:r>
      </w:hyperlink>
      <w:r>
        <w:rPr>
          <w:position w:val="5"/>
          <w:sz w:val="14"/>
        </w:rPr>
        <w:t>.</w:t>
      </w:r>
      <w:r>
        <w:rPr>
          <w:spacing w:val="80"/>
          <w:w w:val="150"/>
          <w:position w:val="5"/>
          <w:sz w:val="14"/>
        </w:rPr>
        <w:t> </w:t>
      </w:r>
      <w:r>
        <w:rPr>
          <w:rFonts w:ascii="Arial" w:hAnsi="Arial"/>
          <w:i/>
          <w:sz w:val="20"/>
        </w:rPr>
        <w:t>North Sea Energy Holdings NV v Petroleum Authority of Thailand [1997] 2 Lloyd’s Rep. </w:t>
      </w:r>
      <w:r>
        <w:rPr>
          <w:rFonts w:ascii="Arial" w:hAnsi="Arial"/>
          <w:i/>
          <w:sz w:val="20"/>
        </w:rPr>
        <w:t>418, 428–429; affirmed on other grounds [1999] 1 Lloyd’s Rep. 483</w:t>
      </w:r>
      <w:r>
        <w:rPr>
          <w:sz w:val="20"/>
        </w:rPr>
        <w:t>; </w:t>
      </w:r>
      <w:r>
        <w:rPr>
          <w:rFonts w:ascii="Arial" w:hAnsi="Arial"/>
          <w:i/>
          <w:sz w:val="20"/>
        </w:rPr>
        <w:t>Total Gas Marketing Ltd v Arco British Ltd [1998] 2 Lloyd’s Rep. 209, 215</w:t>
      </w:r>
      <w:r>
        <w:rPr>
          <w:sz w:val="20"/>
        </w:rPr>
        <w:t>.</w:t>
      </w:r>
    </w:p>
    <w:p>
      <w:pPr>
        <w:pStyle w:val="BodyText"/>
        <w:spacing w:before="5"/>
      </w:pPr>
    </w:p>
    <w:p>
      <w:pPr>
        <w:tabs>
          <w:tab w:pos="705" w:val="left" w:leader="none"/>
        </w:tabs>
        <w:spacing w:before="0"/>
        <w:ind w:left="165" w:right="0" w:firstLine="0"/>
        <w:jc w:val="left"/>
        <w:rPr>
          <w:sz w:val="20"/>
        </w:rPr>
      </w:pPr>
      <w:bookmarkStart w:name="_bookmark1656" w:id="1658"/>
      <w:bookmarkEnd w:id="1658"/>
      <w:r>
        <w:rPr/>
      </w:r>
      <w:hyperlink w:history="true" w:anchor="_bookmark1614">
        <w:r>
          <w:rPr>
            <w:color w:val="005DA1"/>
            <w:spacing w:val="-4"/>
            <w:position w:val="5"/>
            <w:sz w:val="14"/>
            <w:u w:val="single" w:color="005DA1"/>
          </w:rPr>
          <w:t>851</w:t>
        </w:r>
      </w:hyperlink>
      <w:r>
        <w:rPr>
          <w:spacing w:val="-4"/>
          <w:position w:val="5"/>
          <w:sz w:val="14"/>
        </w:rPr>
        <w:t>.</w:t>
      </w:r>
      <w:r>
        <w:rPr>
          <w:position w:val="5"/>
          <w:sz w:val="14"/>
        </w:rPr>
        <w:tab/>
      </w:r>
      <w:r>
        <w:rPr>
          <w:rFonts w:ascii="Arial" w:hAnsi="Arial"/>
          <w:i/>
          <w:sz w:val="20"/>
        </w:rPr>
        <w:t>Total Gas Marketing Ltd v Arco British Ltd [1998] 2 Lloyd’s Rep. 209</w:t>
      </w:r>
      <w:r>
        <w:rPr>
          <w:rFonts w:ascii="Arial" w:hAnsi="Arial"/>
          <w:i/>
          <w:spacing w:val="-1"/>
          <w:sz w:val="20"/>
        </w:rPr>
        <w:t> </w:t>
      </w:r>
      <w:r>
        <w:rPr>
          <w:sz w:val="20"/>
        </w:rPr>
        <w:t>at </w:t>
      </w:r>
      <w:r>
        <w:rPr>
          <w:spacing w:val="-4"/>
          <w:sz w:val="20"/>
        </w:rPr>
        <w:t>218.</w:t>
      </w:r>
    </w:p>
    <w:p>
      <w:pPr>
        <w:pStyle w:val="BodyText"/>
        <w:spacing w:before="9"/>
      </w:pPr>
    </w:p>
    <w:p>
      <w:pPr>
        <w:tabs>
          <w:tab w:pos="705" w:val="left" w:leader="none"/>
        </w:tabs>
        <w:spacing w:line="235" w:lineRule="auto" w:before="0"/>
        <w:ind w:left="705" w:right="168" w:hanging="541"/>
        <w:jc w:val="left"/>
        <w:rPr>
          <w:sz w:val="20"/>
        </w:rPr>
      </w:pPr>
      <w:bookmarkStart w:name="_bookmark1657" w:id="1659"/>
      <w:bookmarkEnd w:id="1659"/>
      <w:r>
        <w:rPr/>
      </w:r>
      <w:hyperlink w:history="true" w:anchor="_bookmark1615">
        <w:r>
          <w:rPr>
            <w:color w:val="005DA1"/>
            <w:spacing w:val="-4"/>
            <w:position w:val="5"/>
            <w:sz w:val="14"/>
            <w:u w:val="single" w:color="005DA1"/>
          </w:rPr>
          <w:t>852</w:t>
        </w:r>
      </w:hyperlink>
      <w:r>
        <w:rPr>
          <w:spacing w:val="-4"/>
          <w:position w:val="5"/>
          <w:sz w:val="14"/>
        </w:rPr>
        <w:t>.</w:t>
      </w:r>
      <w:r>
        <w:rPr>
          <w:position w:val="5"/>
          <w:sz w:val="14"/>
        </w:rPr>
        <w:tab/>
      </w:r>
      <w:r>
        <w:rPr>
          <w:rFonts w:ascii="Arial" w:hAnsi="Arial"/>
          <w:i/>
          <w:sz w:val="20"/>
        </w:rPr>
        <w:t>Total</w:t>
      </w:r>
      <w:r>
        <w:rPr>
          <w:rFonts w:ascii="Arial" w:hAnsi="Arial"/>
          <w:i/>
          <w:spacing w:val="30"/>
          <w:sz w:val="20"/>
        </w:rPr>
        <w:t> </w:t>
      </w:r>
      <w:r>
        <w:rPr>
          <w:rFonts w:ascii="Arial" w:hAnsi="Arial"/>
          <w:i/>
          <w:sz w:val="20"/>
        </w:rPr>
        <w:t>Gas</w:t>
      </w:r>
      <w:r>
        <w:rPr>
          <w:rFonts w:ascii="Arial" w:hAnsi="Arial"/>
          <w:i/>
          <w:spacing w:val="30"/>
          <w:sz w:val="20"/>
        </w:rPr>
        <w:t> </w:t>
      </w:r>
      <w:r>
        <w:rPr>
          <w:rFonts w:ascii="Arial" w:hAnsi="Arial"/>
          <w:i/>
          <w:sz w:val="20"/>
        </w:rPr>
        <w:t>Marketing</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v</w:t>
      </w:r>
      <w:r>
        <w:rPr>
          <w:rFonts w:ascii="Arial" w:hAnsi="Arial"/>
          <w:i/>
          <w:spacing w:val="30"/>
          <w:sz w:val="20"/>
        </w:rPr>
        <w:t> </w:t>
      </w:r>
      <w:r>
        <w:rPr>
          <w:rFonts w:ascii="Arial" w:hAnsi="Arial"/>
          <w:i/>
          <w:sz w:val="20"/>
        </w:rPr>
        <w:t>Arco</w:t>
      </w:r>
      <w:r>
        <w:rPr>
          <w:rFonts w:ascii="Arial" w:hAnsi="Arial"/>
          <w:i/>
          <w:spacing w:val="30"/>
          <w:sz w:val="20"/>
        </w:rPr>
        <w:t> </w:t>
      </w:r>
      <w:r>
        <w:rPr>
          <w:rFonts w:ascii="Arial" w:hAnsi="Arial"/>
          <w:i/>
          <w:sz w:val="20"/>
        </w:rPr>
        <w:t>British</w:t>
      </w:r>
      <w:r>
        <w:rPr>
          <w:rFonts w:ascii="Arial" w:hAnsi="Arial"/>
          <w:i/>
          <w:spacing w:val="30"/>
          <w:sz w:val="20"/>
        </w:rPr>
        <w:t> </w:t>
      </w:r>
      <w:r>
        <w:rPr>
          <w:rFonts w:ascii="Arial" w:hAnsi="Arial"/>
          <w:i/>
          <w:sz w:val="20"/>
        </w:rPr>
        <w:t>Ltd</w:t>
      </w:r>
      <w:r>
        <w:rPr>
          <w:rFonts w:ascii="Arial" w:hAnsi="Arial"/>
          <w:i/>
          <w:spacing w:val="30"/>
          <w:sz w:val="20"/>
        </w:rPr>
        <w:t> </w:t>
      </w:r>
      <w:r>
        <w:rPr>
          <w:rFonts w:ascii="Arial" w:hAnsi="Arial"/>
          <w:i/>
          <w:sz w:val="20"/>
        </w:rPr>
        <w:t>[1998]</w:t>
      </w:r>
      <w:r>
        <w:rPr>
          <w:rFonts w:ascii="Arial" w:hAnsi="Arial"/>
          <w:i/>
          <w:spacing w:val="30"/>
          <w:sz w:val="20"/>
        </w:rPr>
        <w:t> </w:t>
      </w:r>
      <w:r>
        <w:rPr>
          <w:rFonts w:ascii="Arial" w:hAnsi="Arial"/>
          <w:i/>
          <w:sz w:val="20"/>
        </w:rPr>
        <w:t>2</w:t>
      </w:r>
      <w:r>
        <w:rPr>
          <w:rFonts w:ascii="Arial" w:hAnsi="Arial"/>
          <w:i/>
          <w:spacing w:val="30"/>
          <w:sz w:val="20"/>
        </w:rPr>
        <w:t> </w:t>
      </w:r>
      <w:r>
        <w:rPr>
          <w:rFonts w:ascii="Arial" w:hAnsi="Arial"/>
          <w:i/>
          <w:sz w:val="20"/>
        </w:rPr>
        <w:t>Lloyd’s</w:t>
      </w:r>
      <w:r>
        <w:rPr>
          <w:rFonts w:ascii="Arial" w:hAnsi="Arial"/>
          <w:i/>
          <w:spacing w:val="30"/>
          <w:sz w:val="20"/>
        </w:rPr>
        <w:t> </w:t>
      </w:r>
      <w:r>
        <w:rPr>
          <w:rFonts w:ascii="Arial" w:hAnsi="Arial"/>
          <w:i/>
          <w:sz w:val="20"/>
        </w:rPr>
        <w:t>Rep.</w:t>
      </w:r>
      <w:r>
        <w:rPr>
          <w:rFonts w:ascii="Arial" w:hAnsi="Arial"/>
          <w:i/>
          <w:spacing w:val="30"/>
          <w:sz w:val="20"/>
        </w:rPr>
        <w:t> </w:t>
      </w:r>
      <w:r>
        <w:rPr>
          <w:rFonts w:ascii="Arial" w:hAnsi="Arial"/>
          <w:i/>
          <w:sz w:val="20"/>
        </w:rPr>
        <w:t>209</w:t>
      </w:r>
      <w:r>
        <w:rPr>
          <w:rFonts w:ascii="Arial" w:hAnsi="Arial"/>
          <w:i/>
          <w:spacing w:val="29"/>
          <w:sz w:val="20"/>
        </w:rPr>
        <w:t> </w:t>
      </w:r>
      <w:r>
        <w:rPr>
          <w:sz w:val="20"/>
        </w:rPr>
        <w:t>at</w:t>
      </w:r>
      <w:r>
        <w:rPr>
          <w:spacing w:val="30"/>
          <w:sz w:val="20"/>
        </w:rPr>
        <w:t> </w:t>
      </w:r>
      <w:r>
        <w:rPr>
          <w:sz w:val="20"/>
        </w:rPr>
        <w:t>221,</w:t>
      </w:r>
      <w:r>
        <w:rPr>
          <w:spacing w:val="30"/>
          <w:sz w:val="20"/>
        </w:rPr>
        <w:t> </w:t>
      </w:r>
      <w:r>
        <w:rPr>
          <w:sz w:val="20"/>
        </w:rPr>
        <w:t>224.</w:t>
      </w:r>
      <w:r>
        <w:rPr>
          <w:spacing w:val="30"/>
          <w:sz w:val="20"/>
        </w:rPr>
        <w:t> </w:t>
      </w:r>
      <w:r>
        <w:rPr>
          <w:sz w:val="20"/>
        </w:rPr>
        <w:t>And</w:t>
      </w:r>
      <w:r>
        <w:rPr>
          <w:spacing w:val="30"/>
          <w:sz w:val="20"/>
        </w:rPr>
        <w:t> </w:t>
      </w:r>
      <w:r>
        <w:rPr>
          <w:sz w:val="20"/>
        </w:rPr>
        <w:t>see n.834 below.</w:t>
      </w:r>
    </w:p>
    <w:p>
      <w:pPr>
        <w:pStyle w:val="BodyText"/>
        <w:spacing w:before="9"/>
      </w:pPr>
    </w:p>
    <w:p>
      <w:pPr>
        <w:spacing w:line="235" w:lineRule="auto" w:before="0"/>
        <w:ind w:left="705" w:right="167" w:hanging="541"/>
        <w:jc w:val="both"/>
        <w:rPr>
          <w:sz w:val="20"/>
        </w:rPr>
      </w:pPr>
      <w:bookmarkStart w:name="_bookmark1658" w:id="1660"/>
      <w:bookmarkEnd w:id="1660"/>
      <w:r>
        <w:rPr/>
      </w:r>
      <w:hyperlink w:history="true" w:anchor="_bookmark1616">
        <w:r>
          <w:rPr>
            <w:color w:val="005DA1"/>
            <w:position w:val="5"/>
            <w:sz w:val="14"/>
            <w:u w:val="single" w:color="005DA1"/>
          </w:rPr>
          <w:t>853</w:t>
        </w:r>
      </w:hyperlink>
      <w:r>
        <w:rPr>
          <w:position w:val="5"/>
          <w:sz w:val="14"/>
        </w:rPr>
        <w:t>.</w:t>
      </w:r>
      <w:r>
        <w:rPr>
          <w:spacing w:val="80"/>
          <w:w w:val="150"/>
          <w:position w:val="5"/>
          <w:sz w:val="14"/>
        </w:rPr>
        <w:t> </w:t>
      </w:r>
      <w:r>
        <w:rPr>
          <w:rFonts w:ascii="Arial" w:hAnsi="Arial"/>
          <w:i/>
          <w:sz w:val="20"/>
        </w:rPr>
        <w:t>(1881) 6 App. Cas. 251</w:t>
      </w:r>
      <w:r>
        <w:rPr>
          <w:sz w:val="20"/>
        </w:rPr>
        <w:t>. The condition is described as subsequent in </w:t>
      </w:r>
      <w:r>
        <w:rPr>
          <w:rFonts w:ascii="Arial" w:hAnsi="Arial"/>
          <w:i/>
          <w:sz w:val="20"/>
        </w:rPr>
        <w:t>Colley v Overseas Exporters [1921] 3 K.B. 302, 308</w:t>
      </w:r>
      <w:r>
        <w:rPr>
          <w:sz w:val="20"/>
        </w:rPr>
        <w:t>. cf. also </w:t>
      </w:r>
      <w:r>
        <w:rPr>
          <w:rFonts w:ascii="Arial" w:hAnsi="Arial"/>
          <w:i/>
          <w:sz w:val="20"/>
        </w:rPr>
        <w:t>Shipping Corp of India v Naviera Letasa [1976] </w:t>
      </w:r>
      <w:r>
        <w:rPr>
          <w:rFonts w:ascii="Arial" w:hAnsi="Arial"/>
          <w:i/>
          <w:sz w:val="20"/>
        </w:rPr>
        <w:t>1 Lloyd’s Rep. 132 </w:t>
      </w:r>
      <w:r>
        <w:rPr>
          <w:sz w:val="20"/>
        </w:rPr>
        <w:t>and </w:t>
      </w:r>
      <w:r>
        <w:rPr>
          <w:rFonts w:ascii="Arial" w:hAnsi="Arial"/>
          <w:i/>
          <w:sz w:val="20"/>
        </w:rPr>
        <w:t>C.I.A. Barca de Panama SA v George Wimpey &amp; Co Ltd [1980] 1 Lloyd’s Rep. 598</w:t>
      </w:r>
      <w:r>
        <w:rPr>
          <w:sz w:val="20"/>
        </w:rPr>
        <w:t>; </w:t>
      </w:r>
      <w:r>
        <w:rPr>
          <w:rFonts w:ascii="Arial" w:hAnsi="Arial"/>
          <w:i/>
          <w:sz w:val="20"/>
        </w:rPr>
        <w:t>South West Trains Ltd v Wightman, The Times, January 14, 1998</w:t>
      </w:r>
      <w:r>
        <w:rPr>
          <w:sz w:val="20"/>
        </w:rPr>
        <w:t>. The “principle in </w:t>
      </w:r>
      <w:r>
        <w:rPr>
          <w:rFonts w:ascii="Arial" w:hAnsi="Arial"/>
          <w:i/>
          <w:sz w:val="20"/>
        </w:rPr>
        <w:t>Mackay v Dick</w:t>
      </w:r>
      <w:r>
        <w:rPr>
          <w:sz w:val="20"/>
        </w:rPr>
        <w:t>” would not apply if the parties had not reached agreement on the matter alleged to have been prevented: see </w:t>
      </w:r>
      <w:r>
        <w:rPr>
          <w:rFonts w:ascii="Arial" w:hAnsi="Arial"/>
          <w:i/>
          <w:sz w:val="20"/>
        </w:rPr>
        <w:t>Covington Marine Corp v Xiamen Shipbuilding Industry Co [2005] EWHC 2912 (Comm), [2006] 1 Lloyd’s Rep. 748 </w:t>
      </w:r>
      <w:r>
        <w:rPr>
          <w:sz w:val="20"/>
        </w:rPr>
        <w:t>at [56] (where the actual decision was that such agreement had been reached). For exclusion of the duty by express contrary provision, see below, para.2-163.</w:t>
      </w:r>
    </w:p>
    <w:p>
      <w:pPr>
        <w:pStyle w:val="BodyText"/>
        <w:spacing w:before="3"/>
      </w:pPr>
    </w:p>
    <w:p>
      <w:pPr>
        <w:tabs>
          <w:tab w:pos="705" w:val="left" w:leader="none"/>
        </w:tabs>
        <w:spacing w:line="227" w:lineRule="exact" w:before="0"/>
        <w:ind w:left="165" w:right="0" w:firstLine="0"/>
        <w:jc w:val="left"/>
        <w:rPr>
          <w:rFonts w:ascii="Arial"/>
          <w:i/>
          <w:sz w:val="20"/>
        </w:rPr>
      </w:pPr>
      <w:bookmarkStart w:name="_bookmark1659" w:id="1661"/>
      <w:bookmarkEnd w:id="1661"/>
      <w:r>
        <w:rPr/>
      </w:r>
      <w:hyperlink w:history="true" w:anchor="_bookmark1617">
        <w:r>
          <w:rPr>
            <w:color w:val="005DA1"/>
            <w:spacing w:val="-4"/>
            <w:position w:val="5"/>
            <w:sz w:val="14"/>
            <w:u w:val="single" w:color="005DA1"/>
          </w:rPr>
          <w:t>854</w:t>
        </w:r>
      </w:hyperlink>
      <w:r>
        <w:rPr>
          <w:spacing w:val="-4"/>
          <w:position w:val="5"/>
          <w:sz w:val="14"/>
        </w:rPr>
        <w:t>.</w:t>
      </w:r>
      <w:r>
        <w:rPr>
          <w:position w:val="5"/>
          <w:sz w:val="14"/>
        </w:rPr>
        <w:tab/>
      </w:r>
      <w:r>
        <w:rPr>
          <w:rFonts w:ascii="Arial"/>
          <w:i/>
          <w:sz w:val="20"/>
        </w:rPr>
        <w:t>Hudson</w:t>
      </w:r>
      <w:r>
        <w:rPr>
          <w:rFonts w:ascii="Arial"/>
          <w:i/>
          <w:spacing w:val="25"/>
          <w:sz w:val="20"/>
        </w:rPr>
        <w:t> </w:t>
      </w:r>
      <w:r>
        <w:rPr>
          <w:rFonts w:ascii="Arial"/>
          <w:i/>
          <w:sz w:val="20"/>
        </w:rPr>
        <w:t>Bay</w:t>
      </w:r>
      <w:r>
        <w:rPr>
          <w:rFonts w:ascii="Arial"/>
          <w:i/>
          <w:spacing w:val="25"/>
          <w:sz w:val="20"/>
        </w:rPr>
        <w:t> </w:t>
      </w:r>
      <w:r>
        <w:rPr>
          <w:rFonts w:ascii="Arial"/>
          <w:i/>
          <w:sz w:val="20"/>
        </w:rPr>
        <w:t>Apparel</w:t>
      </w:r>
      <w:r>
        <w:rPr>
          <w:rFonts w:ascii="Arial"/>
          <w:i/>
          <w:spacing w:val="25"/>
          <w:sz w:val="20"/>
        </w:rPr>
        <w:t> </w:t>
      </w:r>
      <w:r>
        <w:rPr>
          <w:rFonts w:ascii="Arial"/>
          <w:i/>
          <w:sz w:val="20"/>
        </w:rPr>
        <w:t>Brands</w:t>
      </w:r>
      <w:r>
        <w:rPr>
          <w:rFonts w:ascii="Arial"/>
          <w:i/>
          <w:spacing w:val="25"/>
          <w:sz w:val="20"/>
        </w:rPr>
        <w:t> </w:t>
      </w:r>
      <w:r>
        <w:rPr>
          <w:rFonts w:ascii="Arial"/>
          <w:i/>
          <w:sz w:val="20"/>
        </w:rPr>
        <w:t>LLC</w:t>
      </w:r>
      <w:r>
        <w:rPr>
          <w:rFonts w:ascii="Arial"/>
          <w:i/>
          <w:spacing w:val="25"/>
          <w:sz w:val="20"/>
        </w:rPr>
        <w:t> </w:t>
      </w:r>
      <w:r>
        <w:rPr>
          <w:rFonts w:ascii="Arial"/>
          <w:i/>
          <w:sz w:val="20"/>
        </w:rPr>
        <w:t>v</w:t>
      </w:r>
      <w:r>
        <w:rPr>
          <w:rFonts w:ascii="Arial"/>
          <w:i/>
          <w:spacing w:val="25"/>
          <w:sz w:val="20"/>
        </w:rPr>
        <w:t> </w:t>
      </w:r>
      <w:r>
        <w:rPr>
          <w:rFonts w:ascii="Arial"/>
          <w:i/>
          <w:sz w:val="20"/>
        </w:rPr>
        <w:t>Umbro</w:t>
      </w:r>
      <w:r>
        <w:rPr>
          <w:rFonts w:ascii="Arial"/>
          <w:i/>
          <w:spacing w:val="25"/>
          <w:sz w:val="20"/>
        </w:rPr>
        <w:t> </w:t>
      </w:r>
      <w:r>
        <w:rPr>
          <w:rFonts w:ascii="Arial"/>
          <w:i/>
          <w:sz w:val="20"/>
        </w:rPr>
        <w:t>International</w:t>
      </w:r>
      <w:r>
        <w:rPr>
          <w:rFonts w:ascii="Arial"/>
          <w:i/>
          <w:spacing w:val="25"/>
          <w:sz w:val="20"/>
        </w:rPr>
        <w:t> </w:t>
      </w:r>
      <w:r>
        <w:rPr>
          <w:rFonts w:ascii="Arial"/>
          <w:i/>
          <w:sz w:val="20"/>
        </w:rPr>
        <w:t>Ltd</w:t>
      </w:r>
      <w:r>
        <w:rPr>
          <w:rFonts w:ascii="Arial"/>
          <w:i/>
          <w:spacing w:val="25"/>
          <w:sz w:val="20"/>
        </w:rPr>
        <w:t> </w:t>
      </w:r>
      <w:r>
        <w:rPr>
          <w:rFonts w:ascii="Arial"/>
          <w:i/>
          <w:sz w:val="20"/>
        </w:rPr>
        <w:t>[2009]</w:t>
      </w:r>
      <w:r>
        <w:rPr>
          <w:rFonts w:ascii="Arial"/>
          <w:i/>
          <w:spacing w:val="25"/>
          <w:sz w:val="20"/>
        </w:rPr>
        <w:t> </w:t>
      </w:r>
      <w:r>
        <w:rPr>
          <w:rFonts w:ascii="Arial"/>
          <w:i/>
          <w:sz w:val="20"/>
        </w:rPr>
        <w:t>EWHC</w:t>
      </w:r>
      <w:r>
        <w:rPr>
          <w:rFonts w:ascii="Arial"/>
          <w:i/>
          <w:spacing w:val="25"/>
          <w:sz w:val="20"/>
        </w:rPr>
        <w:t> </w:t>
      </w:r>
      <w:r>
        <w:rPr>
          <w:rFonts w:ascii="Arial"/>
          <w:i/>
          <w:sz w:val="20"/>
        </w:rPr>
        <w:t>2861</w:t>
      </w:r>
      <w:r>
        <w:rPr>
          <w:rFonts w:ascii="Arial"/>
          <w:i/>
          <w:spacing w:val="25"/>
          <w:sz w:val="20"/>
        </w:rPr>
        <w:t> </w:t>
      </w:r>
      <w:r>
        <w:rPr>
          <w:rFonts w:ascii="Arial"/>
          <w:i/>
          <w:sz w:val="20"/>
        </w:rPr>
        <w:t>(Ch),</w:t>
      </w:r>
      <w:r>
        <w:rPr>
          <w:rFonts w:ascii="Arial"/>
          <w:i/>
          <w:spacing w:val="25"/>
          <w:sz w:val="20"/>
        </w:rPr>
        <w:t> </w:t>
      </w:r>
      <w:r>
        <w:rPr>
          <w:rFonts w:ascii="Arial"/>
          <w:i/>
          <w:spacing w:val="-2"/>
          <w:sz w:val="20"/>
        </w:rPr>
        <w:t>[2010]</w:t>
      </w:r>
    </w:p>
    <w:p>
      <w:pPr>
        <w:spacing w:line="227" w:lineRule="exact" w:before="0"/>
        <w:ind w:left="705" w:right="0" w:firstLine="0"/>
        <w:jc w:val="left"/>
        <w:rPr>
          <w:sz w:val="20"/>
        </w:rPr>
      </w:pPr>
      <w:r>
        <w:rPr>
          <w:rFonts w:ascii="Arial"/>
          <w:i/>
          <w:sz w:val="20"/>
        </w:rPr>
        <w:t>E.T.M.R. 15 </w:t>
      </w:r>
      <w:r>
        <w:rPr>
          <w:sz w:val="20"/>
        </w:rPr>
        <w:t>at [119], [128], [136] and </w:t>
      </w:r>
      <w:r>
        <w:rPr>
          <w:spacing w:val="-2"/>
          <w:sz w:val="20"/>
        </w:rPr>
        <w:t>[140].</w:t>
      </w:r>
    </w:p>
    <w:p>
      <w:pPr>
        <w:pStyle w:val="BodyText"/>
        <w:spacing w:before="9"/>
      </w:pPr>
    </w:p>
    <w:p>
      <w:pPr>
        <w:spacing w:line="235" w:lineRule="auto" w:before="0"/>
        <w:ind w:left="705" w:right="167" w:hanging="541"/>
        <w:jc w:val="both"/>
        <w:rPr>
          <w:sz w:val="20"/>
        </w:rPr>
      </w:pPr>
      <w:bookmarkStart w:name="_bookmark1660" w:id="1662"/>
      <w:bookmarkEnd w:id="1662"/>
      <w:r>
        <w:rPr/>
      </w:r>
      <w:hyperlink w:history="true" w:anchor="_bookmark1617">
        <w:r>
          <w:rPr>
            <w:color w:val="005DA1"/>
            <w:position w:val="5"/>
            <w:sz w:val="14"/>
            <w:u w:val="single" w:color="005DA1"/>
          </w:rPr>
          <w:t>855</w:t>
        </w:r>
      </w:hyperlink>
      <w:r>
        <w:rPr>
          <w:position w:val="5"/>
          <w:sz w:val="14"/>
        </w:rPr>
        <w:t>.</w:t>
      </w:r>
      <w:r>
        <w:rPr>
          <w:spacing w:val="80"/>
          <w:position w:val="5"/>
          <w:sz w:val="14"/>
        </w:rPr>
        <w:t>  </w:t>
      </w:r>
      <w:r>
        <w:rPr>
          <w:rFonts w:ascii="Arial"/>
          <w:i/>
          <w:sz w:val="20"/>
        </w:rPr>
        <w:t>Bournemouth &amp; Boscombe Athletic F.C. v Manchester United F.C., The Times, May 22, 1980</w:t>
      </w:r>
      <w:r>
        <w:rPr>
          <w:sz w:val="20"/>
        </w:rPr>
        <w:t>. cf. </w:t>
      </w:r>
      <w:r>
        <w:rPr>
          <w:rFonts w:ascii="Arial"/>
          <w:i/>
          <w:sz w:val="20"/>
        </w:rPr>
        <w:t>CEL Group Ltd v Nedlloyd Lines UK Ltd [2003] EWCA Civ 1716, [2004] 1 All E.R. (Comm) 689</w:t>
      </w:r>
      <w:r>
        <w:rPr>
          <w:sz w:val="20"/>
        </w:rPr>
        <w:t>, where the contract was not in terms conditional but the court applied a similar principle to that stated in the text above by virtue of the rule stated in para.14-015 below.</w:t>
      </w:r>
    </w:p>
    <w:p>
      <w:pPr>
        <w:pStyle w:val="BodyText"/>
        <w:spacing w:before="4"/>
      </w:pPr>
    </w:p>
    <w:p>
      <w:pPr>
        <w:tabs>
          <w:tab w:pos="705" w:val="left" w:leader="none"/>
        </w:tabs>
        <w:spacing w:before="1"/>
        <w:ind w:left="165" w:right="0" w:firstLine="0"/>
        <w:jc w:val="left"/>
        <w:rPr>
          <w:sz w:val="20"/>
        </w:rPr>
      </w:pPr>
      <w:bookmarkStart w:name="_bookmark1661" w:id="1663"/>
      <w:bookmarkEnd w:id="1663"/>
      <w:r>
        <w:rPr/>
      </w:r>
      <w:hyperlink w:history="true" w:anchor="_bookmark1618">
        <w:r>
          <w:rPr>
            <w:color w:val="005DA1"/>
            <w:spacing w:val="-4"/>
            <w:position w:val="5"/>
            <w:sz w:val="14"/>
            <w:u w:val="single" w:color="005DA1"/>
          </w:rPr>
          <w:t>856</w:t>
        </w:r>
      </w:hyperlink>
      <w:r>
        <w:rPr>
          <w:spacing w:val="-4"/>
          <w:position w:val="5"/>
          <w:sz w:val="14"/>
        </w:rPr>
        <w:t>.</w:t>
      </w:r>
      <w:r>
        <w:rPr>
          <w:position w:val="5"/>
          <w:sz w:val="14"/>
        </w:rPr>
        <w:tab/>
      </w:r>
      <w:r>
        <w:rPr>
          <w:sz w:val="20"/>
        </w:rPr>
        <w:t>See</w:t>
      </w:r>
      <w:r>
        <w:rPr>
          <w:spacing w:val="-1"/>
          <w:sz w:val="20"/>
        </w:rPr>
        <w:t> </w:t>
      </w:r>
      <w:r>
        <w:rPr>
          <w:rFonts w:ascii="Arial"/>
          <w:i/>
          <w:sz w:val="20"/>
        </w:rPr>
        <w:t>Blake &amp; Co v Sohn [1969] 1 W.L.R. </w:t>
      </w:r>
      <w:r>
        <w:rPr>
          <w:rFonts w:ascii="Arial"/>
          <w:i/>
          <w:spacing w:val="-4"/>
          <w:sz w:val="20"/>
        </w:rPr>
        <w:t>1412</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662" w:id="1664"/>
      <w:bookmarkEnd w:id="1664"/>
      <w:r>
        <w:rPr/>
      </w:r>
      <w:hyperlink w:history="true" w:anchor="_bookmark1619">
        <w:r>
          <w:rPr>
            <w:color w:val="005DA1"/>
            <w:spacing w:val="-4"/>
            <w:position w:val="5"/>
            <w:sz w:val="14"/>
            <w:u w:val="single" w:color="005DA1"/>
          </w:rPr>
          <w:t>857</w:t>
        </w:r>
      </w:hyperlink>
      <w:r>
        <w:rPr>
          <w:spacing w:val="-4"/>
          <w:position w:val="5"/>
          <w:sz w:val="14"/>
        </w:rPr>
        <w:t>.</w:t>
      </w:r>
      <w:r>
        <w:rPr>
          <w:position w:val="5"/>
          <w:sz w:val="14"/>
        </w:rPr>
        <w:tab/>
      </w:r>
      <w:r>
        <w:rPr>
          <w:sz w:val="20"/>
        </w:rPr>
        <w:t>See</w:t>
      </w:r>
      <w:r>
        <w:rPr>
          <w:spacing w:val="15"/>
          <w:sz w:val="20"/>
        </w:rPr>
        <w:t> </w:t>
      </w:r>
      <w:r>
        <w:rPr>
          <w:rFonts w:ascii="Arial" w:hAnsi="Arial"/>
          <w:i/>
          <w:sz w:val="20"/>
        </w:rPr>
        <w:t>Thompson</w:t>
      </w:r>
      <w:r>
        <w:rPr>
          <w:rFonts w:ascii="Arial" w:hAnsi="Arial"/>
          <w:i/>
          <w:spacing w:val="18"/>
          <w:sz w:val="20"/>
        </w:rPr>
        <w:t> </w:t>
      </w:r>
      <w:r>
        <w:rPr>
          <w:rFonts w:ascii="Arial" w:hAnsi="Arial"/>
          <w:i/>
          <w:sz w:val="20"/>
        </w:rPr>
        <w:t>v</w:t>
      </w:r>
      <w:r>
        <w:rPr>
          <w:rFonts w:ascii="Arial" w:hAnsi="Arial"/>
          <w:i/>
          <w:spacing w:val="18"/>
          <w:sz w:val="20"/>
        </w:rPr>
        <w:t> </w:t>
      </w:r>
      <w:r>
        <w:rPr>
          <w:rFonts w:ascii="Arial" w:hAnsi="Arial"/>
          <w:i/>
          <w:sz w:val="20"/>
        </w:rPr>
        <w:t>ASDA-MFI</w:t>
      </w:r>
      <w:r>
        <w:rPr>
          <w:rFonts w:ascii="Arial" w:hAnsi="Arial"/>
          <w:i/>
          <w:spacing w:val="18"/>
          <w:sz w:val="20"/>
        </w:rPr>
        <w:t> </w:t>
      </w:r>
      <w:r>
        <w:rPr>
          <w:rFonts w:ascii="Arial" w:hAnsi="Arial"/>
          <w:i/>
          <w:sz w:val="20"/>
        </w:rPr>
        <w:t>Group</w:t>
      </w:r>
      <w:r>
        <w:rPr>
          <w:rFonts w:ascii="Arial" w:hAnsi="Arial"/>
          <w:i/>
          <w:spacing w:val="18"/>
          <w:sz w:val="20"/>
        </w:rPr>
        <w:t> </w:t>
      </w:r>
      <w:r>
        <w:rPr>
          <w:rFonts w:ascii="Arial" w:hAnsi="Arial"/>
          <w:i/>
          <w:sz w:val="20"/>
        </w:rPr>
        <w:t>Plc</w:t>
      </w:r>
      <w:r>
        <w:rPr>
          <w:rFonts w:ascii="Arial" w:hAnsi="Arial"/>
          <w:i/>
          <w:spacing w:val="18"/>
          <w:sz w:val="20"/>
        </w:rPr>
        <w:t> </w:t>
      </w:r>
      <w:r>
        <w:rPr>
          <w:rFonts w:ascii="Arial" w:hAnsi="Arial"/>
          <w:i/>
          <w:sz w:val="20"/>
        </w:rPr>
        <w:t>[1988]</w:t>
      </w:r>
      <w:r>
        <w:rPr>
          <w:rFonts w:ascii="Arial" w:hAnsi="Arial"/>
          <w:i/>
          <w:spacing w:val="18"/>
          <w:sz w:val="20"/>
        </w:rPr>
        <w:t> </w:t>
      </w:r>
      <w:r>
        <w:rPr>
          <w:rFonts w:ascii="Arial" w:hAnsi="Arial"/>
          <w:i/>
          <w:sz w:val="20"/>
        </w:rPr>
        <w:t>Ch.</w:t>
      </w:r>
      <w:r>
        <w:rPr>
          <w:rFonts w:ascii="Arial" w:hAnsi="Arial"/>
          <w:i/>
          <w:spacing w:val="18"/>
          <w:sz w:val="20"/>
        </w:rPr>
        <w:t> </w:t>
      </w:r>
      <w:r>
        <w:rPr>
          <w:rFonts w:ascii="Arial" w:hAnsi="Arial"/>
          <w:i/>
          <w:sz w:val="20"/>
        </w:rPr>
        <w:t>241</w:t>
      </w:r>
      <w:r>
        <w:rPr>
          <w:sz w:val="20"/>
        </w:rPr>
        <w:t>.</w:t>
      </w:r>
      <w:r>
        <w:rPr>
          <w:spacing w:val="18"/>
          <w:sz w:val="20"/>
        </w:rPr>
        <w:t> </w:t>
      </w:r>
      <w:r>
        <w:rPr>
          <w:sz w:val="20"/>
        </w:rPr>
        <w:t>A</w:t>
      </w:r>
      <w:r>
        <w:rPr>
          <w:spacing w:val="18"/>
          <w:sz w:val="20"/>
        </w:rPr>
        <w:t> </w:t>
      </w:r>
      <w:r>
        <w:rPr>
          <w:sz w:val="20"/>
        </w:rPr>
        <w:t>party</w:t>
      </w:r>
      <w:r>
        <w:rPr>
          <w:spacing w:val="18"/>
          <w:sz w:val="20"/>
        </w:rPr>
        <w:t> </w:t>
      </w:r>
      <w:r>
        <w:rPr>
          <w:sz w:val="20"/>
        </w:rPr>
        <w:t>would</w:t>
      </w:r>
      <w:r>
        <w:rPr>
          <w:spacing w:val="18"/>
          <w:sz w:val="20"/>
        </w:rPr>
        <w:t> </w:t>
      </w:r>
      <w:r>
        <w:rPr>
          <w:sz w:val="20"/>
        </w:rPr>
        <w:t>not</w:t>
      </w:r>
      <w:r>
        <w:rPr>
          <w:spacing w:val="18"/>
          <w:sz w:val="20"/>
        </w:rPr>
        <w:t> </w:t>
      </w:r>
      <w:r>
        <w:rPr>
          <w:sz w:val="20"/>
        </w:rPr>
        <w:t>act</w:t>
      </w:r>
      <w:r>
        <w:rPr>
          <w:spacing w:val="18"/>
          <w:sz w:val="20"/>
        </w:rPr>
        <w:t> </w:t>
      </w:r>
      <w:r>
        <w:rPr>
          <w:sz w:val="20"/>
        </w:rPr>
        <w:t>“wrongfully”</w:t>
      </w:r>
      <w:r>
        <w:rPr>
          <w:spacing w:val="18"/>
          <w:sz w:val="20"/>
        </w:rPr>
        <w:t> </w:t>
      </w:r>
      <w:r>
        <w:rPr>
          <w:spacing w:val="-5"/>
          <w:sz w:val="20"/>
        </w:rPr>
        <w:t>for</w:t>
      </w:r>
    </w:p>
    <w:p>
      <w:pPr>
        <w:spacing w:after="0"/>
        <w:jc w:val="left"/>
        <w:rPr>
          <w:sz w:val="20"/>
        </w:rPr>
        <w:sectPr>
          <w:pgSz w:w="11900" w:h="16840"/>
          <w:pgMar w:header="971" w:footer="0" w:top="1300" w:bottom="280" w:left="1275" w:right="1275"/>
        </w:sectPr>
      </w:pPr>
    </w:p>
    <w:p>
      <w:pPr>
        <w:pStyle w:val="BodyText"/>
        <w:spacing w:line="235" w:lineRule="auto" w:before="110"/>
        <w:ind w:left="705"/>
      </w:pPr>
      <w:r>
        <w:rPr/>
        <w:t>the</w:t>
      </w:r>
      <w:r>
        <w:rPr>
          <w:spacing w:val="33"/>
        </w:rPr>
        <w:t> </w:t>
      </w:r>
      <w:r>
        <w:rPr/>
        <w:t>present</w:t>
      </w:r>
      <w:r>
        <w:rPr>
          <w:spacing w:val="33"/>
        </w:rPr>
        <w:t> </w:t>
      </w:r>
      <w:r>
        <w:rPr/>
        <w:t>purpose</w:t>
      </w:r>
      <w:r>
        <w:rPr>
          <w:spacing w:val="33"/>
        </w:rPr>
        <w:t> </w:t>
      </w:r>
      <w:r>
        <w:rPr/>
        <w:t>merely</w:t>
      </w:r>
      <w:r>
        <w:rPr>
          <w:spacing w:val="33"/>
        </w:rPr>
        <w:t> </w:t>
      </w:r>
      <w:r>
        <w:rPr/>
        <w:t>by</w:t>
      </w:r>
      <w:r>
        <w:rPr>
          <w:spacing w:val="33"/>
        </w:rPr>
        <w:t> </w:t>
      </w:r>
      <w:r>
        <w:rPr/>
        <w:t>reason</w:t>
      </w:r>
      <w:r>
        <w:rPr>
          <w:spacing w:val="33"/>
        </w:rPr>
        <w:t> </w:t>
      </w:r>
      <w:r>
        <w:rPr/>
        <w:t>of</w:t>
      </w:r>
      <w:r>
        <w:rPr>
          <w:spacing w:val="33"/>
        </w:rPr>
        <w:t> </w:t>
      </w:r>
      <w:r>
        <w:rPr/>
        <w:t>having</w:t>
      </w:r>
      <w:r>
        <w:rPr>
          <w:spacing w:val="33"/>
        </w:rPr>
        <w:t> </w:t>
      </w:r>
      <w:r>
        <w:rPr/>
        <w:t>failed</w:t>
      </w:r>
      <w:r>
        <w:rPr>
          <w:spacing w:val="33"/>
        </w:rPr>
        <w:t> </w:t>
      </w:r>
      <w:r>
        <w:rPr/>
        <w:t>to</w:t>
      </w:r>
      <w:r>
        <w:rPr>
          <w:spacing w:val="33"/>
        </w:rPr>
        <w:t> </w:t>
      </w:r>
      <w:r>
        <w:rPr/>
        <w:t>use</w:t>
      </w:r>
      <w:r>
        <w:rPr>
          <w:spacing w:val="33"/>
        </w:rPr>
        <w:t> </w:t>
      </w:r>
      <w:r>
        <w:rPr/>
        <w:t>its</w:t>
      </w:r>
      <w:r>
        <w:rPr>
          <w:spacing w:val="33"/>
        </w:rPr>
        <w:t> </w:t>
      </w:r>
      <w:r>
        <w:rPr/>
        <w:t>best</w:t>
      </w:r>
      <w:r>
        <w:rPr>
          <w:spacing w:val="33"/>
        </w:rPr>
        <w:t> </w:t>
      </w:r>
      <w:r>
        <w:rPr/>
        <w:t>endeavours</w:t>
      </w:r>
      <w:r>
        <w:rPr>
          <w:spacing w:val="33"/>
        </w:rPr>
        <w:t> </w:t>
      </w:r>
      <w:r>
        <w:rPr/>
        <w:t>to</w:t>
      </w:r>
      <w:r>
        <w:rPr>
          <w:spacing w:val="33"/>
        </w:rPr>
        <w:t> </w:t>
      </w:r>
      <w:r>
        <w:rPr/>
        <w:t>reach agreement on matters left outstanding: see the </w:t>
      </w:r>
      <w:r>
        <w:rPr>
          <w:rFonts w:ascii="Arial"/>
          <w:i/>
        </w:rPr>
        <w:t>Covington </w:t>
      </w:r>
      <w:r>
        <w:rPr/>
        <w:t>case, above n.834, at [56].</w:t>
      </w:r>
    </w:p>
    <w:p>
      <w:pPr>
        <w:pStyle w:val="BodyText"/>
        <w:spacing w:before="6"/>
      </w:pPr>
    </w:p>
    <w:p>
      <w:pPr>
        <w:tabs>
          <w:tab w:pos="705" w:val="left" w:leader="none"/>
        </w:tabs>
        <w:spacing w:before="0"/>
        <w:ind w:left="165" w:right="0" w:firstLine="0"/>
        <w:jc w:val="left"/>
        <w:rPr>
          <w:sz w:val="20"/>
        </w:rPr>
      </w:pPr>
      <w:bookmarkStart w:name="_bookmark1663" w:id="1665"/>
      <w:bookmarkEnd w:id="1665"/>
      <w:r>
        <w:rPr/>
      </w:r>
      <w:hyperlink w:history="true" w:anchor="_bookmark1620">
        <w:r>
          <w:rPr>
            <w:color w:val="005DA1"/>
            <w:spacing w:val="-4"/>
            <w:position w:val="5"/>
            <w:sz w:val="14"/>
            <w:u w:val="single" w:color="005DA1"/>
          </w:rPr>
          <w:t>858</w:t>
        </w:r>
      </w:hyperlink>
      <w:r>
        <w:rPr>
          <w:spacing w:val="-4"/>
          <w:position w:val="5"/>
          <w:sz w:val="14"/>
        </w:rPr>
        <w:t>.</w:t>
      </w:r>
      <w:r>
        <w:rPr>
          <w:position w:val="5"/>
          <w:sz w:val="14"/>
        </w:rPr>
        <w:tab/>
      </w:r>
      <w:r>
        <w:rPr>
          <w:sz w:val="20"/>
        </w:rPr>
        <w:t>Example</w:t>
      </w:r>
      <w:r>
        <w:rPr>
          <w:spacing w:val="-3"/>
          <w:sz w:val="20"/>
        </w:rPr>
        <w:t> </w:t>
      </w:r>
      <w:r>
        <w:rPr>
          <w:sz w:val="20"/>
        </w:rPr>
        <w:t>based on</w:t>
      </w:r>
      <w:r>
        <w:rPr>
          <w:spacing w:val="-1"/>
          <w:sz w:val="20"/>
        </w:rPr>
        <w:t> </w:t>
      </w:r>
      <w:r>
        <w:rPr>
          <w:rFonts w:ascii="Arial"/>
          <w:i/>
          <w:sz w:val="20"/>
        </w:rPr>
        <w:t>Thompson v ASDA-MFI Group Plc</w:t>
      </w:r>
      <w:r>
        <w:rPr>
          <w:sz w:val="20"/>
        </w:rPr>
        <w:t>, </w:t>
      </w:r>
      <w:r>
        <w:rPr>
          <w:spacing w:val="-2"/>
          <w:sz w:val="20"/>
        </w:rPr>
        <w:t>above.</w:t>
      </w:r>
    </w:p>
    <w:p>
      <w:pPr>
        <w:pStyle w:val="BodyText"/>
        <w:spacing w:before="5"/>
      </w:pPr>
    </w:p>
    <w:p>
      <w:pPr>
        <w:tabs>
          <w:tab w:pos="705" w:val="left" w:leader="none"/>
        </w:tabs>
        <w:spacing w:before="0"/>
        <w:ind w:left="165" w:right="0" w:firstLine="0"/>
        <w:jc w:val="left"/>
        <w:rPr>
          <w:sz w:val="20"/>
        </w:rPr>
      </w:pPr>
      <w:bookmarkStart w:name="_bookmark1664" w:id="1666"/>
      <w:bookmarkEnd w:id="1666"/>
      <w:r>
        <w:rPr/>
      </w:r>
      <w:hyperlink w:history="true" w:anchor="_bookmark1621">
        <w:r>
          <w:rPr>
            <w:color w:val="005DA1"/>
            <w:spacing w:val="-4"/>
            <w:position w:val="5"/>
            <w:sz w:val="14"/>
            <w:u w:val="single" w:color="005DA1"/>
          </w:rPr>
          <w:t>859</w:t>
        </w:r>
      </w:hyperlink>
      <w:r>
        <w:rPr>
          <w:spacing w:val="-4"/>
          <w:position w:val="5"/>
          <w:sz w:val="14"/>
        </w:rPr>
        <w:t>.</w:t>
      </w:r>
      <w:r>
        <w:rPr>
          <w:position w:val="5"/>
          <w:sz w:val="14"/>
        </w:rPr>
        <w:tab/>
      </w:r>
      <w:r>
        <w:rPr>
          <w:rFonts w:ascii="Arial" w:hAnsi="Arial"/>
          <w:i/>
          <w:sz w:val="20"/>
        </w:rPr>
        <w:t>Locke v Candy and Candy Ltd [2010] EWCA Civ 1350, [2011] I.R.L.R. 163</w:t>
      </w:r>
      <w:r>
        <w:rPr>
          <w:rFonts w:ascii="Arial" w:hAnsi="Arial"/>
          <w:i/>
          <w:spacing w:val="-1"/>
          <w:sz w:val="20"/>
        </w:rPr>
        <w:t> </w:t>
      </w:r>
      <w:r>
        <w:rPr>
          <w:sz w:val="20"/>
        </w:rPr>
        <w:t>at [43], </w:t>
      </w:r>
      <w:r>
        <w:rPr>
          <w:spacing w:val="-2"/>
          <w:sz w:val="20"/>
        </w:rPr>
        <w:t>[45]–[50].</w:t>
      </w:r>
    </w:p>
    <w:p>
      <w:pPr>
        <w:pStyle w:val="BodyText"/>
        <w:spacing w:before="8"/>
      </w:pPr>
    </w:p>
    <w:p>
      <w:pPr>
        <w:spacing w:line="235" w:lineRule="auto" w:before="1"/>
        <w:ind w:left="705" w:right="168" w:hanging="541"/>
        <w:jc w:val="both"/>
        <w:rPr>
          <w:sz w:val="20"/>
        </w:rPr>
      </w:pPr>
      <w:bookmarkStart w:name="_bookmark1665" w:id="1667"/>
      <w:bookmarkEnd w:id="1667"/>
      <w:r>
        <w:rPr/>
      </w:r>
      <w:hyperlink w:history="true" w:anchor="_bookmark1622">
        <w:r>
          <w:rPr>
            <w:color w:val="005DA1"/>
            <w:position w:val="5"/>
            <w:sz w:val="14"/>
            <w:u w:val="single" w:color="005DA1"/>
          </w:rPr>
          <w:t>860</w:t>
        </w:r>
      </w:hyperlink>
      <w:r>
        <w:rPr>
          <w:position w:val="5"/>
          <w:sz w:val="14"/>
        </w:rPr>
        <w:t>.</w:t>
      </w:r>
      <w:r>
        <w:rPr>
          <w:spacing w:val="80"/>
          <w:position w:val="5"/>
          <w:sz w:val="14"/>
        </w:rPr>
        <w:t>  </w:t>
      </w:r>
      <w:r>
        <w:rPr>
          <w:sz w:val="20"/>
        </w:rPr>
        <w:t>See </w:t>
      </w:r>
      <w:r>
        <w:rPr>
          <w:rFonts w:ascii="Arial" w:hAnsi="Arial"/>
          <w:i/>
          <w:sz w:val="20"/>
        </w:rPr>
        <w:t>Micklefield v S.A.C. Technology Ltd [1990] 1 W.L.R. 1002</w:t>
      </w:r>
      <w:r>
        <w:rPr>
          <w:sz w:val="20"/>
        </w:rPr>
        <w:t>; cf. </w:t>
      </w:r>
      <w:r>
        <w:rPr>
          <w:rFonts w:ascii="Arial" w:hAnsi="Arial"/>
          <w:i/>
          <w:sz w:val="20"/>
        </w:rPr>
        <w:t>North Sea Energy </w:t>
      </w:r>
      <w:r>
        <w:rPr>
          <w:rFonts w:ascii="Arial" w:hAnsi="Arial"/>
          <w:i/>
          <w:sz w:val="20"/>
        </w:rPr>
        <w:t>Holdings NV v Petroleum Authority of Thailand [1999] 1 Lloyd’s Rep. 483</w:t>
      </w:r>
      <w:r>
        <w:rPr>
          <w:sz w:val="20"/>
        </w:rPr>
        <w:t>; </w:t>
      </w:r>
      <w:r>
        <w:rPr>
          <w:rFonts w:ascii="Arial" w:hAnsi="Arial"/>
          <w:i/>
          <w:sz w:val="20"/>
        </w:rPr>
        <w:t>Locke v Candy and Candy Ltd [2010] EWCA Civ 1350, [2011] I.R.L.R. 163</w:t>
      </w:r>
      <w:r>
        <w:rPr>
          <w:sz w:val="20"/>
        </w:rPr>
        <w:t>; and see below, para.2-185.</w:t>
      </w:r>
    </w:p>
    <w:p>
      <w:pPr>
        <w:pStyle w:val="BodyText"/>
        <w:spacing w:before="8"/>
      </w:pPr>
    </w:p>
    <w:p>
      <w:pPr>
        <w:tabs>
          <w:tab w:pos="705" w:val="left" w:leader="none"/>
        </w:tabs>
        <w:spacing w:line="235" w:lineRule="auto" w:before="0"/>
        <w:ind w:left="705" w:right="168" w:hanging="541"/>
        <w:jc w:val="left"/>
        <w:rPr>
          <w:sz w:val="20"/>
        </w:rPr>
      </w:pPr>
      <w:bookmarkStart w:name="_bookmark1666" w:id="1668"/>
      <w:bookmarkEnd w:id="1668"/>
      <w:r>
        <w:rPr/>
      </w:r>
      <w:hyperlink w:history="true" w:anchor="_bookmark1623">
        <w:r>
          <w:rPr>
            <w:color w:val="005DA1"/>
            <w:spacing w:val="-4"/>
            <w:position w:val="5"/>
            <w:sz w:val="14"/>
            <w:u w:val="single" w:color="005DA1"/>
          </w:rPr>
          <w:t>861</w:t>
        </w:r>
      </w:hyperlink>
      <w:r>
        <w:rPr>
          <w:spacing w:val="-4"/>
          <w:position w:val="5"/>
          <w:sz w:val="14"/>
        </w:rPr>
        <w:t>.</w:t>
      </w:r>
      <w:r>
        <w:rPr>
          <w:position w:val="5"/>
          <w:sz w:val="14"/>
        </w:rPr>
        <w:tab/>
      </w:r>
      <w:r>
        <w:rPr>
          <w:sz w:val="20"/>
        </w:rPr>
        <w:t>This sentence (in a previous edition of this book) is cited with approval in </w:t>
      </w:r>
      <w:r>
        <w:rPr>
          <w:rFonts w:ascii="Arial"/>
          <w:i/>
          <w:sz w:val="20"/>
        </w:rPr>
        <w:t>Schweppe v Harper</w:t>
      </w:r>
      <w:r>
        <w:rPr>
          <w:rFonts w:ascii="Arial"/>
          <w:i/>
          <w:spacing w:val="40"/>
          <w:sz w:val="20"/>
        </w:rPr>
        <w:t> </w:t>
      </w:r>
      <w:r>
        <w:rPr>
          <w:rFonts w:ascii="Arial"/>
          <w:i/>
          <w:sz w:val="20"/>
        </w:rPr>
        <w:t>[2008] EWCA Civ 442 </w:t>
      </w:r>
      <w:r>
        <w:rPr>
          <w:sz w:val="20"/>
        </w:rPr>
        <w:t>at [70].</w:t>
      </w:r>
    </w:p>
    <w:p>
      <w:pPr>
        <w:pStyle w:val="BodyText"/>
        <w:spacing w:before="10"/>
      </w:pPr>
    </w:p>
    <w:p>
      <w:pPr>
        <w:tabs>
          <w:tab w:pos="705" w:val="left" w:leader="none"/>
        </w:tabs>
        <w:spacing w:line="235" w:lineRule="auto" w:before="0"/>
        <w:ind w:left="705" w:right="168" w:hanging="541"/>
        <w:jc w:val="left"/>
        <w:rPr>
          <w:sz w:val="20"/>
        </w:rPr>
      </w:pPr>
      <w:bookmarkStart w:name="_bookmark1667" w:id="1669"/>
      <w:bookmarkEnd w:id="1669"/>
      <w:r>
        <w:rPr/>
      </w:r>
      <w:hyperlink w:history="true" w:anchor="_bookmark1624">
        <w:r>
          <w:rPr>
            <w:color w:val="005DA1"/>
            <w:spacing w:val="-4"/>
            <w:position w:val="5"/>
            <w:sz w:val="14"/>
            <w:u w:val="single" w:color="005DA1"/>
          </w:rPr>
          <w:t>862</w:t>
        </w:r>
      </w:hyperlink>
      <w:r>
        <w:rPr>
          <w:spacing w:val="-4"/>
          <w:position w:val="5"/>
          <w:sz w:val="14"/>
        </w:rPr>
        <w:t>.</w:t>
      </w:r>
      <w:r>
        <w:rPr>
          <w:position w:val="5"/>
          <w:sz w:val="14"/>
        </w:rPr>
        <w:tab/>
      </w:r>
      <w:r>
        <w:rPr>
          <w:rFonts w:ascii="Arial"/>
          <w:i/>
          <w:sz w:val="20"/>
        </w:rPr>
        <w:t>Lee-Parker v Izett (No.2) [1975] 1 W.L.R. 775</w:t>
      </w:r>
      <w:r>
        <w:rPr>
          <w:sz w:val="20"/>
        </w:rPr>
        <w:t>; distinguished in </w:t>
      </w:r>
      <w:r>
        <w:rPr>
          <w:rFonts w:ascii="Arial"/>
          <w:i/>
          <w:sz w:val="20"/>
        </w:rPr>
        <w:t>Janmohammed v Hassam, The Times, June 10, 1976</w:t>
      </w:r>
      <w:r>
        <w:rPr>
          <w:sz w:val="20"/>
        </w:rPr>
        <w:t>.</w:t>
      </w:r>
    </w:p>
    <w:p>
      <w:pPr>
        <w:pStyle w:val="BodyText"/>
        <w:spacing w:before="9"/>
      </w:pPr>
    </w:p>
    <w:p>
      <w:pPr>
        <w:spacing w:line="235" w:lineRule="auto" w:before="0"/>
        <w:ind w:left="705" w:right="168" w:hanging="541"/>
        <w:jc w:val="both"/>
        <w:rPr>
          <w:sz w:val="20"/>
        </w:rPr>
      </w:pPr>
      <w:bookmarkStart w:name="_bookmark1668" w:id="1670"/>
      <w:bookmarkEnd w:id="1670"/>
      <w:r>
        <w:rPr/>
      </w:r>
      <w:hyperlink w:history="true" w:anchor="_bookmark1624">
        <w:r>
          <w:rPr>
            <w:color w:val="005DA1"/>
            <w:position w:val="5"/>
            <w:sz w:val="14"/>
            <w:u w:val="single" w:color="005DA1"/>
          </w:rPr>
          <w:t>863</w:t>
        </w:r>
      </w:hyperlink>
      <w:r>
        <w:rPr>
          <w:position w:val="5"/>
          <w:sz w:val="14"/>
        </w:rPr>
        <w:t>.</w:t>
      </w:r>
      <w:r>
        <w:rPr>
          <w:spacing w:val="80"/>
          <w:w w:val="150"/>
          <w:position w:val="5"/>
          <w:sz w:val="14"/>
        </w:rPr>
        <w:t> </w:t>
      </w:r>
      <w:r>
        <w:rPr>
          <w:rFonts w:ascii="Arial" w:hAnsi="Arial"/>
          <w:i/>
          <w:sz w:val="20"/>
        </w:rPr>
        <w:t>Astra</w:t>
      </w:r>
      <w:r>
        <w:rPr>
          <w:rFonts w:ascii="Arial" w:hAnsi="Arial"/>
          <w:i/>
          <w:spacing w:val="40"/>
          <w:sz w:val="20"/>
        </w:rPr>
        <w:t> </w:t>
      </w:r>
      <w:r>
        <w:rPr>
          <w:rFonts w:ascii="Arial" w:hAnsi="Arial"/>
          <w:i/>
          <w:sz w:val="20"/>
        </w:rPr>
        <w:t>Trust</w:t>
      </w:r>
      <w:r>
        <w:rPr>
          <w:rFonts w:ascii="Arial" w:hAnsi="Arial"/>
          <w:i/>
          <w:spacing w:val="40"/>
          <w:sz w:val="20"/>
        </w:rPr>
        <w:t> </w:t>
      </w:r>
      <w:r>
        <w:rPr>
          <w:rFonts w:ascii="Arial" w:hAnsi="Arial"/>
          <w:i/>
          <w:sz w:val="20"/>
        </w:rPr>
        <w:t>Ltd</w:t>
      </w:r>
      <w:r>
        <w:rPr>
          <w:rFonts w:ascii="Arial" w:hAnsi="Arial"/>
          <w:i/>
          <w:spacing w:val="40"/>
          <w:sz w:val="20"/>
        </w:rPr>
        <w:t> </w:t>
      </w:r>
      <w:r>
        <w:rPr>
          <w:rFonts w:ascii="Arial" w:hAnsi="Arial"/>
          <w:i/>
          <w:sz w:val="20"/>
        </w:rPr>
        <w:t>v</w:t>
      </w:r>
      <w:r>
        <w:rPr>
          <w:rFonts w:ascii="Arial" w:hAnsi="Arial"/>
          <w:i/>
          <w:spacing w:val="40"/>
          <w:sz w:val="20"/>
        </w:rPr>
        <w:t> </w:t>
      </w:r>
      <w:r>
        <w:rPr>
          <w:rFonts w:ascii="Arial" w:hAnsi="Arial"/>
          <w:i/>
          <w:sz w:val="20"/>
        </w:rPr>
        <w:t>Adams</w:t>
      </w:r>
      <w:r>
        <w:rPr>
          <w:rFonts w:ascii="Arial" w:hAnsi="Arial"/>
          <w:i/>
          <w:spacing w:val="40"/>
          <w:sz w:val="20"/>
        </w:rPr>
        <w:t> </w:t>
      </w:r>
      <w:r>
        <w:rPr>
          <w:rFonts w:ascii="Arial" w:hAnsi="Arial"/>
          <w:i/>
          <w:sz w:val="20"/>
        </w:rPr>
        <w:t>&amp;</w:t>
      </w:r>
      <w:r>
        <w:rPr>
          <w:rFonts w:ascii="Arial" w:hAnsi="Arial"/>
          <w:i/>
          <w:spacing w:val="40"/>
          <w:sz w:val="20"/>
        </w:rPr>
        <w:t> </w:t>
      </w:r>
      <w:r>
        <w:rPr>
          <w:rFonts w:ascii="Arial" w:hAnsi="Arial"/>
          <w:i/>
          <w:sz w:val="20"/>
        </w:rPr>
        <w:t>Wiliams</w:t>
      </w:r>
      <w:r>
        <w:rPr>
          <w:rFonts w:ascii="Arial" w:hAnsi="Arial"/>
          <w:i/>
          <w:spacing w:val="40"/>
          <w:sz w:val="20"/>
        </w:rPr>
        <w:t> </w:t>
      </w:r>
      <w:r>
        <w:rPr>
          <w:rFonts w:ascii="Arial" w:hAnsi="Arial"/>
          <w:i/>
          <w:sz w:val="20"/>
        </w:rPr>
        <w:t>[1969]</w:t>
      </w:r>
      <w:r>
        <w:rPr>
          <w:rFonts w:ascii="Arial" w:hAnsi="Arial"/>
          <w:i/>
          <w:spacing w:val="40"/>
          <w:sz w:val="20"/>
        </w:rPr>
        <w:t>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40"/>
          <w:sz w:val="20"/>
        </w:rPr>
        <w:t> </w:t>
      </w:r>
      <w:r>
        <w:rPr>
          <w:rFonts w:ascii="Arial" w:hAnsi="Arial"/>
          <w:i/>
          <w:sz w:val="20"/>
        </w:rPr>
        <w:t>Rep.</w:t>
      </w:r>
      <w:r>
        <w:rPr>
          <w:rFonts w:ascii="Arial" w:hAnsi="Arial"/>
          <w:i/>
          <w:spacing w:val="40"/>
          <w:sz w:val="20"/>
        </w:rPr>
        <w:t> </w:t>
      </w:r>
      <w:r>
        <w:rPr>
          <w:rFonts w:ascii="Arial" w:hAnsi="Arial"/>
          <w:i/>
          <w:sz w:val="20"/>
        </w:rPr>
        <w:t>81</w:t>
      </w:r>
      <w:r>
        <w:rPr>
          <w:rFonts w:ascii="Arial" w:hAnsi="Arial"/>
          <w:i/>
          <w:spacing w:val="40"/>
          <w:sz w:val="20"/>
        </w:rPr>
        <w:t> </w:t>
      </w:r>
      <w:r>
        <w:rPr>
          <w:sz w:val="20"/>
        </w:rPr>
        <w:t>doubted</w:t>
      </w:r>
      <w:r>
        <w:rPr>
          <w:spacing w:val="40"/>
          <w:sz w:val="20"/>
        </w:rPr>
        <w:t> </w:t>
      </w:r>
      <w:r>
        <w:rPr>
          <w:sz w:val="20"/>
        </w:rPr>
        <w:t>in</w:t>
      </w:r>
      <w:r>
        <w:rPr>
          <w:spacing w:val="40"/>
          <w:sz w:val="20"/>
        </w:rPr>
        <w:t> </w:t>
      </w:r>
      <w:r>
        <w:rPr>
          <w:rFonts w:ascii="Arial" w:hAnsi="Arial"/>
          <w:i/>
          <w:sz w:val="20"/>
        </w:rPr>
        <w:t>Varverakis</w:t>
      </w:r>
      <w:r>
        <w:rPr>
          <w:rFonts w:ascii="Arial" w:hAnsi="Arial"/>
          <w:i/>
          <w:spacing w:val="40"/>
          <w:sz w:val="20"/>
        </w:rPr>
        <w:t> </w:t>
      </w:r>
      <w:r>
        <w:rPr>
          <w:rFonts w:ascii="Arial" w:hAnsi="Arial"/>
          <w:i/>
          <w:sz w:val="20"/>
        </w:rPr>
        <w:t>v Compagnia de Navegacion Artico SA (The Merak) [1976] 2 Lloyd’s Rep. 250, 254 </w:t>
      </w:r>
      <w:r>
        <w:rPr>
          <w:sz w:val="20"/>
        </w:rPr>
        <w:t>and in </w:t>
      </w:r>
      <w:r>
        <w:rPr>
          <w:rFonts w:ascii="Arial" w:hAnsi="Arial"/>
          <w:i/>
          <w:sz w:val="20"/>
        </w:rPr>
        <w:t>Ee v Kahar (1979) 40 P. &amp; C.R. 223 </w:t>
      </w:r>
      <w:r>
        <w:rPr>
          <w:sz w:val="20"/>
        </w:rPr>
        <w:t>(as to which see below, n.853).</w:t>
      </w:r>
    </w:p>
    <w:p>
      <w:pPr>
        <w:pStyle w:val="BodyText"/>
        <w:spacing w:before="9"/>
      </w:pPr>
    </w:p>
    <w:p>
      <w:pPr>
        <w:tabs>
          <w:tab w:pos="705" w:val="left" w:leader="none"/>
        </w:tabs>
        <w:spacing w:line="235" w:lineRule="auto" w:before="0"/>
        <w:ind w:left="705" w:right="168" w:hanging="541"/>
        <w:jc w:val="left"/>
        <w:rPr>
          <w:sz w:val="20"/>
        </w:rPr>
      </w:pPr>
      <w:bookmarkStart w:name="_bookmark1669" w:id="1671"/>
      <w:bookmarkEnd w:id="1671"/>
      <w:r>
        <w:rPr/>
      </w:r>
      <w:hyperlink w:history="true" w:anchor="_bookmark1625">
        <w:r>
          <w:rPr>
            <w:color w:val="005DA1"/>
            <w:spacing w:val="-4"/>
            <w:position w:val="5"/>
            <w:sz w:val="14"/>
            <w:u w:val="single" w:color="005DA1"/>
          </w:rPr>
          <w:t>864</w:t>
        </w:r>
      </w:hyperlink>
      <w:r>
        <w:rPr>
          <w:spacing w:val="-4"/>
          <w:position w:val="5"/>
          <w:sz w:val="14"/>
        </w:rPr>
        <w:t>.</w:t>
      </w:r>
      <w:r>
        <w:rPr>
          <w:position w:val="5"/>
          <w:sz w:val="14"/>
        </w:rPr>
        <w:tab/>
      </w:r>
      <w:r>
        <w:rPr>
          <w:sz w:val="20"/>
        </w:rPr>
        <w:t>But if the buyer declared his satisfaction the seller would be bound even though the survey was not objectively satisfactory: </w:t>
      </w:r>
      <w:r>
        <w:rPr>
          <w:rFonts w:ascii="Arial"/>
          <w:i/>
          <w:sz w:val="20"/>
        </w:rPr>
        <w:t>Graham v Pitkin [1992] 1 W.L.R. 403, 405</w:t>
      </w:r>
      <w:r>
        <w:rPr>
          <w:sz w:val="20"/>
        </w:rPr>
        <w:t>.</w:t>
      </w:r>
    </w:p>
    <w:p>
      <w:pPr>
        <w:pStyle w:val="BodyText"/>
        <w:spacing w:before="5"/>
      </w:pPr>
    </w:p>
    <w:p>
      <w:pPr>
        <w:pStyle w:val="BodyText"/>
        <w:tabs>
          <w:tab w:pos="705" w:val="left" w:leader="none"/>
        </w:tabs>
        <w:ind w:left="165"/>
      </w:pPr>
      <w:bookmarkStart w:name="_bookmark1670" w:id="1672"/>
      <w:bookmarkEnd w:id="1672"/>
      <w:r>
        <w:rPr/>
      </w:r>
      <w:hyperlink w:history="true" w:anchor="_bookmark1626">
        <w:r>
          <w:rPr>
            <w:color w:val="005DA1"/>
            <w:spacing w:val="-4"/>
            <w:position w:val="5"/>
            <w:sz w:val="14"/>
            <w:u w:val="single" w:color="005DA1"/>
          </w:rPr>
          <w:t>865</w:t>
        </w:r>
      </w:hyperlink>
      <w:r>
        <w:rPr>
          <w:spacing w:val="-4"/>
          <w:position w:val="5"/>
          <w:sz w:val="14"/>
        </w:rPr>
        <w:t>.</w:t>
      </w:r>
      <w:r>
        <w:rPr>
          <w:position w:val="5"/>
          <w:sz w:val="14"/>
        </w:rPr>
        <w:tab/>
      </w:r>
      <w:r>
        <w:rPr/>
        <w:t>cf. Sale of Goods Act 1979 s.18 </w:t>
      </w:r>
      <w:r>
        <w:rPr>
          <w:spacing w:val="-4"/>
        </w:rPr>
        <w:t>r.4.</w:t>
      </w:r>
    </w:p>
    <w:p>
      <w:pPr>
        <w:pStyle w:val="BodyText"/>
        <w:spacing w:before="5"/>
      </w:pPr>
    </w:p>
    <w:p>
      <w:pPr>
        <w:tabs>
          <w:tab w:pos="705" w:val="left" w:leader="none"/>
        </w:tabs>
        <w:spacing w:before="0"/>
        <w:ind w:left="165" w:right="0" w:firstLine="0"/>
        <w:jc w:val="left"/>
        <w:rPr>
          <w:sz w:val="20"/>
        </w:rPr>
      </w:pPr>
      <w:bookmarkStart w:name="_bookmark1671" w:id="1673"/>
      <w:bookmarkEnd w:id="1673"/>
      <w:r>
        <w:rPr/>
      </w:r>
      <w:hyperlink w:history="true" w:anchor="_bookmark1627">
        <w:r>
          <w:rPr>
            <w:color w:val="005DA1"/>
            <w:spacing w:val="-4"/>
            <w:position w:val="5"/>
            <w:sz w:val="14"/>
            <w:u w:val="single" w:color="005DA1"/>
          </w:rPr>
          <w:t>866</w:t>
        </w:r>
      </w:hyperlink>
      <w:r>
        <w:rPr>
          <w:spacing w:val="-4"/>
          <w:position w:val="5"/>
          <w:sz w:val="14"/>
        </w:rPr>
        <w:t>.</w:t>
      </w:r>
      <w:r>
        <w:rPr>
          <w:position w:val="5"/>
          <w:sz w:val="14"/>
        </w:rPr>
        <w:tab/>
      </w:r>
      <w:r>
        <w:rPr>
          <w:rFonts w:ascii="Arial" w:hAnsi="Arial"/>
          <w:i/>
          <w:sz w:val="20"/>
        </w:rPr>
        <w:t>Wishart v National Association of Citizens’ Advice Bureaux [1990] I.C.R. </w:t>
      </w:r>
      <w:r>
        <w:rPr>
          <w:rFonts w:ascii="Arial" w:hAnsi="Arial"/>
          <w:i/>
          <w:spacing w:val="-4"/>
          <w:sz w:val="20"/>
        </w:rPr>
        <w:t>794</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72" w:id="1674"/>
      <w:bookmarkEnd w:id="1674"/>
      <w:r>
        <w:rPr/>
      </w:r>
      <w:hyperlink w:history="true" w:anchor="_bookmark1628">
        <w:r>
          <w:rPr>
            <w:color w:val="005DA1"/>
            <w:spacing w:val="-4"/>
            <w:position w:val="5"/>
            <w:sz w:val="14"/>
            <w:u w:val="single" w:color="005DA1"/>
          </w:rPr>
          <w:t>867</w:t>
        </w:r>
      </w:hyperlink>
      <w:r>
        <w:rPr>
          <w:spacing w:val="-4"/>
          <w:position w:val="5"/>
          <w:sz w:val="14"/>
        </w:rPr>
        <w:t>.</w:t>
      </w:r>
      <w:r>
        <w:rPr>
          <w:position w:val="5"/>
          <w:sz w:val="14"/>
        </w:rPr>
        <w:tab/>
      </w:r>
      <w:r>
        <w:rPr>
          <w:rFonts w:ascii="Arial"/>
          <w:i/>
          <w:sz w:val="20"/>
        </w:rPr>
        <w:t>Stabilad Ltd v Stephens &amp; Carter (No.2) [1999] 2 All E.R. (Comm) </w:t>
      </w:r>
      <w:r>
        <w:rPr>
          <w:rFonts w:ascii="Arial"/>
          <w:i/>
          <w:spacing w:val="-4"/>
          <w:sz w:val="20"/>
        </w:rPr>
        <w:t>651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73" w:id="1675"/>
      <w:bookmarkEnd w:id="1675"/>
      <w:r>
        <w:rPr/>
      </w:r>
      <w:hyperlink w:history="true" w:anchor="_bookmark1629">
        <w:r>
          <w:rPr>
            <w:color w:val="005DA1"/>
            <w:spacing w:val="-4"/>
            <w:position w:val="5"/>
            <w:sz w:val="14"/>
            <w:u w:val="single" w:color="005DA1"/>
          </w:rPr>
          <w:t>868</w:t>
        </w:r>
      </w:hyperlink>
      <w:r>
        <w:rPr>
          <w:spacing w:val="-4"/>
          <w:position w:val="5"/>
          <w:sz w:val="14"/>
        </w:rPr>
        <w:t>.</w:t>
      </w:r>
      <w:r>
        <w:rPr>
          <w:position w:val="5"/>
          <w:sz w:val="14"/>
        </w:rPr>
        <w:tab/>
      </w:r>
      <w:r>
        <w:rPr>
          <w:rFonts w:ascii="Arial"/>
          <w:i/>
          <w:sz w:val="20"/>
        </w:rPr>
        <w:t>Stabilad Ltd v Stephens &amp; Carter (No.2) [1999] 2 All E.R. (Comm) 651, </w:t>
      </w:r>
      <w:r>
        <w:rPr>
          <w:rFonts w:ascii="Arial"/>
          <w:i/>
          <w:spacing w:val="-4"/>
          <w:sz w:val="20"/>
        </w:rPr>
        <w:t>662</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674" w:id="1676"/>
      <w:bookmarkEnd w:id="1676"/>
      <w:r>
        <w:rPr/>
      </w:r>
      <w:hyperlink w:history="true" w:anchor="_bookmark1630">
        <w:r>
          <w:rPr>
            <w:color w:val="005DA1"/>
            <w:spacing w:val="-4"/>
            <w:position w:val="5"/>
            <w:sz w:val="14"/>
            <w:u w:val="single" w:color="005DA1"/>
          </w:rPr>
          <w:t>869</w:t>
        </w:r>
      </w:hyperlink>
      <w:r>
        <w:rPr>
          <w:spacing w:val="-4"/>
          <w:position w:val="5"/>
          <w:sz w:val="14"/>
        </w:rPr>
        <w:t>.</w:t>
      </w:r>
      <w:r>
        <w:rPr>
          <w:position w:val="5"/>
          <w:sz w:val="14"/>
        </w:rPr>
        <w:tab/>
      </w:r>
      <w:r>
        <w:rPr>
          <w:sz w:val="20"/>
        </w:rPr>
        <w:t>For</w:t>
      </w:r>
      <w:r>
        <w:rPr>
          <w:spacing w:val="5"/>
          <w:sz w:val="20"/>
        </w:rPr>
        <w:t> </w:t>
      </w:r>
      <w:r>
        <w:rPr>
          <w:sz w:val="20"/>
        </w:rPr>
        <w:t>the</w:t>
      </w:r>
      <w:r>
        <w:rPr>
          <w:spacing w:val="5"/>
          <w:sz w:val="20"/>
        </w:rPr>
        <w:t> </w:t>
      </w:r>
      <w:r>
        <w:rPr>
          <w:sz w:val="20"/>
        </w:rPr>
        <w:t>requirement</w:t>
      </w:r>
      <w:r>
        <w:rPr>
          <w:spacing w:val="5"/>
          <w:sz w:val="20"/>
        </w:rPr>
        <w:t> </w:t>
      </w:r>
      <w:r>
        <w:rPr>
          <w:sz w:val="20"/>
        </w:rPr>
        <w:t>of</w:t>
      </w:r>
      <w:r>
        <w:rPr>
          <w:spacing w:val="5"/>
          <w:sz w:val="20"/>
        </w:rPr>
        <w:t> </w:t>
      </w:r>
      <w:r>
        <w:rPr>
          <w:sz w:val="20"/>
        </w:rPr>
        <w:t>communication</w:t>
      </w:r>
      <w:r>
        <w:rPr>
          <w:spacing w:val="5"/>
          <w:sz w:val="20"/>
        </w:rPr>
        <w:t> </w:t>
      </w:r>
      <w:r>
        <w:rPr>
          <w:sz w:val="20"/>
        </w:rPr>
        <w:t>see</w:t>
      </w:r>
      <w:r>
        <w:rPr>
          <w:spacing w:val="4"/>
          <w:sz w:val="20"/>
        </w:rPr>
        <w:t> </w:t>
      </w:r>
      <w:r>
        <w:rPr>
          <w:rFonts w:ascii="Arial"/>
          <w:i/>
          <w:sz w:val="20"/>
        </w:rPr>
        <w:t>Stabilad</w:t>
      </w:r>
      <w:r>
        <w:rPr>
          <w:rFonts w:ascii="Arial"/>
          <w:i/>
          <w:spacing w:val="5"/>
          <w:sz w:val="20"/>
        </w:rPr>
        <w:t> </w:t>
      </w:r>
      <w:r>
        <w:rPr>
          <w:rFonts w:ascii="Arial"/>
          <w:i/>
          <w:sz w:val="20"/>
        </w:rPr>
        <w:t>Ltd</w:t>
      </w:r>
      <w:r>
        <w:rPr>
          <w:rFonts w:ascii="Arial"/>
          <w:i/>
          <w:spacing w:val="5"/>
          <w:sz w:val="20"/>
        </w:rPr>
        <w:t> </w:t>
      </w:r>
      <w:r>
        <w:rPr>
          <w:rFonts w:ascii="Arial"/>
          <w:i/>
          <w:sz w:val="20"/>
        </w:rPr>
        <w:t>v</w:t>
      </w:r>
      <w:r>
        <w:rPr>
          <w:rFonts w:ascii="Arial"/>
          <w:i/>
          <w:spacing w:val="5"/>
          <w:sz w:val="20"/>
        </w:rPr>
        <w:t> </w:t>
      </w:r>
      <w:r>
        <w:rPr>
          <w:rFonts w:ascii="Arial"/>
          <w:i/>
          <w:sz w:val="20"/>
        </w:rPr>
        <w:t>Stephens</w:t>
      </w:r>
      <w:r>
        <w:rPr>
          <w:rFonts w:ascii="Arial"/>
          <w:i/>
          <w:spacing w:val="5"/>
          <w:sz w:val="20"/>
        </w:rPr>
        <w:t> </w:t>
      </w:r>
      <w:r>
        <w:rPr>
          <w:rFonts w:ascii="Arial"/>
          <w:i/>
          <w:sz w:val="20"/>
        </w:rPr>
        <w:t>&amp;</w:t>
      </w:r>
      <w:r>
        <w:rPr>
          <w:rFonts w:ascii="Arial"/>
          <w:i/>
          <w:spacing w:val="5"/>
          <w:sz w:val="20"/>
        </w:rPr>
        <w:t> </w:t>
      </w:r>
      <w:r>
        <w:rPr>
          <w:rFonts w:ascii="Arial"/>
          <w:i/>
          <w:sz w:val="20"/>
        </w:rPr>
        <w:t>Carter</w:t>
      </w:r>
      <w:r>
        <w:rPr>
          <w:rFonts w:ascii="Arial"/>
          <w:i/>
          <w:spacing w:val="5"/>
          <w:sz w:val="20"/>
        </w:rPr>
        <w:t> </w:t>
      </w:r>
      <w:r>
        <w:rPr>
          <w:rFonts w:ascii="Arial"/>
          <w:i/>
          <w:sz w:val="20"/>
        </w:rPr>
        <w:t>(No.2)</w:t>
      </w:r>
      <w:r>
        <w:rPr>
          <w:rFonts w:ascii="Arial"/>
          <w:i/>
          <w:spacing w:val="5"/>
          <w:sz w:val="20"/>
        </w:rPr>
        <w:t> </w:t>
      </w:r>
      <w:r>
        <w:rPr>
          <w:rFonts w:ascii="Arial"/>
          <w:i/>
          <w:sz w:val="20"/>
        </w:rPr>
        <w:t>[1999]</w:t>
      </w:r>
      <w:r>
        <w:rPr>
          <w:rFonts w:ascii="Arial"/>
          <w:i/>
          <w:spacing w:val="5"/>
          <w:sz w:val="20"/>
        </w:rPr>
        <w:t> </w:t>
      </w:r>
      <w:r>
        <w:rPr>
          <w:rFonts w:ascii="Arial"/>
          <w:i/>
          <w:sz w:val="20"/>
        </w:rPr>
        <w:t>2</w:t>
      </w:r>
      <w:r>
        <w:rPr>
          <w:rFonts w:ascii="Arial"/>
          <w:i/>
          <w:spacing w:val="5"/>
          <w:sz w:val="20"/>
        </w:rPr>
        <w:t> </w:t>
      </w:r>
      <w:r>
        <w:rPr>
          <w:rFonts w:ascii="Arial"/>
          <w:i/>
          <w:spacing w:val="-5"/>
          <w:sz w:val="20"/>
        </w:rPr>
        <w:t>All</w:t>
      </w:r>
    </w:p>
    <w:p>
      <w:pPr>
        <w:pStyle w:val="BodyText"/>
        <w:spacing w:line="235" w:lineRule="auto" w:before="2"/>
        <w:ind w:left="705" w:right="167"/>
        <w:jc w:val="both"/>
      </w:pPr>
      <w:r>
        <w:rPr>
          <w:rFonts w:ascii="Arial"/>
          <w:i/>
        </w:rPr>
        <w:t>E.R. (Comm) 651, 660</w:t>
      </w:r>
      <w:r>
        <w:rPr/>
        <w:t>; the requirement may be satisfied by conduct from which satisfaction</w:t>
      </w:r>
      <w:r>
        <w:rPr>
          <w:spacing w:val="40"/>
        </w:rPr>
        <w:t> </w:t>
      </w:r>
      <w:r>
        <w:rPr/>
        <w:t>can be inferred, e.g. where a buyer of goods on approval retains them without notifying</w:t>
      </w:r>
      <w:r>
        <w:rPr>
          <w:spacing w:val="40"/>
        </w:rPr>
        <w:t> </w:t>
      </w:r>
      <w:r>
        <w:rPr/>
        <w:t>rejection for more than the stipulated or a reasonable time: Sale of Goods Act 1979 s.18 r.4(b).</w:t>
      </w:r>
    </w:p>
    <w:p>
      <w:pPr>
        <w:pStyle w:val="BodyText"/>
        <w:spacing w:before="8"/>
      </w:pPr>
    </w:p>
    <w:p>
      <w:pPr>
        <w:spacing w:line="235" w:lineRule="auto" w:before="1"/>
        <w:ind w:left="705" w:right="167" w:hanging="541"/>
        <w:jc w:val="both"/>
        <w:rPr>
          <w:sz w:val="20"/>
        </w:rPr>
      </w:pPr>
      <w:bookmarkStart w:name="_bookmark1675" w:id="1677"/>
      <w:bookmarkEnd w:id="1677"/>
      <w:r>
        <w:rPr/>
      </w:r>
      <w:hyperlink w:history="true" w:anchor="_bookmark1631">
        <w:r>
          <w:rPr>
            <w:color w:val="005DA1"/>
            <w:position w:val="5"/>
            <w:sz w:val="14"/>
            <w:u w:val="single" w:color="005DA1"/>
          </w:rPr>
          <w:t>870</w:t>
        </w:r>
      </w:hyperlink>
      <w:r>
        <w:rPr>
          <w:position w:val="5"/>
          <w:sz w:val="14"/>
        </w:rPr>
        <w:t>.</w:t>
      </w:r>
      <w:r>
        <w:rPr>
          <w:spacing w:val="80"/>
          <w:position w:val="5"/>
          <w:sz w:val="14"/>
        </w:rPr>
        <w:t>  </w:t>
      </w:r>
      <w:r>
        <w:rPr>
          <w:rFonts w:ascii="Arial" w:hAnsi="Arial"/>
          <w:i/>
          <w:sz w:val="20"/>
        </w:rPr>
        <w:t>Albion</w:t>
      </w:r>
      <w:r>
        <w:rPr>
          <w:rFonts w:ascii="Arial" w:hAnsi="Arial"/>
          <w:i/>
          <w:spacing w:val="-2"/>
          <w:sz w:val="20"/>
        </w:rPr>
        <w:t> </w:t>
      </w:r>
      <w:r>
        <w:rPr>
          <w:rFonts w:ascii="Arial" w:hAnsi="Arial"/>
          <w:i/>
          <w:sz w:val="20"/>
        </w:rPr>
        <w:t>Sugar</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William</w:t>
      </w:r>
      <w:r>
        <w:rPr>
          <w:rFonts w:ascii="Arial" w:hAnsi="Arial"/>
          <w:i/>
          <w:spacing w:val="-2"/>
          <w:sz w:val="20"/>
        </w:rPr>
        <w:t> </w:t>
      </w:r>
      <w:r>
        <w:rPr>
          <w:rFonts w:ascii="Arial" w:hAnsi="Arial"/>
          <w:i/>
          <w:sz w:val="20"/>
        </w:rPr>
        <w:t>Tankers</w:t>
      </w:r>
      <w:r>
        <w:rPr>
          <w:rFonts w:ascii="Arial" w:hAnsi="Arial"/>
          <w:i/>
          <w:spacing w:val="-2"/>
          <w:sz w:val="20"/>
        </w:rPr>
        <w:t> </w:t>
      </w:r>
      <w:r>
        <w:rPr>
          <w:rFonts w:ascii="Arial" w:hAnsi="Arial"/>
          <w:i/>
          <w:sz w:val="20"/>
        </w:rPr>
        <w:t>(The</w:t>
      </w:r>
      <w:r>
        <w:rPr>
          <w:rFonts w:ascii="Arial" w:hAnsi="Arial"/>
          <w:i/>
          <w:spacing w:val="-2"/>
          <w:sz w:val="20"/>
        </w:rPr>
        <w:t> </w:t>
      </w:r>
      <w:r>
        <w:rPr>
          <w:rFonts w:ascii="Arial" w:hAnsi="Arial"/>
          <w:i/>
          <w:sz w:val="20"/>
        </w:rPr>
        <w:t>John</w:t>
      </w:r>
      <w:r>
        <w:rPr>
          <w:rFonts w:ascii="Arial" w:hAnsi="Arial"/>
          <w:i/>
          <w:spacing w:val="-2"/>
          <w:sz w:val="20"/>
        </w:rPr>
        <w:t> </w:t>
      </w:r>
      <w:r>
        <w:rPr>
          <w:rFonts w:ascii="Arial" w:hAnsi="Arial"/>
          <w:i/>
          <w:sz w:val="20"/>
        </w:rPr>
        <w:t>S.</w:t>
      </w:r>
      <w:r>
        <w:rPr>
          <w:rFonts w:ascii="Arial" w:hAnsi="Arial"/>
          <w:i/>
          <w:spacing w:val="-2"/>
          <w:sz w:val="20"/>
        </w:rPr>
        <w:t> </w:t>
      </w:r>
      <w:r>
        <w:rPr>
          <w:rFonts w:ascii="Arial" w:hAnsi="Arial"/>
          <w:i/>
          <w:sz w:val="20"/>
        </w:rPr>
        <w:t>Darbyshire)</w:t>
      </w:r>
      <w:r>
        <w:rPr>
          <w:rFonts w:ascii="Arial" w:hAnsi="Arial"/>
          <w:i/>
          <w:spacing w:val="-2"/>
          <w:sz w:val="20"/>
        </w:rPr>
        <w:t> </w:t>
      </w:r>
      <w:r>
        <w:rPr>
          <w:rFonts w:ascii="Arial" w:hAnsi="Arial"/>
          <w:i/>
          <w:sz w:val="20"/>
        </w:rPr>
        <w:t>[1977]</w:t>
      </w:r>
      <w:r>
        <w:rPr>
          <w:rFonts w:ascii="Arial" w:hAnsi="Arial"/>
          <w:i/>
          <w:spacing w:val="-2"/>
          <w:sz w:val="20"/>
        </w:rPr>
        <w:t> </w:t>
      </w:r>
      <w:r>
        <w:rPr>
          <w:rFonts w:ascii="Arial" w:hAnsi="Arial"/>
          <w:i/>
          <w:sz w:val="20"/>
        </w:rPr>
        <w:t>2</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457,</w:t>
      </w:r>
      <w:r>
        <w:rPr>
          <w:rFonts w:ascii="Arial" w:hAnsi="Arial"/>
          <w:i/>
          <w:spacing w:val="-2"/>
          <w:sz w:val="20"/>
        </w:rPr>
        <w:t> </w:t>
      </w:r>
      <w:r>
        <w:rPr>
          <w:rFonts w:ascii="Arial" w:hAnsi="Arial"/>
          <w:i/>
          <w:sz w:val="20"/>
        </w:rPr>
        <w:t>464</w:t>
      </w:r>
      <w:r>
        <w:rPr>
          <w:sz w:val="20"/>
        </w:rPr>
        <w:t>;</w:t>
      </w:r>
      <w:r>
        <w:rPr>
          <w:spacing w:val="-2"/>
          <w:sz w:val="20"/>
        </w:rPr>
        <w:t> </w:t>
      </w:r>
      <w:r>
        <w:rPr>
          <w:sz w:val="20"/>
        </w:rPr>
        <w:t>cf. </w:t>
      </w:r>
      <w:r>
        <w:rPr>
          <w:rFonts w:ascii="Arial" w:hAnsi="Arial"/>
          <w:i/>
          <w:sz w:val="20"/>
        </w:rPr>
        <w:t>BV Oliehandel Jongkind v Coastal International Ltd [1983] 2 Lloyd’s Rep. 463</w:t>
      </w:r>
      <w:r>
        <w:rPr>
          <w:sz w:val="20"/>
        </w:rPr>
        <w:t>; </w:t>
      </w:r>
      <w:r>
        <w:rPr>
          <w:rFonts w:ascii="Arial" w:hAnsi="Arial"/>
          <w:i/>
          <w:sz w:val="20"/>
        </w:rPr>
        <w:t>The Nissos Samos [1985] 1 Lloyd’s Rep. 378, 385</w:t>
      </w:r>
      <w:r>
        <w:rPr>
          <w:sz w:val="20"/>
        </w:rPr>
        <w:t>; cf. </w:t>
      </w:r>
      <w:r>
        <w:rPr>
          <w:rFonts w:ascii="Arial" w:hAnsi="Arial"/>
          <w:i/>
          <w:sz w:val="20"/>
        </w:rPr>
        <w:t>Star Steamship Society v Beogradska Plovidba </w:t>
      </w:r>
      <w:r>
        <w:rPr>
          <w:rFonts w:ascii="Arial" w:hAnsi="Arial"/>
          <w:i/>
          <w:sz w:val="20"/>
        </w:rPr>
        <w:t>(The Junior K) [1988] 2 Lloyd’s Rep. 583, 589 </w:t>
      </w:r>
      <w:r>
        <w:rPr>
          <w:sz w:val="20"/>
        </w:rPr>
        <w:t>(where the words were held to negative contractual intention). See also </w:t>
      </w:r>
      <w:r>
        <w:rPr>
          <w:rFonts w:ascii="Arial" w:hAnsi="Arial"/>
          <w:i/>
          <w:sz w:val="20"/>
        </w:rPr>
        <w:t>El Awadi v Bank of Credit &amp; Commerce International SA [1990] 1 Q.B. 606, 619</w:t>
      </w:r>
      <w:r>
        <w:rPr>
          <w:sz w:val="20"/>
        </w:rPr>
        <w:t>; and, in an analogous context, </w:t>
      </w:r>
      <w:r>
        <w:rPr>
          <w:rFonts w:ascii="Arial" w:hAnsi="Arial"/>
          <w:i/>
          <w:sz w:val="20"/>
        </w:rPr>
        <w:t>Abu Dhabi National Tanker Co v Product Star Shipping Co (The Product Star (No.2)) [1993] 1 Lloyd’s Rep. 397, 404</w:t>
      </w:r>
      <w:r>
        <w:rPr>
          <w:sz w:val="20"/>
        </w:rPr>
        <w:t>; </w:t>
      </w:r>
      <w:r>
        <w:rPr>
          <w:rFonts w:ascii="Arial" w:hAnsi="Arial"/>
          <w:i/>
          <w:sz w:val="20"/>
        </w:rPr>
        <w:t>Lymington Marina Ltd v Macnamara [2007] EWCA Civ 151, [2007] 2 All E.R. (Comm) 825 </w:t>
      </w:r>
      <w:r>
        <w:rPr>
          <w:sz w:val="20"/>
        </w:rPr>
        <w:t>at [42]–[45], [70].</w:t>
      </w:r>
    </w:p>
    <w:p>
      <w:pPr>
        <w:pStyle w:val="BodyText"/>
        <w:spacing w:before="6"/>
      </w:pPr>
    </w:p>
    <w:p>
      <w:pPr>
        <w:tabs>
          <w:tab w:pos="705" w:val="left" w:leader="none"/>
        </w:tabs>
        <w:spacing w:line="235" w:lineRule="auto" w:before="1"/>
        <w:ind w:left="705" w:right="168" w:hanging="541"/>
        <w:jc w:val="left"/>
        <w:rPr>
          <w:sz w:val="20"/>
        </w:rPr>
      </w:pPr>
      <w:bookmarkStart w:name="_bookmark1676" w:id="1678"/>
      <w:bookmarkEnd w:id="1678"/>
      <w:r>
        <w:rPr/>
      </w:r>
      <w:hyperlink w:history="true" w:anchor="_bookmark1632">
        <w:r>
          <w:rPr>
            <w:color w:val="005DA1"/>
            <w:spacing w:val="-4"/>
            <w:position w:val="5"/>
            <w:sz w:val="14"/>
            <w:u w:val="single" w:color="005DA1"/>
          </w:rPr>
          <w:t>871</w:t>
        </w:r>
      </w:hyperlink>
      <w:r>
        <w:rPr>
          <w:spacing w:val="-4"/>
          <w:position w:val="5"/>
          <w:sz w:val="14"/>
        </w:rPr>
        <w:t>.</w:t>
      </w:r>
      <w:r>
        <w:rPr>
          <w:position w:val="5"/>
          <w:sz w:val="14"/>
        </w:rPr>
        <w:tab/>
      </w:r>
      <w:r>
        <w:rPr>
          <w:rFonts w:ascii="Arial"/>
          <w:i/>
          <w:sz w:val="20"/>
        </w:rPr>
        <w:t>Stabilad</w:t>
      </w:r>
      <w:r>
        <w:rPr>
          <w:rFonts w:ascii="Arial"/>
          <w:i/>
          <w:spacing w:val="22"/>
          <w:sz w:val="20"/>
        </w:rPr>
        <w:t> </w:t>
      </w:r>
      <w:r>
        <w:rPr>
          <w:rFonts w:ascii="Arial"/>
          <w:i/>
          <w:sz w:val="20"/>
        </w:rPr>
        <w:t>Ltd</w:t>
      </w:r>
      <w:r>
        <w:rPr>
          <w:rFonts w:ascii="Arial"/>
          <w:i/>
          <w:spacing w:val="22"/>
          <w:sz w:val="20"/>
        </w:rPr>
        <w:t> </w:t>
      </w:r>
      <w:r>
        <w:rPr>
          <w:rFonts w:ascii="Arial"/>
          <w:i/>
          <w:sz w:val="20"/>
        </w:rPr>
        <w:t>v</w:t>
      </w:r>
      <w:r>
        <w:rPr>
          <w:rFonts w:ascii="Arial"/>
          <w:i/>
          <w:spacing w:val="22"/>
          <w:sz w:val="20"/>
        </w:rPr>
        <w:t> </w:t>
      </w:r>
      <w:r>
        <w:rPr>
          <w:rFonts w:ascii="Arial"/>
          <w:i/>
          <w:sz w:val="20"/>
        </w:rPr>
        <w:t>Stephens</w:t>
      </w:r>
      <w:r>
        <w:rPr>
          <w:rFonts w:ascii="Arial"/>
          <w:i/>
          <w:spacing w:val="22"/>
          <w:sz w:val="20"/>
        </w:rPr>
        <w:t> </w:t>
      </w:r>
      <w:r>
        <w:rPr>
          <w:rFonts w:ascii="Arial"/>
          <w:i/>
          <w:sz w:val="20"/>
        </w:rPr>
        <w:t>&amp;</w:t>
      </w:r>
      <w:r>
        <w:rPr>
          <w:rFonts w:ascii="Arial"/>
          <w:i/>
          <w:spacing w:val="22"/>
          <w:sz w:val="20"/>
        </w:rPr>
        <w:t> </w:t>
      </w:r>
      <w:r>
        <w:rPr>
          <w:rFonts w:ascii="Arial"/>
          <w:i/>
          <w:sz w:val="20"/>
        </w:rPr>
        <w:t>Carter</w:t>
      </w:r>
      <w:r>
        <w:rPr>
          <w:rFonts w:ascii="Arial"/>
          <w:i/>
          <w:spacing w:val="22"/>
          <w:sz w:val="20"/>
        </w:rPr>
        <w:t> </w:t>
      </w:r>
      <w:r>
        <w:rPr>
          <w:rFonts w:ascii="Arial"/>
          <w:i/>
          <w:sz w:val="20"/>
        </w:rPr>
        <w:t>Ltd</w:t>
      </w:r>
      <w:r>
        <w:rPr>
          <w:rFonts w:ascii="Arial"/>
          <w:i/>
          <w:spacing w:val="22"/>
          <w:sz w:val="20"/>
        </w:rPr>
        <w:t> </w:t>
      </w:r>
      <w:r>
        <w:rPr>
          <w:rFonts w:ascii="Arial"/>
          <w:i/>
          <w:sz w:val="20"/>
        </w:rPr>
        <w:t>(No.2)</w:t>
      </w:r>
      <w:r>
        <w:rPr>
          <w:rFonts w:ascii="Arial"/>
          <w:i/>
          <w:spacing w:val="22"/>
          <w:sz w:val="20"/>
        </w:rPr>
        <w:t> </w:t>
      </w:r>
      <w:r>
        <w:rPr>
          <w:rFonts w:ascii="Arial"/>
          <w:i/>
          <w:sz w:val="20"/>
        </w:rPr>
        <w:t>[1999]</w:t>
      </w:r>
      <w:r>
        <w:rPr>
          <w:rFonts w:ascii="Arial"/>
          <w:i/>
          <w:spacing w:val="22"/>
          <w:sz w:val="20"/>
        </w:rPr>
        <w:t> </w:t>
      </w:r>
      <w:r>
        <w:rPr>
          <w:rFonts w:ascii="Arial"/>
          <w:i/>
          <w:sz w:val="20"/>
        </w:rPr>
        <w:t>2</w:t>
      </w:r>
      <w:r>
        <w:rPr>
          <w:rFonts w:ascii="Arial"/>
          <w:i/>
          <w:spacing w:val="22"/>
          <w:sz w:val="20"/>
        </w:rPr>
        <w:t> </w:t>
      </w:r>
      <w:r>
        <w:rPr>
          <w:rFonts w:ascii="Arial"/>
          <w:i/>
          <w:sz w:val="20"/>
        </w:rPr>
        <w:t>All</w:t>
      </w:r>
      <w:r>
        <w:rPr>
          <w:rFonts w:ascii="Arial"/>
          <w:i/>
          <w:spacing w:val="22"/>
          <w:sz w:val="20"/>
        </w:rPr>
        <w:t> </w:t>
      </w:r>
      <w:r>
        <w:rPr>
          <w:rFonts w:ascii="Arial"/>
          <w:i/>
          <w:sz w:val="20"/>
        </w:rPr>
        <w:t>E.R.</w:t>
      </w:r>
      <w:r>
        <w:rPr>
          <w:rFonts w:ascii="Arial"/>
          <w:i/>
          <w:spacing w:val="22"/>
          <w:sz w:val="20"/>
        </w:rPr>
        <w:t> </w:t>
      </w:r>
      <w:r>
        <w:rPr>
          <w:rFonts w:ascii="Arial"/>
          <w:i/>
          <w:sz w:val="20"/>
        </w:rPr>
        <w:t>(Comm)</w:t>
      </w:r>
      <w:r>
        <w:rPr>
          <w:rFonts w:ascii="Arial"/>
          <w:i/>
          <w:spacing w:val="22"/>
          <w:sz w:val="20"/>
        </w:rPr>
        <w:t> </w:t>
      </w:r>
      <w:r>
        <w:rPr>
          <w:rFonts w:ascii="Arial"/>
          <w:i/>
          <w:sz w:val="20"/>
        </w:rPr>
        <w:t>651</w:t>
      </w:r>
      <w:r>
        <w:rPr>
          <w:rFonts w:ascii="Arial"/>
          <w:i/>
          <w:spacing w:val="21"/>
          <w:sz w:val="20"/>
        </w:rPr>
        <w:t> </w:t>
      </w:r>
      <w:r>
        <w:rPr>
          <w:sz w:val="20"/>
        </w:rPr>
        <w:t>at</w:t>
      </w:r>
      <w:r>
        <w:rPr>
          <w:spacing w:val="22"/>
          <w:sz w:val="20"/>
        </w:rPr>
        <w:t> </w:t>
      </w:r>
      <w:r>
        <w:rPr>
          <w:sz w:val="20"/>
        </w:rPr>
        <w:t>659;</w:t>
      </w:r>
      <w:r>
        <w:rPr>
          <w:spacing w:val="22"/>
          <w:sz w:val="20"/>
        </w:rPr>
        <w:t> </w:t>
      </w:r>
      <w:r>
        <w:rPr>
          <w:rFonts w:ascii="Arial"/>
          <w:i/>
          <w:sz w:val="20"/>
        </w:rPr>
        <w:t>Jani-King (GB)</w:t>
      </w:r>
      <w:r>
        <w:rPr>
          <w:rFonts w:ascii="Arial"/>
          <w:i/>
          <w:spacing w:val="55"/>
          <w:sz w:val="20"/>
        </w:rPr>
        <w:t> </w:t>
      </w:r>
      <w:r>
        <w:rPr>
          <w:rFonts w:ascii="Arial"/>
          <w:i/>
          <w:sz w:val="20"/>
        </w:rPr>
        <w:t>Ltd</w:t>
      </w:r>
      <w:r>
        <w:rPr>
          <w:rFonts w:ascii="Arial"/>
          <w:i/>
          <w:spacing w:val="56"/>
          <w:sz w:val="20"/>
        </w:rPr>
        <w:t> </w:t>
      </w:r>
      <w:r>
        <w:rPr>
          <w:rFonts w:ascii="Arial"/>
          <w:i/>
          <w:sz w:val="20"/>
        </w:rPr>
        <w:t>v</w:t>
      </w:r>
      <w:r>
        <w:rPr>
          <w:rFonts w:ascii="Arial"/>
          <w:i/>
          <w:spacing w:val="55"/>
          <w:sz w:val="20"/>
        </w:rPr>
        <w:t> </w:t>
      </w:r>
      <w:r>
        <w:rPr>
          <w:rFonts w:ascii="Arial"/>
          <w:i/>
          <w:sz w:val="20"/>
        </w:rPr>
        <w:t>Pula</w:t>
      </w:r>
      <w:r>
        <w:rPr>
          <w:rFonts w:ascii="Arial"/>
          <w:i/>
          <w:spacing w:val="56"/>
          <w:sz w:val="20"/>
        </w:rPr>
        <w:t> </w:t>
      </w:r>
      <w:r>
        <w:rPr>
          <w:rFonts w:ascii="Arial"/>
          <w:i/>
          <w:sz w:val="20"/>
        </w:rPr>
        <w:t>Enterprises</w:t>
      </w:r>
      <w:r>
        <w:rPr>
          <w:rFonts w:ascii="Arial"/>
          <w:i/>
          <w:spacing w:val="55"/>
          <w:sz w:val="20"/>
        </w:rPr>
        <w:t> </w:t>
      </w:r>
      <w:r>
        <w:rPr>
          <w:rFonts w:ascii="Arial"/>
          <w:i/>
          <w:sz w:val="20"/>
        </w:rPr>
        <w:t>[2007]</w:t>
      </w:r>
      <w:r>
        <w:rPr>
          <w:rFonts w:ascii="Arial"/>
          <w:i/>
          <w:spacing w:val="56"/>
          <w:sz w:val="20"/>
        </w:rPr>
        <w:t> </w:t>
      </w:r>
      <w:r>
        <w:rPr>
          <w:rFonts w:ascii="Arial"/>
          <w:i/>
          <w:sz w:val="20"/>
        </w:rPr>
        <w:t>EWHC</w:t>
      </w:r>
      <w:r>
        <w:rPr>
          <w:rFonts w:ascii="Arial"/>
          <w:i/>
          <w:spacing w:val="55"/>
          <w:sz w:val="20"/>
        </w:rPr>
        <w:t> </w:t>
      </w:r>
      <w:r>
        <w:rPr>
          <w:rFonts w:ascii="Arial"/>
          <w:i/>
          <w:sz w:val="20"/>
        </w:rPr>
        <w:t>2433</w:t>
      </w:r>
      <w:r>
        <w:rPr>
          <w:rFonts w:ascii="Arial"/>
          <w:i/>
          <w:spacing w:val="56"/>
          <w:sz w:val="20"/>
        </w:rPr>
        <w:t> </w:t>
      </w:r>
      <w:r>
        <w:rPr>
          <w:rFonts w:ascii="Arial"/>
          <w:i/>
          <w:sz w:val="20"/>
        </w:rPr>
        <w:t>(QB),</w:t>
      </w:r>
      <w:r>
        <w:rPr>
          <w:rFonts w:ascii="Arial"/>
          <w:i/>
          <w:spacing w:val="56"/>
          <w:sz w:val="20"/>
        </w:rPr>
        <w:t> </w:t>
      </w:r>
      <w:r>
        <w:rPr>
          <w:rFonts w:ascii="Arial"/>
          <w:i/>
          <w:sz w:val="20"/>
        </w:rPr>
        <w:t>[2008]</w:t>
      </w:r>
      <w:r>
        <w:rPr>
          <w:rFonts w:ascii="Arial"/>
          <w:i/>
          <w:spacing w:val="55"/>
          <w:sz w:val="20"/>
        </w:rPr>
        <w:t> </w:t>
      </w:r>
      <w:r>
        <w:rPr>
          <w:rFonts w:ascii="Arial"/>
          <w:i/>
          <w:sz w:val="20"/>
        </w:rPr>
        <w:t>1</w:t>
      </w:r>
      <w:r>
        <w:rPr>
          <w:rFonts w:ascii="Arial"/>
          <w:i/>
          <w:spacing w:val="56"/>
          <w:sz w:val="20"/>
        </w:rPr>
        <w:t> </w:t>
      </w:r>
      <w:r>
        <w:rPr>
          <w:rFonts w:ascii="Arial"/>
          <w:i/>
          <w:sz w:val="20"/>
        </w:rPr>
        <w:t>All</w:t>
      </w:r>
      <w:r>
        <w:rPr>
          <w:rFonts w:ascii="Arial"/>
          <w:i/>
          <w:spacing w:val="55"/>
          <w:sz w:val="20"/>
        </w:rPr>
        <w:t> </w:t>
      </w:r>
      <w:r>
        <w:rPr>
          <w:rFonts w:ascii="Arial"/>
          <w:i/>
          <w:sz w:val="20"/>
        </w:rPr>
        <w:t>E.R.</w:t>
      </w:r>
      <w:r>
        <w:rPr>
          <w:rFonts w:ascii="Arial"/>
          <w:i/>
          <w:spacing w:val="56"/>
          <w:sz w:val="20"/>
        </w:rPr>
        <w:t> </w:t>
      </w:r>
      <w:r>
        <w:rPr>
          <w:rFonts w:ascii="Arial"/>
          <w:i/>
          <w:sz w:val="20"/>
        </w:rPr>
        <w:t>(Comm)</w:t>
      </w:r>
      <w:r>
        <w:rPr>
          <w:rFonts w:ascii="Arial"/>
          <w:i/>
          <w:spacing w:val="55"/>
          <w:sz w:val="20"/>
        </w:rPr>
        <w:t> </w:t>
      </w:r>
      <w:r>
        <w:rPr>
          <w:rFonts w:ascii="Arial"/>
          <w:i/>
          <w:sz w:val="20"/>
        </w:rPr>
        <w:t>457</w:t>
      </w:r>
      <w:r>
        <w:rPr>
          <w:rFonts w:ascii="Arial"/>
          <w:i/>
          <w:spacing w:val="54"/>
          <w:sz w:val="20"/>
        </w:rPr>
        <w:t> </w:t>
      </w:r>
      <w:r>
        <w:rPr>
          <w:spacing w:val="-5"/>
          <w:sz w:val="20"/>
        </w:rPr>
        <w:t>at</w:t>
      </w:r>
    </w:p>
    <w:p>
      <w:pPr>
        <w:spacing w:line="235" w:lineRule="auto" w:before="0"/>
        <w:ind w:left="705" w:right="0" w:firstLine="0"/>
        <w:jc w:val="left"/>
        <w:rPr>
          <w:sz w:val="20"/>
        </w:rPr>
      </w:pPr>
      <w:r>
        <w:rPr>
          <w:sz w:val="20"/>
        </w:rPr>
        <w:t>[35]–[36];</w:t>
      </w:r>
      <w:r>
        <w:rPr>
          <w:spacing w:val="39"/>
          <w:sz w:val="20"/>
        </w:rPr>
        <w:t> </w:t>
      </w:r>
      <w:r>
        <w:rPr>
          <w:sz w:val="20"/>
        </w:rPr>
        <w:t>cf.</w:t>
      </w:r>
      <w:r>
        <w:rPr>
          <w:spacing w:val="39"/>
          <w:sz w:val="20"/>
        </w:rPr>
        <w:t> </w:t>
      </w:r>
      <w:r>
        <w:rPr>
          <w:rFonts w:ascii="Arial" w:hAnsi="Arial"/>
          <w:i/>
          <w:sz w:val="20"/>
        </w:rPr>
        <w:t>Schweppe</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Harper</w:t>
      </w:r>
      <w:r>
        <w:rPr>
          <w:rFonts w:ascii="Arial" w:hAnsi="Arial"/>
          <w:i/>
          <w:spacing w:val="39"/>
          <w:sz w:val="20"/>
        </w:rPr>
        <w:t> </w:t>
      </w:r>
      <w:r>
        <w:rPr>
          <w:rFonts w:ascii="Arial" w:hAnsi="Arial"/>
          <w:i/>
          <w:sz w:val="20"/>
        </w:rPr>
        <w:t>[2008]</w:t>
      </w:r>
      <w:r>
        <w:rPr>
          <w:rFonts w:ascii="Arial" w:hAnsi="Arial"/>
          <w:i/>
          <w:spacing w:val="39"/>
          <w:sz w:val="20"/>
        </w:rPr>
        <w:t> </w:t>
      </w:r>
      <w:r>
        <w:rPr>
          <w:rFonts w:ascii="Arial" w:hAnsi="Arial"/>
          <w:i/>
          <w:sz w:val="20"/>
        </w:rPr>
        <w:t>EWCA</w:t>
      </w:r>
      <w:r>
        <w:rPr>
          <w:rFonts w:ascii="Arial" w:hAnsi="Arial"/>
          <w:i/>
          <w:spacing w:val="39"/>
          <w:sz w:val="20"/>
        </w:rPr>
        <w:t> </w:t>
      </w:r>
      <w:r>
        <w:rPr>
          <w:rFonts w:ascii="Arial" w:hAnsi="Arial"/>
          <w:i/>
          <w:sz w:val="20"/>
        </w:rPr>
        <w:t>Civ</w:t>
      </w:r>
      <w:r>
        <w:rPr>
          <w:rFonts w:ascii="Arial" w:hAnsi="Arial"/>
          <w:i/>
          <w:spacing w:val="39"/>
          <w:sz w:val="20"/>
        </w:rPr>
        <w:t> </w:t>
      </w:r>
      <w:r>
        <w:rPr>
          <w:rFonts w:ascii="Arial" w:hAnsi="Arial"/>
          <w:i/>
          <w:sz w:val="20"/>
        </w:rPr>
        <w:t>442</w:t>
      </w:r>
      <w:r>
        <w:rPr>
          <w:rFonts w:ascii="Arial" w:hAnsi="Arial"/>
          <w:i/>
          <w:spacing w:val="39"/>
          <w:sz w:val="20"/>
        </w:rPr>
        <w:t> </w:t>
      </w:r>
      <w:r>
        <w:rPr>
          <w:sz w:val="20"/>
        </w:rPr>
        <w:t>at</w:t>
      </w:r>
      <w:r>
        <w:rPr>
          <w:spacing w:val="39"/>
          <w:sz w:val="20"/>
        </w:rPr>
        <w:t> </w:t>
      </w:r>
      <w:r>
        <w:rPr>
          <w:sz w:val="20"/>
        </w:rPr>
        <w:t>[71]–[72];</w:t>
      </w:r>
      <w:r>
        <w:rPr>
          <w:spacing w:val="39"/>
          <w:sz w:val="20"/>
        </w:rPr>
        <w:t> </w:t>
      </w:r>
      <w:r>
        <w:rPr>
          <w:rFonts w:ascii="Arial" w:hAnsi="Arial"/>
          <w:i/>
          <w:sz w:val="20"/>
        </w:rPr>
        <w:t>Humphreys</w:t>
      </w:r>
      <w:r>
        <w:rPr>
          <w:rFonts w:ascii="Arial" w:hAnsi="Arial"/>
          <w:i/>
          <w:spacing w:val="39"/>
          <w:sz w:val="20"/>
        </w:rPr>
        <w:t> </w:t>
      </w:r>
      <w:r>
        <w:rPr>
          <w:rFonts w:ascii="Arial" w:hAnsi="Arial"/>
          <w:i/>
          <w:sz w:val="20"/>
        </w:rPr>
        <w:t>v</w:t>
      </w:r>
      <w:r>
        <w:rPr>
          <w:rFonts w:ascii="Arial" w:hAnsi="Arial"/>
          <w:i/>
          <w:spacing w:val="39"/>
          <w:sz w:val="20"/>
        </w:rPr>
        <w:t> </w:t>
      </w:r>
      <w:r>
        <w:rPr>
          <w:rFonts w:ascii="Arial" w:hAnsi="Arial"/>
          <w:i/>
          <w:sz w:val="20"/>
        </w:rPr>
        <w:t>Norilsk Nickel International (UK) Ltd [2010] EWHC 1867 (QB), [2010] I.R.L.R. 976 </w:t>
      </w:r>
      <w:r>
        <w:rPr>
          <w:sz w:val="20"/>
        </w:rPr>
        <w:t>at [38].</w:t>
      </w:r>
    </w:p>
    <w:p>
      <w:pPr>
        <w:pStyle w:val="BodyText"/>
        <w:spacing w:before="8"/>
      </w:pPr>
    </w:p>
    <w:p>
      <w:pPr>
        <w:spacing w:line="235" w:lineRule="auto" w:before="0"/>
        <w:ind w:left="705" w:right="167" w:hanging="541"/>
        <w:jc w:val="both"/>
        <w:rPr>
          <w:sz w:val="20"/>
        </w:rPr>
      </w:pPr>
      <w:bookmarkStart w:name="_bookmark1677" w:id="1679"/>
      <w:bookmarkEnd w:id="1679"/>
      <w:r>
        <w:rPr/>
      </w:r>
      <w:hyperlink w:history="true" w:anchor="_bookmark1633">
        <w:r>
          <w:rPr>
            <w:color w:val="005DA1"/>
            <w:position w:val="5"/>
            <w:sz w:val="14"/>
            <w:u w:val="single" w:color="005DA1"/>
          </w:rPr>
          <w:t>872</w:t>
        </w:r>
      </w:hyperlink>
      <w:r>
        <w:rPr>
          <w:position w:val="5"/>
          <w:sz w:val="14"/>
        </w:rPr>
        <w:t>.</w:t>
      </w:r>
      <w:r>
        <w:rPr>
          <w:spacing w:val="80"/>
          <w:position w:val="5"/>
          <w:sz w:val="14"/>
        </w:rPr>
        <w:t>  </w:t>
      </w:r>
      <w:r>
        <w:rPr>
          <w:rFonts w:ascii="Arial" w:hAnsi="Arial"/>
          <w:i/>
          <w:sz w:val="20"/>
        </w:rPr>
        <w:t>Varverakis v Compagnia de Navegacion Artico SA (The Merak) [1976] 2 Lloyd’s Rep. 250</w:t>
      </w:r>
      <w:r>
        <w:rPr>
          <w:sz w:val="20"/>
        </w:rPr>
        <w:t>; </w:t>
      </w:r>
      <w:r>
        <w:rPr>
          <w:sz w:val="20"/>
        </w:rPr>
        <w:t>cf.</w:t>
      </w:r>
      <w:r>
        <w:rPr>
          <w:spacing w:val="40"/>
          <w:sz w:val="20"/>
        </w:rPr>
        <w:t> </w:t>
      </w:r>
      <w:r>
        <w:rPr>
          <w:rFonts w:ascii="Arial" w:hAnsi="Arial"/>
          <w:i/>
          <w:sz w:val="20"/>
        </w:rPr>
        <w:t>Ee v Kahar (1979) 40 P. &amp; C.R. 223 </w:t>
      </w:r>
      <w:r>
        <w:rPr>
          <w:sz w:val="20"/>
        </w:rPr>
        <w:t>(where the sale was simply “subject to survey”—omitting the word “satisfactory”—thus falling, it is submitted, within the principle of</w:t>
      </w:r>
      <w:r>
        <w:rPr>
          <w:spacing w:val="-1"/>
          <w:sz w:val="20"/>
        </w:rPr>
        <w:t> </w:t>
      </w:r>
      <w:r>
        <w:rPr>
          <w:rFonts w:ascii="Arial" w:hAnsi="Arial"/>
          <w:i/>
          <w:sz w:val="20"/>
        </w:rPr>
        <w:t>Mackay v Dick</w:t>
      </w:r>
      <w:r>
        <w:rPr>
          <w:sz w:val="20"/>
        </w:rPr>
        <w:t>, above </w:t>
      </w:r>
      <w:r>
        <w:rPr>
          <w:spacing w:val="-2"/>
          <w:sz w:val="20"/>
        </w:rPr>
        <w:t>n.834).</w:t>
      </w:r>
    </w:p>
    <w:p>
      <w:pPr>
        <w:pStyle w:val="BodyText"/>
        <w:spacing w:before="5"/>
      </w:pPr>
    </w:p>
    <w:p>
      <w:pPr>
        <w:tabs>
          <w:tab w:pos="705" w:val="left" w:leader="none"/>
        </w:tabs>
        <w:spacing w:before="0"/>
        <w:ind w:left="165" w:right="0" w:firstLine="0"/>
        <w:jc w:val="left"/>
        <w:rPr>
          <w:sz w:val="20"/>
        </w:rPr>
      </w:pPr>
      <w:bookmarkStart w:name="_bookmark1678" w:id="1680"/>
      <w:bookmarkEnd w:id="1680"/>
      <w:r>
        <w:rPr/>
      </w:r>
      <w:hyperlink w:history="true" w:anchor="_bookmark1634">
        <w:r>
          <w:rPr>
            <w:color w:val="005DA1"/>
            <w:spacing w:val="-4"/>
            <w:position w:val="5"/>
            <w:sz w:val="14"/>
            <w:u w:val="single" w:color="005DA1"/>
          </w:rPr>
          <w:t>873</w:t>
        </w:r>
      </w:hyperlink>
      <w:r>
        <w:rPr>
          <w:spacing w:val="-4"/>
          <w:position w:val="5"/>
          <w:sz w:val="14"/>
        </w:rPr>
        <w:t>.</w:t>
      </w:r>
      <w:r>
        <w:rPr>
          <w:position w:val="5"/>
          <w:sz w:val="14"/>
        </w:rPr>
        <w:tab/>
      </w:r>
      <w:r>
        <w:rPr>
          <w:sz w:val="20"/>
        </w:rPr>
        <w:t>As in</w:t>
      </w:r>
      <w:r>
        <w:rPr>
          <w:spacing w:val="-1"/>
          <w:sz w:val="20"/>
        </w:rPr>
        <w:t> </w:t>
      </w:r>
      <w:r>
        <w:rPr>
          <w:rFonts w:ascii="Arial" w:hAnsi="Arial"/>
          <w:i/>
          <w:sz w:val="20"/>
        </w:rPr>
        <w:t>Albion Sugar Co v Williams Tankers (The John S. Darbyshire) [1977] 2 Lloyd’s Rep. </w:t>
      </w:r>
      <w:r>
        <w:rPr>
          <w:rFonts w:ascii="Arial" w:hAnsi="Arial"/>
          <w:i/>
          <w:spacing w:val="-4"/>
          <w:sz w:val="20"/>
        </w:rPr>
        <w:t>457</w:t>
      </w:r>
      <w:r>
        <w:rPr>
          <w:spacing w:val="-4"/>
          <w:sz w:val="20"/>
        </w:rPr>
        <w:t>.</w:t>
      </w:r>
    </w:p>
    <w:p>
      <w:pPr>
        <w:pStyle w:val="BodyText"/>
        <w:spacing w:before="8"/>
      </w:pPr>
    </w:p>
    <w:p>
      <w:pPr>
        <w:tabs>
          <w:tab w:pos="705" w:val="left" w:leader="none"/>
        </w:tabs>
        <w:spacing w:line="235" w:lineRule="auto" w:before="1"/>
        <w:ind w:left="705" w:right="168" w:hanging="541"/>
        <w:jc w:val="left"/>
        <w:rPr>
          <w:rFonts w:ascii="Arial"/>
          <w:i/>
          <w:sz w:val="20"/>
        </w:rPr>
      </w:pPr>
      <w:bookmarkStart w:name="_bookmark1679" w:id="1681"/>
      <w:bookmarkEnd w:id="1681"/>
      <w:r>
        <w:rPr/>
      </w:r>
      <w:hyperlink w:history="true" w:anchor="_bookmark1635">
        <w:r>
          <w:rPr>
            <w:color w:val="005DA1"/>
            <w:spacing w:val="-4"/>
            <w:position w:val="5"/>
            <w:sz w:val="14"/>
            <w:u w:val="single" w:color="005DA1"/>
          </w:rPr>
          <w:t>874</w:t>
        </w:r>
      </w:hyperlink>
      <w:r>
        <w:rPr>
          <w:spacing w:val="-4"/>
          <w:position w:val="5"/>
          <w:sz w:val="14"/>
        </w:rPr>
        <w:t>.</w:t>
      </w:r>
      <w:r>
        <w:rPr>
          <w:position w:val="5"/>
          <w:sz w:val="14"/>
        </w:rPr>
        <w:tab/>
      </w:r>
      <w:r>
        <w:rPr>
          <w:rFonts w:ascii="Arial"/>
          <w:i/>
          <w:sz w:val="20"/>
        </w:rPr>
        <w:t>Hargreaves</w:t>
      </w:r>
      <w:r>
        <w:rPr>
          <w:rFonts w:ascii="Arial"/>
          <w:i/>
          <w:spacing w:val="-3"/>
          <w:sz w:val="20"/>
        </w:rPr>
        <w:t> </w:t>
      </w:r>
      <w:r>
        <w:rPr>
          <w:rFonts w:ascii="Arial"/>
          <w:i/>
          <w:sz w:val="20"/>
        </w:rPr>
        <w:t>Transport</w:t>
      </w:r>
      <w:r>
        <w:rPr>
          <w:rFonts w:ascii="Arial"/>
          <w:i/>
          <w:spacing w:val="-3"/>
          <w:sz w:val="20"/>
        </w:rPr>
        <w:t> </w:t>
      </w:r>
      <w:r>
        <w:rPr>
          <w:rFonts w:ascii="Arial"/>
          <w:i/>
          <w:sz w:val="20"/>
        </w:rPr>
        <w:t>Ltd</w:t>
      </w:r>
      <w:r>
        <w:rPr>
          <w:rFonts w:ascii="Arial"/>
          <w:i/>
          <w:spacing w:val="-3"/>
          <w:sz w:val="20"/>
        </w:rPr>
        <w:t> </w:t>
      </w:r>
      <w:r>
        <w:rPr>
          <w:rFonts w:ascii="Arial"/>
          <w:i/>
          <w:sz w:val="20"/>
        </w:rPr>
        <w:t>v</w:t>
      </w:r>
      <w:r>
        <w:rPr>
          <w:rFonts w:ascii="Arial"/>
          <w:i/>
          <w:spacing w:val="-3"/>
          <w:sz w:val="20"/>
        </w:rPr>
        <w:t> </w:t>
      </w:r>
      <w:r>
        <w:rPr>
          <w:rFonts w:ascii="Arial"/>
          <w:i/>
          <w:sz w:val="20"/>
        </w:rPr>
        <w:t>Lynch</w:t>
      </w:r>
      <w:r>
        <w:rPr>
          <w:rFonts w:ascii="Arial"/>
          <w:i/>
          <w:spacing w:val="-3"/>
          <w:sz w:val="20"/>
        </w:rPr>
        <w:t> </w:t>
      </w:r>
      <w:r>
        <w:rPr>
          <w:rFonts w:ascii="Arial"/>
          <w:i/>
          <w:sz w:val="20"/>
        </w:rPr>
        <w:t>[1969]</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215</w:t>
      </w:r>
      <w:r>
        <w:rPr>
          <w:rFonts w:ascii="Arial"/>
          <w:i/>
          <w:spacing w:val="-4"/>
          <w:sz w:val="20"/>
        </w:rPr>
        <w:t> </w:t>
      </w:r>
      <w:r>
        <w:rPr>
          <w:sz w:val="20"/>
        </w:rPr>
        <w:t>(condition</w:t>
      </w:r>
      <w:r>
        <w:rPr>
          <w:spacing w:val="-3"/>
          <w:sz w:val="20"/>
        </w:rPr>
        <w:t> </w:t>
      </w:r>
      <w:r>
        <w:rPr>
          <w:sz w:val="20"/>
        </w:rPr>
        <w:t>not</w:t>
      </w:r>
      <w:r>
        <w:rPr>
          <w:spacing w:val="-3"/>
          <w:sz w:val="20"/>
        </w:rPr>
        <w:t> </w:t>
      </w:r>
      <w:r>
        <w:rPr>
          <w:sz w:val="20"/>
        </w:rPr>
        <w:t>satisfied);</w:t>
      </w:r>
      <w:r>
        <w:rPr>
          <w:spacing w:val="-4"/>
          <w:sz w:val="20"/>
        </w:rPr>
        <w:t> </w:t>
      </w:r>
      <w:r>
        <w:rPr>
          <w:rFonts w:ascii="Arial"/>
          <w:i/>
          <w:sz w:val="20"/>
        </w:rPr>
        <w:t>Richard</w:t>
      </w:r>
      <w:r>
        <w:rPr>
          <w:rFonts w:ascii="Arial"/>
          <w:i/>
          <w:spacing w:val="-3"/>
          <w:sz w:val="20"/>
        </w:rPr>
        <w:t> </w:t>
      </w:r>
      <w:r>
        <w:rPr>
          <w:rFonts w:ascii="Arial"/>
          <w:i/>
          <w:sz w:val="20"/>
        </w:rPr>
        <w:t>West</w:t>
      </w:r>
      <w:r>
        <w:rPr>
          <w:rFonts w:ascii="Arial"/>
          <w:i/>
          <w:spacing w:val="-3"/>
          <w:sz w:val="20"/>
        </w:rPr>
        <w:t> </w:t>
      </w:r>
      <w:r>
        <w:rPr>
          <w:rFonts w:ascii="Arial"/>
          <w:i/>
          <w:sz w:val="20"/>
        </w:rPr>
        <w:t>&amp; Partners</w:t>
      </w:r>
      <w:r>
        <w:rPr>
          <w:rFonts w:ascii="Arial"/>
          <w:i/>
          <w:spacing w:val="48"/>
          <w:sz w:val="20"/>
        </w:rPr>
        <w:t> </w:t>
      </w:r>
      <w:r>
        <w:rPr>
          <w:rFonts w:ascii="Arial"/>
          <w:i/>
          <w:sz w:val="20"/>
        </w:rPr>
        <w:t>(Inverness)</w:t>
      </w:r>
      <w:r>
        <w:rPr>
          <w:rFonts w:ascii="Arial"/>
          <w:i/>
          <w:spacing w:val="48"/>
          <w:sz w:val="20"/>
        </w:rPr>
        <w:t> </w:t>
      </w:r>
      <w:r>
        <w:rPr>
          <w:rFonts w:ascii="Arial"/>
          <w:i/>
          <w:sz w:val="20"/>
        </w:rPr>
        <w:t>Ltd</w:t>
      </w:r>
      <w:r>
        <w:rPr>
          <w:rFonts w:ascii="Arial"/>
          <w:i/>
          <w:spacing w:val="48"/>
          <w:sz w:val="20"/>
        </w:rPr>
        <w:t> </w:t>
      </w:r>
      <w:r>
        <w:rPr>
          <w:rFonts w:ascii="Arial"/>
          <w:i/>
          <w:sz w:val="20"/>
        </w:rPr>
        <w:t>v</w:t>
      </w:r>
      <w:r>
        <w:rPr>
          <w:rFonts w:ascii="Arial"/>
          <w:i/>
          <w:spacing w:val="48"/>
          <w:sz w:val="20"/>
        </w:rPr>
        <w:t> </w:t>
      </w:r>
      <w:r>
        <w:rPr>
          <w:rFonts w:ascii="Arial"/>
          <w:i/>
          <w:sz w:val="20"/>
        </w:rPr>
        <w:t>Dick</w:t>
      </w:r>
      <w:r>
        <w:rPr>
          <w:rFonts w:ascii="Arial"/>
          <w:i/>
          <w:spacing w:val="48"/>
          <w:sz w:val="20"/>
        </w:rPr>
        <w:t> </w:t>
      </w:r>
      <w:r>
        <w:rPr>
          <w:rFonts w:ascii="Arial"/>
          <w:i/>
          <w:sz w:val="20"/>
        </w:rPr>
        <w:t>[1969]</w:t>
      </w:r>
      <w:r>
        <w:rPr>
          <w:rFonts w:ascii="Arial"/>
          <w:i/>
          <w:spacing w:val="48"/>
          <w:sz w:val="20"/>
        </w:rPr>
        <w:t> </w:t>
      </w:r>
      <w:r>
        <w:rPr>
          <w:rFonts w:ascii="Arial"/>
          <w:i/>
          <w:sz w:val="20"/>
        </w:rPr>
        <w:t>2</w:t>
      </w:r>
      <w:r>
        <w:rPr>
          <w:rFonts w:ascii="Arial"/>
          <w:i/>
          <w:spacing w:val="48"/>
          <w:sz w:val="20"/>
        </w:rPr>
        <w:t> </w:t>
      </w:r>
      <w:r>
        <w:rPr>
          <w:rFonts w:ascii="Arial"/>
          <w:i/>
          <w:sz w:val="20"/>
        </w:rPr>
        <w:t>Ch.</w:t>
      </w:r>
      <w:r>
        <w:rPr>
          <w:rFonts w:ascii="Arial"/>
          <w:i/>
          <w:spacing w:val="48"/>
          <w:sz w:val="20"/>
        </w:rPr>
        <w:t> </w:t>
      </w:r>
      <w:r>
        <w:rPr>
          <w:rFonts w:ascii="Arial"/>
          <w:i/>
          <w:sz w:val="20"/>
        </w:rPr>
        <w:t>424</w:t>
      </w:r>
      <w:r>
        <w:rPr>
          <w:rFonts w:ascii="Arial"/>
          <w:i/>
          <w:spacing w:val="48"/>
          <w:sz w:val="20"/>
        </w:rPr>
        <w:t> </w:t>
      </w:r>
      <w:r>
        <w:rPr>
          <w:sz w:val="20"/>
        </w:rPr>
        <w:t>(similar</w:t>
      </w:r>
      <w:r>
        <w:rPr>
          <w:spacing w:val="48"/>
          <w:sz w:val="20"/>
        </w:rPr>
        <w:t> </w:t>
      </w:r>
      <w:r>
        <w:rPr>
          <w:sz w:val="20"/>
        </w:rPr>
        <w:t>condition</w:t>
      </w:r>
      <w:r>
        <w:rPr>
          <w:spacing w:val="48"/>
          <w:sz w:val="20"/>
        </w:rPr>
        <w:t> </w:t>
      </w:r>
      <w:r>
        <w:rPr>
          <w:sz w:val="20"/>
        </w:rPr>
        <w:t>satisfied);</w:t>
      </w:r>
      <w:r>
        <w:rPr>
          <w:spacing w:val="48"/>
          <w:sz w:val="20"/>
        </w:rPr>
        <w:t> </w:t>
      </w:r>
      <w:r>
        <w:rPr>
          <w:sz w:val="20"/>
        </w:rPr>
        <w:t>cf.</w:t>
      </w:r>
      <w:r>
        <w:rPr>
          <w:spacing w:val="48"/>
          <w:sz w:val="20"/>
        </w:rPr>
        <w:t> </w:t>
      </w:r>
      <w:r>
        <w:rPr>
          <w:rFonts w:ascii="Arial"/>
          <w:i/>
          <w:sz w:val="20"/>
        </w:rPr>
        <w:t>Fisher</w:t>
      </w:r>
      <w:r>
        <w:rPr>
          <w:rFonts w:ascii="Arial"/>
          <w:i/>
          <w:spacing w:val="48"/>
          <w:sz w:val="20"/>
        </w:rPr>
        <w:t> </w:t>
      </w:r>
      <w:r>
        <w:rPr>
          <w:rFonts w:ascii="Arial"/>
          <w:i/>
          <w:spacing w:val="-10"/>
          <w:sz w:val="20"/>
        </w:rPr>
        <w:t>v</w:t>
      </w:r>
    </w:p>
    <w:p>
      <w:pPr>
        <w:spacing w:after="0" w:line="235" w:lineRule="auto"/>
        <w:jc w:val="left"/>
        <w:rPr>
          <w:rFonts w:ascii="Arial"/>
          <w:i/>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i/>
          <w:sz w:val="20"/>
        </w:rPr>
        <w:t>Tomatousos [1991] 2 E.G.L.R. 204</w:t>
      </w:r>
      <w:r>
        <w:rPr>
          <w:sz w:val="20"/>
        </w:rPr>
        <w:t>; </w:t>
      </w:r>
      <w:r>
        <w:rPr>
          <w:rFonts w:ascii="Arial"/>
          <w:i/>
          <w:sz w:val="20"/>
        </w:rPr>
        <w:t>Jolley v Carmel Ltd [2000] 2 E.G.L.R. 153 </w:t>
      </w:r>
      <w:r>
        <w:rPr>
          <w:sz w:val="20"/>
        </w:rPr>
        <w:t>(buyer who was required by the contract to make reasonable efforts to get planning permission under no duty to get it within a reasonable time). cf. </w:t>
      </w:r>
      <w:r>
        <w:rPr>
          <w:rFonts w:ascii="Arial"/>
          <w:i/>
          <w:sz w:val="20"/>
        </w:rPr>
        <w:t>Tesco Stores Ltd v Gibson (1970) 214 E.G. 835 </w:t>
      </w:r>
      <w:r>
        <w:rPr>
          <w:sz w:val="20"/>
        </w:rPr>
        <w:t>(no obligation on purchaser to apply for planning permission).</w:t>
      </w:r>
    </w:p>
    <w:p>
      <w:pPr>
        <w:pStyle w:val="BodyText"/>
        <w:spacing w:before="9"/>
      </w:pPr>
    </w:p>
    <w:p>
      <w:pPr>
        <w:spacing w:line="235" w:lineRule="auto" w:before="0"/>
        <w:ind w:left="705" w:right="168" w:hanging="541"/>
        <w:jc w:val="both"/>
        <w:rPr>
          <w:sz w:val="20"/>
        </w:rPr>
      </w:pPr>
      <w:bookmarkStart w:name="_bookmark1680" w:id="1682"/>
      <w:bookmarkEnd w:id="1682"/>
      <w:r>
        <w:rPr/>
      </w:r>
      <w:hyperlink w:history="true" w:anchor="_bookmark1636">
        <w:r>
          <w:rPr>
            <w:color w:val="005DA1"/>
            <w:position w:val="5"/>
            <w:sz w:val="14"/>
            <w:u w:val="single" w:color="005DA1"/>
          </w:rPr>
          <w:t>875</w:t>
        </w:r>
      </w:hyperlink>
      <w:r>
        <w:rPr>
          <w:position w:val="5"/>
          <w:sz w:val="14"/>
        </w:rPr>
        <w:t>.</w:t>
      </w:r>
      <w:r>
        <w:rPr>
          <w:spacing w:val="80"/>
          <w:position w:val="5"/>
          <w:sz w:val="14"/>
        </w:rPr>
        <w:t>  </w:t>
      </w:r>
      <w:r>
        <w:rPr>
          <w:sz w:val="20"/>
        </w:rPr>
        <w:t>As to which party has this duty, see </w:t>
      </w:r>
      <w:r>
        <w:rPr>
          <w:rFonts w:ascii="Arial" w:hAnsi="Arial"/>
          <w:i/>
          <w:sz w:val="20"/>
        </w:rPr>
        <w:t>H. O. Brandt &amp; Co v H. N. Morris &amp; Co [1917] 2 K.B. 784</w:t>
      </w:r>
      <w:r>
        <w:rPr>
          <w:sz w:val="20"/>
        </w:rPr>
        <w:t>; </w:t>
      </w:r>
      <w:r>
        <w:rPr>
          <w:rFonts w:ascii="Arial" w:hAnsi="Arial"/>
          <w:i/>
          <w:sz w:val="20"/>
        </w:rPr>
        <w:t>AV Pound &amp; Co v M. W. Hardy &amp; Co [1956] A.C. 588</w:t>
      </w:r>
      <w:r>
        <w:rPr>
          <w:sz w:val="20"/>
        </w:rPr>
        <w:t>; Bridge, </w:t>
      </w:r>
      <w:r>
        <w:rPr>
          <w:rFonts w:ascii="Arial" w:hAnsi="Arial"/>
          <w:i/>
          <w:sz w:val="20"/>
        </w:rPr>
        <w:t>Benjamin’s Sale of Goods </w:t>
      </w:r>
      <w:r>
        <w:rPr>
          <w:sz w:val="20"/>
        </w:rPr>
        <w:t>8th</w:t>
      </w:r>
      <w:r>
        <w:rPr>
          <w:spacing w:val="40"/>
          <w:sz w:val="20"/>
        </w:rPr>
        <w:t> </w:t>
      </w:r>
      <w:r>
        <w:rPr>
          <w:sz w:val="20"/>
        </w:rPr>
        <w:t>edn (2010), paras 18–352—18–355.</w:t>
      </w:r>
    </w:p>
    <w:p>
      <w:pPr>
        <w:pStyle w:val="BodyText"/>
        <w:spacing w:before="8"/>
      </w:pPr>
    </w:p>
    <w:p>
      <w:pPr>
        <w:spacing w:line="235" w:lineRule="auto" w:before="1"/>
        <w:ind w:left="705" w:right="167" w:hanging="541"/>
        <w:jc w:val="both"/>
        <w:rPr>
          <w:sz w:val="20"/>
        </w:rPr>
      </w:pPr>
      <w:bookmarkStart w:name="_bookmark1681" w:id="1683"/>
      <w:bookmarkEnd w:id="1683"/>
      <w:r>
        <w:rPr/>
      </w:r>
      <w:hyperlink w:history="true" w:anchor="_bookmark1637">
        <w:r>
          <w:rPr>
            <w:color w:val="005DA1"/>
            <w:position w:val="5"/>
            <w:sz w:val="14"/>
            <w:u w:val="single" w:color="005DA1"/>
          </w:rPr>
          <w:t>876</w:t>
        </w:r>
      </w:hyperlink>
      <w:r>
        <w:rPr>
          <w:position w:val="5"/>
          <w:sz w:val="14"/>
        </w:rPr>
        <w:t>.</w:t>
      </w:r>
      <w:r>
        <w:rPr>
          <w:spacing w:val="40"/>
          <w:position w:val="5"/>
          <w:sz w:val="14"/>
        </w:rPr>
        <w:t>  </w:t>
      </w:r>
      <w:r>
        <w:rPr>
          <w:sz w:val="20"/>
        </w:rPr>
        <w:t>The prima facie rule may be excluded by express words which, on their true construction,</w:t>
      </w:r>
      <w:r>
        <w:rPr>
          <w:spacing w:val="80"/>
          <w:sz w:val="20"/>
        </w:rPr>
        <w:t> </w:t>
      </w:r>
      <w:r>
        <w:rPr>
          <w:sz w:val="20"/>
        </w:rPr>
        <w:t>impose</w:t>
      </w:r>
      <w:r>
        <w:rPr>
          <w:spacing w:val="-1"/>
          <w:sz w:val="20"/>
        </w:rPr>
        <w:t> </w:t>
      </w:r>
      <w:r>
        <w:rPr>
          <w:sz w:val="20"/>
        </w:rPr>
        <w:t>an</w:t>
      </w:r>
      <w:r>
        <w:rPr>
          <w:spacing w:val="-1"/>
          <w:sz w:val="20"/>
        </w:rPr>
        <w:t> </w:t>
      </w:r>
      <w:r>
        <w:rPr>
          <w:sz w:val="20"/>
        </w:rPr>
        <w:t>absolute</w:t>
      </w:r>
      <w:r>
        <w:rPr>
          <w:spacing w:val="-1"/>
          <w:sz w:val="20"/>
        </w:rPr>
        <w:t> </w:t>
      </w:r>
      <w:r>
        <w:rPr>
          <w:sz w:val="20"/>
        </w:rPr>
        <w:t>duty;</w:t>
      </w:r>
      <w:r>
        <w:rPr>
          <w:spacing w:val="-1"/>
          <w:sz w:val="20"/>
        </w:rPr>
        <w:t> </w:t>
      </w:r>
      <w:r>
        <w:rPr>
          <w:sz w:val="20"/>
        </w:rPr>
        <w:t>e.g.</w:t>
      </w:r>
      <w:r>
        <w:rPr>
          <w:spacing w:val="-1"/>
          <w:sz w:val="20"/>
        </w:rPr>
        <w:t> </w:t>
      </w:r>
      <w:r>
        <w:rPr>
          <w:rFonts w:ascii="Arial" w:hAnsi="Arial"/>
          <w:i/>
          <w:sz w:val="20"/>
        </w:rPr>
        <w:t>Peter</w:t>
      </w:r>
      <w:r>
        <w:rPr>
          <w:rFonts w:ascii="Arial" w:hAnsi="Arial"/>
          <w:i/>
          <w:spacing w:val="-1"/>
          <w:sz w:val="20"/>
        </w:rPr>
        <w:t> </w:t>
      </w:r>
      <w:r>
        <w:rPr>
          <w:rFonts w:ascii="Arial" w:hAnsi="Arial"/>
          <w:i/>
          <w:sz w:val="20"/>
        </w:rPr>
        <w:t>Cassidy</w:t>
      </w:r>
      <w:r>
        <w:rPr>
          <w:rFonts w:ascii="Arial" w:hAnsi="Arial"/>
          <w:i/>
          <w:spacing w:val="-1"/>
          <w:sz w:val="20"/>
        </w:rPr>
        <w:t> </w:t>
      </w:r>
      <w:r>
        <w:rPr>
          <w:rFonts w:ascii="Arial" w:hAnsi="Arial"/>
          <w:i/>
          <w:sz w:val="20"/>
        </w:rPr>
        <w:t>Seed</w:t>
      </w:r>
      <w:r>
        <w:rPr>
          <w:rFonts w:ascii="Arial" w:hAnsi="Arial"/>
          <w:i/>
          <w:spacing w:val="-1"/>
          <w:sz w:val="20"/>
        </w:rPr>
        <w:t> </w:t>
      </w:r>
      <w:r>
        <w:rPr>
          <w:rFonts w:ascii="Arial" w:hAnsi="Arial"/>
          <w:i/>
          <w:sz w:val="20"/>
        </w:rPr>
        <w:t>Co</w:t>
      </w:r>
      <w:r>
        <w:rPr>
          <w:rFonts w:ascii="Arial" w:hAnsi="Arial"/>
          <w:i/>
          <w:spacing w:val="-1"/>
          <w:sz w:val="20"/>
        </w:rPr>
        <w:t> </w:t>
      </w:r>
      <w:r>
        <w:rPr>
          <w:rFonts w:ascii="Arial" w:hAnsi="Arial"/>
          <w:i/>
          <w:sz w:val="20"/>
        </w:rPr>
        <w:t>Ltd</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Osuustukkukauppa</w:t>
      </w:r>
      <w:r>
        <w:rPr>
          <w:rFonts w:ascii="Arial" w:hAnsi="Arial"/>
          <w:i/>
          <w:spacing w:val="-1"/>
          <w:sz w:val="20"/>
        </w:rPr>
        <w:t> </w:t>
      </w:r>
      <w:r>
        <w:rPr>
          <w:rFonts w:ascii="Arial" w:hAnsi="Arial"/>
          <w:i/>
          <w:sz w:val="20"/>
        </w:rPr>
        <w:t>[1957]</w:t>
      </w:r>
      <w:r>
        <w:rPr>
          <w:rFonts w:ascii="Arial" w:hAnsi="Arial"/>
          <w:i/>
          <w:spacing w:val="-1"/>
          <w:sz w:val="20"/>
        </w:rPr>
        <w:t> </w:t>
      </w:r>
      <w:r>
        <w:rPr>
          <w:rFonts w:ascii="Arial" w:hAnsi="Arial"/>
          <w:i/>
          <w:sz w:val="20"/>
        </w:rPr>
        <w:t>1</w:t>
      </w:r>
      <w:r>
        <w:rPr>
          <w:rFonts w:ascii="Arial" w:hAnsi="Arial"/>
          <w:i/>
          <w:spacing w:val="-1"/>
          <w:sz w:val="20"/>
        </w:rPr>
        <w:t> </w:t>
      </w:r>
      <w:r>
        <w:rPr>
          <w:rFonts w:ascii="Arial" w:hAnsi="Arial"/>
          <w:i/>
          <w:sz w:val="20"/>
        </w:rPr>
        <w:t>W.L.R. 273</w:t>
      </w:r>
      <w:r>
        <w:rPr>
          <w:sz w:val="20"/>
        </w:rPr>
        <w:t>; </w:t>
      </w:r>
      <w:r>
        <w:rPr>
          <w:rFonts w:ascii="Arial" w:hAnsi="Arial"/>
          <w:i/>
          <w:sz w:val="20"/>
        </w:rPr>
        <w:t>C. Czarnikow Ltd v Centrale Handlu Zagranicznego “Rolimpex” [1979] A.C. 351, 371</w:t>
      </w:r>
      <w:r>
        <w:rPr>
          <w:sz w:val="20"/>
        </w:rPr>
        <w:t>; </w:t>
      </w:r>
      <w:r>
        <w:rPr>
          <w:rFonts w:ascii="Arial" w:hAnsi="Arial"/>
          <w:i/>
          <w:sz w:val="20"/>
        </w:rPr>
        <w:t>Congimex Companhia Geral, etc., SARL v Tradax Export SA [1983] 1 Lloyd’s Rep. 250</w:t>
      </w:r>
      <w:r>
        <w:rPr>
          <w:sz w:val="20"/>
        </w:rPr>
        <w:t>;</w:t>
      </w:r>
      <w:r>
        <w:rPr>
          <w:spacing w:val="40"/>
          <w:sz w:val="20"/>
        </w:rPr>
        <w:t> </w:t>
      </w:r>
      <w:r>
        <w:rPr>
          <w:rFonts w:ascii="Arial" w:hAnsi="Arial"/>
          <w:i/>
          <w:sz w:val="20"/>
        </w:rPr>
        <w:t>Pagnan</w:t>
      </w:r>
      <w:r>
        <w:rPr>
          <w:rFonts w:ascii="Arial" w:hAnsi="Arial"/>
          <w:i/>
          <w:spacing w:val="19"/>
          <w:sz w:val="20"/>
        </w:rPr>
        <w:t> </w:t>
      </w:r>
      <w:r>
        <w:rPr>
          <w:rFonts w:ascii="Arial" w:hAnsi="Arial"/>
          <w:i/>
          <w:sz w:val="20"/>
        </w:rPr>
        <w:t>SpA</w:t>
      </w:r>
      <w:r>
        <w:rPr>
          <w:rFonts w:ascii="Arial" w:hAnsi="Arial"/>
          <w:i/>
          <w:spacing w:val="20"/>
          <w:sz w:val="20"/>
        </w:rPr>
        <w:t> </w:t>
      </w:r>
      <w:r>
        <w:rPr>
          <w:rFonts w:ascii="Arial" w:hAnsi="Arial"/>
          <w:i/>
          <w:sz w:val="20"/>
        </w:rPr>
        <w:t>v</w:t>
      </w:r>
      <w:r>
        <w:rPr>
          <w:rFonts w:ascii="Arial" w:hAnsi="Arial"/>
          <w:i/>
          <w:spacing w:val="20"/>
          <w:sz w:val="20"/>
        </w:rPr>
        <w:t> </w:t>
      </w:r>
      <w:r>
        <w:rPr>
          <w:rFonts w:ascii="Arial" w:hAnsi="Arial"/>
          <w:i/>
          <w:sz w:val="20"/>
        </w:rPr>
        <w:t>Tradax</w:t>
      </w:r>
      <w:r>
        <w:rPr>
          <w:rFonts w:ascii="Arial" w:hAnsi="Arial"/>
          <w:i/>
          <w:spacing w:val="20"/>
          <w:sz w:val="20"/>
        </w:rPr>
        <w:t> </w:t>
      </w:r>
      <w:r>
        <w:rPr>
          <w:rFonts w:ascii="Arial" w:hAnsi="Arial"/>
          <w:i/>
          <w:sz w:val="20"/>
        </w:rPr>
        <w:t>Ocean</w:t>
      </w:r>
      <w:r>
        <w:rPr>
          <w:rFonts w:ascii="Arial" w:hAnsi="Arial"/>
          <w:i/>
          <w:spacing w:val="20"/>
          <w:sz w:val="20"/>
        </w:rPr>
        <w:t> </w:t>
      </w:r>
      <w:r>
        <w:rPr>
          <w:rFonts w:ascii="Arial" w:hAnsi="Arial"/>
          <w:i/>
          <w:sz w:val="20"/>
        </w:rPr>
        <w:t>Transport</w:t>
      </w:r>
      <w:r>
        <w:rPr>
          <w:rFonts w:ascii="Arial" w:hAnsi="Arial"/>
          <w:i/>
          <w:spacing w:val="20"/>
          <w:sz w:val="20"/>
        </w:rPr>
        <w:t> </w:t>
      </w:r>
      <w:r>
        <w:rPr>
          <w:rFonts w:ascii="Arial" w:hAnsi="Arial"/>
          <w:i/>
          <w:sz w:val="20"/>
        </w:rPr>
        <w:t>SA</w:t>
      </w:r>
      <w:r>
        <w:rPr>
          <w:rFonts w:ascii="Arial" w:hAnsi="Arial"/>
          <w:i/>
          <w:spacing w:val="20"/>
          <w:sz w:val="20"/>
        </w:rPr>
        <w:t> </w:t>
      </w:r>
      <w:r>
        <w:rPr>
          <w:rFonts w:ascii="Arial" w:hAnsi="Arial"/>
          <w:i/>
          <w:sz w:val="20"/>
        </w:rPr>
        <w:t>[1987]</w:t>
      </w:r>
      <w:r>
        <w:rPr>
          <w:rFonts w:ascii="Arial" w:hAnsi="Arial"/>
          <w:i/>
          <w:spacing w:val="20"/>
          <w:sz w:val="20"/>
        </w:rPr>
        <w:t> </w:t>
      </w:r>
      <w:r>
        <w:rPr>
          <w:rFonts w:ascii="Arial" w:hAnsi="Arial"/>
          <w:i/>
          <w:sz w:val="20"/>
        </w:rPr>
        <w:t>3</w:t>
      </w:r>
      <w:r>
        <w:rPr>
          <w:rFonts w:ascii="Arial" w:hAnsi="Arial"/>
          <w:i/>
          <w:spacing w:val="20"/>
          <w:sz w:val="20"/>
        </w:rPr>
        <w:t> </w:t>
      </w:r>
      <w:r>
        <w:rPr>
          <w:rFonts w:ascii="Arial" w:hAnsi="Arial"/>
          <w:i/>
          <w:sz w:val="20"/>
        </w:rPr>
        <w:t>All</w:t>
      </w:r>
      <w:r>
        <w:rPr>
          <w:rFonts w:ascii="Arial" w:hAnsi="Arial"/>
          <w:i/>
          <w:spacing w:val="20"/>
          <w:sz w:val="20"/>
        </w:rPr>
        <w:t> </w:t>
      </w:r>
      <w:r>
        <w:rPr>
          <w:rFonts w:ascii="Arial" w:hAnsi="Arial"/>
          <w:i/>
          <w:sz w:val="20"/>
        </w:rPr>
        <w:t>E.R.</w:t>
      </w:r>
      <w:r>
        <w:rPr>
          <w:rFonts w:ascii="Arial" w:hAnsi="Arial"/>
          <w:i/>
          <w:spacing w:val="20"/>
          <w:sz w:val="20"/>
        </w:rPr>
        <w:t> </w:t>
      </w:r>
      <w:r>
        <w:rPr>
          <w:rFonts w:ascii="Arial" w:hAnsi="Arial"/>
          <w:i/>
          <w:sz w:val="20"/>
        </w:rPr>
        <w:t>565</w:t>
      </w:r>
      <w:r>
        <w:rPr>
          <w:sz w:val="20"/>
        </w:rPr>
        <w:t>;</w:t>
      </w:r>
      <w:r>
        <w:rPr>
          <w:spacing w:val="20"/>
          <w:sz w:val="20"/>
        </w:rPr>
        <w:t> </w:t>
      </w:r>
      <w:r>
        <w:rPr>
          <w:sz w:val="20"/>
        </w:rPr>
        <w:t>Yates</w:t>
      </w:r>
      <w:r>
        <w:rPr>
          <w:spacing w:val="20"/>
          <w:sz w:val="20"/>
        </w:rPr>
        <w:t> </w:t>
      </w:r>
      <w:r>
        <w:rPr>
          <w:sz w:val="20"/>
        </w:rPr>
        <w:t>and</w:t>
      </w:r>
      <w:r>
        <w:rPr>
          <w:spacing w:val="20"/>
          <w:sz w:val="20"/>
        </w:rPr>
        <w:t> </w:t>
      </w:r>
      <w:r>
        <w:rPr>
          <w:sz w:val="20"/>
        </w:rPr>
        <w:t>Carter,</w:t>
      </w:r>
      <w:r>
        <w:rPr>
          <w:spacing w:val="20"/>
          <w:sz w:val="20"/>
        </w:rPr>
        <w:t> </w:t>
      </w:r>
      <w:r>
        <w:rPr>
          <w:sz w:val="20"/>
        </w:rPr>
        <w:t>1</w:t>
      </w:r>
      <w:r>
        <w:rPr>
          <w:spacing w:val="20"/>
          <w:sz w:val="20"/>
        </w:rPr>
        <w:t> </w:t>
      </w:r>
      <w:r>
        <w:rPr>
          <w:spacing w:val="-2"/>
          <w:sz w:val="20"/>
        </w:rPr>
        <w:t>J.C.L.</w:t>
      </w:r>
    </w:p>
    <w:p>
      <w:pPr>
        <w:pStyle w:val="BodyText"/>
        <w:spacing w:line="235" w:lineRule="auto"/>
        <w:ind w:left="705" w:right="167"/>
        <w:jc w:val="both"/>
      </w:pPr>
      <w:r>
        <w:rPr/>
        <w:t>57. See also </w:t>
      </w:r>
      <w:r>
        <w:rPr>
          <w:rFonts w:ascii="Arial" w:hAnsi="Arial"/>
          <w:i/>
        </w:rPr>
        <w:t>B.S. &amp; N. Ltd (BVI) v Micado Shipping Ltd (The Seaflower) [2000] 2 Lloyd’s Rep. 37</w:t>
      </w:r>
      <w:r>
        <w:rPr/>
        <w:t>, a charterparty case in which the issue was whether failure to perform a “guarantee” that the shipowner would obtain a third party’s approval amounted to a repudiation. A negative </w:t>
      </w:r>
      <w:r>
        <w:rPr/>
        <w:t>answer was given to this question, but it was held in further proceedings that the “guarantee” was a promissory condition, so that failure by the shipowner to obtain the approval justified rescission by the charterer: </w:t>
      </w:r>
      <w:r>
        <w:rPr>
          <w:rFonts w:ascii="Arial" w:hAnsi="Arial"/>
          <w:i/>
        </w:rPr>
        <w:t>[2001] 1 Lloyd’s Rep. 341</w:t>
      </w:r>
      <w:r>
        <w:rPr/>
        <w:t>. There was no issue as to the standard of the owner’s duty, but it seems to have been assumed that the duty was strict (i.e. not merely one of </w:t>
      </w:r>
      <w:r>
        <w:rPr>
          <w:spacing w:val="-2"/>
        </w:rPr>
        <w:t>diligence).</w:t>
      </w:r>
    </w:p>
    <w:p>
      <w:pPr>
        <w:pStyle w:val="BodyText"/>
        <w:spacing w:before="4"/>
      </w:pPr>
    </w:p>
    <w:p>
      <w:pPr>
        <w:spacing w:line="235" w:lineRule="auto" w:before="1"/>
        <w:ind w:left="705" w:right="167" w:hanging="541"/>
        <w:jc w:val="both"/>
        <w:rPr>
          <w:rFonts w:ascii="Arial" w:hAnsi="Arial"/>
          <w:i/>
          <w:sz w:val="20"/>
        </w:rPr>
      </w:pPr>
      <w:bookmarkStart w:name="_bookmark1682" w:id="1684"/>
      <w:bookmarkEnd w:id="1684"/>
      <w:r>
        <w:rPr/>
      </w:r>
      <w:hyperlink w:history="true" w:anchor="_bookmark1637">
        <w:r>
          <w:rPr>
            <w:color w:val="005DA1"/>
            <w:position w:val="5"/>
            <w:sz w:val="14"/>
            <w:u w:val="single" w:color="005DA1"/>
          </w:rPr>
          <w:t>877</w:t>
        </w:r>
      </w:hyperlink>
      <w:r>
        <w:rPr>
          <w:position w:val="5"/>
          <w:sz w:val="14"/>
        </w:rPr>
        <w:t>.</w:t>
      </w:r>
      <w:r>
        <w:rPr>
          <w:spacing w:val="80"/>
          <w:position w:val="5"/>
          <w:sz w:val="14"/>
        </w:rPr>
        <w:t> </w:t>
      </w:r>
      <w:r>
        <w:rPr>
          <w:rFonts w:ascii="Arial" w:hAnsi="Arial"/>
          <w:i/>
          <w:sz w:val="20"/>
        </w:rPr>
        <w:t>Re Anglo-Russian Merchant Traders and John Batt &amp; Co (London) Ltd [1917] 2 K.B. 679</w:t>
      </w:r>
      <w:r>
        <w:rPr>
          <w:sz w:val="20"/>
        </w:rPr>
        <w:t>; </w:t>
      </w:r>
      <w:r>
        <w:rPr>
          <w:rFonts w:ascii="Arial" w:hAnsi="Arial"/>
          <w:i/>
          <w:sz w:val="20"/>
        </w:rPr>
        <w:t>Coloniale Import-Export v Loumidis &amp; Sons [1978] 2 Lloyd’s Rep. 560</w:t>
      </w:r>
      <w:r>
        <w:rPr>
          <w:sz w:val="20"/>
        </w:rPr>
        <w:t>; </w:t>
      </w:r>
      <w:r>
        <w:rPr>
          <w:rFonts w:ascii="Arial" w:hAnsi="Arial"/>
          <w:i/>
          <w:sz w:val="20"/>
        </w:rPr>
        <w:t>Overseas Buyers Ltd v Granadex SA [1980] 2 Lloyd’s Rep. 608</w:t>
      </w:r>
      <w:r>
        <w:rPr>
          <w:sz w:val="20"/>
        </w:rPr>
        <w:t>; </w:t>
      </w:r>
      <w:r>
        <w:rPr>
          <w:rFonts w:ascii="Arial" w:hAnsi="Arial"/>
          <w:i/>
          <w:sz w:val="20"/>
        </w:rPr>
        <w:t>Gamerco SA v I.C.M./Fair Warning (Agency) Ltd [1995] 1 W.L.R. 1226, 1231</w:t>
      </w:r>
      <w:r>
        <w:rPr>
          <w:sz w:val="20"/>
        </w:rPr>
        <w:t>. Where the contract is expressly subject to the approval of a public authority, there may not even be a duty to make reasonable efforts to secure that approval: see </w:t>
      </w:r>
      <w:r>
        <w:rPr>
          <w:rFonts w:ascii="Arial" w:hAnsi="Arial"/>
          <w:i/>
          <w:sz w:val="20"/>
        </w:rPr>
        <w:t>Gyllenhammar Partners International v Sour Brodegradevna Industria [1989] 2 Lloyd’s Rep. </w:t>
      </w:r>
      <w:r>
        <w:rPr>
          <w:rFonts w:ascii="Arial" w:hAnsi="Arial"/>
          <w:i/>
          <w:spacing w:val="-5"/>
          <w:sz w:val="20"/>
        </w:rPr>
        <w:t>403</w:t>
      </w:r>
    </w:p>
    <w:p>
      <w:pPr>
        <w:pStyle w:val="BodyText"/>
        <w:spacing w:line="224" w:lineRule="exact"/>
        <w:ind w:left="705"/>
      </w:pPr>
      <w:r>
        <w:rPr/>
        <w:t>. For the standard of duty, see generally Bridge, paras 18–356—</w:t>
      </w:r>
      <w:r>
        <w:rPr>
          <w:spacing w:val="-2"/>
        </w:rPr>
        <w:t>18–374.</w:t>
      </w:r>
    </w:p>
    <w:p>
      <w:pPr>
        <w:pStyle w:val="BodyText"/>
        <w:spacing w:before="8"/>
      </w:pPr>
    </w:p>
    <w:p>
      <w:pPr>
        <w:spacing w:line="235" w:lineRule="auto" w:before="0"/>
        <w:ind w:left="705" w:right="168" w:hanging="541"/>
        <w:jc w:val="both"/>
        <w:rPr>
          <w:sz w:val="20"/>
        </w:rPr>
      </w:pPr>
      <w:bookmarkStart w:name="_bookmark1683" w:id="1685"/>
      <w:bookmarkEnd w:id="1685"/>
      <w:r>
        <w:rPr/>
      </w:r>
      <w:hyperlink w:history="true" w:anchor="_bookmark1638">
        <w:r>
          <w:rPr>
            <w:color w:val="005DA1"/>
            <w:position w:val="5"/>
            <w:sz w:val="14"/>
            <w:u w:val="single" w:color="005DA1"/>
          </w:rPr>
          <w:t>878</w:t>
        </w:r>
      </w:hyperlink>
      <w:r>
        <w:rPr>
          <w:position w:val="5"/>
          <w:sz w:val="14"/>
        </w:rPr>
        <w:t>.</w:t>
      </w:r>
      <w:r>
        <w:rPr>
          <w:spacing w:val="40"/>
          <w:position w:val="5"/>
          <w:sz w:val="14"/>
        </w:rPr>
        <w:t>  </w:t>
      </w:r>
      <w:r>
        <w:rPr>
          <w:rFonts w:ascii="Arial" w:hAnsi="Arial"/>
          <w:i/>
          <w:sz w:val="20"/>
        </w:rPr>
        <w:t>Charles H. Windschuegl Ltd v Alexander Pickering &amp; Co Ltd (1950) 84 Ll.L. Rep. 89, </w:t>
      </w:r>
      <w:r>
        <w:rPr>
          <w:rFonts w:ascii="Arial" w:hAnsi="Arial"/>
          <w:i/>
          <w:sz w:val="20"/>
        </w:rPr>
        <w:t>92–93</w:t>
      </w:r>
      <w:r>
        <w:rPr>
          <w:sz w:val="20"/>
        </w:rPr>
        <w:t>; </w:t>
      </w:r>
      <w:r>
        <w:rPr>
          <w:rFonts w:ascii="Arial" w:hAnsi="Arial"/>
          <w:i/>
          <w:sz w:val="20"/>
        </w:rPr>
        <w:t>Brauer &amp; Co (Great Britain) Ltd v James Clark (Brush Materials) Ltd [1952] 2 All E.R. 497, 501</w:t>
      </w:r>
      <w:r>
        <w:rPr>
          <w:sz w:val="20"/>
        </w:rPr>
        <w:t>; cf. the cases on sales of goods “to arrive” discussed in Bridge, paras 21–023—21–028.</w:t>
      </w:r>
    </w:p>
    <w:p>
      <w:pPr>
        <w:pStyle w:val="BodyText"/>
        <w:spacing w:before="9"/>
      </w:pPr>
    </w:p>
    <w:p>
      <w:pPr>
        <w:tabs>
          <w:tab w:pos="705" w:val="left" w:leader="none"/>
        </w:tabs>
        <w:spacing w:line="235" w:lineRule="auto" w:before="0"/>
        <w:ind w:left="705" w:right="168" w:hanging="541"/>
        <w:jc w:val="left"/>
        <w:rPr>
          <w:sz w:val="20"/>
        </w:rPr>
      </w:pPr>
      <w:bookmarkStart w:name="_bookmark1684" w:id="1686"/>
      <w:bookmarkEnd w:id="1686"/>
      <w:r>
        <w:rPr/>
      </w:r>
      <w:hyperlink w:history="true" w:anchor="_bookmark1639">
        <w:r>
          <w:rPr>
            <w:color w:val="005DA1"/>
            <w:spacing w:val="-4"/>
            <w:position w:val="5"/>
            <w:sz w:val="14"/>
            <w:u w:val="single" w:color="005DA1"/>
          </w:rPr>
          <w:t>879</w:t>
        </w:r>
      </w:hyperlink>
      <w:r>
        <w:rPr>
          <w:spacing w:val="-4"/>
          <w:position w:val="5"/>
          <w:sz w:val="14"/>
        </w:rPr>
        <w:t>.</w:t>
      </w:r>
      <w:r>
        <w:rPr>
          <w:position w:val="5"/>
          <w:sz w:val="14"/>
        </w:rPr>
        <w:tab/>
      </w:r>
      <w:r>
        <w:rPr>
          <w:sz w:val="20"/>
        </w:rPr>
        <w:t>e.g.</w:t>
      </w:r>
      <w:r>
        <w:rPr>
          <w:spacing w:val="25"/>
          <w:sz w:val="20"/>
        </w:rPr>
        <w:t> </w:t>
      </w:r>
      <w:r>
        <w:rPr>
          <w:rFonts w:ascii="Arial" w:hAnsi="Arial"/>
          <w:i/>
          <w:sz w:val="20"/>
        </w:rPr>
        <w:t>Malik</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C.E.T.A.</w:t>
      </w:r>
      <w:r>
        <w:rPr>
          <w:rFonts w:ascii="Arial" w:hAnsi="Arial"/>
          <w:i/>
          <w:spacing w:val="25"/>
          <w:sz w:val="20"/>
        </w:rPr>
        <w:t> </w:t>
      </w:r>
      <w:r>
        <w:rPr>
          <w:rFonts w:ascii="Arial" w:hAnsi="Arial"/>
          <w:i/>
          <w:sz w:val="20"/>
        </w:rPr>
        <w:t>[1974]</w:t>
      </w:r>
      <w:r>
        <w:rPr>
          <w:rFonts w:ascii="Arial" w:hAnsi="Arial"/>
          <w:i/>
          <w:spacing w:val="25"/>
          <w:sz w:val="20"/>
        </w:rPr>
        <w:t> </w:t>
      </w:r>
      <w:r>
        <w:rPr>
          <w:rFonts w:ascii="Arial" w:hAnsi="Arial"/>
          <w:i/>
          <w:sz w:val="20"/>
        </w:rPr>
        <w:t>1</w:t>
      </w:r>
      <w:r>
        <w:rPr>
          <w:rFonts w:ascii="Arial" w:hAnsi="Arial"/>
          <w:i/>
          <w:spacing w:val="25"/>
          <w:sz w:val="20"/>
        </w:rPr>
        <w:t> </w:t>
      </w:r>
      <w:r>
        <w:rPr>
          <w:rFonts w:ascii="Arial" w:hAnsi="Arial"/>
          <w:i/>
          <w:sz w:val="20"/>
        </w:rPr>
        <w:t>Lloyd’s</w:t>
      </w:r>
      <w:r>
        <w:rPr>
          <w:rFonts w:ascii="Arial" w:hAnsi="Arial"/>
          <w:i/>
          <w:spacing w:val="25"/>
          <w:sz w:val="20"/>
        </w:rPr>
        <w:t> </w:t>
      </w:r>
      <w:r>
        <w:rPr>
          <w:rFonts w:ascii="Arial" w:hAnsi="Arial"/>
          <w:i/>
          <w:sz w:val="20"/>
        </w:rPr>
        <w:t>Rep.</w:t>
      </w:r>
      <w:r>
        <w:rPr>
          <w:rFonts w:ascii="Arial" w:hAnsi="Arial"/>
          <w:i/>
          <w:spacing w:val="25"/>
          <w:sz w:val="20"/>
        </w:rPr>
        <w:t> </w:t>
      </w:r>
      <w:r>
        <w:rPr>
          <w:rFonts w:ascii="Arial" w:hAnsi="Arial"/>
          <w:i/>
          <w:sz w:val="20"/>
        </w:rPr>
        <w:t>279</w:t>
      </w:r>
      <w:r>
        <w:rPr>
          <w:sz w:val="20"/>
        </w:rPr>
        <w:t>;</w:t>
      </w:r>
      <w:r>
        <w:rPr>
          <w:spacing w:val="25"/>
          <w:sz w:val="20"/>
        </w:rPr>
        <w:t> </w:t>
      </w:r>
      <w:r>
        <w:rPr>
          <w:rFonts w:ascii="Arial" w:hAnsi="Arial"/>
          <w:i/>
          <w:sz w:val="20"/>
        </w:rPr>
        <w:t>Agroexport</w:t>
      </w:r>
      <w:r>
        <w:rPr>
          <w:rFonts w:ascii="Arial" w:hAnsi="Arial"/>
          <w:i/>
          <w:spacing w:val="25"/>
          <w:sz w:val="20"/>
        </w:rPr>
        <w:t> </w:t>
      </w:r>
      <w:r>
        <w:rPr>
          <w:rFonts w:ascii="Arial" w:hAnsi="Arial"/>
          <w:i/>
          <w:sz w:val="20"/>
        </w:rPr>
        <w:t>v</w:t>
      </w:r>
      <w:r>
        <w:rPr>
          <w:rFonts w:ascii="Arial" w:hAnsi="Arial"/>
          <w:i/>
          <w:spacing w:val="25"/>
          <w:sz w:val="20"/>
        </w:rPr>
        <w:t> </w:t>
      </w:r>
      <w:r>
        <w:rPr>
          <w:rFonts w:ascii="Arial" w:hAnsi="Arial"/>
          <w:i/>
          <w:sz w:val="20"/>
        </w:rPr>
        <w:t>Cie.</w:t>
      </w:r>
      <w:r>
        <w:rPr>
          <w:rFonts w:ascii="Arial" w:hAnsi="Arial"/>
          <w:i/>
          <w:spacing w:val="25"/>
          <w:sz w:val="20"/>
        </w:rPr>
        <w:t> </w:t>
      </w:r>
      <w:r>
        <w:rPr>
          <w:rFonts w:ascii="Arial" w:hAnsi="Arial"/>
          <w:i/>
          <w:sz w:val="20"/>
        </w:rPr>
        <w:t>Européenne</w:t>
      </w:r>
      <w:r>
        <w:rPr>
          <w:rFonts w:ascii="Arial" w:hAnsi="Arial"/>
          <w:i/>
          <w:spacing w:val="25"/>
          <w:sz w:val="20"/>
        </w:rPr>
        <w:t> </w:t>
      </w:r>
      <w:r>
        <w:rPr>
          <w:rFonts w:ascii="Arial" w:hAnsi="Arial"/>
          <w:i/>
          <w:sz w:val="20"/>
        </w:rPr>
        <w:t>de</w:t>
      </w:r>
      <w:r>
        <w:rPr>
          <w:rFonts w:ascii="Arial" w:hAnsi="Arial"/>
          <w:i/>
          <w:spacing w:val="25"/>
          <w:sz w:val="20"/>
        </w:rPr>
        <w:t> </w:t>
      </w:r>
      <w:r>
        <w:rPr>
          <w:rFonts w:ascii="Arial" w:hAnsi="Arial"/>
          <w:i/>
          <w:sz w:val="20"/>
        </w:rPr>
        <w:t>Céréales [1974] 1 Lloyd’s Rep. 499</w:t>
      </w:r>
      <w:r>
        <w:rPr>
          <w:sz w:val="20"/>
        </w:rPr>
        <w:t>.</w:t>
      </w:r>
    </w:p>
    <w:p>
      <w:pPr>
        <w:pStyle w:val="BodyText"/>
        <w:spacing w:before="6"/>
      </w:pPr>
    </w:p>
    <w:p>
      <w:pPr>
        <w:tabs>
          <w:tab w:pos="705" w:val="left" w:leader="none"/>
        </w:tabs>
        <w:spacing w:before="0"/>
        <w:ind w:left="165" w:right="0" w:firstLine="0"/>
        <w:jc w:val="left"/>
        <w:rPr>
          <w:sz w:val="20"/>
        </w:rPr>
      </w:pPr>
      <w:bookmarkStart w:name="_bookmark1685" w:id="1687"/>
      <w:bookmarkEnd w:id="1687"/>
      <w:r>
        <w:rPr/>
      </w:r>
      <w:hyperlink w:history="true" w:anchor="_bookmark1640">
        <w:r>
          <w:rPr>
            <w:color w:val="005DA1"/>
            <w:spacing w:val="-4"/>
            <w:position w:val="5"/>
            <w:sz w:val="14"/>
            <w:u w:val="single" w:color="005DA1"/>
          </w:rPr>
          <w:t>880</w:t>
        </w:r>
      </w:hyperlink>
      <w:r>
        <w:rPr>
          <w:spacing w:val="-4"/>
          <w:position w:val="5"/>
          <w:sz w:val="14"/>
        </w:rPr>
        <w:t>.</w:t>
      </w:r>
      <w:r>
        <w:rPr>
          <w:position w:val="5"/>
          <w:sz w:val="14"/>
        </w:rPr>
        <w:tab/>
      </w:r>
      <w:r>
        <w:rPr>
          <w:sz w:val="20"/>
        </w:rPr>
        <w:t>See</w:t>
      </w:r>
      <w:r>
        <w:rPr>
          <w:spacing w:val="-1"/>
          <w:sz w:val="20"/>
        </w:rPr>
        <w:t> </w:t>
      </w:r>
      <w:r>
        <w:rPr>
          <w:sz w:val="20"/>
        </w:rPr>
        <w:t>Bridge, para.18–363;</w:t>
      </w:r>
      <w:r>
        <w:rPr>
          <w:spacing w:val="-1"/>
          <w:sz w:val="20"/>
        </w:rPr>
        <w:t> </w:t>
      </w:r>
      <w:r>
        <w:rPr>
          <w:rFonts w:ascii="Arial" w:hAnsi="Arial"/>
          <w:i/>
          <w:sz w:val="20"/>
        </w:rPr>
        <w:t>Overseas Buyers Ltd v Granadex SA</w:t>
      </w:r>
      <w:r>
        <w:rPr>
          <w:sz w:val="20"/>
        </w:rPr>
        <w:t>, above, n.858 at </w:t>
      </w:r>
      <w:r>
        <w:rPr>
          <w:spacing w:val="-4"/>
          <w:sz w:val="20"/>
        </w:rPr>
        <w:t>612.</w:t>
      </w:r>
    </w:p>
    <w:p>
      <w:pPr>
        <w:pStyle w:val="BodyText"/>
        <w:spacing w:before="8"/>
      </w:pPr>
    </w:p>
    <w:p>
      <w:pPr>
        <w:spacing w:line="235" w:lineRule="auto" w:before="1"/>
        <w:ind w:left="705" w:right="167" w:hanging="541"/>
        <w:jc w:val="both"/>
        <w:rPr>
          <w:sz w:val="20"/>
        </w:rPr>
      </w:pPr>
      <w:bookmarkStart w:name="_bookmark1686" w:id="1688"/>
      <w:bookmarkEnd w:id="1688"/>
      <w:r>
        <w:rPr/>
      </w:r>
      <w:hyperlink w:history="true" w:anchor="_bookmark1641">
        <w:r>
          <w:rPr>
            <w:color w:val="005DA1"/>
            <w:position w:val="5"/>
            <w:sz w:val="14"/>
            <w:u w:val="single" w:color="005DA1"/>
          </w:rPr>
          <w:t>881</w:t>
        </w:r>
      </w:hyperlink>
      <w:r>
        <w:rPr>
          <w:position w:val="5"/>
          <w:sz w:val="14"/>
        </w:rPr>
        <w:t>.</w:t>
      </w:r>
      <w:r>
        <w:rPr>
          <w:spacing w:val="40"/>
          <w:position w:val="5"/>
          <w:sz w:val="14"/>
        </w:rPr>
        <w:t>  </w:t>
      </w:r>
      <w:r>
        <w:rPr>
          <w:rFonts w:ascii="Arial" w:hAnsi="Arial"/>
          <w:i/>
          <w:sz w:val="20"/>
        </w:rPr>
        <w:t>Smallman v Smallman [1972] Fam. 25</w:t>
      </w:r>
      <w:r>
        <w:rPr>
          <w:sz w:val="20"/>
        </w:rPr>
        <w:t>. Contrast </w:t>
      </w:r>
      <w:r>
        <w:rPr>
          <w:rFonts w:ascii="Arial" w:hAnsi="Arial"/>
          <w:i/>
          <w:sz w:val="20"/>
        </w:rPr>
        <w:t>Soulsbury v Soulsbury [2007] EWCA Civ 969</w:t>
      </w:r>
      <w:r>
        <w:rPr>
          <w:sz w:val="20"/>
        </w:rPr>
        <w:t>, where the agreement, though subject to the conditions described in para.2-158 n.821 </w:t>
      </w:r>
      <w:r>
        <w:rPr>
          <w:sz w:val="20"/>
        </w:rPr>
        <w:t>above, was not subject to any further condition of approval by the court, and so became enforceable when “the events upon which payment depended came to be fulfilled” (at [46]).</w:t>
      </w:r>
    </w:p>
    <w:p>
      <w:pPr>
        <w:pStyle w:val="BodyText"/>
        <w:spacing w:before="4"/>
      </w:pPr>
    </w:p>
    <w:p>
      <w:pPr>
        <w:tabs>
          <w:tab w:pos="705" w:val="left" w:leader="none"/>
        </w:tabs>
        <w:spacing w:before="0"/>
        <w:ind w:left="165" w:right="0" w:firstLine="0"/>
        <w:jc w:val="left"/>
        <w:rPr>
          <w:sz w:val="20"/>
        </w:rPr>
      </w:pPr>
      <w:bookmarkStart w:name="_bookmark1687" w:id="1689"/>
      <w:bookmarkEnd w:id="1689"/>
      <w:r>
        <w:rPr/>
      </w:r>
      <w:hyperlink w:history="true" w:anchor="_bookmark1642">
        <w:r>
          <w:rPr>
            <w:color w:val="005DA1"/>
            <w:spacing w:val="-4"/>
            <w:position w:val="5"/>
            <w:sz w:val="14"/>
            <w:u w:val="single" w:color="005DA1"/>
          </w:rPr>
          <w:t>882</w:t>
        </w:r>
      </w:hyperlink>
      <w:r>
        <w:rPr>
          <w:spacing w:val="-4"/>
          <w:position w:val="5"/>
          <w:sz w:val="14"/>
        </w:rPr>
        <w:t>.</w:t>
      </w:r>
      <w:r>
        <w:rPr>
          <w:position w:val="5"/>
          <w:sz w:val="14"/>
        </w:rPr>
        <w:tab/>
      </w:r>
      <w:r>
        <w:rPr>
          <w:rFonts w:ascii="Arial"/>
          <w:i/>
          <w:sz w:val="20"/>
        </w:rPr>
        <w:t>Shires v Brock (1977) 247 E.G. </w:t>
      </w:r>
      <w:r>
        <w:rPr>
          <w:rFonts w:ascii="Arial"/>
          <w:i/>
          <w:spacing w:val="-4"/>
          <w:sz w:val="20"/>
        </w:rPr>
        <w:t>127</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688" w:id="1690"/>
      <w:bookmarkEnd w:id="1690"/>
      <w:r>
        <w:rPr/>
      </w:r>
      <w:hyperlink w:history="true" w:anchor="_bookmark1643">
        <w:r>
          <w:rPr>
            <w:color w:val="005DA1"/>
            <w:spacing w:val="-4"/>
            <w:position w:val="5"/>
            <w:sz w:val="14"/>
            <w:u w:val="single" w:color="005DA1"/>
          </w:rPr>
          <w:t>883</w:t>
        </w:r>
      </w:hyperlink>
      <w:r>
        <w:rPr>
          <w:spacing w:val="-4"/>
          <w:position w:val="5"/>
          <w:sz w:val="14"/>
        </w:rPr>
        <w:t>.</w:t>
      </w:r>
      <w:r>
        <w:rPr>
          <w:position w:val="5"/>
          <w:sz w:val="14"/>
        </w:rPr>
        <w:tab/>
      </w:r>
      <w:r>
        <w:rPr>
          <w:rFonts w:ascii="Arial"/>
          <w:i/>
          <w:sz w:val="20"/>
        </w:rPr>
        <w:t>(1881)</w:t>
      </w:r>
      <w:r>
        <w:rPr>
          <w:rFonts w:ascii="Arial"/>
          <w:i/>
          <w:spacing w:val="-1"/>
          <w:sz w:val="20"/>
        </w:rPr>
        <w:t> </w:t>
      </w:r>
      <w:r>
        <w:rPr>
          <w:rFonts w:ascii="Arial"/>
          <w:i/>
          <w:sz w:val="20"/>
        </w:rPr>
        <w:t>6 App. Cas. 251</w:t>
      </w:r>
      <w:r>
        <w:rPr>
          <w:sz w:val="20"/>
        </w:rPr>
        <w:t>, above, para.2-</w:t>
      </w:r>
      <w:r>
        <w:rPr>
          <w:spacing w:val="-4"/>
          <w:sz w:val="20"/>
        </w:rPr>
        <w:t>161.</w:t>
      </w:r>
    </w:p>
    <w:p>
      <w:pPr>
        <w:pStyle w:val="BodyText"/>
        <w:spacing w:before="9"/>
      </w:pPr>
    </w:p>
    <w:p>
      <w:pPr>
        <w:spacing w:line="235" w:lineRule="auto" w:before="0"/>
        <w:ind w:left="705" w:right="167" w:hanging="541"/>
        <w:jc w:val="both"/>
        <w:rPr>
          <w:sz w:val="20"/>
        </w:rPr>
      </w:pPr>
      <w:bookmarkStart w:name="_bookmark1689" w:id="1691"/>
      <w:bookmarkEnd w:id="1691"/>
      <w:r>
        <w:rPr/>
      </w:r>
      <w:hyperlink w:history="true" w:anchor="_bookmark1644">
        <w:r>
          <w:rPr>
            <w:color w:val="005DA1"/>
            <w:position w:val="5"/>
            <w:sz w:val="14"/>
            <w:u w:val="single" w:color="005DA1"/>
          </w:rPr>
          <w:t>884</w:t>
        </w:r>
      </w:hyperlink>
      <w:r>
        <w:rPr>
          <w:position w:val="5"/>
          <w:sz w:val="14"/>
        </w:rPr>
        <w:t>.</w:t>
      </w:r>
      <w:r>
        <w:rPr>
          <w:spacing w:val="80"/>
          <w:position w:val="5"/>
          <w:sz w:val="14"/>
        </w:rPr>
        <w:t>  </w:t>
      </w:r>
      <w:r>
        <w:rPr>
          <w:rFonts w:ascii="Arial" w:hAnsi="Arial"/>
          <w:i/>
          <w:sz w:val="20"/>
        </w:rPr>
        <w:t>Bournemouth &amp; Boscombe Athletic F.C. v Manchester United F.C., The Times, May 22, 1980</w:t>
      </w:r>
      <w:r>
        <w:rPr>
          <w:sz w:val="20"/>
        </w:rPr>
        <w:t>; cf. </w:t>
      </w:r>
      <w:r>
        <w:rPr>
          <w:rFonts w:ascii="Arial" w:hAnsi="Arial"/>
          <w:i/>
          <w:sz w:val="20"/>
        </w:rPr>
        <w:t>The Blankenstein [1985] 1 W.L.R. 435</w:t>
      </w:r>
      <w:r>
        <w:rPr>
          <w:sz w:val="20"/>
        </w:rPr>
        <w:t>; </w:t>
      </w:r>
      <w:r>
        <w:rPr>
          <w:rFonts w:ascii="Arial" w:hAnsi="Arial"/>
          <w:i/>
          <w:sz w:val="20"/>
        </w:rPr>
        <w:t>Alpha Trading Ltd v Dunshaw-Patten Ltd [1981] </w:t>
      </w:r>
      <w:r>
        <w:rPr>
          <w:rFonts w:ascii="Arial" w:hAnsi="Arial"/>
          <w:i/>
          <w:sz w:val="20"/>
        </w:rPr>
        <w:t>Q.B. 290</w:t>
      </w:r>
      <w:r>
        <w:rPr>
          <w:sz w:val="20"/>
        </w:rPr>
        <w:t>; </w:t>
      </w:r>
      <w:r>
        <w:rPr>
          <w:rFonts w:ascii="Arial" w:hAnsi="Arial"/>
          <w:i/>
          <w:sz w:val="20"/>
        </w:rPr>
        <w:t>George Moundreas &amp; Co SA v Navimpex Centrala Navala [1985] 2 Lloyd’s Rep. 515</w:t>
      </w:r>
      <w:r>
        <w:rPr>
          <w:sz w:val="20"/>
        </w:rPr>
        <w:t>; </w:t>
      </w:r>
      <w:r>
        <w:rPr>
          <w:rFonts w:ascii="Arial" w:hAnsi="Arial"/>
          <w:i/>
          <w:sz w:val="20"/>
        </w:rPr>
        <w:t>Orient Overseas Management &amp; Finance Ltd v File Shipping Co Ltd (The Energy Progress) [1993] 1 Lloyd’s Rep. 355, 358</w:t>
      </w:r>
      <w:r>
        <w:rPr>
          <w:sz w:val="20"/>
        </w:rPr>
        <w:t>.</w:t>
      </w:r>
    </w:p>
    <w:p>
      <w:pPr>
        <w:pStyle w:val="BodyText"/>
        <w:spacing w:before="8"/>
      </w:pPr>
    </w:p>
    <w:p>
      <w:pPr>
        <w:spacing w:line="235" w:lineRule="auto" w:before="0"/>
        <w:ind w:left="705" w:right="167" w:hanging="541"/>
        <w:jc w:val="both"/>
        <w:rPr>
          <w:sz w:val="20"/>
        </w:rPr>
      </w:pPr>
      <w:bookmarkStart w:name="_bookmark1690" w:id="1692"/>
      <w:bookmarkEnd w:id="1692"/>
      <w:r>
        <w:rPr/>
      </w:r>
      <w:hyperlink w:history="true" w:anchor="_bookmark1645">
        <w:r>
          <w:rPr>
            <w:color w:val="005DA1"/>
            <w:position w:val="5"/>
            <w:sz w:val="14"/>
            <w:u w:val="single" w:color="005DA1"/>
          </w:rPr>
          <w:t>885</w:t>
        </w:r>
      </w:hyperlink>
      <w:r>
        <w:rPr>
          <w:position w:val="5"/>
          <w:sz w:val="14"/>
        </w:rPr>
        <w:t>.</w:t>
      </w:r>
      <w:r>
        <w:rPr>
          <w:spacing w:val="80"/>
          <w:position w:val="5"/>
          <w:sz w:val="14"/>
        </w:rPr>
        <w:t>  </w:t>
      </w:r>
      <w:r>
        <w:rPr>
          <w:rFonts w:ascii="Arial" w:hAnsi="Arial"/>
          <w:i/>
          <w:sz w:val="20"/>
        </w:rPr>
        <w:t>Thompson v ASDA-MFI Group Plc [1988] Ch. 241, 266 </w:t>
      </w:r>
      <w:r>
        <w:rPr>
          <w:sz w:val="20"/>
        </w:rPr>
        <w:t>(where the condition was said at 251 </w:t>
      </w:r>
      <w:r>
        <w:rPr>
          <w:sz w:val="20"/>
        </w:rPr>
        <w:t>to be subsequent); and see </w:t>
      </w:r>
      <w:r>
        <w:rPr>
          <w:rFonts w:ascii="Arial" w:hAnsi="Arial"/>
          <w:i/>
          <w:sz w:val="20"/>
        </w:rPr>
        <w:t>Little v Courage Ltd (1995) 70 P. &amp; C.R. 469, 474</w:t>
      </w:r>
      <w:r>
        <w:rPr>
          <w:sz w:val="20"/>
        </w:rPr>
        <w:t>. In </w:t>
      </w:r>
      <w:r>
        <w:rPr>
          <w:rFonts w:ascii="Arial" w:hAnsi="Arial"/>
          <w:i/>
          <w:sz w:val="20"/>
        </w:rPr>
        <w:t>Société Générale, London Branch v Geys [2012] UKSC 63, [2013] 1 A.C. 523 </w:t>
      </w:r>
      <w:r>
        <w:rPr>
          <w:sz w:val="20"/>
        </w:rPr>
        <w:t>Lord Sumption S.C.J. (dissenting) refers at [131] to: “the doctrine of deemed performance endorsed by the House of Lords</w:t>
      </w:r>
      <w:r>
        <w:rPr>
          <w:spacing w:val="-1"/>
          <w:sz w:val="20"/>
        </w:rPr>
        <w:t> </w:t>
      </w:r>
      <w:r>
        <w:rPr>
          <w:sz w:val="20"/>
        </w:rPr>
        <w:t>in</w:t>
      </w:r>
      <w:r>
        <w:rPr>
          <w:spacing w:val="-1"/>
          <w:sz w:val="20"/>
        </w:rPr>
        <w:t> </w:t>
      </w:r>
      <w:r>
        <w:rPr>
          <w:rFonts w:ascii="Arial" w:hAnsi="Arial"/>
          <w:i/>
          <w:sz w:val="20"/>
        </w:rPr>
        <w:t>Mackay</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Dick</w:t>
      </w:r>
      <w:r>
        <w:rPr>
          <w:rFonts w:ascii="Arial" w:hAnsi="Arial"/>
          <w:i/>
          <w:spacing w:val="-1"/>
          <w:sz w:val="20"/>
        </w:rPr>
        <w:t> </w:t>
      </w:r>
      <w:r>
        <w:rPr>
          <w:rFonts w:ascii="Arial" w:hAnsi="Arial"/>
          <w:i/>
          <w:sz w:val="20"/>
        </w:rPr>
        <w:t>(1881)</w:t>
      </w:r>
      <w:r>
        <w:rPr>
          <w:rFonts w:ascii="Arial" w:hAnsi="Arial"/>
          <w:i/>
          <w:spacing w:val="-1"/>
          <w:sz w:val="20"/>
        </w:rPr>
        <w:t> </w:t>
      </w:r>
      <w:r>
        <w:rPr>
          <w:rFonts w:ascii="Arial" w:hAnsi="Arial"/>
          <w:i/>
          <w:sz w:val="20"/>
        </w:rPr>
        <w:t>6</w:t>
      </w:r>
      <w:r>
        <w:rPr>
          <w:rFonts w:ascii="Arial" w:hAnsi="Arial"/>
          <w:i/>
          <w:spacing w:val="-1"/>
          <w:sz w:val="20"/>
        </w:rPr>
        <w:t> </w:t>
      </w:r>
      <w:r>
        <w:rPr>
          <w:rFonts w:ascii="Arial" w:hAnsi="Arial"/>
          <w:i/>
          <w:sz w:val="20"/>
        </w:rPr>
        <w:t>App.</w:t>
      </w:r>
      <w:r>
        <w:rPr>
          <w:rFonts w:ascii="Arial" w:hAnsi="Arial"/>
          <w:i/>
          <w:spacing w:val="-1"/>
          <w:sz w:val="20"/>
        </w:rPr>
        <w:t> </w:t>
      </w:r>
      <w:r>
        <w:rPr>
          <w:rFonts w:ascii="Arial" w:hAnsi="Arial"/>
          <w:i/>
          <w:sz w:val="20"/>
        </w:rPr>
        <w:t>Cas.</w:t>
      </w:r>
      <w:r>
        <w:rPr>
          <w:rFonts w:ascii="Arial" w:hAnsi="Arial"/>
          <w:i/>
          <w:spacing w:val="-1"/>
          <w:sz w:val="20"/>
        </w:rPr>
        <w:t> </w:t>
      </w:r>
      <w:r>
        <w:rPr>
          <w:rFonts w:ascii="Arial" w:hAnsi="Arial"/>
          <w:i/>
          <w:sz w:val="20"/>
        </w:rPr>
        <w:t>251</w:t>
      </w:r>
      <w:r>
        <w:rPr>
          <w:sz w:val="20"/>
        </w:rPr>
        <w:t>,</w:t>
      </w:r>
      <w:r>
        <w:rPr>
          <w:spacing w:val="-1"/>
          <w:sz w:val="20"/>
        </w:rPr>
        <w:t> </w:t>
      </w:r>
      <w:r>
        <w:rPr>
          <w:sz w:val="20"/>
        </w:rPr>
        <w:t>according</w:t>
      </w:r>
      <w:r>
        <w:rPr>
          <w:spacing w:val="-1"/>
          <w:sz w:val="20"/>
        </w:rPr>
        <w:t> </w:t>
      </w:r>
      <w:r>
        <w:rPr>
          <w:sz w:val="20"/>
        </w:rPr>
        <w:t>to</w:t>
      </w:r>
      <w:r>
        <w:rPr>
          <w:spacing w:val="-1"/>
          <w:sz w:val="20"/>
        </w:rPr>
        <w:t> </w:t>
      </w:r>
      <w:r>
        <w:rPr>
          <w:sz w:val="20"/>
        </w:rPr>
        <w:t>which</w:t>
      </w:r>
      <w:r>
        <w:rPr>
          <w:spacing w:val="-1"/>
          <w:sz w:val="20"/>
        </w:rPr>
        <w:t> </w:t>
      </w:r>
      <w:r>
        <w:rPr>
          <w:sz w:val="20"/>
        </w:rPr>
        <w:t>a</w:t>
      </w:r>
      <w:r>
        <w:rPr>
          <w:spacing w:val="-1"/>
          <w:sz w:val="20"/>
        </w:rPr>
        <w:t> </w:t>
      </w:r>
      <w:r>
        <w:rPr>
          <w:sz w:val="20"/>
        </w:rPr>
        <w:t>party</w:t>
      </w:r>
      <w:r>
        <w:rPr>
          <w:spacing w:val="-1"/>
          <w:sz w:val="20"/>
        </w:rPr>
        <w:t> </w:t>
      </w:r>
      <w:r>
        <w:rPr>
          <w:sz w:val="20"/>
        </w:rPr>
        <w:t>who</w:t>
      </w:r>
      <w:r>
        <w:rPr>
          <w:spacing w:val="-1"/>
          <w:sz w:val="20"/>
        </w:rPr>
        <w:t> </w:t>
      </w:r>
      <w:r>
        <w:rPr>
          <w:sz w:val="20"/>
        </w:rPr>
        <w:t>is</w:t>
      </w:r>
      <w:r>
        <w:rPr>
          <w:spacing w:val="-1"/>
          <w:sz w:val="20"/>
        </w:rPr>
        <w:t> </w:t>
      </w:r>
      <w:r>
        <w:rPr>
          <w:sz w:val="20"/>
        </w:rPr>
        <w:t>prevented</w:t>
      </w:r>
      <w:r>
        <w:rPr>
          <w:spacing w:val="-1"/>
          <w:sz w:val="20"/>
        </w:rPr>
        <w:t> </w:t>
      </w:r>
      <w:r>
        <w:rPr>
          <w:sz w:val="20"/>
        </w:rPr>
        <w:t>by the</w:t>
      </w:r>
      <w:r>
        <w:rPr>
          <w:spacing w:val="22"/>
          <w:sz w:val="20"/>
        </w:rPr>
        <w:t> </w:t>
      </w:r>
      <w:r>
        <w:rPr>
          <w:sz w:val="20"/>
        </w:rPr>
        <w:t>non-co-operation</w:t>
      </w:r>
      <w:r>
        <w:rPr>
          <w:spacing w:val="24"/>
          <w:sz w:val="20"/>
        </w:rPr>
        <w:t> </w:t>
      </w:r>
      <w:r>
        <w:rPr>
          <w:sz w:val="20"/>
        </w:rPr>
        <w:t>of</w:t>
      </w:r>
      <w:r>
        <w:rPr>
          <w:spacing w:val="24"/>
          <w:sz w:val="20"/>
        </w:rPr>
        <w:t> </w:t>
      </w:r>
      <w:r>
        <w:rPr>
          <w:sz w:val="20"/>
        </w:rPr>
        <w:t>the</w:t>
      </w:r>
      <w:r>
        <w:rPr>
          <w:spacing w:val="24"/>
          <w:sz w:val="20"/>
        </w:rPr>
        <w:t> </w:t>
      </w:r>
      <w:r>
        <w:rPr>
          <w:sz w:val="20"/>
        </w:rPr>
        <w:t>counter</w:t>
      </w:r>
      <w:r>
        <w:rPr>
          <w:spacing w:val="24"/>
          <w:sz w:val="20"/>
        </w:rPr>
        <w:t> </w:t>
      </w:r>
      <w:r>
        <w:rPr>
          <w:sz w:val="20"/>
        </w:rPr>
        <w:t>party</w:t>
      </w:r>
      <w:r>
        <w:rPr>
          <w:spacing w:val="24"/>
          <w:sz w:val="20"/>
        </w:rPr>
        <w:t> </w:t>
      </w:r>
      <w:r>
        <w:rPr>
          <w:sz w:val="20"/>
        </w:rPr>
        <w:t>from</w:t>
      </w:r>
      <w:r>
        <w:rPr>
          <w:spacing w:val="24"/>
          <w:sz w:val="20"/>
        </w:rPr>
        <w:t> </w:t>
      </w:r>
      <w:r>
        <w:rPr>
          <w:sz w:val="20"/>
        </w:rPr>
        <w:t>satisfying</w:t>
      </w:r>
      <w:r>
        <w:rPr>
          <w:spacing w:val="24"/>
          <w:sz w:val="20"/>
        </w:rPr>
        <w:t> </w:t>
      </w:r>
      <w:r>
        <w:rPr>
          <w:sz w:val="20"/>
        </w:rPr>
        <w:t>a</w:t>
      </w:r>
      <w:r>
        <w:rPr>
          <w:spacing w:val="24"/>
          <w:sz w:val="20"/>
        </w:rPr>
        <w:t> </w:t>
      </w:r>
      <w:r>
        <w:rPr>
          <w:sz w:val="20"/>
        </w:rPr>
        <w:t>condition</w:t>
      </w:r>
      <w:r>
        <w:rPr>
          <w:spacing w:val="24"/>
          <w:sz w:val="20"/>
        </w:rPr>
        <w:t> </w:t>
      </w:r>
      <w:r>
        <w:rPr>
          <w:sz w:val="20"/>
        </w:rPr>
        <w:t>precedent</w:t>
      </w:r>
      <w:r>
        <w:rPr>
          <w:spacing w:val="24"/>
          <w:sz w:val="20"/>
        </w:rPr>
        <w:t> </w:t>
      </w:r>
      <w:r>
        <w:rPr>
          <w:sz w:val="20"/>
        </w:rPr>
        <w:t>to</w:t>
      </w:r>
      <w:r>
        <w:rPr>
          <w:spacing w:val="24"/>
          <w:sz w:val="20"/>
        </w:rPr>
        <w:t> </w:t>
      </w:r>
      <w:r>
        <w:rPr>
          <w:sz w:val="20"/>
        </w:rPr>
        <w:t>his</w:t>
      </w:r>
      <w:r>
        <w:rPr>
          <w:spacing w:val="24"/>
          <w:sz w:val="20"/>
        </w:rPr>
        <w:t> </w:t>
      </w:r>
      <w:r>
        <w:rPr>
          <w:sz w:val="20"/>
        </w:rPr>
        <w:t>right</w:t>
      </w:r>
      <w:r>
        <w:rPr>
          <w:spacing w:val="24"/>
          <w:sz w:val="20"/>
        </w:rPr>
        <w:t> </w:t>
      </w:r>
      <w:r>
        <w:rPr>
          <w:spacing w:val="-5"/>
          <w:sz w:val="20"/>
        </w:rPr>
        <w:t>to</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right="167"/>
        <w:jc w:val="both"/>
      </w:pPr>
      <w:r>
        <w:rPr/>
        <w:t>receive remuneration may be deemed to have earned it notwithstanding the condition”. But </w:t>
      </w:r>
      <w:r>
        <w:rPr/>
        <w:t>he refers</w:t>
      </w:r>
      <w:r>
        <w:rPr>
          <w:spacing w:val="-2"/>
        </w:rPr>
        <w:t> </w:t>
      </w:r>
      <w:r>
        <w:rPr/>
        <w:t>to</w:t>
      </w:r>
      <w:r>
        <w:rPr>
          <w:spacing w:val="-2"/>
        </w:rPr>
        <w:t> </w:t>
      </w:r>
      <w:r>
        <w:rPr/>
        <w:t>that</w:t>
      </w:r>
      <w:r>
        <w:rPr>
          <w:spacing w:val="-2"/>
        </w:rPr>
        <w:t> </w:t>
      </w:r>
      <w:r>
        <w:rPr/>
        <w:t>doctrine</w:t>
      </w:r>
      <w:r>
        <w:rPr>
          <w:spacing w:val="-2"/>
        </w:rPr>
        <w:t> </w:t>
      </w:r>
      <w:r>
        <w:rPr/>
        <w:t>only</w:t>
      </w:r>
      <w:r>
        <w:rPr>
          <w:spacing w:val="-2"/>
        </w:rPr>
        <w:t> </w:t>
      </w:r>
      <w:r>
        <w:rPr/>
        <w:t>to</w:t>
      </w:r>
      <w:r>
        <w:rPr>
          <w:spacing w:val="-2"/>
        </w:rPr>
        <w:t> </w:t>
      </w:r>
      <w:r>
        <w:rPr/>
        <w:t>make</w:t>
      </w:r>
      <w:r>
        <w:rPr>
          <w:spacing w:val="-2"/>
        </w:rPr>
        <w:t> </w:t>
      </w:r>
      <w:r>
        <w:rPr/>
        <w:t>the</w:t>
      </w:r>
      <w:r>
        <w:rPr>
          <w:spacing w:val="-2"/>
        </w:rPr>
        <w:t> </w:t>
      </w:r>
      <w:r>
        <w:rPr/>
        <w:t>point</w:t>
      </w:r>
      <w:r>
        <w:rPr>
          <w:spacing w:val="-2"/>
        </w:rPr>
        <w:t> </w:t>
      </w:r>
      <w:r>
        <w:rPr/>
        <w:t>that</w:t>
      </w:r>
      <w:r>
        <w:rPr>
          <w:spacing w:val="-2"/>
        </w:rPr>
        <w:t> </w:t>
      </w:r>
      <w:r>
        <w:rPr/>
        <w:t>“the</w:t>
      </w:r>
      <w:r>
        <w:rPr>
          <w:spacing w:val="-2"/>
        </w:rPr>
        <w:t> </w:t>
      </w:r>
      <w:r>
        <w:rPr/>
        <w:t>courts</w:t>
      </w:r>
      <w:r>
        <w:rPr>
          <w:spacing w:val="-2"/>
        </w:rPr>
        <w:t> </w:t>
      </w:r>
      <w:r>
        <w:rPr/>
        <w:t>have</w:t>
      </w:r>
      <w:r>
        <w:rPr>
          <w:spacing w:val="-2"/>
        </w:rPr>
        <w:t> </w:t>
      </w:r>
      <w:r>
        <w:rPr/>
        <w:t>never</w:t>
      </w:r>
      <w:r>
        <w:rPr>
          <w:spacing w:val="-2"/>
        </w:rPr>
        <w:t> </w:t>
      </w:r>
      <w:r>
        <w:rPr/>
        <w:t>applied</w:t>
      </w:r>
      <w:r>
        <w:rPr>
          <w:spacing w:val="-2"/>
        </w:rPr>
        <w:t> </w:t>
      </w:r>
      <w:r>
        <w:rPr/>
        <w:t>[the</w:t>
      </w:r>
      <w:r>
        <w:rPr>
          <w:spacing w:val="-2"/>
        </w:rPr>
        <w:t> </w:t>
      </w:r>
      <w:r>
        <w:rPr/>
        <w:t>doctrine]</w:t>
      </w:r>
      <w:r>
        <w:rPr>
          <w:spacing w:val="-2"/>
        </w:rPr>
        <w:t> </w:t>
      </w:r>
      <w:r>
        <w:rPr/>
        <w:t>to contracts of employment” (</w:t>
      </w:r>
      <w:r>
        <w:rPr>
          <w:rFonts w:ascii="Arial" w:hAnsi="Arial"/>
          <w:i/>
        </w:rPr>
        <w:t>[2012] UKSC 63 </w:t>
      </w:r>
      <w:r>
        <w:rPr/>
        <w:t>at [131]); and his attention appears not to have</w:t>
      </w:r>
      <w:r>
        <w:rPr>
          <w:spacing w:val="40"/>
        </w:rPr>
        <w:t> </w:t>
      </w:r>
      <w:r>
        <w:rPr/>
        <w:t>been drawn to the rejection of the doctrine by the authorities cited in n.686 to para.2-165, in the text of which paragraph the doctrine is referred to as one of “fictional fulfilment”.</w:t>
      </w:r>
    </w:p>
    <w:p>
      <w:pPr>
        <w:pStyle w:val="BodyText"/>
        <w:spacing w:before="8"/>
      </w:pPr>
    </w:p>
    <w:p>
      <w:pPr>
        <w:tabs>
          <w:tab w:pos="705" w:val="left" w:leader="none"/>
        </w:tabs>
        <w:spacing w:line="235" w:lineRule="auto" w:before="0"/>
        <w:ind w:left="705" w:right="168" w:hanging="541"/>
        <w:jc w:val="left"/>
        <w:rPr>
          <w:sz w:val="20"/>
        </w:rPr>
      </w:pPr>
      <w:bookmarkStart w:name="_bookmark1691" w:id="1693"/>
      <w:bookmarkEnd w:id="1693"/>
      <w:r>
        <w:rPr/>
      </w:r>
      <w:hyperlink w:history="true" w:anchor="_bookmark1646">
        <w:r>
          <w:rPr>
            <w:color w:val="005DA1"/>
            <w:spacing w:val="-4"/>
            <w:position w:val="5"/>
            <w:sz w:val="14"/>
            <w:u w:val="single" w:color="005DA1"/>
          </w:rPr>
          <w:t>886</w:t>
        </w:r>
      </w:hyperlink>
      <w:r>
        <w:rPr>
          <w:spacing w:val="-4"/>
          <w:position w:val="5"/>
          <w:sz w:val="14"/>
        </w:rPr>
        <w:t>.</w:t>
      </w:r>
      <w:r>
        <w:rPr>
          <w:position w:val="5"/>
          <w:sz w:val="14"/>
        </w:rPr>
        <w:tab/>
      </w:r>
      <w:r>
        <w:rPr>
          <w:rFonts w:ascii="Arial"/>
          <w:i/>
          <w:sz w:val="20"/>
        </w:rPr>
        <w:t>Wood Preservation Ltd v Prior [1969] 1 W.L.R. 1077</w:t>
      </w:r>
      <w:r>
        <w:rPr>
          <w:sz w:val="20"/>
        </w:rPr>
        <w:t>; cf. </w:t>
      </w:r>
      <w:r>
        <w:rPr>
          <w:rFonts w:ascii="Arial"/>
          <w:i/>
          <w:sz w:val="20"/>
        </w:rPr>
        <w:t>Heron Garages Properties Ltd v </w:t>
      </w:r>
      <w:r>
        <w:rPr>
          <w:rFonts w:ascii="Arial"/>
          <w:i/>
          <w:sz w:val="20"/>
        </w:rPr>
        <w:t>Moss [1974] 1 W.L.R. 148</w:t>
      </w:r>
      <w:r>
        <w:rPr>
          <w:sz w:val="20"/>
        </w:rPr>
        <w:t>.</w:t>
      </w:r>
    </w:p>
    <w:p>
      <w:pPr>
        <w:pStyle w:val="BodyText"/>
        <w:spacing w:before="6"/>
      </w:pPr>
    </w:p>
    <w:p>
      <w:pPr>
        <w:tabs>
          <w:tab w:pos="705" w:val="left" w:leader="none"/>
        </w:tabs>
        <w:spacing w:before="0"/>
        <w:ind w:left="165" w:right="0" w:firstLine="0"/>
        <w:jc w:val="left"/>
        <w:rPr>
          <w:sz w:val="20"/>
        </w:rPr>
      </w:pPr>
      <w:bookmarkStart w:name="_bookmark1692" w:id="1694"/>
      <w:bookmarkEnd w:id="1694"/>
      <w:r>
        <w:rPr/>
      </w:r>
      <w:hyperlink w:history="true" w:anchor="_bookmark1646">
        <w:r>
          <w:rPr>
            <w:color w:val="005DA1"/>
            <w:spacing w:val="-4"/>
            <w:position w:val="5"/>
            <w:sz w:val="14"/>
            <w:u w:val="single" w:color="005DA1"/>
          </w:rPr>
          <w:t>887</w:t>
        </w:r>
      </w:hyperlink>
      <w:r>
        <w:rPr>
          <w:spacing w:val="-4"/>
          <w:position w:val="5"/>
          <w:sz w:val="14"/>
        </w:rPr>
        <w:t>.</w:t>
      </w:r>
      <w:r>
        <w:rPr>
          <w:position w:val="5"/>
          <w:sz w:val="14"/>
        </w:rPr>
        <w:tab/>
      </w:r>
      <w:r>
        <w:rPr>
          <w:rFonts w:ascii="Arial"/>
          <w:i/>
          <w:sz w:val="20"/>
        </w:rPr>
        <w:t>McKillop v McMullan [1979] N.I. </w:t>
      </w:r>
      <w:r>
        <w:rPr>
          <w:rFonts w:ascii="Arial"/>
          <w:i/>
          <w:spacing w:val="-5"/>
          <w:sz w:val="20"/>
        </w:rPr>
        <w:t>85</w:t>
      </w:r>
      <w:r>
        <w:rPr>
          <w:spacing w:val="-5"/>
          <w:sz w:val="20"/>
        </w:rPr>
        <w:t>.</w:t>
      </w:r>
    </w:p>
    <w:p>
      <w:pPr>
        <w:pStyle w:val="BodyText"/>
        <w:spacing w:before="5"/>
      </w:pPr>
    </w:p>
    <w:p>
      <w:pPr>
        <w:tabs>
          <w:tab w:pos="705" w:val="left" w:leader="none"/>
        </w:tabs>
        <w:spacing w:before="0"/>
        <w:ind w:left="165" w:right="0" w:firstLine="0"/>
        <w:jc w:val="left"/>
        <w:rPr>
          <w:sz w:val="20"/>
        </w:rPr>
      </w:pPr>
      <w:bookmarkStart w:name="_bookmark1693" w:id="1695"/>
      <w:bookmarkEnd w:id="1695"/>
      <w:r>
        <w:rPr/>
      </w:r>
      <w:hyperlink w:history="true" w:anchor="_bookmark1647">
        <w:r>
          <w:rPr>
            <w:color w:val="005DA1"/>
            <w:spacing w:val="-4"/>
            <w:position w:val="5"/>
            <w:sz w:val="14"/>
            <w:u w:val="single" w:color="005DA1"/>
          </w:rPr>
          <w:t>888</w:t>
        </w:r>
      </w:hyperlink>
      <w:r>
        <w:rPr>
          <w:spacing w:val="-4"/>
          <w:position w:val="5"/>
          <w:sz w:val="14"/>
        </w:rPr>
        <w:t>.</w:t>
      </w:r>
      <w:r>
        <w:rPr>
          <w:position w:val="5"/>
          <w:sz w:val="14"/>
        </w:rPr>
        <w:tab/>
      </w:r>
      <w:r>
        <w:rPr>
          <w:rFonts w:ascii="Arial"/>
          <w:i/>
          <w:sz w:val="20"/>
        </w:rPr>
        <w:t>Irwin v Wilson [2011] EWHC 326 (Ch), [2011] 2 P. &amp; C.R. </w:t>
      </w:r>
      <w:r>
        <w:rPr>
          <w:rFonts w:ascii="Arial"/>
          <w:i/>
          <w:spacing w:val="-5"/>
          <w:sz w:val="20"/>
        </w:rPr>
        <w:t>8</w:t>
      </w:r>
      <w:r>
        <w:rPr>
          <w:spacing w:val="-5"/>
          <w:sz w:val="20"/>
        </w:rPr>
        <w:t>.</w:t>
      </w:r>
    </w:p>
    <w:p>
      <w:pPr>
        <w:pStyle w:val="BodyText"/>
        <w:spacing w:before="192"/>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pStyle w:val="Heading2"/>
        <w:spacing w:line="408" w:lineRule="auto" w:before="198"/>
        <w:ind w:left="939" w:right="943"/>
        <w:jc w:val="center"/>
      </w:pPr>
      <w:r>
        <w:rPr/>
        <w:t>Consolidated</w:t>
      </w:r>
      <w:r>
        <w:rPr>
          <w:spacing w:val="-10"/>
        </w:rPr>
        <w:t> </w:t>
      </w:r>
      <w:r>
        <w:rPr/>
        <w:t>Mainwork</w:t>
      </w:r>
      <w:r>
        <w:rPr>
          <w:spacing w:val="-10"/>
        </w:rPr>
        <w:t> </w:t>
      </w:r>
      <w:r>
        <w:rPr/>
        <w:t>Incorporating</w:t>
      </w:r>
      <w:r>
        <w:rPr>
          <w:spacing w:val="-10"/>
        </w:rPr>
        <w:t> </w:t>
      </w:r>
      <w:r>
        <w:rPr/>
        <w:t>Second</w:t>
      </w:r>
      <w:r>
        <w:rPr>
          <w:spacing w:val="-10"/>
        </w:rPr>
        <w:t> </w:t>
      </w:r>
      <w:r>
        <w:rPr/>
        <w:t>Supplement Volume I - General Principles</w:t>
      </w:r>
    </w:p>
    <w:p>
      <w:pPr>
        <w:spacing w:line="408" w:lineRule="auto" w:before="1"/>
        <w:ind w:left="2726" w:right="2730" w:firstLine="0"/>
        <w:jc w:val="center"/>
        <w:rPr>
          <w:rFonts w:ascii="Arial"/>
          <w:b/>
          <w:sz w:val="24"/>
        </w:rPr>
      </w:pPr>
      <w:r>
        <w:rPr>
          <w:rFonts w:ascii="Arial"/>
          <w:b/>
          <w:sz w:val="24"/>
        </w:rPr>
        <w:t>Part 2 - Formation of Contract Chapter 2 - The Agreement Section</w:t>
      </w:r>
      <w:r>
        <w:rPr>
          <w:rFonts w:ascii="Arial"/>
          <w:b/>
          <w:spacing w:val="-10"/>
          <w:sz w:val="24"/>
        </w:rPr>
        <w:t> </w:t>
      </w:r>
      <w:r>
        <w:rPr>
          <w:rFonts w:ascii="Arial"/>
          <w:b/>
          <w:sz w:val="24"/>
        </w:rPr>
        <w:t>9.</w:t>
      </w:r>
      <w:r>
        <w:rPr>
          <w:rFonts w:ascii="Arial"/>
          <w:b/>
          <w:spacing w:val="-10"/>
          <w:sz w:val="24"/>
        </w:rPr>
        <w:t> </w:t>
      </w:r>
      <w:r>
        <w:rPr>
          <w:rFonts w:ascii="Arial"/>
          <w:b/>
          <w:sz w:val="24"/>
        </w:rPr>
        <w:t>-</w:t>
      </w:r>
      <w:r>
        <w:rPr>
          <w:rFonts w:ascii="Arial"/>
          <w:b/>
          <w:spacing w:val="-10"/>
          <w:sz w:val="24"/>
        </w:rPr>
        <w:t> </w:t>
      </w:r>
      <w:r>
        <w:rPr>
          <w:rFonts w:ascii="Arial"/>
          <w:b/>
          <w:sz w:val="24"/>
        </w:rPr>
        <w:t>Contractual</w:t>
      </w:r>
      <w:r>
        <w:rPr>
          <w:rFonts w:ascii="Arial"/>
          <w:b/>
          <w:spacing w:val="-10"/>
          <w:sz w:val="24"/>
        </w:rPr>
        <w:t> </w:t>
      </w:r>
      <w:r>
        <w:rPr>
          <w:rFonts w:ascii="Arial"/>
          <w:b/>
          <w:sz w:val="24"/>
        </w:rPr>
        <w:t>Intention</w:t>
      </w:r>
    </w:p>
    <w:p>
      <w:pPr>
        <w:pStyle w:val="BodyText"/>
        <w:spacing w:before="174"/>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pPr>
      <w:r>
        <w:rPr/>
        <w:t>2-</w:t>
      </w:r>
      <w:r>
        <w:rPr>
          <w:spacing w:val="-5"/>
        </w:rPr>
        <w:t>167</w:t>
      </w:r>
    </w:p>
    <w:p>
      <w:pPr>
        <w:pStyle w:val="BodyText"/>
        <w:spacing w:line="235" w:lineRule="auto" w:before="203"/>
        <w:ind w:left="164" w:right="167"/>
        <w:jc w:val="both"/>
      </w:pPr>
      <w:bookmarkStart w:name="_bookmark1694" w:id="1696"/>
      <w:bookmarkEnd w:id="1696"/>
      <w:r>
        <w:rPr/>
      </w:r>
      <w:r>
        <w:rPr/>
        <w:t>In a number of situations, to be discussed in paras 2-168—2-197 below, it has been held that an </w:t>
      </w:r>
      <w:bookmarkStart w:name="_bookmark1695" w:id="1697"/>
      <w:bookmarkEnd w:id="1697"/>
      <w:r>
        <w:rPr/>
        <w:t>agreement,</w:t>
      </w:r>
      <w:r>
        <w:rPr/>
        <w:t> though supported by consideration, </w:t>
      </w:r>
      <w:r>
        <w:rPr>
          <w:color w:val="005DA1"/>
          <w:u w:val="single" w:color="005DA1"/>
          <w:vertAlign w:val="superscript"/>
        </w:rPr>
        <w:t>889</w:t>
      </w:r>
      <w:r>
        <w:rPr>
          <w:color w:val="005DA1"/>
          <w:vertAlign w:val="baseline"/>
        </w:rPr>
        <w:t> </w:t>
      </w:r>
      <w:r>
        <w:rPr>
          <w:vertAlign w:val="baseline"/>
        </w:rPr>
        <w:t>was not binding as a contract </w:t>
      </w:r>
      <w:r>
        <w:rPr>
          <w:color w:val="005DA1"/>
          <w:u w:val="single" w:color="005DA1"/>
          <w:vertAlign w:val="superscript"/>
        </w:rPr>
        <w:t>890</w:t>
      </w:r>
      <w:r>
        <w:rPr>
          <w:color w:val="005DA1"/>
          <w:vertAlign w:val="baseline"/>
        </w:rPr>
        <w:t> </w:t>
      </w:r>
      <w:r>
        <w:rPr>
          <w:vertAlign w:val="baseline"/>
        </w:rPr>
        <w:t>because it </w:t>
      </w:r>
      <w:r>
        <w:rPr>
          <w:vertAlign w:val="baseline"/>
        </w:rPr>
        <w:t>was made without any intention of creating legal relations. </w:t>
      </w:r>
      <w:r>
        <w:rPr>
          <w:color w:val="005DA1"/>
          <w:u w:val="single" w:color="005DA1"/>
          <w:vertAlign w:val="superscript"/>
        </w:rPr>
        <w:t>891</w:t>
      </w:r>
    </w:p>
    <w:p>
      <w:pPr>
        <w:pStyle w:val="BodyText"/>
      </w:pPr>
    </w:p>
    <w:p>
      <w:pPr>
        <w:pStyle w:val="BodyText"/>
        <w:spacing w:before="37"/>
      </w:pPr>
    </w:p>
    <w:p>
      <w:pPr>
        <w:spacing w:before="1"/>
        <w:ind w:left="165" w:right="0" w:firstLine="0"/>
        <w:jc w:val="left"/>
        <w:rPr>
          <w:rFonts w:ascii="Arial"/>
          <w:b/>
          <w:sz w:val="18"/>
        </w:rPr>
      </w:pPr>
      <w:r>
        <w:rPr>
          <w:rFonts w:ascii="Arial"/>
          <w:b/>
          <w:sz w:val="18"/>
        </w:rPr>
        <w:t>Burden of proof: express </w:t>
      </w:r>
      <w:r>
        <w:rPr>
          <w:rFonts w:ascii="Arial"/>
          <w:b/>
          <w:spacing w:val="-2"/>
          <w:sz w:val="18"/>
        </w:rPr>
        <w:t>agreements</w:t>
      </w:r>
    </w:p>
    <w:p>
      <w:pPr>
        <w:pStyle w:val="BodyText"/>
        <w:spacing w:before="41"/>
        <w:rPr>
          <w:rFonts w:ascii="Arial"/>
          <w:b/>
          <w:sz w:val="18"/>
        </w:rPr>
      </w:pPr>
    </w:p>
    <w:p>
      <w:pPr>
        <w:pStyle w:val="Heading2"/>
      </w:pPr>
      <w:r>
        <w:rPr/>
        <w:t>2-</w:t>
      </w:r>
      <w:r>
        <w:rPr>
          <w:spacing w:val="-5"/>
        </w:rPr>
        <w:t>168</w:t>
      </w:r>
    </w:p>
    <w:p>
      <w:pPr>
        <w:pStyle w:val="BodyText"/>
        <w:spacing w:line="235" w:lineRule="auto" w:before="202"/>
        <w:ind w:left="165" w:right="167"/>
        <w:jc w:val="both"/>
      </w:pPr>
      <w:bookmarkStart w:name="_bookmark1696" w:id="1698"/>
      <w:bookmarkEnd w:id="1698"/>
      <w:r>
        <w:rPr/>
      </w:r>
      <w:r>
        <w:rPr/>
        <w:t>In the case of ordinary commercial transactions it is not normally necessary to prove that the parties</w:t>
      </w:r>
      <w:r>
        <w:rPr>
          <w:spacing w:val="40"/>
        </w:rPr>
        <w:t> </w:t>
      </w:r>
      <w:r>
        <w:rPr/>
        <w:t>to an express agreement in fact intended to create legal relations. </w:t>
      </w:r>
      <w:r>
        <w:rPr>
          <w:color w:val="005DA1"/>
          <w:u w:val="single" w:color="005DA1"/>
          <w:vertAlign w:val="superscript"/>
        </w:rPr>
        <w:t>892</w:t>
      </w:r>
      <w:r>
        <w:rPr>
          <w:color w:val="005DA1"/>
          <w:vertAlign w:val="baseline"/>
        </w:rPr>
        <w:t> </w:t>
      </w:r>
      <w:r>
        <w:rPr>
          <w:vertAlign w:val="baseline"/>
        </w:rPr>
        <w:t>The onus of proving that there </w:t>
      </w:r>
      <w:bookmarkStart w:name="_bookmark1697" w:id="1699"/>
      <w:bookmarkEnd w:id="1699"/>
      <w:r>
        <w:rPr>
          <w:vertAlign w:val="baseline"/>
        </w:rPr>
        <w:t>was</w:t>
      </w:r>
      <w:r>
        <w:rPr>
          <w:vertAlign w:val="baseline"/>
        </w:rPr>
        <w:t> no such intention “is on the party who asserts that no legal effect is intended, and the onus is </w:t>
      </w:r>
      <w:r>
        <w:rPr>
          <w:vertAlign w:val="baseline"/>
        </w:rPr>
        <w:t>a </w:t>
      </w:r>
      <w:bookmarkStart w:name="_bookmark1698" w:id="1700"/>
      <w:bookmarkEnd w:id="1700"/>
      <w:r>
        <w:rPr>
          <w:vertAlign w:val="baseline"/>
        </w:rPr>
        <w:t>heavy</w:t>
      </w:r>
      <w:r>
        <w:rPr>
          <w:spacing w:val="-2"/>
          <w:vertAlign w:val="baseline"/>
        </w:rPr>
        <w:t> </w:t>
      </w:r>
      <w:r>
        <w:rPr>
          <w:vertAlign w:val="baseline"/>
        </w:rPr>
        <w:t>one”.</w:t>
      </w:r>
      <w:r>
        <w:rPr>
          <w:spacing w:val="-2"/>
          <w:vertAlign w:val="baseline"/>
        </w:rPr>
        <w:t> </w:t>
      </w:r>
      <w:r>
        <w:rPr>
          <w:color w:val="005DA1"/>
          <w:u w:val="single" w:color="005DA1"/>
          <w:vertAlign w:val="superscript"/>
        </w:rPr>
        <w:t>893</w:t>
      </w:r>
      <w:r>
        <w:rPr>
          <w:color w:val="005DA1"/>
          <w:spacing w:val="-2"/>
          <w:vertAlign w:val="baseline"/>
        </w:rPr>
        <w:t> </w:t>
      </w:r>
      <w:r>
        <w:rPr>
          <w:vertAlign w:val="baseline"/>
        </w:rPr>
        <w:t>In</w:t>
      </w:r>
      <w:r>
        <w:rPr>
          <w:spacing w:val="-2"/>
          <w:vertAlign w:val="baseline"/>
        </w:rPr>
        <w:t> </w:t>
      </w:r>
      <w:r>
        <w:rPr>
          <w:vertAlign w:val="baseline"/>
        </w:rPr>
        <w:t>deciding</w:t>
      </w:r>
      <w:r>
        <w:rPr>
          <w:spacing w:val="-2"/>
          <w:vertAlign w:val="baseline"/>
        </w:rPr>
        <w:t> </w:t>
      </w:r>
      <w:r>
        <w:rPr>
          <w:vertAlign w:val="baseline"/>
        </w:rPr>
        <w:t>whether</w:t>
      </w:r>
      <w:r>
        <w:rPr>
          <w:spacing w:val="-2"/>
          <w:vertAlign w:val="baseline"/>
        </w:rPr>
        <w:t> </w:t>
      </w:r>
      <w:r>
        <w:rPr>
          <w:vertAlign w:val="baseline"/>
        </w:rPr>
        <w:t>the</w:t>
      </w:r>
      <w:r>
        <w:rPr>
          <w:spacing w:val="-2"/>
          <w:vertAlign w:val="baseline"/>
        </w:rPr>
        <w:t> </w:t>
      </w:r>
      <w:r>
        <w:rPr>
          <w:vertAlign w:val="baseline"/>
        </w:rPr>
        <w:t>onus</w:t>
      </w:r>
      <w:r>
        <w:rPr>
          <w:spacing w:val="-2"/>
          <w:vertAlign w:val="baseline"/>
        </w:rPr>
        <w:t> </w:t>
      </w:r>
      <w:r>
        <w:rPr>
          <w:vertAlign w:val="baseline"/>
        </w:rPr>
        <w:t>has</w:t>
      </w:r>
      <w:r>
        <w:rPr>
          <w:spacing w:val="-2"/>
          <w:vertAlign w:val="baseline"/>
        </w:rPr>
        <w:t> </w:t>
      </w:r>
      <w:r>
        <w:rPr>
          <w:vertAlign w:val="baseline"/>
        </w:rPr>
        <w:t>been</w:t>
      </w:r>
      <w:r>
        <w:rPr>
          <w:spacing w:val="-2"/>
          <w:vertAlign w:val="baseline"/>
        </w:rPr>
        <w:t> </w:t>
      </w:r>
      <w:r>
        <w:rPr>
          <w:vertAlign w:val="baseline"/>
        </w:rPr>
        <w:t>discharged,</w:t>
      </w:r>
      <w:r>
        <w:rPr>
          <w:spacing w:val="-2"/>
          <w:vertAlign w:val="baseline"/>
        </w:rPr>
        <w:t> </w:t>
      </w:r>
      <w:r>
        <w:rPr>
          <w:vertAlign w:val="baseline"/>
        </w:rPr>
        <w:t>the</w:t>
      </w:r>
      <w:r>
        <w:rPr>
          <w:spacing w:val="-2"/>
          <w:vertAlign w:val="baseline"/>
        </w:rPr>
        <w:t> </w:t>
      </w:r>
      <w:r>
        <w:rPr>
          <w:vertAlign w:val="baseline"/>
        </w:rPr>
        <w:t>courts</w:t>
      </w:r>
      <w:r>
        <w:rPr>
          <w:spacing w:val="-2"/>
          <w:vertAlign w:val="baseline"/>
        </w:rPr>
        <w:t> </w:t>
      </w:r>
      <w:r>
        <w:rPr>
          <w:vertAlign w:val="baseline"/>
        </w:rPr>
        <w:t>will</w:t>
      </w:r>
      <w:r>
        <w:rPr>
          <w:spacing w:val="-2"/>
          <w:vertAlign w:val="baseline"/>
        </w:rPr>
        <w:t> </w:t>
      </w:r>
      <w:r>
        <w:rPr>
          <w:vertAlign w:val="baseline"/>
        </w:rPr>
        <w:t>be</w:t>
      </w:r>
      <w:r>
        <w:rPr>
          <w:spacing w:val="-2"/>
          <w:vertAlign w:val="baseline"/>
        </w:rPr>
        <w:t> </w:t>
      </w:r>
      <w:r>
        <w:rPr>
          <w:vertAlign w:val="baseline"/>
        </w:rPr>
        <w:t>influenced</w:t>
      </w:r>
      <w:r>
        <w:rPr>
          <w:spacing w:val="-2"/>
          <w:vertAlign w:val="baseline"/>
        </w:rPr>
        <w:t> </w:t>
      </w:r>
      <w:r>
        <w:rPr>
          <w:vertAlign w:val="baseline"/>
        </w:rPr>
        <w:t>by</w:t>
      </w:r>
      <w:r>
        <w:rPr>
          <w:spacing w:val="-2"/>
          <w:vertAlign w:val="baseline"/>
        </w:rPr>
        <w:t> </w:t>
      </w:r>
      <w:r>
        <w:rPr>
          <w:vertAlign w:val="baseline"/>
        </w:rPr>
        <w:t>the importance of the agreement to the parties, and by the fact that one of them acted in reliance on it.</w:t>
      </w:r>
      <w:r>
        <w:rPr>
          <w:spacing w:val="-1"/>
          <w:vertAlign w:val="baseline"/>
        </w:rPr>
        <w:t> </w:t>
      </w:r>
      <w:r>
        <w:rPr>
          <w:color w:val="005DA1"/>
          <w:u w:val="single" w:color="005DA1"/>
          <w:vertAlign w:val="superscript"/>
        </w:rPr>
        <w:t>894</w:t>
      </w:r>
    </w:p>
    <w:p>
      <w:pPr>
        <w:pStyle w:val="BodyText"/>
      </w:pPr>
    </w:p>
    <w:p>
      <w:pPr>
        <w:pStyle w:val="BodyText"/>
        <w:spacing w:before="37"/>
      </w:pPr>
    </w:p>
    <w:p>
      <w:pPr>
        <w:spacing w:before="0"/>
        <w:ind w:left="165" w:right="0" w:firstLine="0"/>
        <w:jc w:val="left"/>
        <w:rPr>
          <w:rFonts w:ascii="Arial"/>
          <w:b/>
          <w:sz w:val="18"/>
        </w:rPr>
      </w:pPr>
      <w:r>
        <w:rPr>
          <w:rFonts w:ascii="Arial"/>
          <w:b/>
          <w:sz w:val="18"/>
        </w:rPr>
        <w:t>Burden of proof: agreements inferred from </w:t>
      </w:r>
      <w:r>
        <w:rPr>
          <w:rFonts w:ascii="Arial"/>
          <w:b/>
          <w:spacing w:val="-2"/>
          <w:sz w:val="18"/>
        </w:rPr>
        <w:t>conduct</w:t>
      </w:r>
    </w:p>
    <w:p>
      <w:pPr>
        <w:pStyle w:val="BodyText"/>
        <w:spacing w:before="41"/>
        <w:rPr>
          <w:rFonts w:ascii="Arial"/>
          <w:b/>
          <w:sz w:val="18"/>
        </w:rPr>
      </w:pPr>
    </w:p>
    <w:p>
      <w:pPr>
        <w:pStyle w:val="Heading2"/>
        <w:spacing w:before="1"/>
      </w:pPr>
      <w:r>
        <w:rPr/>
        <w:t>2-</w:t>
      </w:r>
      <w:r>
        <w:rPr>
          <w:spacing w:val="-5"/>
        </w:rPr>
        <w:t>169</w:t>
      </w:r>
    </w:p>
    <w:p>
      <w:pPr>
        <w:pStyle w:val="BodyText"/>
        <w:spacing w:before="92"/>
        <w:rPr>
          <w:rFonts w:ascii="Arial"/>
          <w:b/>
        </w:rPr>
      </w:pPr>
    </w:p>
    <w:p>
      <w:pPr>
        <w:pStyle w:val="BodyText"/>
        <w:spacing w:line="235" w:lineRule="auto"/>
        <w:ind w:left="164" w:right="167"/>
        <w:jc w:val="both"/>
        <w:rPr>
          <w:rFonts w:ascii="Arial" w:hAnsi="Arial"/>
          <w:i/>
        </w:rPr>
      </w:pPr>
      <w:r>
        <w:rPr>
          <w:position w:val="-2"/>
        </w:rPr>
        <w:drawing>
          <wp:inline distT="0" distB="0" distL="0" distR="0">
            <wp:extent cx="107988" cy="107988"/>
            <wp:effectExtent l="0" t="0" r="0" b="0"/>
            <wp:docPr id="130" name="Image 130"/>
            <wp:cNvGraphicFramePr>
              <a:graphicFrameLocks/>
            </wp:cNvGraphicFramePr>
            <a:graphic>
              <a:graphicData uri="http://schemas.openxmlformats.org/drawingml/2006/picture">
                <pic:pic>
                  <pic:nvPicPr>
                    <pic:cNvPr id="130" name="Image 130"/>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699" w:id="1701"/>
      <w:bookmarkEnd w:id="1701"/>
      <w:r>
        <w:rPr>
          <w:rFonts w:ascii="Times New Roman" w:hAnsi="Times New Roman"/>
          <w:spacing w:val="24"/>
        </w:rPr>
      </w:r>
      <w:r>
        <w:rPr/>
        <w:t>The rule as to burden of proof stated in para.2-168 above applies where the parties had entered into an express agreement, whether written or oral. </w:t>
      </w:r>
      <w:r>
        <w:rPr>
          <w:color w:val="005DA1"/>
          <w:u w:val="single" w:color="005DA1"/>
          <w:vertAlign w:val="superscript"/>
        </w:rPr>
        <w:t>895</w:t>
      </w:r>
      <w:r>
        <w:rPr>
          <w:color w:val="005DA1"/>
          <w:vertAlign w:val="baseline"/>
        </w:rPr>
        <w:t> </w:t>
      </w:r>
      <w:r>
        <w:rPr>
          <w:vertAlign w:val="baseline"/>
        </w:rPr>
        <w:t>Claims or defences are, however, sometimes based on the allegation that parties between whom there was no express agreement had </w:t>
      </w:r>
      <w:r>
        <w:rPr>
          <w:vertAlign w:val="baseline"/>
        </w:rPr>
        <w:t>so conducted themselves in relation to each other that an </w:t>
      </w:r>
      <w:r>
        <w:rPr>
          <w:rFonts w:ascii="Arial" w:hAnsi="Arial"/>
          <w:i/>
          <w:vertAlign w:val="baseline"/>
        </w:rPr>
        <w:t>implied </w:t>
      </w:r>
      <w:r>
        <w:rPr>
          <w:vertAlign w:val="baseline"/>
        </w:rPr>
        <w:t>contract was to be inferred from their </w:t>
      </w:r>
      <w:bookmarkStart w:name="_bookmark1700" w:id="1702"/>
      <w:bookmarkEnd w:id="1702"/>
      <w:r>
        <w:rPr>
          <w:vertAlign w:val="baseline"/>
        </w:rPr>
        <w:t>conduct;</w:t>
      </w:r>
      <w:r>
        <w:rPr>
          <w:vertAlign w:val="baseline"/>
        </w:rPr>
        <w:t> and in a number of cases of this kind the allegation has been rejected on the ground that there was no contractual intention. </w:t>
      </w:r>
      <w:r>
        <w:rPr>
          <w:color w:val="005DA1"/>
          <w:u w:val="single" w:color="005DA1"/>
          <w:vertAlign w:val="superscript"/>
        </w:rPr>
        <w:t>896</w:t>
      </w:r>
      <w:r>
        <w:rPr>
          <w:color w:val="005DA1"/>
          <w:vertAlign w:val="baseline"/>
        </w:rPr>
        <w:t> </w:t>
      </w:r>
      <w:r>
        <w:rPr>
          <w:vertAlign w:val="baseline"/>
        </w:rPr>
        <w:t>Such cases illustrate the judicial attitude that “contracts are not </w:t>
      </w:r>
      <w:bookmarkStart w:name="_bookmark1701" w:id="1703"/>
      <w:bookmarkEnd w:id="1703"/>
      <w:r>
        <w:rPr>
          <w:vertAlign w:val="baseline"/>
        </w:rPr>
        <w:t>lightly</w:t>
      </w:r>
      <w:r>
        <w:rPr>
          <w:vertAlign w:val="baseline"/>
        </w:rPr>
        <w:t> to be implied” and that the courts must (in cases of this kind) be able “to conclude with confidence that … the parties intended to create contractual relations”. </w:t>
      </w:r>
      <w:r>
        <w:rPr>
          <w:color w:val="005DA1"/>
          <w:u w:val="single" w:color="005DA1"/>
          <w:vertAlign w:val="superscript"/>
        </w:rPr>
        <w:t>897</w:t>
      </w:r>
      <w:r>
        <w:rPr>
          <w:color w:val="005DA1"/>
          <w:vertAlign w:val="baseline"/>
        </w:rPr>
        <w:t> </w:t>
      </w:r>
      <w:r>
        <w:rPr>
          <w:vertAlign w:val="baseline"/>
        </w:rPr>
        <w:t>Thus, the burden of proof on this issue appears, in cases of implied contracts, to be on the proponent of the contract, contrary</w:t>
      </w:r>
      <w:r>
        <w:rPr>
          <w:spacing w:val="80"/>
          <w:vertAlign w:val="baseline"/>
        </w:rPr>
        <w:t> </w:t>
      </w:r>
      <w:bookmarkStart w:name="_bookmark1702" w:id="1704"/>
      <w:bookmarkEnd w:id="1704"/>
      <w:r>
        <w:rPr>
          <w:vertAlign w:val="baseline"/>
        </w:rPr>
        <w:t>to</w:t>
      </w:r>
      <w:r>
        <w:rPr>
          <w:vertAlign w:val="baseline"/>
        </w:rPr>
        <w:t> the rule which applies to express agreements regulating commercial relationships. In </w:t>
      </w:r>
      <w:r>
        <w:rPr>
          <w:rFonts w:ascii="Arial" w:hAnsi="Arial"/>
          <w:i/>
          <w:vertAlign w:val="baseline"/>
        </w:rPr>
        <w:t>Modahl v British Athletics Federation</w:t>
      </w:r>
      <w:r>
        <w:rPr>
          <w:vertAlign w:val="baseline"/>
        </w:rPr>
        <w:t>, </w:t>
      </w:r>
      <w:r>
        <w:rPr>
          <w:color w:val="005DA1"/>
          <w:u w:val="single" w:color="005DA1"/>
          <w:vertAlign w:val="superscript"/>
        </w:rPr>
        <w:t>898</w:t>
      </w:r>
      <w:r>
        <w:rPr>
          <w:color w:val="005DA1"/>
          <w:vertAlign w:val="baseline"/>
        </w:rPr>
        <w:t> </w:t>
      </w:r>
      <w:r>
        <w:rPr>
          <w:vertAlign w:val="baseline"/>
        </w:rPr>
        <w:t>the burden was held to have been discharged so that a contract came into existence between an athlete and the Federation, under whose rules the athlete had for a long time</w:t>
      </w:r>
      <w:r>
        <w:rPr>
          <w:spacing w:val="40"/>
          <w:vertAlign w:val="baseline"/>
        </w:rPr>
        <w:t> </w:t>
      </w:r>
      <w:r>
        <w:rPr>
          <w:vertAlign w:val="baseline"/>
        </w:rPr>
        <w:t>competed.</w:t>
      </w:r>
      <w:r>
        <w:rPr>
          <w:spacing w:val="40"/>
          <w:vertAlign w:val="baseline"/>
        </w:rPr>
        <w:t> </w:t>
      </w:r>
      <w:r>
        <w:rPr>
          <w:vertAlign w:val="baseline"/>
        </w:rPr>
        <w:t>The</w:t>
      </w:r>
      <w:r>
        <w:rPr>
          <w:spacing w:val="40"/>
          <w:vertAlign w:val="baseline"/>
        </w:rPr>
        <w:t> </w:t>
      </w:r>
      <w:r>
        <w:rPr>
          <w:vertAlign w:val="baseline"/>
        </w:rPr>
        <w:t>rules</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Federation</w:t>
      </w:r>
      <w:r>
        <w:rPr>
          <w:spacing w:val="40"/>
          <w:vertAlign w:val="baseline"/>
        </w:rPr>
        <w:t> </w:t>
      </w:r>
      <w:r>
        <w:rPr>
          <w:vertAlign w:val="baseline"/>
        </w:rPr>
        <w:t>had</w:t>
      </w:r>
      <w:r>
        <w:rPr>
          <w:spacing w:val="40"/>
          <w:vertAlign w:val="baseline"/>
        </w:rPr>
        <w:t> </w:t>
      </w:r>
      <w:r>
        <w:rPr>
          <w:vertAlign w:val="baseline"/>
        </w:rPr>
        <w:t>contractual</w:t>
      </w:r>
      <w:r>
        <w:rPr>
          <w:spacing w:val="40"/>
          <w:vertAlign w:val="baseline"/>
        </w:rPr>
        <w:t> </w:t>
      </w:r>
      <w:r>
        <w:rPr>
          <w:vertAlign w:val="baseline"/>
        </w:rPr>
        <w:t>force</w:t>
      </w:r>
      <w:r>
        <w:rPr>
          <w:spacing w:val="40"/>
          <w:vertAlign w:val="baseline"/>
        </w:rPr>
        <w:t> </w:t>
      </w:r>
      <w:r>
        <w:rPr>
          <w:vertAlign w:val="baseline"/>
        </w:rPr>
        <w:t>by</w:t>
      </w:r>
      <w:r>
        <w:rPr>
          <w:spacing w:val="40"/>
          <w:vertAlign w:val="baseline"/>
        </w:rPr>
        <w:t> </w:t>
      </w:r>
      <w:r>
        <w:rPr>
          <w:vertAlign w:val="baseline"/>
        </w:rPr>
        <w:t>reason</w:t>
      </w:r>
      <w:r>
        <w:rPr>
          <w:spacing w:val="40"/>
          <w:vertAlign w:val="baseline"/>
        </w:rPr>
        <w:t> </w:t>
      </w:r>
      <w:r>
        <w:rPr>
          <w:vertAlign w:val="baseline"/>
        </w:rPr>
        <w:t>of</w:t>
      </w:r>
      <w:r>
        <w:rPr>
          <w:spacing w:val="40"/>
          <w:vertAlign w:val="baseline"/>
        </w:rPr>
        <w:t> </w:t>
      </w:r>
      <w:r>
        <w:rPr>
          <w:vertAlign w:val="baseline"/>
        </w:rPr>
        <w:t>the</w:t>
      </w:r>
      <w:r>
        <w:rPr>
          <w:spacing w:val="40"/>
          <w:vertAlign w:val="baseline"/>
        </w:rPr>
        <w:t> </w:t>
      </w:r>
      <w:r>
        <w:rPr>
          <w:vertAlign w:val="baseline"/>
        </w:rPr>
        <w:t>“continuous </w:t>
      </w:r>
      <w:bookmarkStart w:name="_bookmark1703" w:id="1705"/>
      <w:bookmarkEnd w:id="1705"/>
      <w:r>
        <w:rPr>
          <w:vertAlign w:val="baseline"/>
        </w:rPr>
        <w:t>long</w:t>
      </w:r>
      <w:r>
        <w:rPr>
          <w:vertAlign w:val="baseline"/>
        </w:rPr>
        <w:t>-term relationship based on a programme and rules couched in language of a contractual </w:t>
      </w:r>
      <w:bookmarkStart w:name="_bookmark1704" w:id="1706"/>
      <w:bookmarkEnd w:id="1706"/>
      <w:r>
        <w:rPr>
          <w:vertAlign w:val="baseline"/>
        </w:rPr>
        <w:t>character</w:t>
      </w:r>
      <w:r>
        <w:rPr>
          <w:spacing w:val="12"/>
          <w:vertAlign w:val="baseline"/>
        </w:rPr>
        <w:t> </w:t>
      </w:r>
      <w:r>
        <w:rPr>
          <w:vertAlign w:val="baseline"/>
        </w:rPr>
        <w:t>and</w:t>
      </w:r>
      <w:r>
        <w:rPr>
          <w:spacing w:val="13"/>
          <w:vertAlign w:val="baseline"/>
        </w:rPr>
        <w:t> </w:t>
      </w:r>
      <w:r>
        <w:rPr>
          <w:vertAlign w:val="baseline"/>
        </w:rPr>
        <w:t>purporting</w:t>
      </w:r>
      <w:r>
        <w:rPr>
          <w:spacing w:val="13"/>
          <w:vertAlign w:val="baseline"/>
        </w:rPr>
        <w:t> </w:t>
      </w:r>
      <w:r>
        <w:rPr>
          <w:vertAlign w:val="baseline"/>
        </w:rPr>
        <w:t>to</w:t>
      </w:r>
      <w:r>
        <w:rPr>
          <w:spacing w:val="13"/>
          <w:vertAlign w:val="baseline"/>
        </w:rPr>
        <w:t> </w:t>
      </w:r>
      <w:r>
        <w:rPr>
          <w:vertAlign w:val="baseline"/>
        </w:rPr>
        <w:t>impose</w:t>
      </w:r>
      <w:r>
        <w:rPr>
          <w:spacing w:val="13"/>
          <w:vertAlign w:val="baseline"/>
        </w:rPr>
        <w:t> </w:t>
      </w:r>
      <w:r>
        <w:rPr>
          <w:vertAlign w:val="baseline"/>
        </w:rPr>
        <w:t>mutual</w:t>
      </w:r>
      <w:r>
        <w:rPr>
          <w:spacing w:val="13"/>
          <w:vertAlign w:val="baseline"/>
        </w:rPr>
        <w:t> </w:t>
      </w:r>
      <w:r>
        <w:rPr>
          <w:vertAlign w:val="baseline"/>
        </w:rPr>
        <w:t>rights</w:t>
      </w:r>
      <w:r>
        <w:rPr>
          <w:spacing w:val="12"/>
          <w:vertAlign w:val="baseline"/>
        </w:rPr>
        <w:t> </w:t>
      </w:r>
      <w:r>
        <w:rPr>
          <w:vertAlign w:val="baseline"/>
        </w:rPr>
        <w:t>and</w:t>
      </w:r>
      <w:r>
        <w:rPr>
          <w:spacing w:val="13"/>
          <w:vertAlign w:val="baseline"/>
        </w:rPr>
        <w:t> </w:t>
      </w:r>
      <w:r>
        <w:rPr>
          <w:vertAlign w:val="baseline"/>
        </w:rPr>
        <w:t>obligations.”</w:t>
      </w:r>
      <w:r>
        <w:rPr>
          <w:spacing w:val="12"/>
          <w:vertAlign w:val="baseline"/>
        </w:rPr>
        <w:t> </w:t>
      </w:r>
      <w:r>
        <w:rPr>
          <w:color w:val="005DA1"/>
          <w:u w:val="single" w:color="005DA1"/>
          <w:vertAlign w:val="superscript"/>
        </w:rPr>
        <w:t>899</w:t>
      </w:r>
      <w:r>
        <w:rPr>
          <w:color w:val="005DA1"/>
          <w:spacing w:val="13"/>
          <w:vertAlign w:val="baseline"/>
        </w:rPr>
        <w:t> </w:t>
      </w:r>
      <w:r>
        <w:rPr>
          <w:vertAlign w:val="baseline"/>
        </w:rPr>
        <w:t>Likewise,</w:t>
      </w:r>
      <w:r>
        <w:rPr>
          <w:spacing w:val="13"/>
          <w:vertAlign w:val="baseline"/>
        </w:rPr>
        <w:t> </w:t>
      </w:r>
      <w:r>
        <w:rPr>
          <w:vertAlign w:val="baseline"/>
        </w:rPr>
        <w:t>in</w:t>
      </w:r>
      <w:r>
        <w:rPr>
          <w:spacing w:val="13"/>
          <w:vertAlign w:val="baseline"/>
        </w:rPr>
        <w:t> </w:t>
      </w:r>
      <w:r>
        <w:rPr>
          <w:rFonts w:ascii="Arial" w:hAnsi="Arial"/>
          <w:i/>
          <w:vertAlign w:val="baseline"/>
        </w:rPr>
        <w:t>Re</w:t>
      </w:r>
      <w:r>
        <w:rPr>
          <w:rFonts w:ascii="Arial" w:hAnsi="Arial"/>
          <w:i/>
          <w:spacing w:val="12"/>
          <w:vertAlign w:val="baseline"/>
        </w:rPr>
        <w:t> </w:t>
      </w:r>
      <w:r>
        <w:rPr>
          <w:rFonts w:ascii="Arial" w:hAnsi="Arial"/>
          <w:i/>
          <w:vertAlign w:val="baseline"/>
        </w:rPr>
        <w:t>MF</w:t>
      </w:r>
      <w:r>
        <w:rPr>
          <w:rFonts w:ascii="Arial" w:hAnsi="Arial"/>
          <w:i/>
          <w:spacing w:val="13"/>
          <w:vertAlign w:val="baseline"/>
        </w:rPr>
        <w:t> </w:t>
      </w:r>
      <w:r>
        <w:rPr>
          <w:rFonts w:ascii="Arial" w:hAnsi="Arial"/>
          <w:i/>
          <w:vertAlign w:val="baseline"/>
        </w:rPr>
        <w:t>Global</w:t>
      </w:r>
      <w:r>
        <w:rPr>
          <w:rFonts w:ascii="Arial" w:hAnsi="Arial"/>
          <w:i/>
          <w:spacing w:val="13"/>
          <w:vertAlign w:val="baseline"/>
        </w:rPr>
        <w:t> </w:t>
      </w:r>
      <w:r>
        <w:rPr>
          <w:rFonts w:ascii="Arial" w:hAnsi="Arial"/>
          <w:i/>
          <w:spacing w:val="-5"/>
          <w:vertAlign w:val="baseline"/>
        </w:rPr>
        <w:t>UK</w:t>
      </w:r>
    </w:p>
    <w:p>
      <w:pPr>
        <w:pStyle w:val="BodyText"/>
        <w:spacing w:line="235" w:lineRule="auto" w:before="114"/>
        <w:ind w:left="164" w:right="167"/>
        <w:jc w:val="both"/>
        <w:rPr>
          <w:rFonts w:ascii="Arial"/>
          <w:i/>
        </w:rPr>
      </w:pPr>
      <w:r>
        <w:rPr>
          <w:rFonts w:ascii="Arial"/>
          <w:i/>
        </w:rPr>
        <w:t>Ltd (In Special Administration) </w:t>
      </w:r>
      <w:r>
        <w:rPr>
          <w:color w:val="005DA1"/>
          <w:u w:val="single" w:color="005DA1"/>
          <w:vertAlign w:val="superscript"/>
        </w:rPr>
        <w:t>900</w:t>
      </w:r>
      <w:r>
        <w:rPr>
          <w:color w:val="005DA1"/>
          <w:spacing w:val="80"/>
          <w:vertAlign w:val="baseline"/>
        </w:rPr>
        <w:t> </w:t>
      </w:r>
      <w:r>
        <w:rPr>
          <w:color w:val="005DA1"/>
          <w:spacing w:val="-1"/>
          <w:position w:val="-2"/>
          <w:vertAlign w:val="baseline"/>
        </w:rPr>
        <w:drawing>
          <wp:inline distT="0" distB="0" distL="0" distR="0">
            <wp:extent cx="107988" cy="107988"/>
            <wp:effectExtent l="0" t="0" r="0" b="0"/>
            <wp:docPr id="131" name="Image 131"/>
            <wp:cNvGraphicFramePr>
              <a:graphicFrameLocks/>
            </wp:cNvGraphicFramePr>
            <a:graphic>
              <a:graphicData uri="http://schemas.openxmlformats.org/drawingml/2006/picture">
                <pic:pic>
                  <pic:nvPicPr>
                    <pic:cNvPr id="131" name="Image 131"/>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
          <w:position w:val="-2"/>
          <w:vertAlign w:val="baseline"/>
        </w:rPr>
      </w:r>
      <w:r>
        <w:rPr>
          <w:rFonts w:ascii="Times New Roman"/>
          <w:color w:val="005DA1"/>
          <w:spacing w:val="-1"/>
          <w:vertAlign w:val="baseline"/>
        </w:rPr>
        <w:t> </w:t>
      </w:r>
      <w:r>
        <w:rPr>
          <w:vertAlign w:val="baseline"/>
        </w:rPr>
        <w:t>the court implied a contract between two companies in administration, pursuant to which one company paid the expenses of staff seconded to a </w:t>
      </w:r>
      <w:r>
        <w:rPr>
          <w:vertAlign w:val="baseline"/>
        </w:rPr>
        <w:t>second company within the same group. The established relationship between the companies was only explicable</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particular</w:t>
      </w:r>
      <w:r>
        <w:rPr>
          <w:spacing w:val="-2"/>
          <w:vertAlign w:val="baseline"/>
        </w:rPr>
        <w:t> </w:t>
      </w:r>
      <w:r>
        <w:rPr>
          <w:vertAlign w:val="baseline"/>
        </w:rPr>
        <w:t>circumstances</w:t>
      </w:r>
      <w:r>
        <w:rPr>
          <w:spacing w:val="-2"/>
          <w:vertAlign w:val="baseline"/>
        </w:rPr>
        <w:t> </w:t>
      </w:r>
      <w:r>
        <w:rPr>
          <w:vertAlign w:val="baseline"/>
        </w:rPr>
        <w:t>on</w:t>
      </w:r>
      <w:r>
        <w:rPr>
          <w:spacing w:val="-2"/>
          <w:vertAlign w:val="baseline"/>
        </w:rPr>
        <w:t> </w:t>
      </w:r>
      <w:r>
        <w:rPr>
          <w:vertAlign w:val="baseline"/>
        </w:rPr>
        <w:t>the</w:t>
      </w:r>
      <w:r>
        <w:rPr>
          <w:spacing w:val="-2"/>
          <w:vertAlign w:val="baseline"/>
        </w:rPr>
        <w:t> </w:t>
      </w:r>
      <w:r>
        <w:rPr>
          <w:vertAlign w:val="baseline"/>
        </w:rPr>
        <w:t>basis</w:t>
      </w:r>
      <w:r>
        <w:rPr>
          <w:spacing w:val="-2"/>
          <w:vertAlign w:val="baseline"/>
        </w:rPr>
        <w:t> </w:t>
      </w:r>
      <w:r>
        <w:rPr>
          <w:vertAlign w:val="baseline"/>
        </w:rPr>
        <w:t>that</w:t>
      </w:r>
      <w:r>
        <w:rPr>
          <w:spacing w:val="-2"/>
          <w:vertAlign w:val="baseline"/>
        </w:rPr>
        <w:t> </w:t>
      </w:r>
      <w:r>
        <w:rPr>
          <w:vertAlign w:val="baseline"/>
        </w:rPr>
        <w:t>it</w:t>
      </w:r>
      <w:r>
        <w:rPr>
          <w:spacing w:val="-2"/>
          <w:vertAlign w:val="baseline"/>
        </w:rPr>
        <w:t> </w:t>
      </w:r>
      <w:r>
        <w:rPr>
          <w:vertAlign w:val="baseline"/>
        </w:rPr>
        <w:t>had</w:t>
      </w:r>
      <w:r>
        <w:rPr>
          <w:spacing w:val="-2"/>
          <w:vertAlign w:val="baseline"/>
        </w:rPr>
        <w:t> </w:t>
      </w:r>
      <w:r>
        <w:rPr>
          <w:vertAlign w:val="baseline"/>
        </w:rPr>
        <w:t>a</w:t>
      </w:r>
      <w:r>
        <w:rPr>
          <w:spacing w:val="-2"/>
          <w:vertAlign w:val="baseline"/>
        </w:rPr>
        <w:t> </w:t>
      </w:r>
      <w:r>
        <w:rPr>
          <w:vertAlign w:val="baseline"/>
        </w:rPr>
        <w:t>contractual</w:t>
      </w:r>
      <w:r>
        <w:rPr>
          <w:spacing w:val="-2"/>
          <w:vertAlign w:val="baseline"/>
        </w:rPr>
        <w:t> </w:t>
      </w:r>
      <w:r>
        <w:rPr>
          <w:vertAlign w:val="baseline"/>
        </w:rPr>
        <w:t>foundation.</w:t>
      </w:r>
      <w:r>
        <w:rPr>
          <w:spacing w:val="-2"/>
          <w:vertAlign w:val="baseline"/>
        </w:rPr>
        <w:t> </w:t>
      </w:r>
      <w:r>
        <w:rPr>
          <w:vertAlign w:val="baseline"/>
        </w:rPr>
        <w:t>In</w:t>
      </w:r>
      <w:r>
        <w:rPr>
          <w:spacing w:val="-2"/>
          <w:vertAlign w:val="baseline"/>
        </w:rPr>
        <w:t> </w:t>
      </w:r>
      <w:r>
        <w:rPr>
          <w:vertAlign w:val="baseline"/>
        </w:rPr>
        <w:t>contrast, the</w:t>
      </w:r>
      <w:r>
        <w:rPr>
          <w:spacing w:val="29"/>
          <w:vertAlign w:val="baseline"/>
        </w:rPr>
        <w:t> </w:t>
      </w:r>
      <w:r>
        <w:rPr>
          <w:vertAlign w:val="baseline"/>
        </w:rPr>
        <w:t>burden</w:t>
      </w:r>
      <w:r>
        <w:rPr>
          <w:spacing w:val="29"/>
          <w:vertAlign w:val="baseline"/>
        </w:rPr>
        <w:t> </w:t>
      </w:r>
      <w:r>
        <w:rPr>
          <w:vertAlign w:val="baseline"/>
        </w:rPr>
        <w:t>of</w:t>
      </w:r>
      <w:r>
        <w:rPr>
          <w:spacing w:val="29"/>
          <w:vertAlign w:val="baseline"/>
        </w:rPr>
        <w:t> </w:t>
      </w:r>
      <w:r>
        <w:rPr>
          <w:vertAlign w:val="baseline"/>
        </w:rPr>
        <w:t>proof</w:t>
      </w:r>
      <w:r>
        <w:rPr>
          <w:spacing w:val="29"/>
          <w:vertAlign w:val="baseline"/>
        </w:rPr>
        <w:t> </w:t>
      </w:r>
      <w:r>
        <w:rPr>
          <w:vertAlign w:val="baseline"/>
        </w:rPr>
        <w:t>was</w:t>
      </w:r>
      <w:r>
        <w:rPr>
          <w:spacing w:val="29"/>
          <w:vertAlign w:val="baseline"/>
        </w:rPr>
        <w:t> </w:t>
      </w:r>
      <w:r>
        <w:rPr>
          <w:vertAlign w:val="baseline"/>
        </w:rPr>
        <w:t>not</w:t>
      </w:r>
      <w:r>
        <w:rPr>
          <w:spacing w:val="29"/>
          <w:vertAlign w:val="baseline"/>
        </w:rPr>
        <w:t> </w:t>
      </w:r>
      <w:r>
        <w:rPr>
          <w:vertAlign w:val="baseline"/>
        </w:rPr>
        <w:t>discharged</w:t>
      </w:r>
      <w:r>
        <w:rPr>
          <w:spacing w:val="29"/>
          <w:vertAlign w:val="baseline"/>
        </w:rPr>
        <w:t> </w:t>
      </w:r>
      <w:r>
        <w:rPr>
          <w:vertAlign w:val="baseline"/>
        </w:rPr>
        <w:t>in</w:t>
      </w:r>
      <w:r>
        <w:rPr>
          <w:spacing w:val="28"/>
          <w:vertAlign w:val="baseline"/>
        </w:rPr>
        <w:t> </w:t>
      </w:r>
      <w:r>
        <w:rPr>
          <w:rFonts w:ascii="Arial"/>
          <w:i/>
          <w:vertAlign w:val="baseline"/>
        </w:rPr>
        <w:t>Assuranceforeningen</w:t>
      </w:r>
      <w:r>
        <w:rPr>
          <w:rFonts w:ascii="Arial"/>
          <w:i/>
          <w:spacing w:val="29"/>
          <w:vertAlign w:val="baseline"/>
        </w:rPr>
        <w:t> </w:t>
      </w:r>
      <w:r>
        <w:rPr>
          <w:rFonts w:ascii="Arial"/>
          <w:i/>
          <w:vertAlign w:val="baseline"/>
        </w:rPr>
        <w:t>Gard</w:t>
      </w:r>
      <w:r>
        <w:rPr>
          <w:rFonts w:ascii="Arial"/>
          <w:i/>
          <w:spacing w:val="29"/>
          <w:vertAlign w:val="baseline"/>
        </w:rPr>
        <w:t> </w:t>
      </w:r>
      <w:r>
        <w:rPr>
          <w:rFonts w:ascii="Arial"/>
          <w:i/>
          <w:vertAlign w:val="baseline"/>
        </w:rPr>
        <w:t>Gjensidig</w:t>
      </w:r>
      <w:r>
        <w:rPr>
          <w:rFonts w:ascii="Arial"/>
          <w:i/>
          <w:spacing w:val="29"/>
          <w:vertAlign w:val="baseline"/>
        </w:rPr>
        <w:t> </w:t>
      </w:r>
      <w:r>
        <w:rPr>
          <w:rFonts w:ascii="Arial"/>
          <w:i/>
          <w:vertAlign w:val="baseline"/>
        </w:rPr>
        <w:t>v</w:t>
      </w:r>
      <w:r>
        <w:rPr>
          <w:rFonts w:ascii="Arial"/>
          <w:i/>
          <w:spacing w:val="29"/>
          <w:vertAlign w:val="baseline"/>
        </w:rPr>
        <w:t> </w:t>
      </w:r>
      <w:r>
        <w:rPr>
          <w:rFonts w:ascii="Arial"/>
          <w:i/>
          <w:vertAlign w:val="baseline"/>
        </w:rPr>
        <w:t>International</w:t>
      </w:r>
      <w:r>
        <w:rPr>
          <w:rFonts w:ascii="Arial"/>
          <w:i/>
          <w:spacing w:val="29"/>
          <w:vertAlign w:val="baseline"/>
        </w:rPr>
        <w:t> </w:t>
      </w:r>
      <w:r>
        <w:rPr>
          <w:rFonts w:ascii="Arial"/>
          <w:i/>
          <w:spacing w:val="-5"/>
          <w:vertAlign w:val="baseline"/>
        </w:rPr>
        <w:t>Oil</w:t>
      </w:r>
    </w:p>
    <w:p>
      <w:pPr>
        <w:pStyle w:val="BodyText"/>
        <w:spacing w:after="0" w:line="235" w:lineRule="auto"/>
        <w:jc w:val="both"/>
        <w:rPr>
          <w:rFonts w:ascii="Arial"/>
          <w:i/>
        </w:rPr>
        <w:sectPr>
          <w:headerReference w:type="default" r:id="rId29"/>
          <w:pgSz w:w="11900" w:h="16840"/>
          <w:pgMar w:header="971" w:footer="0" w:top="1300" w:bottom="280" w:left="1275" w:right="1275"/>
          <w:pgNumType w:start="1"/>
        </w:sectPr>
      </w:pPr>
    </w:p>
    <w:p>
      <w:pPr>
        <w:pStyle w:val="BodyText"/>
        <w:rPr>
          <w:rFonts w:ascii="Arial"/>
          <w:i/>
        </w:rPr>
      </w:pPr>
    </w:p>
    <w:p>
      <w:pPr>
        <w:pStyle w:val="BodyText"/>
        <w:spacing w:line="235" w:lineRule="auto"/>
        <w:ind w:left="165" w:right="167"/>
        <w:jc w:val="both"/>
      </w:pPr>
      <w:bookmarkStart w:name="_bookmark1705" w:id="1707"/>
      <w:bookmarkEnd w:id="1707"/>
      <w:r>
        <w:rPr/>
      </w:r>
      <w:r>
        <w:rPr>
          <w:rFonts w:ascii="Arial" w:hAnsi="Arial"/>
          <w:i/>
        </w:rPr>
        <w:t>Pollution Compensation Fund </w:t>
      </w:r>
      <w:r>
        <w:rPr>
          <w:color w:val="005DA1"/>
          <w:u w:val="single" w:color="005DA1"/>
          <w:vertAlign w:val="superscript"/>
        </w:rPr>
        <w:t>901</w:t>
      </w:r>
      <w:r>
        <w:rPr>
          <w:color w:val="005DA1"/>
          <w:spacing w:val="80"/>
          <w:vertAlign w:val="baseline"/>
        </w:rPr>
        <w:t> </w:t>
      </w:r>
      <w:r>
        <w:rPr>
          <w:color w:val="005DA1"/>
          <w:spacing w:val="-18"/>
          <w:position w:val="-2"/>
          <w:vertAlign w:val="baseline"/>
        </w:rPr>
        <w:drawing>
          <wp:inline distT="0" distB="0" distL="0" distR="0">
            <wp:extent cx="107988" cy="107988"/>
            <wp:effectExtent l="0" t="0" r="0" b="0"/>
            <wp:docPr id="132" name="Image 132"/>
            <wp:cNvGraphicFramePr>
              <a:graphicFrameLocks/>
            </wp:cNvGraphicFramePr>
            <a:graphic>
              <a:graphicData uri="http://schemas.openxmlformats.org/drawingml/2006/picture">
                <pic:pic>
                  <pic:nvPicPr>
                    <pic:cNvPr id="132" name="Image 132"/>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8"/>
          <w:position w:val="-2"/>
          <w:vertAlign w:val="baseline"/>
        </w:rPr>
      </w:r>
      <w:r>
        <w:rPr>
          <w:rFonts w:ascii="Times New Roman" w:hAnsi="Times New Roman"/>
          <w:color w:val="005DA1"/>
          <w:spacing w:val="40"/>
          <w:vertAlign w:val="baseline"/>
        </w:rPr>
        <w:t> </w:t>
      </w:r>
      <w:r>
        <w:rPr>
          <w:vertAlign w:val="baseline"/>
        </w:rPr>
        <w:t>where, following a serious oil spill from an insured ship, </w:t>
      </w:r>
      <w:r>
        <w:rPr>
          <w:vertAlign w:val="baseline"/>
        </w:rPr>
        <w:t>the insurer asserted a contract with an international fund, set up to compensate for damage caused by oil pollution,</w:t>
      </w:r>
      <w:r>
        <w:rPr>
          <w:spacing w:val="-1"/>
          <w:vertAlign w:val="baseline"/>
        </w:rPr>
        <w:t> </w:t>
      </w:r>
      <w:r>
        <w:rPr>
          <w:vertAlign w:val="baseline"/>
        </w:rPr>
        <w:t>to</w:t>
      </w:r>
      <w:r>
        <w:rPr>
          <w:spacing w:val="-1"/>
          <w:vertAlign w:val="baseline"/>
        </w:rPr>
        <w:t> </w:t>
      </w:r>
      <w:r>
        <w:rPr>
          <w:vertAlign w:val="baseline"/>
        </w:rPr>
        <w:t>indemnify</w:t>
      </w:r>
      <w:r>
        <w:rPr>
          <w:spacing w:val="-1"/>
          <w:vertAlign w:val="baseline"/>
        </w:rPr>
        <w:t> </w:t>
      </w:r>
      <w:r>
        <w:rPr>
          <w:vertAlign w:val="baseline"/>
        </w:rPr>
        <w:t>the</w:t>
      </w:r>
      <w:r>
        <w:rPr>
          <w:spacing w:val="-1"/>
          <w:vertAlign w:val="baseline"/>
        </w:rPr>
        <w:t> </w:t>
      </w:r>
      <w:r>
        <w:rPr>
          <w:vertAlign w:val="baseline"/>
        </w:rPr>
        <w:t>insurer</w:t>
      </w:r>
      <w:r>
        <w:rPr>
          <w:spacing w:val="-1"/>
          <w:vertAlign w:val="baseline"/>
        </w:rPr>
        <w:t> </w:t>
      </w:r>
      <w:r>
        <w:rPr>
          <w:vertAlign w:val="baseline"/>
        </w:rPr>
        <w:t>in</w:t>
      </w:r>
      <w:r>
        <w:rPr>
          <w:spacing w:val="-1"/>
          <w:vertAlign w:val="baseline"/>
        </w:rPr>
        <w:t> </w:t>
      </w:r>
      <w:r>
        <w:rPr>
          <w:vertAlign w:val="baseline"/>
        </w:rPr>
        <w:t>respect</w:t>
      </w:r>
      <w:r>
        <w:rPr>
          <w:spacing w:val="-1"/>
          <w:vertAlign w:val="baseline"/>
        </w:rPr>
        <w:t> </w:t>
      </w:r>
      <w:r>
        <w:rPr>
          <w:vertAlign w:val="baseline"/>
        </w:rPr>
        <w:t>of</w:t>
      </w:r>
      <w:r>
        <w:rPr>
          <w:spacing w:val="-1"/>
          <w:vertAlign w:val="baseline"/>
        </w:rPr>
        <w:t> </w:t>
      </w:r>
      <w:r>
        <w:rPr>
          <w:vertAlign w:val="baseline"/>
        </w:rPr>
        <w:t>aspects</w:t>
      </w:r>
      <w:r>
        <w:rPr>
          <w:spacing w:val="-1"/>
          <w:vertAlign w:val="baseline"/>
        </w:rPr>
        <w:t> </w:t>
      </w:r>
      <w:r>
        <w:rPr>
          <w:vertAlign w:val="baseline"/>
        </w:rPr>
        <w:t>of</w:t>
      </w:r>
      <w:r>
        <w:rPr>
          <w:spacing w:val="-1"/>
          <w:vertAlign w:val="baseline"/>
        </w:rPr>
        <w:t> </w:t>
      </w:r>
      <w:r>
        <w:rPr>
          <w:vertAlign w:val="baseline"/>
        </w:rPr>
        <w:t>its</w:t>
      </w:r>
      <w:r>
        <w:rPr>
          <w:spacing w:val="-1"/>
          <w:vertAlign w:val="baseline"/>
        </w:rPr>
        <w:t> </w:t>
      </w:r>
      <w:r>
        <w:rPr>
          <w:vertAlign w:val="baseline"/>
        </w:rPr>
        <w:t>liability.</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facts,</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impossible</w:t>
      </w:r>
      <w:r>
        <w:rPr>
          <w:spacing w:val="-1"/>
          <w:vertAlign w:val="baseline"/>
        </w:rPr>
        <w:t> </w:t>
      </w:r>
      <w:r>
        <w:rPr>
          <w:vertAlign w:val="baseline"/>
        </w:rPr>
        <w:t>to </w:t>
      </w:r>
      <w:bookmarkStart w:name="_bookmark1706" w:id="1708"/>
      <w:bookmarkEnd w:id="1708"/>
      <w:r>
        <w:rPr>
          <w:vertAlign w:val="baseline"/>
        </w:rPr>
        <w:t>construe</w:t>
      </w:r>
      <w:r>
        <w:rPr>
          <w:spacing w:val="16"/>
          <w:vertAlign w:val="baseline"/>
        </w:rPr>
        <w:t> </w:t>
      </w:r>
      <w:r>
        <w:rPr>
          <w:vertAlign w:val="baseline"/>
        </w:rPr>
        <w:t>the</w:t>
      </w:r>
      <w:r>
        <w:rPr>
          <w:spacing w:val="16"/>
          <w:vertAlign w:val="baseline"/>
        </w:rPr>
        <w:t> </w:t>
      </w:r>
      <w:r>
        <w:rPr>
          <w:vertAlign w:val="baseline"/>
        </w:rPr>
        <w:t>international</w:t>
      </w:r>
      <w:r>
        <w:rPr>
          <w:spacing w:val="16"/>
          <w:vertAlign w:val="baseline"/>
        </w:rPr>
        <w:t> </w:t>
      </w:r>
      <w:r>
        <w:rPr>
          <w:vertAlign w:val="baseline"/>
        </w:rPr>
        <w:t>fund’s</w:t>
      </w:r>
      <w:r>
        <w:rPr>
          <w:spacing w:val="16"/>
          <w:vertAlign w:val="baseline"/>
        </w:rPr>
        <w:t> </w:t>
      </w:r>
      <w:r>
        <w:rPr>
          <w:vertAlign w:val="baseline"/>
        </w:rPr>
        <w:t>communications</w:t>
      </w:r>
      <w:r>
        <w:rPr>
          <w:spacing w:val="16"/>
          <w:vertAlign w:val="baseline"/>
        </w:rPr>
        <w:t> </w:t>
      </w:r>
      <w:r>
        <w:rPr>
          <w:vertAlign w:val="baseline"/>
        </w:rPr>
        <w:t>as</w:t>
      </w:r>
      <w:r>
        <w:rPr>
          <w:spacing w:val="16"/>
          <w:vertAlign w:val="baseline"/>
        </w:rPr>
        <w:t> </w:t>
      </w:r>
      <w:r>
        <w:rPr>
          <w:vertAlign w:val="baseline"/>
        </w:rPr>
        <w:t>making</w:t>
      </w:r>
      <w:r>
        <w:rPr>
          <w:spacing w:val="16"/>
          <w:vertAlign w:val="baseline"/>
        </w:rPr>
        <w:t> </w:t>
      </w:r>
      <w:r>
        <w:rPr>
          <w:vertAlign w:val="baseline"/>
        </w:rPr>
        <w:t>the</w:t>
      </w:r>
      <w:r>
        <w:rPr>
          <w:spacing w:val="16"/>
          <w:vertAlign w:val="baseline"/>
        </w:rPr>
        <w:t> </w:t>
      </w:r>
      <w:r>
        <w:rPr>
          <w:vertAlign w:val="baseline"/>
        </w:rPr>
        <w:t>offer</w:t>
      </w:r>
      <w:r>
        <w:rPr>
          <w:spacing w:val="16"/>
          <w:vertAlign w:val="baseline"/>
        </w:rPr>
        <w:t> </w:t>
      </w:r>
      <w:r>
        <w:rPr>
          <w:vertAlign w:val="baseline"/>
        </w:rPr>
        <w:t>alleged</w:t>
      </w:r>
      <w:r>
        <w:rPr>
          <w:spacing w:val="16"/>
          <w:vertAlign w:val="baseline"/>
        </w:rPr>
        <w:t> </w:t>
      </w:r>
      <w:r>
        <w:rPr>
          <w:vertAlign w:val="baseline"/>
        </w:rPr>
        <w:t>expressly</w:t>
      </w:r>
      <w:r>
        <w:rPr>
          <w:spacing w:val="16"/>
          <w:vertAlign w:val="baseline"/>
        </w:rPr>
        <w:t> </w:t>
      </w:r>
      <w:r>
        <w:rPr>
          <w:vertAlign w:val="baseline"/>
        </w:rPr>
        <w:t>or</w:t>
      </w:r>
      <w:r>
        <w:rPr>
          <w:spacing w:val="16"/>
          <w:vertAlign w:val="baseline"/>
        </w:rPr>
        <w:t> </w:t>
      </w:r>
      <w:r>
        <w:rPr>
          <w:spacing w:val="-2"/>
          <w:vertAlign w:val="baseline"/>
        </w:rPr>
        <w:t>impliedly,</w:t>
      </w:r>
    </w:p>
    <w:p>
      <w:pPr>
        <w:pStyle w:val="BodyText"/>
        <w:spacing w:before="115"/>
        <w:ind w:left="165"/>
        <w:jc w:val="both"/>
        <w:rPr>
          <w:position w:val="-2"/>
        </w:rPr>
      </w:pPr>
      <w:r>
        <w:rPr/>
        <w:t>let alone clearly and unequivocally. </w:t>
      </w:r>
      <w:r>
        <w:rPr>
          <w:color w:val="005DA1"/>
          <w:u w:val="single" w:color="005DA1"/>
          <w:vertAlign w:val="superscript"/>
        </w:rPr>
        <w:t>902</w:t>
      </w:r>
      <w:r>
        <w:rPr>
          <w:color w:val="005DA1"/>
          <w:spacing w:val="80"/>
          <w:w w:val="150"/>
          <w:vertAlign w:val="baseline"/>
        </w:rPr>
        <w:t> </w:t>
      </w:r>
      <w:r>
        <w:rPr>
          <w:color w:val="005DA1"/>
          <w:position w:val="-2"/>
          <w:vertAlign w:val="baseline"/>
        </w:rPr>
        <w:drawing>
          <wp:inline distT="0" distB="0" distL="0" distR="0">
            <wp:extent cx="107988" cy="107988"/>
            <wp:effectExtent l="0" t="0" r="0" b="0"/>
            <wp:docPr id="133" name="Image 133"/>
            <wp:cNvGraphicFramePr>
              <a:graphicFrameLocks/>
            </wp:cNvGraphicFramePr>
            <a:graphic>
              <a:graphicData uri="http://schemas.openxmlformats.org/drawingml/2006/picture">
                <pic:pic>
                  <pic:nvPicPr>
                    <pic:cNvPr id="133" name="Image 13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position w:val="-2"/>
          <w:vertAlign w:val="baseline"/>
        </w:rPr>
      </w:r>
    </w:p>
    <w:p>
      <w:pPr>
        <w:pStyle w:val="BodyText"/>
        <w:rPr>
          <w:sz w:val="18"/>
        </w:rPr>
      </w:pPr>
    </w:p>
    <w:p>
      <w:pPr>
        <w:pStyle w:val="BodyText"/>
        <w:spacing w:before="83"/>
        <w:rPr>
          <w:sz w:val="18"/>
        </w:rPr>
      </w:pPr>
    </w:p>
    <w:p>
      <w:pPr>
        <w:spacing w:before="0"/>
        <w:ind w:left="165" w:right="0" w:firstLine="0"/>
        <w:jc w:val="left"/>
        <w:rPr>
          <w:rFonts w:ascii="Arial"/>
          <w:b/>
          <w:sz w:val="18"/>
        </w:rPr>
      </w:pPr>
      <w:r>
        <w:rPr>
          <w:rFonts w:ascii="Arial"/>
          <w:b/>
          <w:sz w:val="18"/>
        </w:rPr>
        <w:t>Intention judged </w:t>
      </w:r>
      <w:r>
        <w:rPr>
          <w:rFonts w:ascii="Arial"/>
          <w:b/>
          <w:spacing w:val="-2"/>
          <w:sz w:val="18"/>
        </w:rPr>
        <w:t>objectively</w:t>
      </w:r>
    </w:p>
    <w:p>
      <w:pPr>
        <w:pStyle w:val="BodyText"/>
        <w:spacing w:before="42"/>
        <w:rPr>
          <w:rFonts w:ascii="Arial"/>
          <w:b/>
          <w:sz w:val="18"/>
        </w:rPr>
      </w:pPr>
    </w:p>
    <w:p>
      <w:pPr>
        <w:pStyle w:val="Heading2"/>
      </w:pPr>
      <w:r>
        <w:rPr/>
        <w:t>2-</w:t>
      </w:r>
      <w:r>
        <w:rPr>
          <w:spacing w:val="-5"/>
        </w:rPr>
        <w:t>170</w:t>
      </w:r>
    </w:p>
    <w:p>
      <w:pPr>
        <w:pStyle w:val="BodyText"/>
        <w:spacing w:before="92"/>
        <w:rPr>
          <w:rFonts w:ascii="Arial"/>
          <w:b/>
        </w:rPr>
      </w:pPr>
    </w:p>
    <w:p>
      <w:pPr>
        <w:pStyle w:val="BodyText"/>
        <w:spacing w:line="235" w:lineRule="auto"/>
        <w:ind w:left="164" w:right="167"/>
        <w:jc w:val="both"/>
      </w:pPr>
      <w:r>
        <w:rPr>
          <w:position w:val="-2"/>
        </w:rPr>
        <w:drawing>
          <wp:inline distT="0" distB="0" distL="0" distR="0">
            <wp:extent cx="107988" cy="107988"/>
            <wp:effectExtent l="0" t="0" r="0" b="0"/>
            <wp:docPr id="134" name="Image 134"/>
            <wp:cNvGraphicFramePr>
              <a:graphicFrameLocks/>
            </wp:cNvGraphicFramePr>
            <a:graphic>
              <a:graphicData uri="http://schemas.openxmlformats.org/drawingml/2006/picture">
                <pic:pic>
                  <pic:nvPicPr>
                    <pic:cNvPr id="134" name="Image 134"/>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hAnsi="Times New Roman"/>
        </w:rPr>
        <w:t> </w:t>
      </w:r>
      <w:bookmarkStart w:name="_bookmark1707" w:id="1709"/>
      <w:bookmarkEnd w:id="1709"/>
      <w:r>
        <w:rPr>
          <w:rFonts w:ascii="Times New Roman" w:hAnsi="Times New Roman"/>
          <w:spacing w:val="1"/>
        </w:rPr>
      </w:r>
      <w:bookmarkStart w:name="_bookmark1708" w:id="1710"/>
      <w:bookmarkEnd w:id="1710"/>
      <w:r>
        <w:rPr>
          <w:rFonts w:ascii="Times New Roman" w:hAnsi="Times New Roman"/>
          <w:spacing w:val="1"/>
        </w:rPr>
      </w:r>
      <w:r>
        <w:rPr/>
        <w:t>In deciding issues of contractual intention, the courts normally apply an objective test </w:t>
      </w:r>
      <w:r>
        <w:rPr>
          <w:color w:val="005DA1"/>
          <w:u w:val="single" w:color="005DA1"/>
          <w:vertAlign w:val="superscript"/>
        </w:rPr>
        <w:t>903</w:t>
      </w:r>
      <w:r>
        <w:rPr>
          <w:vertAlign w:val="baseline"/>
        </w:rPr>
        <w:t>: for example, where the sale of a house is </w:t>
      </w:r>
      <w:r>
        <w:rPr>
          <w:rFonts w:ascii="Arial" w:hAnsi="Arial"/>
          <w:i/>
          <w:vertAlign w:val="baseline"/>
        </w:rPr>
        <w:t>not </w:t>
      </w:r>
      <w:r>
        <w:rPr>
          <w:vertAlign w:val="baseline"/>
        </w:rPr>
        <w:t>“subject to contract”, </w:t>
      </w:r>
      <w:r>
        <w:rPr>
          <w:color w:val="005DA1"/>
          <w:u w:val="single" w:color="005DA1"/>
          <w:vertAlign w:val="superscript"/>
        </w:rPr>
        <w:t>904</w:t>
      </w:r>
      <w:r>
        <w:rPr>
          <w:color w:val="005DA1"/>
          <w:vertAlign w:val="baseline"/>
        </w:rPr>
        <w:t> </w:t>
      </w:r>
      <w:r>
        <w:rPr>
          <w:vertAlign w:val="baseline"/>
        </w:rPr>
        <w:t>both parties are likely to be bound </w:t>
      </w:r>
      <w:bookmarkStart w:name="_bookmark1709" w:id="1711"/>
      <w:bookmarkEnd w:id="1711"/>
      <w:r>
        <w:rPr>
          <w:vertAlign w:val="baseline"/>
        </w:rPr>
        <w:t>even</w:t>
      </w:r>
      <w:r>
        <w:rPr>
          <w:spacing w:val="-2"/>
          <w:vertAlign w:val="baseline"/>
        </w:rPr>
        <w:t> </w:t>
      </w:r>
      <w:r>
        <w:rPr>
          <w:vertAlign w:val="baseline"/>
        </w:rPr>
        <w:t>though</w:t>
      </w:r>
      <w:r>
        <w:rPr>
          <w:spacing w:val="-2"/>
          <w:vertAlign w:val="baseline"/>
        </w:rPr>
        <w:t> </w:t>
      </w:r>
      <w:r>
        <w:rPr>
          <w:vertAlign w:val="baseline"/>
        </w:rPr>
        <w:t>one</w:t>
      </w:r>
      <w:r>
        <w:rPr>
          <w:spacing w:val="-2"/>
          <w:vertAlign w:val="baseline"/>
        </w:rPr>
        <w:t> </w:t>
      </w:r>
      <w:r>
        <w:rPr>
          <w:vertAlign w:val="baseline"/>
        </w:rPr>
        <w:t>of</w:t>
      </w:r>
      <w:r>
        <w:rPr>
          <w:spacing w:val="-2"/>
          <w:vertAlign w:val="baseline"/>
        </w:rPr>
        <w:t> </w:t>
      </w:r>
      <w:r>
        <w:rPr>
          <w:vertAlign w:val="baseline"/>
        </w:rPr>
        <w:t>them</w:t>
      </w:r>
      <w:r>
        <w:rPr>
          <w:spacing w:val="-2"/>
          <w:vertAlign w:val="baseline"/>
        </w:rPr>
        <w:t> </w:t>
      </w:r>
      <w:r>
        <w:rPr>
          <w:vertAlign w:val="baseline"/>
        </w:rPr>
        <w:t>subjectively</w:t>
      </w:r>
      <w:r>
        <w:rPr>
          <w:spacing w:val="-2"/>
          <w:vertAlign w:val="baseline"/>
        </w:rPr>
        <w:t> </w:t>
      </w:r>
      <w:r>
        <w:rPr>
          <w:vertAlign w:val="baseline"/>
        </w:rPr>
        <w:t>believed</w:t>
      </w:r>
      <w:r>
        <w:rPr>
          <w:spacing w:val="-2"/>
          <w:vertAlign w:val="baseline"/>
        </w:rPr>
        <w:t> </w:t>
      </w:r>
      <w:r>
        <w:rPr>
          <w:vertAlign w:val="baseline"/>
        </w:rPr>
        <w:t>that</w:t>
      </w:r>
      <w:r>
        <w:rPr>
          <w:spacing w:val="-2"/>
          <w:vertAlign w:val="baseline"/>
        </w:rPr>
        <w:t> </w:t>
      </w:r>
      <w:r>
        <w:rPr>
          <w:vertAlign w:val="baseline"/>
        </w:rPr>
        <w:t>he</w:t>
      </w:r>
      <w:r>
        <w:rPr>
          <w:spacing w:val="-2"/>
          <w:vertAlign w:val="baseline"/>
        </w:rPr>
        <w:t> </w:t>
      </w:r>
      <w:r>
        <w:rPr>
          <w:vertAlign w:val="baseline"/>
        </w:rPr>
        <w:t>would</w:t>
      </w:r>
      <w:r>
        <w:rPr>
          <w:spacing w:val="-2"/>
          <w:vertAlign w:val="baseline"/>
        </w:rPr>
        <w:t> </w:t>
      </w:r>
      <w:r>
        <w:rPr>
          <w:vertAlign w:val="baseline"/>
        </w:rPr>
        <w:t>not</w:t>
      </w:r>
      <w:r>
        <w:rPr>
          <w:spacing w:val="-2"/>
          <w:vertAlign w:val="baseline"/>
        </w:rPr>
        <w:t> </w:t>
      </w:r>
      <w:r>
        <w:rPr>
          <w:vertAlign w:val="baseline"/>
        </w:rPr>
        <w:t>be</w:t>
      </w:r>
      <w:r>
        <w:rPr>
          <w:spacing w:val="-2"/>
          <w:vertAlign w:val="baseline"/>
        </w:rPr>
        <w:t> </w:t>
      </w:r>
      <w:r>
        <w:rPr>
          <w:vertAlign w:val="baseline"/>
        </w:rPr>
        <w:t>bound</w:t>
      </w:r>
      <w:r>
        <w:rPr>
          <w:spacing w:val="-2"/>
          <w:vertAlign w:val="baseline"/>
        </w:rPr>
        <w:t> </w:t>
      </w:r>
      <w:r>
        <w:rPr>
          <w:vertAlign w:val="baseline"/>
        </w:rPr>
        <w:t>until</w:t>
      </w:r>
      <w:r>
        <w:rPr>
          <w:spacing w:val="-2"/>
          <w:vertAlign w:val="baseline"/>
        </w:rPr>
        <w:t> </w:t>
      </w:r>
      <w:r>
        <w:rPr>
          <w:vertAlign w:val="baseline"/>
        </w:rPr>
        <w:t>the</w:t>
      </w:r>
      <w:r>
        <w:rPr>
          <w:spacing w:val="-2"/>
          <w:vertAlign w:val="baseline"/>
        </w:rPr>
        <w:t> </w:t>
      </w:r>
      <w:r>
        <w:rPr>
          <w:vertAlign w:val="baseline"/>
        </w:rPr>
        <w:t>usual</w:t>
      </w:r>
      <w:r>
        <w:rPr>
          <w:spacing w:val="-2"/>
          <w:vertAlign w:val="baseline"/>
        </w:rPr>
        <w:t> </w:t>
      </w:r>
      <w:r>
        <w:rPr>
          <w:vertAlign w:val="baseline"/>
        </w:rPr>
        <w:t>exchange</w:t>
      </w:r>
      <w:r>
        <w:rPr>
          <w:spacing w:val="-2"/>
          <w:vertAlign w:val="baseline"/>
        </w:rPr>
        <w:t> </w:t>
      </w:r>
      <w:r>
        <w:rPr>
          <w:vertAlign w:val="baseline"/>
        </w:rPr>
        <w:t>of contracts had taken place. </w:t>
      </w:r>
      <w:r>
        <w:rPr>
          <w:color w:val="005DA1"/>
          <w:u w:val="single" w:color="005DA1"/>
          <w:vertAlign w:val="superscript"/>
        </w:rPr>
        <w:t>905</w:t>
      </w:r>
      <w:r>
        <w:rPr>
          <w:color w:val="005DA1"/>
          <w:vertAlign w:val="baseline"/>
        </w:rPr>
        <w:t> </w:t>
      </w:r>
      <w:r>
        <w:rPr>
          <w:vertAlign w:val="baseline"/>
        </w:rPr>
        <w:t>In </w:t>
      </w:r>
      <w:r>
        <w:rPr>
          <w:rFonts w:ascii="Arial" w:hAnsi="Arial"/>
          <w:i/>
          <w:vertAlign w:val="baseline"/>
        </w:rPr>
        <w:t>Edmonds v Lawson</w:t>
      </w:r>
      <w:r>
        <w:rPr>
          <w:vertAlign w:val="baseline"/>
        </w:rPr>
        <w:t>, </w:t>
      </w:r>
      <w:r>
        <w:rPr>
          <w:color w:val="005DA1"/>
          <w:u w:val="single" w:color="005DA1"/>
          <w:vertAlign w:val="superscript"/>
        </w:rPr>
        <w:t>906</w:t>
      </w:r>
      <w:r>
        <w:rPr>
          <w:color w:val="005DA1"/>
          <w:vertAlign w:val="baseline"/>
        </w:rPr>
        <w:t> </w:t>
      </w:r>
      <w:r>
        <w:rPr>
          <w:vertAlign w:val="baseline"/>
        </w:rPr>
        <w:t>the Court of Appeal similarly applied the </w:t>
      </w:r>
      <w:bookmarkStart w:name="_bookmark1710" w:id="1712"/>
      <w:bookmarkEnd w:id="1712"/>
      <w:r>
        <w:rPr>
          <w:vertAlign w:val="baseline"/>
        </w:rPr>
        <w:t>objective</w:t>
      </w:r>
      <w:r>
        <w:rPr>
          <w:vertAlign w:val="baseline"/>
        </w:rPr>
        <w:t> test to hold that the requirement of contractual intention was satisfied where a pupil barrister accepted</w:t>
      </w:r>
      <w:r>
        <w:rPr>
          <w:spacing w:val="-3"/>
          <w:vertAlign w:val="baseline"/>
        </w:rPr>
        <w:t> </w:t>
      </w:r>
      <w:r>
        <w:rPr>
          <w:vertAlign w:val="baseline"/>
        </w:rPr>
        <w:t>an</w:t>
      </w:r>
      <w:r>
        <w:rPr>
          <w:spacing w:val="-3"/>
          <w:vertAlign w:val="baseline"/>
        </w:rPr>
        <w:t> </w:t>
      </w:r>
      <w:r>
        <w:rPr>
          <w:vertAlign w:val="baseline"/>
        </w:rPr>
        <w:t>offer</w:t>
      </w:r>
      <w:r>
        <w:rPr>
          <w:spacing w:val="-3"/>
          <w:vertAlign w:val="baseline"/>
        </w:rPr>
        <w:t> </w:t>
      </w:r>
      <w:r>
        <w:rPr>
          <w:vertAlign w:val="baseline"/>
        </w:rPr>
        <w:t>of</w:t>
      </w:r>
      <w:r>
        <w:rPr>
          <w:spacing w:val="-3"/>
          <w:vertAlign w:val="baseline"/>
        </w:rPr>
        <w:t> </w:t>
      </w:r>
      <w:r>
        <w:rPr>
          <w:vertAlign w:val="baseline"/>
        </w:rPr>
        <w:t>pupillage</w:t>
      </w:r>
      <w:r>
        <w:rPr>
          <w:spacing w:val="-3"/>
          <w:vertAlign w:val="baseline"/>
        </w:rPr>
        <w:t> </w:t>
      </w:r>
      <w:r>
        <w:rPr>
          <w:vertAlign w:val="baseline"/>
        </w:rPr>
        <w:t>with</w:t>
      </w:r>
      <w:r>
        <w:rPr>
          <w:spacing w:val="-3"/>
          <w:vertAlign w:val="baseline"/>
        </w:rPr>
        <w:t> </w:t>
      </w:r>
      <w:r>
        <w:rPr>
          <w:vertAlign w:val="baseline"/>
        </w:rPr>
        <w:t>a</w:t>
      </w:r>
      <w:r>
        <w:rPr>
          <w:spacing w:val="-3"/>
          <w:vertAlign w:val="baseline"/>
        </w:rPr>
        <w:t> </w:t>
      </w:r>
      <w:r>
        <w:rPr>
          <w:vertAlign w:val="baseline"/>
        </w:rPr>
        <w:t>set</w:t>
      </w:r>
      <w:r>
        <w:rPr>
          <w:spacing w:val="-3"/>
          <w:vertAlign w:val="baseline"/>
        </w:rPr>
        <w:t> </w:t>
      </w:r>
      <w:r>
        <w:rPr>
          <w:vertAlign w:val="baseline"/>
        </w:rPr>
        <w:t>of</w:t>
      </w:r>
      <w:r>
        <w:rPr>
          <w:spacing w:val="-3"/>
          <w:vertAlign w:val="baseline"/>
        </w:rPr>
        <w:t> </w:t>
      </w:r>
      <w:r>
        <w:rPr>
          <w:vertAlign w:val="baseline"/>
        </w:rPr>
        <w:t>chambers.</w:t>
      </w:r>
      <w:r>
        <w:rPr>
          <w:spacing w:val="-3"/>
          <w:vertAlign w:val="baseline"/>
        </w:rPr>
        <w:t> </w:t>
      </w:r>
      <w:r>
        <w:rPr>
          <w:vertAlign w:val="baseline"/>
        </w:rPr>
        <w:t>The</w:t>
      </w:r>
      <w:r>
        <w:rPr>
          <w:spacing w:val="-3"/>
          <w:vertAlign w:val="baseline"/>
        </w:rPr>
        <w:t> </w:t>
      </w:r>
      <w:r>
        <w:rPr>
          <w:vertAlign w:val="baseline"/>
        </w:rPr>
        <w:t>resulting</w:t>
      </w:r>
      <w:r>
        <w:rPr>
          <w:spacing w:val="-3"/>
          <w:vertAlign w:val="baseline"/>
        </w:rPr>
        <w:t> </w:t>
      </w:r>
      <w:r>
        <w:rPr>
          <w:vertAlign w:val="baseline"/>
        </w:rPr>
        <w:t>contract</w:t>
      </w:r>
      <w:r>
        <w:rPr>
          <w:spacing w:val="-4"/>
          <w:vertAlign w:val="baseline"/>
        </w:rPr>
        <w:t> </w:t>
      </w:r>
      <w:r>
        <w:rPr>
          <w:color w:val="005DA1"/>
          <w:u w:val="single" w:color="005DA1"/>
          <w:vertAlign w:val="superscript"/>
        </w:rPr>
        <w:t>907</w:t>
      </w:r>
      <w:r>
        <w:rPr>
          <w:color w:val="005DA1"/>
          <w:spacing w:val="-3"/>
          <w:vertAlign w:val="baseline"/>
        </w:rPr>
        <w:t> </w:t>
      </w:r>
      <w:r>
        <w:rPr>
          <w:vertAlign w:val="baseline"/>
        </w:rPr>
        <w:t>was</w:t>
      </w:r>
      <w:r>
        <w:rPr>
          <w:spacing w:val="-3"/>
          <w:vertAlign w:val="baseline"/>
        </w:rPr>
        <w:t> </w:t>
      </w:r>
      <w:r>
        <w:rPr>
          <w:vertAlign w:val="baseline"/>
        </w:rPr>
        <w:t>between</w:t>
      </w:r>
      <w:r>
        <w:rPr>
          <w:spacing w:val="-3"/>
          <w:vertAlign w:val="baseline"/>
        </w:rPr>
        <w:t> </w:t>
      </w:r>
      <w:r>
        <w:rPr>
          <w:vertAlign w:val="baseline"/>
        </w:rPr>
        <w:t>the</w:t>
      </w:r>
      <w:r>
        <w:rPr>
          <w:spacing w:val="-3"/>
          <w:vertAlign w:val="baseline"/>
        </w:rPr>
        <w:t> </w:t>
      </w:r>
      <w:r>
        <w:rPr>
          <w:vertAlign w:val="baseline"/>
        </w:rPr>
        <w:t>pupil </w:t>
      </w:r>
      <w:bookmarkStart w:name="_bookmark1711" w:id="1713"/>
      <w:bookmarkEnd w:id="1713"/>
      <w:r>
        <w:rPr>
          <w:vertAlign w:val="baseline"/>
        </w:rPr>
        <w:t>and</w:t>
      </w:r>
      <w:r>
        <w:rPr>
          <w:spacing w:val="36"/>
          <w:vertAlign w:val="baseline"/>
        </w:rPr>
        <w:t> </w:t>
      </w:r>
      <w:r>
        <w:rPr>
          <w:vertAlign w:val="baseline"/>
        </w:rPr>
        <w:t>all</w:t>
      </w:r>
      <w:r>
        <w:rPr>
          <w:spacing w:val="36"/>
          <w:vertAlign w:val="baseline"/>
        </w:rPr>
        <w:t> </w:t>
      </w:r>
      <w:r>
        <w:rPr>
          <w:vertAlign w:val="baseline"/>
        </w:rPr>
        <w:t>the</w:t>
      </w:r>
      <w:r>
        <w:rPr>
          <w:spacing w:val="36"/>
          <w:vertAlign w:val="baseline"/>
        </w:rPr>
        <w:t> </w:t>
      </w:r>
      <w:r>
        <w:rPr>
          <w:vertAlign w:val="baseline"/>
        </w:rPr>
        <w:t>members</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chambers—not</w:t>
      </w:r>
      <w:r>
        <w:rPr>
          <w:spacing w:val="36"/>
          <w:vertAlign w:val="baseline"/>
        </w:rPr>
        <w:t> </w:t>
      </w:r>
      <w:r>
        <w:rPr>
          <w:vertAlign w:val="baseline"/>
        </w:rPr>
        <w:t>between</w:t>
      </w:r>
      <w:r>
        <w:rPr>
          <w:spacing w:val="36"/>
          <w:vertAlign w:val="baseline"/>
        </w:rPr>
        <w:t> </w:t>
      </w:r>
      <w:r>
        <w:rPr>
          <w:vertAlign w:val="baseline"/>
        </w:rPr>
        <w:t>the</w:t>
      </w:r>
      <w:r>
        <w:rPr>
          <w:spacing w:val="36"/>
          <w:vertAlign w:val="baseline"/>
        </w:rPr>
        <w:t> </w:t>
      </w:r>
      <w:r>
        <w:rPr>
          <w:vertAlign w:val="baseline"/>
        </w:rPr>
        <w:t>pupil</w:t>
      </w:r>
      <w:r>
        <w:rPr>
          <w:spacing w:val="36"/>
          <w:vertAlign w:val="baseline"/>
        </w:rPr>
        <w:t> </w:t>
      </w:r>
      <w:r>
        <w:rPr>
          <w:vertAlign w:val="baseline"/>
        </w:rPr>
        <w:t>and</w:t>
      </w:r>
      <w:r>
        <w:rPr>
          <w:spacing w:val="36"/>
          <w:vertAlign w:val="baseline"/>
        </w:rPr>
        <w:t> </w:t>
      </w:r>
      <w:r>
        <w:rPr>
          <w:vertAlign w:val="baseline"/>
        </w:rPr>
        <w:t>the</w:t>
      </w:r>
      <w:r>
        <w:rPr>
          <w:spacing w:val="36"/>
          <w:vertAlign w:val="baseline"/>
        </w:rPr>
        <w:t> </w:t>
      </w:r>
      <w:r>
        <w:rPr>
          <w:vertAlign w:val="baseline"/>
        </w:rPr>
        <w:t>individual</w:t>
      </w:r>
      <w:r>
        <w:rPr>
          <w:spacing w:val="36"/>
          <w:vertAlign w:val="baseline"/>
        </w:rPr>
        <w:t> </w:t>
      </w:r>
      <w:r>
        <w:rPr>
          <w:vertAlign w:val="baseline"/>
        </w:rPr>
        <w:t>members</w:t>
      </w:r>
      <w:r>
        <w:rPr>
          <w:spacing w:val="36"/>
          <w:vertAlign w:val="baseline"/>
        </w:rPr>
        <w:t> </w:t>
      </w:r>
      <w:r>
        <w:rPr>
          <w:vertAlign w:val="baseline"/>
        </w:rPr>
        <w:t>of</w:t>
      </w:r>
      <w:r>
        <w:rPr>
          <w:spacing w:val="36"/>
          <w:vertAlign w:val="baseline"/>
        </w:rPr>
        <w:t> </w:t>
      </w:r>
      <w:r>
        <w:rPr>
          <w:spacing w:val="-5"/>
          <w:vertAlign w:val="baseline"/>
        </w:rPr>
        <w:t>the</w:t>
      </w:r>
    </w:p>
    <w:p>
      <w:pPr>
        <w:pStyle w:val="BodyText"/>
        <w:spacing w:line="235" w:lineRule="auto" w:before="118"/>
        <w:ind w:left="165" w:right="167"/>
        <w:jc w:val="both"/>
      </w:pPr>
      <w:r>
        <w:rPr/>
        <w:t>chambers who acted as her pupil masters. In </w:t>
      </w:r>
      <w:r>
        <w:rPr>
          <w:rFonts w:ascii="Arial" w:hAnsi="Arial"/>
          <w:i/>
        </w:rPr>
        <w:t>New Media Holding Co LLC v Kuznetsov </w:t>
      </w:r>
      <w:r>
        <w:rPr>
          <w:color w:val="005DA1"/>
          <w:u w:val="single" w:color="005DA1"/>
          <w:vertAlign w:val="superscript"/>
        </w:rPr>
        <w:t>908</w:t>
      </w:r>
      <w:r>
        <w:rPr>
          <w:color w:val="005DA1"/>
          <w:spacing w:val="80"/>
          <w:w w:val="150"/>
          <w:vertAlign w:val="baseline"/>
        </w:rPr>
        <w:t> </w:t>
      </w:r>
      <w:r>
        <w:rPr>
          <w:color w:val="005DA1"/>
          <w:spacing w:val="14"/>
          <w:position w:val="-2"/>
          <w:vertAlign w:val="baseline"/>
        </w:rPr>
        <w:drawing>
          <wp:inline distT="0" distB="0" distL="0" distR="0">
            <wp:extent cx="107988" cy="107988"/>
            <wp:effectExtent l="0" t="0" r="0" b="0"/>
            <wp:docPr id="135" name="Image 135"/>
            <wp:cNvGraphicFramePr>
              <a:graphicFrameLocks/>
            </wp:cNvGraphicFramePr>
            <a:graphic>
              <a:graphicData uri="http://schemas.openxmlformats.org/drawingml/2006/picture">
                <pic:pic>
                  <pic:nvPicPr>
                    <pic:cNvPr id="135" name="Image 135"/>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14"/>
          <w:position w:val="-2"/>
          <w:vertAlign w:val="baseline"/>
        </w:rPr>
      </w:r>
      <w:r>
        <w:rPr>
          <w:rFonts w:ascii="Times New Roman" w:hAnsi="Times New Roman"/>
          <w:color w:val="005DA1"/>
          <w:spacing w:val="12"/>
          <w:vertAlign w:val="baseline"/>
        </w:rPr>
        <w:t> </w:t>
      </w:r>
      <w:r>
        <w:rPr>
          <w:vertAlign w:val="baseline"/>
        </w:rPr>
        <w:t>the court found an intention to create legal relations in respect of a “Term Sheet” signed by both </w:t>
      </w:r>
      <w:r>
        <w:rPr>
          <w:vertAlign w:val="baseline"/>
        </w:rPr>
        <w:t>parties. On the one hand: the language of the document was brief and did not mention consideration; the document</w:t>
      </w:r>
      <w:r>
        <w:rPr>
          <w:spacing w:val="-1"/>
          <w:vertAlign w:val="baseline"/>
        </w:rPr>
        <w:t> </w:t>
      </w:r>
      <w:r>
        <w:rPr>
          <w:vertAlign w:val="baseline"/>
        </w:rPr>
        <w:t>was</w:t>
      </w:r>
      <w:r>
        <w:rPr>
          <w:spacing w:val="-1"/>
          <w:vertAlign w:val="baseline"/>
        </w:rPr>
        <w:t> </w:t>
      </w:r>
      <w:r>
        <w:rPr>
          <w:vertAlign w:val="baseline"/>
        </w:rPr>
        <w:t>prepared</w:t>
      </w:r>
      <w:r>
        <w:rPr>
          <w:spacing w:val="-1"/>
          <w:vertAlign w:val="baseline"/>
        </w:rPr>
        <w:t> </w:t>
      </w:r>
      <w:r>
        <w:rPr>
          <w:vertAlign w:val="baseline"/>
        </w:rPr>
        <w:t>in</w:t>
      </w:r>
      <w:r>
        <w:rPr>
          <w:spacing w:val="-1"/>
          <w:vertAlign w:val="baseline"/>
        </w:rPr>
        <w:t> </w:t>
      </w:r>
      <w:r>
        <w:rPr>
          <w:vertAlign w:val="baseline"/>
        </w:rPr>
        <w:t>a</w:t>
      </w:r>
      <w:r>
        <w:rPr>
          <w:spacing w:val="-1"/>
          <w:vertAlign w:val="baseline"/>
        </w:rPr>
        <w:t> </w:t>
      </w:r>
      <w:r>
        <w:rPr>
          <w:vertAlign w:val="baseline"/>
        </w:rPr>
        <w:t>casual</w:t>
      </w:r>
      <w:r>
        <w:rPr>
          <w:spacing w:val="-1"/>
          <w:vertAlign w:val="baseline"/>
        </w:rPr>
        <w:t> </w:t>
      </w:r>
      <w:r>
        <w:rPr>
          <w:vertAlign w:val="baseline"/>
        </w:rPr>
        <w:t>and</w:t>
      </w:r>
      <w:r>
        <w:rPr>
          <w:spacing w:val="-1"/>
          <w:vertAlign w:val="baseline"/>
        </w:rPr>
        <w:t> </w:t>
      </w:r>
      <w:r>
        <w:rPr>
          <w:vertAlign w:val="baseline"/>
        </w:rPr>
        <w:t>informal</w:t>
      </w:r>
      <w:r>
        <w:rPr>
          <w:spacing w:val="-1"/>
          <w:vertAlign w:val="baseline"/>
        </w:rPr>
        <w:t> </w:t>
      </w:r>
      <w:r>
        <w:rPr>
          <w:vertAlign w:val="baseline"/>
        </w:rPr>
        <w:t>way;</w:t>
      </w:r>
      <w:r>
        <w:rPr>
          <w:spacing w:val="-1"/>
          <w:vertAlign w:val="baseline"/>
        </w:rPr>
        <w:t> </w:t>
      </w:r>
      <w:r>
        <w:rPr>
          <w:vertAlign w:val="baseline"/>
        </w:rPr>
        <w:t>further</w:t>
      </w:r>
      <w:r>
        <w:rPr>
          <w:spacing w:val="-1"/>
          <w:vertAlign w:val="baseline"/>
        </w:rPr>
        <w:t> </w:t>
      </w:r>
      <w:r>
        <w:rPr>
          <w:vertAlign w:val="baseline"/>
        </w:rPr>
        <w:t>formalities</w:t>
      </w:r>
      <w:r>
        <w:rPr>
          <w:spacing w:val="-1"/>
          <w:vertAlign w:val="baseline"/>
        </w:rPr>
        <w:t> </w:t>
      </w:r>
      <w:r>
        <w:rPr>
          <w:vertAlign w:val="baseline"/>
        </w:rPr>
        <w:t>were</w:t>
      </w:r>
      <w:r>
        <w:rPr>
          <w:spacing w:val="-1"/>
          <w:vertAlign w:val="baseline"/>
        </w:rPr>
        <w:t> </w:t>
      </w:r>
      <w:r>
        <w:rPr>
          <w:vertAlign w:val="baseline"/>
        </w:rPr>
        <w:t>required;</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rights transferred were not capable of immediate enforcement. On the other hand: the parties were experienced and sophisticated businessmen; the document contained clear express terms; the language was consistent with a legally binding agreement; and the “Term Sheet” was consistent with an</w:t>
      </w:r>
      <w:r>
        <w:rPr>
          <w:spacing w:val="-1"/>
          <w:vertAlign w:val="baseline"/>
        </w:rPr>
        <w:t> </w:t>
      </w:r>
      <w:r>
        <w:rPr>
          <w:vertAlign w:val="baseline"/>
        </w:rPr>
        <w:t>intention</w:t>
      </w:r>
      <w:r>
        <w:rPr>
          <w:spacing w:val="-1"/>
          <w:vertAlign w:val="baseline"/>
        </w:rPr>
        <w:t> </w:t>
      </w:r>
      <w:r>
        <w:rPr>
          <w:vertAlign w:val="baseline"/>
        </w:rPr>
        <w:t>that</w:t>
      </w:r>
      <w:r>
        <w:rPr>
          <w:spacing w:val="-1"/>
          <w:vertAlign w:val="baseline"/>
        </w:rPr>
        <w:t> </w:t>
      </w:r>
      <w:r>
        <w:rPr>
          <w:vertAlign w:val="baseline"/>
        </w:rPr>
        <w:t>this</w:t>
      </w:r>
      <w:r>
        <w:rPr>
          <w:spacing w:val="-1"/>
          <w:vertAlign w:val="baseline"/>
        </w:rPr>
        <w:t> </w:t>
      </w:r>
      <w:r>
        <w:rPr>
          <w:vertAlign w:val="baseline"/>
        </w:rPr>
        <w:t>be</w:t>
      </w:r>
      <w:r>
        <w:rPr>
          <w:spacing w:val="-1"/>
          <w:vertAlign w:val="baseline"/>
        </w:rPr>
        <w:t> </w:t>
      </w:r>
      <w:r>
        <w:rPr>
          <w:vertAlign w:val="baseline"/>
        </w:rPr>
        <w:t>part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package</w:t>
      </w:r>
      <w:r>
        <w:rPr>
          <w:spacing w:val="-1"/>
          <w:vertAlign w:val="baseline"/>
        </w:rPr>
        <w:t> </w:t>
      </w:r>
      <w:r>
        <w:rPr>
          <w:vertAlign w:val="baseline"/>
        </w:rPr>
        <w:t>agreement</w:t>
      </w:r>
      <w:r>
        <w:rPr>
          <w:spacing w:val="-1"/>
          <w:vertAlign w:val="baseline"/>
        </w:rPr>
        <w:t> </w:t>
      </w:r>
      <w:r>
        <w:rPr>
          <w:vertAlign w:val="baseline"/>
        </w:rPr>
        <w:t>(with</w:t>
      </w:r>
      <w:r>
        <w:rPr>
          <w:spacing w:val="-1"/>
          <w:vertAlign w:val="baseline"/>
        </w:rPr>
        <w:t> </w:t>
      </w:r>
      <w:r>
        <w:rPr>
          <w:vertAlign w:val="baseline"/>
        </w:rPr>
        <w:t>other</w:t>
      </w:r>
      <w:r>
        <w:rPr>
          <w:spacing w:val="-1"/>
          <w:vertAlign w:val="baseline"/>
        </w:rPr>
        <w:t> </w:t>
      </w:r>
      <w:r>
        <w:rPr>
          <w:vertAlign w:val="baseline"/>
        </w:rPr>
        <w:t>terms,</w:t>
      </w:r>
      <w:r>
        <w:rPr>
          <w:spacing w:val="-1"/>
          <w:vertAlign w:val="baseline"/>
        </w:rPr>
        <w:t> </w:t>
      </w:r>
      <w:r>
        <w:rPr>
          <w:vertAlign w:val="baseline"/>
        </w:rPr>
        <w:t>including</w:t>
      </w:r>
      <w:r>
        <w:rPr>
          <w:spacing w:val="-1"/>
          <w:vertAlign w:val="baseline"/>
        </w:rPr>
        <w:t> </w:t>
      </w:r>
      <w:r>
        <w:rPr>
          <w:vertAlign w:val="baseline"/>
        </w:rPr>
        <w:t>the</w:t>
      </w:r>
      <w:r>
        <w:rPr>
          <w:spacing w:val="-1"/>
          <w:vertAlign w:val="baseline"/>
        </w:rPr>
        <w:t> </w:t>
      </w:r>
      <w:r>
        <w:rPr>
          <w:vertAlign w:val="baseline"/>
        </w:rPr>
        <w:t>consideration,</w:t>
      </w:r>
      <w:r>
        <w:rPr>
          <w:spacing w:val="-1"/>
          <w:vertAlign w:val="baseline"/>
        </w:rPr>
        <w:t> </w:t>
      </w:r>
      <w:r>
        <w:rPr>
          <w:vertAlign w:val="baseline"/>
        </w:rPr>
        <w:t>to be dealt with elsewhere) and with the parties’ pre-existing relationship, which itself raised a strong presumption that the parties intended to be legally bound. Where there has been substantial </w:t>
      </w:r>
      <w:bookmarkStart w:name="_bookmark1712" w:id="1714"/>
      <w:bookmarkEnd w:id="1714"/>
      <w:r>
        <w:rPr>
          <w:vertAlign w:val="baseline"/>
        </w:rPr>
        <w:t>performance,</w:t>
      </w:r>
      <w:r>
        <w:rPr>
          <w:spacing w:val="4"/>
          <w:vertAlign w:val="baseline"/>
        </w:rPr>
        <w:t> </w:t>
      </w:r>
      <w:r>
        <w:rPr>
          <w:vertAlign w:val="baseline"/>
        </w:rPr>
        <w:t>courts</w:t>
      </w:r>
      <w:r>
        <w:rPr>
          <w:spacing w:val="4"/>
          <w:vertAlign w:val="baseline"/>
        </w:rPr>
        <w:t> </w:t>
      </w:r>
      <w:r>
        <w:rPr>
          <w:vertAlign w:val="baseline"/>
        </w:rPr>
        <w:t>are</w:t>
      </w:r>
      <w:r>
        <w:rPr>
          <w:spacing w:val="4"/>
          <w:vertAlign w:val="baseline"/>
        </w:rPr>
        <w:t> </w:t>
      </w:r>
      <w:r>
        <w:rPr>
          <w:vertAlign w:val="baseline"/>
        </w:rPr>
        <w:t>especially</w:t>
      </w:r>
      <w:r>
        <w:rPr>
          <w:spacing w:val="4"/>
          <w:vertAlign w:val="baseline"/>
        </w:rPr>
        <w:t> </w:t>
      </w:r>
      <w:r>
        <w:rPr>
          <w:vertAlign w:val="baseline"/>
        </w:rPr>
        <w:t>reluctant</w:t>
      </w:r>
      <w:r>
        <w:rPr>
          <w:spacing w:val="4"/>
          <w:vertAlign w:val="baseline"/>
        </w:rPr>
        <w:t> </w:t>
      </w:r>
      <w:r>
        <w:rPr>
          <w:vertAlign w:val="baseline"/>
        </w:rPr>
        <w:t>to</w:t>
      </w:r>
      <w:r>
        <w:rPr>
          <w:spacing w:val="4"/>
          <w:vertAlign w:val="baseline"/>
        </w:rPr>
        <w:t> </w:t>
      </w:r>
      <w:r>
        <w:rPr>
          <w:vertAlign w:val="baseline"/>
        </w:rPr>
        <w:t>reach</w:t>
      </w:r>
      <w:r>
        <w:rPr>
          <w:spacing w:val="4"/>
          <w:vertAlign w:val="baseline"/>
        </w:rPr>
        <w:t> </w:t>
      </w:r>
      <w:r>
        <w:rPr>
          <w:vertAlign w:val="baseline"/>
        </w:rPr>
        <w:t>the</w:t>
      </w:r>
      <w:r>
        <w:rPr>
          <w:spacing w:val="4"/>
          <w:vertAlign w:val="baseline"/>
        </w:rPr>
        <w:t> </w:t>
      </w:r>
      <w:r>
        <w:rPr>
          <w:vertAlign w:val="baseline"/>
        </w:rPr>
        <w:t>unrealistic</w:t>
      </w:r>
      <w:r>
        <w:rPr>
          <w:spacing w:val="4"/>
          <w:vertAlign w:val="baseline"/>
        </w:rPr>
        <w:t> </w:t>
      </w:r>
      <w:r>
        <w:rPr>
          <w:vertAlign w:val="baseline"/>
        </w:rPr>
        <w:t>conclusion</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parties</w:t>
      </w:r>
      <w:r>
        <w:rPr>
          <w:spacing w:val="4"/>
          <w:vertAlign w:val="baseline"/>
        </w:rPr>
        <w:t> </w:t>
      </w:r>
      <w:r>
        <w:rPr>
          <w:spacing w:val="-2"/>
          <w:vertAlign w:val="baseline"/>
        </w:rPr>
        <w:t>lacked</w:t>
      </w:r>
    </w:p>
    <w:p>
      <w:pPr>
        <w:pStyle w:val="BodyText"/>
        <w:spacing w:before="5"/>
      </w:pPr>
    </w:p>
    <w:p>
      <w:pPr>
        <w:pStyle w:val="BodyText"/>
        <w:spacing w:line="235" w:lineRule="auto" w:before="1"/>
        <w:ind w:left="164" w:right="167"/>
        <w:jc w:val="both"/>
      </w:pPr>
      <w:bookmarkStart w:name="_bookmark1713" w:id="1715"/>
      <w:bookmarkEnd w:id="1715"/>
      <w:r>
        <w:rPr/>
      </w:r>
      <w:r>
        <w:rPr/>
        <w:t>intention</w:t>
      </w:r>
      <w:r>
        <w:rPr>
          <w:spacing w:val="-2"/>
        </w:rPr>
        <w:t> </w:t>
      </w:r>
      <w:r>
        <w:rPr/>
        <w:t>to</w:t>
      </w:r>
      <w:r>
        <w:rPr>
          <w:spacing w:val="-2"/>
        </w:rPr>
        <w:t> </w:t>
      </w:r>
      <w:r>
        <w:rPr/>
        <w:t>be</w:t>
      </w:r>
      <w:r>
        <w:rPr>
          <w:spacing w:val="-2"/>
        </w:rPr>
        <w:t> </w:t>
      </w:r>
      <w:r>
        <w:rPr/>
        <w:t>legally</w:t>
      </w:r>
      <w:r>
        <w:rPr>
          <w:spacing w:val="-2"/>
        </w:rPr>
        <w:t> </w:t>
      </w:r>
      <w:r>
        <w:rPr/>
        <w:t>bound.</w:t>
      </w:r>
      <w:r>
        <w:rPr>
          <w:spacing w:val="-3"/>
        </w:rPr>
        <w:t> </w:t>
      </w:r>
      <w:r>
        <w:rPr>
          <w:color w:val="005DA1"/>
          <w:u w:val="single" w:color="005DA1"/>
          <w:vertAlign w:val="superscript"/>
        </w:rPr>
        <w:t>909</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136" name="Image 136"/>
            <wp:cNvGraphicFramePr>
              <a:graphicFrameLocks/>
            </wp:cNvGraphicFramePr>
            <a:graphic>
              <a:graphicData uri="http://schemas.openxmlformats.org/drawingml/2006/picture">
                <pic:pic>
                  <pic:nvPicPr>
                    <pic:cNvPr id="136" name="Image 136"/>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vertAlign w:val="baseline"/>
        </w:rPr>
        <w:t> </w:t>
      </w:r>
      <w:r>
        <w:rPr>
          <w:vertAlign w:val="baseline"/>
        </w:rPr>
        <w:t>The</w:t>
      </w:r>
      <w:r>
        <w:rPr>
          <w:spacing w:val="-2"/>
          <w:vertAlign w:val="baseline"/>
        </w:rPr>
        <w:t> </w:t>
      </w:r>
      <w:r>
        <w:rPr>
          <w:vertAlign w:val="baseline"/>
        </w:rPr>
        <w:t>objective</w:t>
      </w:r>
      <w:r>
        <w:rPr>
          <w:spacing w:val="-2"/>
          <w:vertAlign w:val="baseline"/>
        </w:rPr>
        <w:t> </w:t>
      </w:r>
      <w:r>
        <w:rPr>
          <w:vertAlign w:val="baseline"/>
        </w:rPr>
        <w:t>test</w:t>
      </w:r>
      <w:r>
        <w:rPr>
          <w:spacing w:val="-2"/>
          <w:vertAlign w:val="baseline"/>
        </w:rPr>
        <w:t> </w:t>
      </w:r>
      <w:r>
        <w:rPr>
          <w:vertAlign w:val="baseline"/>
        </w:rPr>
        <w:t>is,</w:t>
      </w:r>
      <w:r>
        <w:rPr>
          <w:spacing w:val="-2"/>
          <w:vertAlign w:val="baseline"/>
        </w:rPr>
        <w:t> </w:t>
      </w:r>
      <w:r>
        <w:rPr>
          <w:vertAlign w:val="baseline"/>
        </w:rPr>
        <w:t>however,</w:t>
      </w:r>
      <w:r>
        <w:rPr>
          <w:spacing w:val="-2"/>
          <w:vertAlign w:val="baseline"/>
        </w:rPr>
        <w:t> </w:t>
      </w:r>
      <w:r>
        <w:rPr>
          <w:vertAlign w:val="baseline"/>
        </w:rPr>
        <w:t>here</w:t>
      </w:r>
      <w:r>
        <w:rPr>
          <w:spacing w:val="-2"/>
          <w:vertAlign w:val="baseline"/>
        </w:rPr>
        <w:t> </w:t>
      </w:r>
      <w:r>
        <w:rPr>
          <w:vertAlign w:val="baseline"/>
        </w:rPr>
        <w:t>(as</w:t>
      </w:r>
      <w:r>
        <w:rPr>
          <w:spacing w:val="-2"/>
          <w:vertAlign w:val="baseline"/>
        </w:rPr>
        <w:t> </w:t>
      </w:r>
      <w:r>
        <w:rPr>
          <w:vertAlign w:val="baseline"/>
        </w:rPr>
        <w:t>elsewhere)</w:t>
      </w:r>
      <w:r>
        <w:rPr>
          <w:spacing w:val="-3"/>
          <w:vertAlign w:val="baseline"/>
        </w:rPr>
        <w:t> </w:t>
      </w:r>
      <w:r>
        <w:rPr>
          <w:color w:val="005DA1"/>
          <w:u w:val="single" w:color="005DA1"/>
          <w:vertAlign w:val="superscript"/>
        </w:rPr>
        <w:t>910</w:t>
      </w:r>
      <w:r>
        <w:rPr>
          <w:color w:val="005DA1"/>
          <w:spacing w:val="80"/>
          <w:vertAlign w:val="baseline"/>
        </w:rPr>
        <w:t> </w:t>
      </w:r>
      <w:r>
        <w:rPr>
          <w:color w:val="005DA1"/>
          <w:spacing w:val="3"/>
          <w:position w:val="-2"/>
          <w:vertAlign w:val="baseline"/>
        </w:rPr>
        <w:drawing>
          <wp:inline distT="0" distB="0" distL="0" distR="0">
            <wp:extent cx="107988" cy="107988"/>
            <wp:effectExtent l="0" t="0" r="0" b="0"/>
            <wp:docPr id="137" name="Image 137"/>
            <wp:cNvGraphicFramePr>
              <a:graphicFrameLocks/>
            </wp:cNvGraphicFramePr>
            <a:graphic>
              <a:graphicData uri="http://schemas.openxmlformats.org/drawingml/2006/picture">
                <pic:pic>
                  <pic:nvPicPr>
                    <pic:cNvPr id="137" name="Image 137"/>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3"/>
          <w:position w:val="-2"/>
          <w:vertAlign w:val="baseline"/>
        </w:rPr>
      </w:r>
      <w:r>
        <w:rPr>
          <w:rFonts w:ascii="Times New Roman" w:hAnsi="Times New Roman"/>
          <w:color w:val="005DA1"/>
          <w:vertAlign w:val="baseline"/>
        </w:rPr>
        <w:t> </w:t>
      </w:r>
      <w:r>
        <w:rPr>
          <w:vertAlign w:val="baseline"/>
        </w:rPr>
        <w:t>subject to the limitation that it does not apply in favour of a party who knows the truth. Thus, in the house </w:t>
      </w:r>
      <w:r>
        <w:rPr>
          <w:vertAlign w:val="baseline"/>
        </w:rPr>
        <w:t>sale </w:t>
      </w:r>
      <w:bookmarkStart w:name="_bookmark1714" w:id="1716"/>
      <w:bookmarkEnd w:id="1716"/>
      <w:r>
        <w:rPr>
          <w:vertAlign w:val="baseline"/>
        </w:rPr>
        <w:t>example</w:t>
      </w:r>
      <w:r>
        <w:rPr>
          <w:vertAlign w:val="baseline"/>
        </w:rPr>
        <w:t> given above, the party who did not intend to be bound would not be bound if his state of</w:t>
      </w:r>
      <w:r>
        <w:rPr>
          <w:spacing w:val="40"/>
          <w:vertAlign w:val="baseline"/>
        </w:rPr>
        <w:t> </w:t>
      </w:r>
      <w:bookmarkStart w:name="_bookmark1715" w:id="1717"/>
      <w:bookmarkEnd w:id="1717"/>
      <w:r>
        <w:rPr>
          <w:vertAlign w:val="baseline"/>
        </w:rPr>
        <w:t>mind</w:t>
      </w:r>
      <w:r>
        <w:rPr>
          <w:vertAlign w:val="baseline"/>
        </w:rPr>
        <w:t> was actually known to the other party. </w:t>
      </w:r>
      <w:r>
        <w:rPr>
          <w:color w:val="005DA1"/>
          <w:u w:val="single" w:color="005DA1"/>
          <w:vertAlign w:val="superscript"/>
        </w:rPr>
        <w:t>911</w:t>
      </w:r>
      <w:r>
        <w:rPr>
          <w:color w:val="005DA1"/>
          <w:vertAlign w:val="baseline"/>
        </w:rPr>
        <w:t> </w:t>
      </w:r>
      <w:r>
        <w:rPr>
          <w:vertAlign w:val="baseline"/>
        </w:rPr>
        <w:t>Nor could a party who did not in fact intend to be bound invoke the objective test so as to bind the other party to the contract </w:t>
      </w:r>
      <w:r>
        <w:rPr>
          <w:color w:val="005DA1"/>
          <w:u w:val="single" w:color="005DA1"/>
          <w:vertAlign w:val="superscript"/>
        </w:rPr>
        <w:t>912</w:t>
      </w:r>
      <w:r>
        <w:rPr>
          <w:vertAlign w:val="baseline"/>
        </w:rPr>
        <w:t>: to permit this would pervert the purpose of the objective test, which is to protect a party who has relied on the objective appearance of consent from the prejudice which he would suffer if the other party could escape liability on the ground that he had no real intention to be bound. The objective test, moreover, merely prevents a party from relying on his </w:t>
      </w:r>
      <w:r>
        <w:rPr>
          <w:rFonts w:ascii="Arial" w:hAnsi="Arial"/>
          <w:i/>
          <w:vertAlign w:val="baseline"/>
        </w:rPr>
        <w:t>uncommunicated </w:t>
      </w:r>
      <w:r>
        <w:rPr>
          <w:vertAlign w:val="baseline"/>
        </w:rPr>
        <w:t>belief as to the binding force of the agreement. The test therefore does not apply where the parties have expressed their actual intention in the document alleged to constitute the contract: the question whether they intended the document to</w:t>
      </w:r>
      <w:r>
        <w:rPr>
          <w:spacing w:val="80"/>
          <w:vertAlign w:val="baseline"/>
        </w:rPr>
        <w:t> </w:t>
      </w:r>
      <w:bookmarkStart w:name="_bookmark1716" w:id="1718"/>
      <w:bookmarkEnd w:id="1718"/>
      <w:r>
        <w:rPr>
          <w:vertAlign w:val="baseline"/>
        </w:rPr>
        <w:t>have</w:t>
      </w:r>
      <w:r>
        <w:rPr>
          <w:vertAlign w:val="baseline"/>
        </w:rPr>
        <w:t> contractual force then becomes one “of construction of the documents as a whole what effect is </w:t>
      </w:r>
      <w:bookmarkStart w:name="_bookmark1717" w:id="1719"/>
      <w:bookmarkEnd w:id="1719"/>
      <w:r>
        <w:rPr>
          <w:vertAlign w:val="baseline"/>
        </w:rPr>
        <w:t>to</w:t>
      </w:r>
      <w:r>
        <w:rPr>
          <w:vertAlign w:val="baseline"/>
        </w:rPr>
        <w:t> be given to such a statement” </w:t>
      </w:r>
      <w:r>
        <w:rPr>
          <w:color w:val="005DA1"/>
          <w:u w:val="single" w:color="005DA1"/>
          <w:vertAlign w:val="superscript"/>
        </w:rPr>
        <w:t>913</w:t>
      </w:r>
      <w:r>
        <w:rPr>
          <w:vertAlign w:val="baseline"/>
        </w:rPr>
        <w:t>; and the general rule in cases of this kind is that a party who has signed the document is then bound by its terms, as so construed. </w:t>
      </w:r>
      <w:r>
        <w:rPr>
          <w:color w:val="005DA1"/>
          <w:u w:val="single" w:color="005DA1"/>
          <w:vertAlign w:val="superscript"/>
        </w:rPr>
        <w:t>914</w:t>
      </w:r>
    </w:p>
    <w:p>
      <w:pPr>
        <w:pStyle w:val="BodyText"/>
        <w:spacing w:before="84"/>
      </w:pPr>
    </w:p>
    <w:p>
      <w:pPr>
        <w:pStyle w:val="BodyText"/>
        <w:spacing w:line="235" w:lineRule="auto"/>
        <w:ind w:left="164" w:right="167"/>
        <w:jc w:val="both"/>
      </w:pPr>
      <w:bookmarkStart w:name="_bookmark1718" w:id="1720"/>
      <w:bookmarkEnd w:id="1720"/>
      <w:r>
        <w:rPr/>
      </w:r>
      <w:r>
        <w:rPr/>
        <w:t>This general rule is however subject to two exceptions. First, where the express terms of </w:t>
      </w:r>
      <w:r>
        <w:rPr/>
        <w:t>the document are a “sham”, </w:t>
      </w:r>
      <w:r>
        <w:rPr>
          <w:color w:val="005DA1"/>
          <w:u w:val="single" w:color="005DA1"/>
          <w:vertAlign w:val="superscript"/>
        </w:rPr>
        <w:t>915</w:t>
      </w:r>
      <w:r>
        <w:rPr>
          <w:color w:val="005DA1"/>
          <w:vertAlign w:val="baseline"/>
        </w:rPr>
        <w:t> </w:t>
      </w:r>
      <w:r>
        <w:rPr>
          <w:vertAlign w:val="baseline"/>
        </w:rPr>
        <w:t>in the sense of being designed by one party to give the appearance that the relationship created by the contract differs from the reality of that relationship, so as to deprive the other party of some protection or benefit given by law to a class of persons to which that other party </w:t>
      </w:r>
      <w:bookmarkStart w:name="_bookmark1719" w:id="1721"/>
      <w:bookmarkEnd w:id="1721"/>
      <w:r>
        <w:rPr>
          <w:vertAlign w:val="baseline"/>
        </w:rPr>
        <w:t>belongs</w:t>
      </w:r>
      <w:r>
        <w:rPr>
          <w:vertAlign w:val="baseline"/>
        </w:rPr>
        <w:t> (e.g. as tenants or as employees). Thus, an agreement may take effect as a lease even though it is expressed by the lessor to take effect only as a licence </w:t>
      </w:r>
      <w:r>
        <w:rPr>
          <w:color w:val="005DA1"/>
          <w:u w:val="single" w:color="005DA1"/>
          <w:vertAlign w:val="superscript"/>
        </w:rPr>
        <w:t>916</w:t>
      </w:r>
      <w:r>
        <w:rPr>
          <w:vertAlign w:val="baseline"/>
        </w:rPr>
        <w:t>; and an agreement may take effect as a contract of employment even though (contrary to the reality of the relationship created by</w:t>
      </w:r>
      <w:r>
        <w:rPr>
          <w:spacing w:val="40"/>
          <w:vertAlign w:val="baseline"/>
        </w:rPr>
        <w:t> </w:t>
      </w:r>
      <w:bookmarkStart w:name="_bookmark1720" w:id="1722"/>
      <w:bookmarkEnd w:id="1722"/>
      <w:r>
        <w:rPr>
          <w:vertAlign w:val="baseline"/>
        </w:rPr>
        <w:t>it)</w:t>
      </w:r>
      <w:r>
        <w:rPr>
          <w:vertAlign w:val="baseline"/>
        </w:rPr>
        <w:t> it described the party who is in truth the other’s employee as being an independent contractor and </w:t>
      </w:r>
      <w:bookmarkStart w:name="_bookmark1721" w:id="1723"/>
      <w:bookmarkEnd w:id="1723"/>
      <w:r>
        <w:rPr>
          <w:vertAlign w:val="baseline"/>
        </w:rPr>
        <w:t>not</w:t>
      </w:r>
      <w:r>
        <w:rPr>
          <w:vertAlign w:val="baseline"/>
        </w:rPr>
        <w:t> an employee. </w:t>
      </w:r>
      <w:r>
        <w:rPr>
          <w:color w:val="005DA1"/>
          <w:u w:val="single" w:color="005DA1"/>
          <w:vertAlign w:val="superscript"/>
        </w:rPr>
        <w:t>917</w:t>
      </w:r>
      <w:r>
        <w:rPr>
          <w:color w:val="005DA1"/>
          <w:vertAlign w:val="baseline"/>
        </w:rPr>
        <w:t> </w:t>
      </w:r>
      <w:r>
        <w:rPr>
          <w:vertAlign w:val="baseline"/>
        </w:rPr>
        <w:t>Second, an agreement, may, on its true construction, be of a different character </w:t>
      </w:r>
      <w:bookmarkStart w:name="_bookmark1722" w:id="1724"/>
      <w:bookmarkEnd w:id="1724"/>
      <w:r>
        <w:rPr>
          <w:vertAlign w:val="baseline"/>
        </w:rPr>
        <w:t>from</w:t>
      </w:r>
      <w:r>
        <w:rPr>
          <w:vertAlign w:val="baseline"/>
        </w:rPr>
        <w:t> the way in which it has been characterised. </w:t>
      </w:r>
      <w:r>
        <w:rPr>
          <w:color w:val="005DA1"/>
          <w:u w:val="single" w:color="005DA1"/>
          <w:vertAlign w:val="superscript"/>
        </w:rPr>
        <w:t>918</w:t>
      </w:r>
      <w:r>
        <w:rPr>
          <w:color w:val="005DA1"/>
          <w:vertAlign w:val="baseline"/>
        </w:rPr>
        <w:t> </w:t>
      </w:r>
      <w:r>
        <w:rPr>
          <w:vertAlign w:val="baseline"/>
        </w:rPr>
        <w:t>Thus, where “the parties may have thought that </w:t>
      </w:r>
      <w:bookmarkStart w:name="_bookmark1723" w:id="1725"/>
      <w:bookmarkEnd w:id="1725"/>
      <w:r>
        <w:rPr>
          <w:vertAlign w:val="baseline"/>
        </w:rPr>
        <w:t>they</w:t>
      </w:r>
      <w:r>
        <w:rPr>
          <w:vertAlign w:val="baseline"/>
        </w:rPr>
        <w:t> were creating a tenancy” </w:t>
      </w:r>
      <w:r>
        <w:rPr>
          <w:color w:val="005DA1"/>
          <w:u w:val="single" w:color="005DA1"/>
          <w:vertAlign w:val="superscript"/>
        </w:rPr>
        <w:t>919</w:t>
      </w:r>
      <w:r>
        <w:rPr>
          <w:color w:val="005DA1"/>
          <w:vertAlign w:val="baseline"/>
        </w:rPr>
        <w:t> </w:t>
      </w:r>
      <w:r>
        <w:rPr>
          <w:vertAlign w:val="baseline"/>
        </w:rPr>
        <w:t>but their “agreement is incapable of taking effect as a tenancy for </w:t>
      </w:r>
      <w:bookmarkStart w:name="_bookmark1724" w:id="1726"/>
      <w:bookmarkEnd w:id="1726"/>
      <w:r>
        <w:rPr>
          <w:vertAlign w:val="baseline"/>
        </w:rPr>
        <w:t>some</w:t>
      </w:r>
      <w:r>
        <w:rPr>
          <w:vertAlign w:val="baseline"/>
        </w:rPr>
        <w:t> old and technical reason of property law”, </w:t>
      </w:r>
      <w:r>
        <w:rPr>
          <w:color w:val="005DA1"/>
          <w:u w:val="single" w:color="005DA1"/>
          <w:vertAlign w:val="superscript"/>
        </w:rPr>
        <w:t>920</w:t>
      </w:r>
      <w:r>
        <w:rPr>
          <w:color w:val="005DA1"/>
          <w:vertAlign w:val="baseline"/>
        </w:rPr>
        <w:t> </w:t>
      </w:r>
      <w:r>
        <w:rPr>
          <w:vertAlign w:val="baseline"/>
        </w:rPr>
        <w:t>then there is “no reason for not holding that they have</w:t>
      </w:r>
      <w:r>
        <w:rPr>
          <w:spacing w:val="-1"/>
          <w:vertAlign w:val="baseline"/>
        </w:rPr>
        <w:t> </w:t>
      </w:r>
      <w:r>
        <w:rPr>
          <w:vertAlign w:val="baseline"/>
        </w:rPr>
        <w:t>agreed</w:t>
      </w:r>
      <w:r>
        <w:rPr>
          <w:spacing w:val="-1"/>
          <w:vertAlign w:val="baseline"/>
        </w:rPr>
        <w:t> </w:t>
      </w:r>
      <w:r>
        <w:rPr>
          <w:vertAlign w:val="baseline"/>
        </w:rPr>
        <w:t>a</w:t>
      </w:r>
      <w:r>
        <w:rPr>
          <w:spacing w:val="-1"/>
          <w:vertAlign w:val="baseline"/>
        </w:rPr>
        <w:t> </w:t>
      </w:r>
      <w:r>
        <w:rPr>
          <w:vertAlign w:val="baseline"/>
        </w:rPr>
        <w:t>contractual</w:t>
      </w:r>
      <w:r>
        <w:rPr>
          <w:spacing w:val="-1"/>
          <w:vertAlign w:val="baseline"/>
        </w:rPr>
        <w:t> </w:t>
      </w:r>
      <w:r>
        <w:rPr>
          <w:vertAlign w:val="baseline"/>
        </w:rPr>
        <w:t>licence”</w:t>
      </w:r>
      <w:r>
        <w:rPr>
          <w:spacing w:val="-1"/>
          <w:vertAlign w:val="baseline"/>
        </w:rPr>
        <w:t> </w:t>
      </w:r>
      <w:r>
        <w:rPr>
          <w:color w:val="005DA1"/>
          <w:u w:val="single" w:color="005DA1"/>
          <w:vertAlign w:val="superscript"/>
        </w:rPr>
        <w:t>921</w:t>
      </w:r>
      <w:r>
        <w:rPr>
          <w:color w:val="005DA1"/>
          <w:spacing w:val="-1"/>
          <w:vertAlign w:val="baseline"/>
        </w:rPr>
        <w:t> </w:t>
      </w:r>
      <w:r>
        <w:rPr>
          <w:vertAlign w:val="baseline"/>
        </w:rPr>
        <w:t>if</w:t>
      </w:r>
      <w:r>
        <w:rPr>
          <w:spacing w:val="-1"/>
          <w:vertAlign w:val="baseline"/>
        </w:rPr>
        <w:t> </w:t>
      </w:r>
      <w:r>
        <w:rPr>
          <w:vertAlign w:val="baseline"/>
        </w:rPr>
        <w:t>applying</w:t>
      </w:r>
      <w:r>
        <w:rPr>
          <w:spacing w:val="-1"/>
          <w:vertAlign w:val="baseline"/>
        </w:rPr>
        <w:t> </w:t>
      </w:r>
      <w:r>
        <w:rPr>
          <w:vertAlign w:val="baseline"/>
        </w:rPr>
        <w:t>the</w:t>
      </w:r>
      <w:r>
        <w:rPr>
          <w:spacing w:val="-1"/>
          <w:vertAlign w:val="baseline"/>
        </w:rPr>
        <w:t> </w:t>
      </w:r>
      <w:r>
        <w:rPr>
          <w:vertAlign w:val="baseline"/>
        </w:rPr>
        <w:t>objective</w:t>
      </w:r>
      <w:r>
        <w:rPr>
          <w:spacing w:val="-1"/>
          <w:vertAlign w:val="baseline"/>
        </w:rPr>
        <w:t> </w:t>
      </w:r>
      <w:r>
        <w:rPr>
          <w:vertAlign w:val="baseline"/>
        </w:rPr>
        <w:t>test,</w:t>
      </w:r>
      <w:r>
        <w:rPr>
          <w:spacing w:val="-1"/>
          <w:vertAlign w:val="baseline"/>
        </w:rPr>
        <w:t> </w:t>
      </w:r>
      <w:r>
        <w:rPr>
          <w:vertAlign w:val="baseline"/>
        </w:rPr>
        <w:t>that</w:t>
      </w:r>
      <w:r>
        <w:rPr>
          <w:spacing w:val="-1"/>
          <w:vertAlign w:val="baseline"/>
        </w:rPr>
        <w:t> </w:t>
      </w:r>
      <w:r>
        <w:rPr>
          <w:vertAlign w:val="baseline"/>
        </w:rPr>
        <w:t>is</w:t>
      </w:r>
      <w:r>
        <w:rPr>
          <w:spacing w:val="-1"/>
          <w:vertAlign w:val="baseline"/>
        </w:rPr>
        <w:t> </w:t>
      </w:r>
      <w:r>
        <w:rPr>
          <w:vertAlign w:val="baseline"/>
        </w:rPr>
        <w:t>what</w:t>
      </w:r>
      <w:r>
        <w:rPr>
          <w:spacing w:val="-1"/>
          <w:vertAlign w:val="baseline"/>
        </w:rPr>
        <w:t> </w:t>
      </w:r>
      <w:r>
        <w:rPr>
          <w:vertAlign w:val="baseline"/>
        </w:rPr>
        <w:t>“they</w:t>
      </w:r>
      <w:r>
        <w:rPr>
          <w:spacing w:val="-1"/>
          <w:vertAlign w:val="baseline"/>
        </w:rPr>
        <w:t> </w:t>
      </w:r>
      <w:r>
        <w:rPr>
          <w:vertAlign w:val="baseline"/>
        </w:rPr>
        <w:t>are</w:t>
      </w:r>
      <w:r>
        <w:rPr>
          <w:spacing w:val="-1"/>
          <w:vertAlign w:val="baseline"/>
        </w:rPr>
        <w:t> </w:t>
      </w:r>
      <w:r>
        <w:rPr>
          <w:vertAlign w:val="baseline"/>
        </w:rPr>
        <w:t>likely</w:t>
      </w:r>
      <w:r>
        <w:rPr>
          <w:spacing w:val="-1"/>
          <w:vertAlign w:val="baseline"/>
        </w:rPr>
        <w:t> </w:t>
      </w:r>
      <w:r>
        <w:rPr>
          <w:vertAlign w:val="baseline"/>
        </w:rPr>
        <w:t>to</w:t>
      </w:r>
      <w:r>
        <w:rPr>
          <w:spacing w:val="-1"/>
          <w:vertAlign w:val="baseline"/>
        </w:rPr>
        <w:t> </w:t>
      </w:r>
      <w:r>
        <w:rPr>
          <w:spacing w:val="-4"/>
          <w:vertAlign w:val="baseline"/>
        </w:rPr>
        <w:t>have</w:t>
      </w:r>
    </w:p>
    <w:p>
      <w:pPr>
        <w:pStyle w:val="BodyText"/>
        <w:spacing w:after="0" w:line="235" w:lineRule="auto"/>
        <w:jc w:val="both"/>
        <w:sectPr>
          <w:pgSz w:w="11900" w:h="16840"/>
          <w:pgMar w:header="971" w:footer="0" w:top="1300" w:bottom="280" w:left="1275" w:right="1275"/>
        </w:sectPr>
      </w:pPr>
    </w:p>
    <w:p>
      <w:pPr>
        <w:pStyle w:val="BodyText"/>
        <w:spacing w:before="166"/>
        <w:ind w:left="165"/>
        <w:jc w:val="both"/>
      </w:pPr>
      <w:bookmarkStart w:name="_bookmark1725" w:id="1727"/>
      <w:bookmarkEnd w:id="1727"/>
      <w:r>
        <w:rPr/>
      </w:r>
      <w:r>
        <w:rPr/>
        <w:t>intended”.</w:t>
      </w:r>
      <w:r>
        <w:rPr>
          <w:spacing w:val="-1"/>
        </w:rPr>
        <w:t> </w:t>
      </w:r>
      <w:r>
        <w:rPr>
          <w:color w:val="005DA1"/>
          <w:spacing w:val="-5"/>
          <w:u w:val="single" w:color="005DA1"/>
          <w:vertAlign w:val="superscript"/>
        </w:rPr>
        <w:t>922</w:t>
      </w:r>
    </w:p>
    <w:p>
      <w:pPr>
        <w:pStyle w:val="BodyText"/>
      </w:pPr>
    </w:p>
    <w:p>
      <w:pPr>
        <w:pStyle w:val="BodyText"/>
        <w:spacing w:before="38"/>
      </w:pPr>
    </w:p>
    <w:p>
      <w:pPr>
        <w:spacing w:before="0"/>
        <w:ind w:left="165" w:right="0" w:firstLine="0"/>
        <w:jc w:val="both"/>
        <w:rPr>
          <w:rFonts w:ascii="Arial"/>
          <w:b/>
          <w:sz w:val="18"/>
        </w:rPr>
      </w:pPr>
      <w:r>
        <w:rPr>
          <w:rFonts w:ascii="Arial"/>
          <w:b/>
          <w:sz w:val="18"/>
        </w:rPr>
        <w:t>Intention expressly </w:t>
      </w:r>
      <w:r>
        <w:rPr>
          <w:rFonts w:ascii="Arial"/>
          <w:b/>
          <w:spacing w:val="-2"/>
          <w:sz w:val="18"/>
        </w:rPr>
        <w:t>negatived</w:t>
      </w:r>
    </w:p>
    <w:p>
      <w:pPr>
        <w:pStyle w:val="BodyText"/>
        <w:spacing w:before="41"/>
        <w:rPr>
          <w:rFonts w:ascii="Arial"/>
          <w:b/>
          <w:sz w:val="18"/>
        </w:rPr>
      </w:pPr>
    </w:p>
    <w:p>
      <w:pPr>
        <w:pStyle w:val="Heading2"/>
      </w:pPr>
      <w:r>
        <w:rPr/>
        <w:t>2-</w:t>
      </w:r>
      <w:r>
        <w:rPr>
          <w:spacing w:val="-5"/>
        </w:rPr>
        <w:t>171</w:t>
      </w:r>
    </w:p>
    <w:p>
      <w:pPr>
        <w:pStyle w:val="BodyText"/>
        <w:spacing w:line="227" w:lineRule="exact" w:before="199"/>
        <w:ind w:left="165"/>
        <w:jc w:val="both"/>
      </w:pPr>
      <w:bookmarkStart w:name="_bookmark1726" w:id="1728"/>
      <w:bookmarkEnd w:id="1728"/>
      <w:r>
        <w:rPr/>
      </w:r>
      <w:bookmarkStart w:name="_bookmark1727" w:id="1729"/>
      <w:bookmarkEnd w:id="1729"/>
      <w:r>
        <w:rPr/>
      </w:r>
      <w:r>
        <w:rPr/>
        <w:t>The</w:t>
      </w:r>
      <w:r>
        <w:rPr>
          <w:spacing w:val="3"/>
        </w:rPr>
        <w:t> </w:t>
      </w:r>
      <w:r>
        <w:rPr/>
        <w:t>agreement</w:t>
      </w:r>
      <w:r>
        <w:rPr>
          <w:spacing w:val="4"/>
        </w:rPr>
        <w:t> </w:t>
      </w:r>
      <w:r>
        <w:rPr/>
        <w:t>may</w:t>
      </w:r>
      <w:r>
        <w:rPr>
          <w:spacing w:val="4"/>
        </w:rPr>
        <w:t> </w:t>
      </w:r>
      <w:r>
        <w:rPr/>
        <w:t>contain</w:t>
      </w:r>
      <w:r>
        <w:rPr>
          <w:spacing w:val="3"/>
        </w:rPr>
        <w:t> </w:t>
      </w:r>
      <w:r>
        <w:rPr/>
        <w:t>an</w:t>
      </w:r>
      <w:r>
        <w:rPr>
          <w:spacing w:val="4"/>
        </w:rPr>
        <w:t> </w:t>
      </w:r>
      <w:r>
        <w:rPr/>
        <w:t>express</w:t>
      </w:r>
      <w:r>
        <w:rPr>
          <w:spacing w:val="3"/>
        </w:rPr>
        <w:t> </w:t>
      </w:r>
      <w:r>
        <w:rPr/>
        <w:t>provision</w:t>
      </w:r>
      <w:r>
        <w:rPr>
          <w:spacing w:val="4"/>
        </w:rPr>
        <w:t> </w:t>
      </w:r>
      <w:r>
        <w:rPr/>
        <w:t>negativing</w:t>
      </w:r>
      <w:r>
        <w:rPr>
          <w:spacing w:val="4"/>
        </w:rPr>
        <w:t> </w:t>
      </w:r>
      <w:r>
        <w:rPr/>
        <w:t>contractual</w:t>
      </w:r>
      <w:r>
        <w:rPr>
          <w:spacing w:val="3"/>
        </w:rPr>
        <w:t> </w:t>
      </w:r>
      <w:r>
        <w:rPr/>
        <w:t>intention.</w:t>
      </w:r>
      <w:r>
        <w:rPr>
          <w:spacing w:val="3"/>
        </w:rPr>
        <w:t> </w:t>
      </w:r>
      <w:r>
        <w:rPr>
          <w:color w:val="005DA1"/>
          <w:u w:val="single" w:color="005DA1"/>
          <w:vertAlign w:val="superscript"/>
        </w:rPr>
        <w:t>923</w:t>
      </w:r>
      <w:r>
        <w:rPr>
          <w:color w:val="005DA1"/>
          <w:spacing w:val="4"/>
          <w:vertAlign w:val="baseline"/>
        </w:rPr>
        <w:t> </w:t>
      </w:r>
      <w:r>
        <w:rPr>
          <w:vertAlign w:val="baseline"/>
        </w:rPr>
        <w:t>For</w:t>
      </w:r>
      <w:r>
        <w:rPr>
          <w:spacing w:val="3"/>
          <w:vertAlign w:val="baseline"/>
        </w:rPr>
        <w:t> </w:t>
      </w:r>
      <w:r>
        <w:rPr>
          <w:vertAlign w:val="baseline"/>
        </w:rPr>
        <w:t>example,</w:t>
      </w:r>
      <w:r>
        <w:rPr>
          <w:spacing w:val="4"/>
          <w:vertAlign w:val="baseline"/>
        </w:rPr>
        <w:t> </w:t>
      </w:r>
      <w:r>
        <w:rPr>
          <w:spacing w:val="-5"/>
          <w:vertAlign w:val="baseline"/>
        </w:rPr>
        <w:t>in</w:t>
      </w:r>
    </w:p>
    <w:p>
      <w:pPr>
        <w:spacing w:line="227" w:lineRule="exact" w:before="0"/>
        <w:ind w:left="165" w:right="0" w:firstLine="0"/>
        <w:jc w:val="left"/>
        <w:rPr>
          <w:sz w:val="20"/>
        </w:rPr>
      </w:pPr>
      <w:r>
        <w:rPr>
          <w:rFonts w:ascii="Arial"/>
          <w:i/>
          <w:sz w:val="20"/>
        </w:rPr>
        <w:t>Rose</w:t>
      </w:r>
      <w:r>
        <w:rPr>
          <w:rFonts w:ascii="Arial"/>
          <w:i/>
          <w:spacing w:val="-2"/>
          <w:sz w:val="20"/>
        </w:rPr>
        <w:t> </w:t>
      </w:r>
      <w:r>
        <w:rPr>
          <w:rFonts w:ascii="Arial"/>
          <w:i/>
          <w:sz w:val="20"/>
        </w:rPr>
        <w:t>&amp;</w:t>
      </w:r>
      <w:r>
        <w:rPr>
          <w:rFonts w:ascii="Arial"/>
          <w:i/>
          <w:spacing w:val="-1"/>
          <w:sz w:val="20"/>
        </w:rPr>
        <w:t> </w:t>
      </w:r>
      <w:r>
        <w:rPr>
          <w:rFonts w:ascii="Arial"/>
          <w:i/>
          <w:sz w:val="20"/>
        </w:rPr>
        <w:t>Frank</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2"/>
          <w:sz w:val="20"/>
        </w:rPr>
        <w:t> </w:t>
      </w:r>
      <w:r>
        <w:rPr>
          <w:rFonts w:ascii="Arial"/>
          <w:i/>
          <w:sz w:val="20"/>
        </w:rPr>
        <w:t>J.R.</w:t>
      </w:r>
      <w:r>
        <w:rPr>
          <w:rFonts w:ascii="Arial"/>
          <w:i/>
          <w:spacing w:val="-1"/>
          <w:sz w:val="20"/>
        </w:rPr>
        <w:t> </w:t>
      </w:r>
      <w:r>
        <w:rPr>
          <w:rFonts w:ascii="Arial"/>
          <w:i/>
          <w:sz w:val="20"/>
        </w:rPr>
        <w:t>Crompton</w:t>
      </w:r>
      <w:r>
        <w:rPr>
          <w:rFonts w:ascii="Arial"/>
          <w:i/>
          <w:spacing w:val="-1"/>
          <w:sz w:val="20"/>
        </w:rPr>
        <w:t> </w:t>
      </w:r>
      <w:r>
        <w:rPr>
          <w:rFonts w:ascii="Arial"/>
          <w:i/>
          <w:sz w:val="20"/>
        </w:rPr>
        <w:t>&amp;</w:t>
      </w:r>
      <w:r>
        <w:rPr>
          <w:rFonts w:ascii="Arial"/>
          <w:i/>
          <w:spacing w:val="-1"/>
          <w:sz w:val="20"/>
        </w:rPr>
        <w:t> </w:t>
      </w:r>
      <w:r>
        <w:rPr>
          <w:rFonts w:ascii="Arial"/>
          <w:i/>
          <w:sz w:val="20"/>
        </w:rPr>
        <w:t>Bros</w:t>
      </w:r>
      <w:r>
        <w:rPr>
          <w:rFonts w:ascii="Arial"/>
          <w:i/>
          <w:spacing w:val="-2"/>
          <w:sz w:val="20"/>
        </w:rPr>
        <w:t> </w:t>
      </w:r>
      <w:r>
        <w:rPr>
          <w:rFonts w:ascii="Arial"/>
          <w:i/>
          <w:sz w:val="20"/>
        </w:rPr>
        <w:t>Ltd</w:t>
      </w:r>
      <w:r>
        <w:rPr>
          <w:rFonts w:ascii="Arial"/>
          <w:i/>
          <w:spacing w:val="-2"/>
          <w:sz w:val="20"/>
        </w:rPr>
        <w:t> </w:t>
      </w:r>
      <w:r>
        <w:rPr>
          <w:color w:val="005DA1"/>
          <w:sz w:val="20"/>
          <w:u w:val="single" w:color="005DA1"/>
          <w:vertAlign w:val="superscript"/>
        </w:rPr>
        <w:t>924</w:t>
      </w:r>
      <w:r>
        <w:rPr>
          <w:color w:val="005DA1"/>
          <w:spacing w:val="-2"/>
          <w:sz w:val="20"/>
          <w:vertAlign w:val="baseline"/>
        </w:rPr>
        <w:t> </w:t>
      </w:r>
      <w:r>
        <w:rPr>
          <w:sz w:val="20"/>
          <w:vertAlign w:val="baseline"/>
        </w:rPr>
        <w:t>an</w:t>
      </w:r>
      <w:r>
        <w:rPr>
          <w:spacing w:val="-1"/>
          <w:sz w:val="20"/>
          <w:vertAlign w:val="baseline"/>
        </w:rPr>
        <w:t> </w:t>
      </w:r>
      <w:r>
        <w:rPr>
          <w:sz w:val="20"/>
          <w:vertAlign w:val="baseline"/>
        </w:rPr>
        <w:t>agency</w:t>
      </w:r>
      <w:r>
        <w:rPr>
          <w:spacing w:val="-2"/>
          <w:sz w:val="20"/>
          <w:vertAlign w:val="baseline"/>
        </w:rPr>
        <w:t> </w:t>
      </w:r>
      <w:r>
        <w:rPr>
          <w:sz w:val="20"/>
          <w:vertAlign w:val="baseline"/>
        </w:rPr>
        <w:t>agreement</w:t>
      </w:r>
      <w:r>
        <w:rPr>
          <w:spacing w:val="-1"/>
          <w:sz w:val="20"/>
          <w:vertAlign w:val="baseline"/>
        </w:rPr>
        <w:t> </w:t>
      </w:r>
      <w:r>
        <w:rPr>
          <w:spacing w:val="-2"/>
          <w:sz w:val="20"/>
          <w:vertAlign w:val="baseline"/>
        </w:rPr>
        <w:t>provided:</w:t>
      </w:r>
    </w:p>
    <w:p>
      <w:pPr>
        <w:pStyle w:val="BodyText"/>
      </w:pPr>
    </w:p>
    <w:p>
      <w:pPr>
        <w:pStyle w:val="BodyText"/>
        <w:spacing w:before="125"/>
      </w:pPr>
    </w:p>
    <w:p>
      <w:pPr>
        <w:pStyle w:val="BodyText"/>
        <w:spacing w:line="235" w:lineRule="auto" w:before="1"/>
        <w:ind w:left="1245" w:right="167"/>
        <w:jc w:val="both"/>
      </w:pPr>
      <w:r>
        <w:rPr/>
        <w:t>“This arrangement is not entered into, nor is this memorandum written, as a formal </w:t>
      </w:r>
      <w:r>
        <w:rPr/>
        <w:t>or legal agreement … but it is only a definite expression and record of the purpose and intention of the … parties concerned, to which they each honourably pledge themselves.”</w:t>
      </w:r>
    </w:p>
    <w:p>
      <w:pPr>
        <w:pStyle w:val="BodyText"/>
      </w:pPr>
    </w:p>
    <w:p>
      <w:pPr>
        <w:pStyle w:val="BodyText"/>
        <w:spacing w:before="205"/>
      </w:pPr>
    </w:p>
    <w:p>
      <w:pPr>
        <w:pStyle w:val="BodyText"/>
        <w:spacing w:line="235" w:lineRule="auto"/>
        <w:ind w:left="165" w:right="167"/>
        <w:jc w:val="both"/>
      </w:pPr>
      <w:bookmarkStart w:name="_bookmark1728" w:id="1730"/>
      <w:bookmarkEnd w:id="1730"/>
      <w:r>
        <w:rPr/>
      </w:r>
      <w:r>
        <w:rPr/>
        <w:t>It was held that this “honour clause” negatived contractual intention. Similarly agreements for the sale </w:t>
      </w:r>
      <w:bookmarkStart w:name="_bookmark1729" w:id="1731"/>
      <w:bookmarkEnd w:id="1731"/>
      <w:r>
        <w:rPr/>
        <w:t>of</w:t>
      </w:r>
      <w:r>
        <w:rPr/>
        <w:t> land are generally made “subject to contract”. These words negative contractual intention, </w:t>
      </w:r>
      <w:r>
        <w:rPr>
          <w:color w:val="005DA1"/>
          <w:u w:val="single" w:color="005DA1"/>
          <w:vertAlign w:val="superscript"/>
        </w:rPr>
        <w:t>925</w:t>
      </w:r>
      <w:r>
        <w:rPr>
          <w:color w:val="005DA1"/>
          <w:vertAlign w:val="baseline"/>
        </w:rPr>
        <w:t> </w:t>
      </w:r>
      <w:r>
        <w:rPr>
          <w:vertAlign w:val="baseline"/>
        </w:rPr>
        <w:t>so that the parties are not normally bound until formal contracts are exchanged. </w:t>
      </w:r>
      <w:r>
        <w:rPr>
          <w:color w:val="005DA1"/>
          <w:u w:val="single" w:color="005DA1"/>
          <w:vertAlign w:val="superscript"/>
        </w:rPr>
        <w:t>926</w:t>
      </w:r>
      <w:r>
        <w:rPr>
          <w:color w:val="005DA1"/>
          <w:vertAlign w:val="baseline"/>
        </w:rPr>
        <w:t> </w:t>
      </w:r>
      <w:r>
        <w:rPr>
          <w:vertAlign w:val="baseline"/>
        </w:rPr>
        <w:t>It is a crucial part of </w:t>
      </w:r>
      <w:bookmarkStart w:name="_bookmark1730" w:id="1732"/>
      <w:bookmarkEnd w:id="1732"/>
      <w:r>
        <w:rPr>
          <w:vertAlign w:val="baseline"/>
        </w:rPr>
        <w:t>this</w:t>
      </w:r>
      <w:r>
        <w:rPr>
          <w:vertAlign w:val="baseline"/>
        </w:rPr>
        <w:t> process of “exchange” that the parties should intend by it to bring a legally binding contract into </w:t>
      </w:r>
      <w:bookmarkStart w:name="_bookmark1731" w:id="1733"/>
      <w:bookmarkEnd w:id="1733"/>
      <w:r>
        <w:rPr>
          <w:vertAlign w:val="baseline"/>
        </w:rPr>
        <w:t>existence.</w:t>
      </w:r>
      <w:r>
        <w:rPr>
          <w:spacing w:val="-2"/>
          <w:vertAlign w:val="baseline"/>
        </w:rPr>
        <w:t> </w:t>
      </w:r>
      <w:r>
        <w:rPr>
          <w:color w:val="005DA1"/>
          <w:u w:val="single" w:color="005DA1"/>
          <w:vertAlign w:val="superscript"/>
        </w:rPr>
        <w:t>927</w:t>
      </w:r>
      <w:r>
        <w:rPr>
          <w:color w:val="005DA1"/>
          <w:spacing w:val="-2"/>
          <w:vertAlign w:val="baseline"/>
        </w:rPr>
        <w:t> </w:t>
      </w:r>
      <w:r>
        <w:rPr>
          <w:vertAlign w:val="baseline"/>
        </w:rPr>
        <w:t>Football</w:t>
      </w:r>
      <w:r>
        <w:rPr>
          <w:spacing w:val="-1"/>
          <w:vertAlign w:val="baseline"/>
        </w:rPr>
        <w:t> </w:t>
      </w:r>
      <w:r>
        <w:rPr>
          <w:vertAlign w:val="baseline"/>
        </w:rPr>
        <w:t>pool</w:t>
      </w:r>
      <w:r>
        <w:rPr>
          <w:spacing w:val="-1"/>
          <w:vertAlign w:val="baseline"/>
        </w:rPr>
        <w:t> </w:t>
      </w:r>
      <w:r>
        <w:rPr>
          <w:vertAlign w:val="baseline"/>
        </w:rPr>
        <w:t>coupons</w:t>
      </w:r>
      <w:r>
        <w:rPr>
          <w:spacing w:val="-1"/>
          <w:vertAlign w:val="baseline"/>
        </w:rPr>
        <w:t> </w:t>
      </w:r>
      <w:r>
        <w:rPr>
          <w:vertAlign w:val="baseline"/>
        </w:rPr>
        <w:t>also</w:t>
      </w:r>
      <w:r>
        <w:rPr>
          <w:spacing w:val="-1"/>
          <w:vertAlign w:val="baseline"/>
        </w:rPr>
        <w:t> </w:t>
      </w:r>
      <w:r>
        <w:rPr>
          <w:vertAlign w:val="baseline"/>
        </w:rPr>
        <w:t>commonly</w:t>
      </w:r>
      <w:r>
        <w:rPr>
          <w:spacing w:val="-1"/>
          <w:vertAlign w:val="baseline"/>
        </w:rPr>
        <w:t> </w:t>
      </w:r>
      <w:r>
        <w:rPr>
          <w:vertAlign w:val="baseline"/>
        </w:rPr>
        <w:t>contained</w:t>
      </w:r>
      <w:r>
        <w:rPr>
          <w:spacing w:val="-1"/>
          <w:vertAlign w:val="baseline"/>
        </w:rPr>
        <w:t> </w:t>
      </w:r>
      <w:r>
        <w:rPr>
          <w:vertAlign w:val="baseline"/>
        </w:rPr>
        <w:t>words</w:t>
      </w:r>
      <w:r>
        <w:rPr>
          <w:spacing w:val="-1"/>
          <w:vertAlign w:val="baseline"/>
        </w:rPr>
        <w:t> </w:t>
      </w:r>
      <w:r>
        <w:rPr>
          <w:vertAlign w:val="baseline"/>
        </w:rPr>
        <w:t>expressly</w:t>
      </w:r>
      <w:r>
        <w:rPr>
          <w:spacing w:val="-1"/>
          <w:vertAlign w:val="baseline"/>
        </w:rPr>
        <w:t> </w:t>
      </w:r>
      <w:r>
        <w:rPr>
          <w:vertAlign w:val="baseline"/>
        </w:rPr>
        <w:t>negativing</w:t>
      </w:r>
      <w:r>
        <w:rPr>
          <w:spacing w:val="-1"/>
          <w:vertAlign w:val="baseline"/>
        </w:rPr>
        <w:t> </w:t>
      </w:r>
      <w:r>
        <w:rPr>
          <w:vertAlign w:val="baseline"/>
        </w:rPr>
        <w:t>contractual intention. </w:t>
      </w:r>
      <w:r>
        <w:rPr>
          <w:color w:val="005DA1"/>
          <w:u w:val="single" w:color="005DA1"/>
          <w:vertAlign w:val="superscript"/>
        </w:rPr>
        <w:t>928</w:t>
      </w:r>
    </w:p>
    <w:p>
      <w:pPr>
        <w:pStyle w:val="BodyText"/>
        <w:spacing w:before="88"/>
      </w:pPr>
    </w:p>
    <w:p>
      <w:pPr>
        <w:pStyle w:val="BodyText"/>
        <w:spacing w:line="235" w:lineRule="auto"/>
        <w:ind w:left="164" w:right="167"/>
        <w:jc w:val="both"/>
      </w:pPr>
      <w:bookmarkStart w:name="_bookmark1732" w:id="1734"/>
      <w:bookmarkEnd w:id="1734"/>
      <w:r>
        <w:rPr/>
      </w:r>
      <w:bookmarkStart w:name="_bookmark1733" w:id="1735"/>
      <w:bookmarkEnd w:id="1735"/>
      <w:r>
        <w:rPr/>
      </w:r>
      <w:r>
        <w:rPr/>
        <w:t>Whether</w:t>
      </w:r>
      <w:r>
        <w:rPr>
          <w:spacing w:val="-1"/>
        </w:rPr>
        <w:t> </w:t>
      </w:r>
      <w:r>
        <w:rPr/>
        <w:t>a</w:t>
      </w:r>
      <w:r>
        <w:rPr>
          <w:spacing w:val="-1"/>
        </w:rPr>
        <w:t> </w:t>
      </w:r>
      <w:r>
        <w:rPr/>
        <w:t>particular</w:t>
      </w:r>
      <w:r>
        <w:rPr>
          <w:spacing w:val="-1"/>
        </w:rPr>
        <w:t> </w:t>
      </w:r>
      <w:r>
        <w:rPr/>
        <w:t>phrase</w:t>
      </w:r>
      <w:r>
        <w:rPr>
          <w:spacing w:val="-1"/>
        </w:rPr>
        <w:t> </w:t>
      </w:r>
      <w:r>
        <w:rPr/>
        <w:t>expressly</w:t>
      </w:r>
      <w:r>
        <w:rPr>
          <w:spacing w:val="-1"/>
        </w:rPr>
        <w:t> </w:t>
      </w:r>
      <w:r>
        <w:rPr/>
        <w:t>negatives</w:t>
      </w:r>
      <w:r>
        <w:rPr>
          <w:spacing w:val="-1"/>
        </w:rPr>
        <w:t> </w:t>
      </w:r>
      <w:r>
        <w:rPr/>
        <w:t>contractual</w:t>
      </w:r>
      <w:r>
        <w:rPr>
          <w:spacing w:val="-1"/>
        </w:rPr>
        <w:t> </w:t>
      </w:r>
      <w:r>
        <w:rPr/>
        <w:t>intention</w:t>
      </w:r>
      <w:r>
        <w:rPr>
          <w:spacing w:val="-1"/>
        </w:rPr>
        <w:t> </w:t>
      </w:r>
      <w:r>
        <w:rPr/>
        <w:t>is</w:t>
      </w:r>
      <w:r>
        <w:rPr>
          <w:spacing w:val="-1"/>
        </w:rPr>
        <w:t> </w:t>
      </w:r>
      <w:r>
        <w:rPr/>
        <w:t>a</w:t>
      </w:r>
      <w:r>
        <w:rPr>
          <w:spacing w:val="-1"/>
        </w:rPr>
        <w:t> </w:t>
      </w:r>
      <w:r>
        <w:rPr/>
        <w:t>question</w:t>
      </w:r>
      <w:r>
        <w:rPr>
          <w:spacing w:val="-1"/>
        </w:rPr>
        <w:t> </w:t>
      </w:r>
      <w:r>
        <w:rPr/>
        <w:t>of</w:t>
      </w:r>
      <w:r>
        <w:rPr>
          <w:spacing w:val="-1"/>
        </w:rPr>
        <w:t> </w:t>
      </w:r>
      <w:r>
        <w:rPr/>
        <w:t>construction.</w:t>
      </w:r>
      <w:r>
        <w:rPr>
          <w:spacing w:val="-2"/>
        </w:rPr>
        <w:t> </w:t>
      </w:r>
      <w:r>
        <w:rPr>
          <w:color w:val="005DA1"/>
          <w:u w:val="single" w:color="005DA1"/>
          <w:vertAlign w:val="superscript"/>
        </w:rPr>
        <w:t>929</w:t>
      </w:r>
      <w:r>
        <w:rPr>
          <w:color w:val="005DA1"/>
          <w:vertAlign w:val="baseline"/>
        </w:rPr>
        <w:t> </w:t>
      </w:r>
      <w:r>
        <w:rPr>
          <w:vertAlign w:val="baseline"/>
        </w:rPr>
        <w:t>In </w:t>
      </w:r>
      <w:r>
        <w:rPr>
          <w:rFonts w:ascii="Arial" w:hAnsi="Arial"/>
          <w:i/>
          <w:vertAlign w:val="baseline"/>
        </w:rPr>
        <w:t>Edwards v Skyways Ltd </w:t>
      </w:r>
      <w:r>
        <w:rPr>
          <w:color w:val="005DA1"/>
          <w:u w:val="single" w:color="005DA1"/>
          <w:vertAlign w:val="superscript"/>
        </w:rPr>
        <w:t>930</w:t>
      </w:r>
      <w:r>
        <w:rPr>
          <w:color w:val="005DA1"/>
          <w:vertAlign w:val="baseline"/>
        </w:rPr>
        <w:t> </w:t>
      </w:r>
      <w:r>
        <w:rPr>
          <w:vertAlign w:val="baseline"/>
        </w:rPr>
        <w:t>employers promised to make a dismissed employee an “ex gratia </w:t>
      </w:r>
      <w:bookmarkStart w:name="_bookmark1734" w:id="1736"/>
      <w:bookmarkEnd w:id="1736"/>
      <w:r>
        <w:rPr>
          <w:vertAlign w:val="baseline"/>
        </w:rPr>
        <w:t>payment”.</w:t>
      </w:r>
      <w:r>
        <w:rPr>
          <w:vertAlign w:val="baseline"/>
        </w:rPr>
        <w:t> It was held that these words did not negative contractual intention but amounted merely to a</w:t>
      </w:r>
      <w:r>
        <w:rPr>
          <w:spacing w:val="-3"/>
          <w:vertAlign w:val="baseline"/>
        </w:rPr>
        <w:t> </w:t>
      </w:r>
      <w:r>
        <w:rPr>
          <w:vertAlign w:val="baseline"/>
        </w:rPr>
        <w:t>denial</w:t>
      </w:r>
      <w:r>
        <w:rPr>
          <w:spacing w:val="-3"/>
          <w:vertAlign w:val="baseline"/>
        </w:rPr>
        <w:t> </w:t>
      </w:r>
      <w:r>
        <w:rPr>
          <w:vertAlign w:val="baseline"/>
        </w:rPr>
        <w:t>of</w:t>
      </w:r>
      <w:r>
        <w:rPr>
          <w:spacing w:val="-3"/>
          <w:vertAlign w:val="baseline"/>
        </w:rPr>
        <w:t> </w:t>
      </w:r>
      <w:r>
        <w:rPr>
          <w:vertAlign w:val="baseline"/>
        </w:rPr>
        <w:t>a</w:t>
      </w:r>
      <w:r>
        <w:rPr>
          <w:spacing w:val="-3"/>
          <w:vertAlign w:val="baseline"/>
        </w:rPr>
        <w:t> </w:t>
      </w:r>
      <w:r>
        <w:rPr>
          <w:vertAlign w:val="baseline"/>
        </w:rPr>
        <w:t>preexisting</w:t>
      </w:r>
      <w:r>
        <w:rPr>
          <w:spacing w:val="-3"/>
          <w:vertAlign w:val="baseline"/>
        </w:rPr>
        <w:t> </w:t>
      </w:r>
      <w:r>
        <w:rPr>
          <w:vertAlign w:val="baseline"/>
        </w:rPr>
        <w:t>legal</w:t>
      </w:r>
      <w:r>
        <w:rPr>
          <w:spacing w:val="-3"/>
          <w:vertAlign w:val="baseline"/>
        </w:rPr>
        <w:t> </w:t>
      </w:r>
      <w:r>
        <w:rPr>
          <w:vertAlign w:val="baseline"/>
        </w:rPr>
        <w:t>liability</w:t>
      </w:r>
      <w:r>
        <w:rPr>
          <w:spacing w:val="-3"/>
          <w:vertAlign w:val="baseline"/>
        </w:rPr>
        <w:t> </w:t>
      </w:r>
      <w:r>
        <w:rPr>
          <w:vertAlign w:val="baseline"/>
        </w:rPr>
        <w:t>to</w:t>
      </w:r>
      <w:r>
        <w:rPr>
          <w:spacing w:val="-3"/>
          <w:vertAlign w:val="baseline"/>
        </w:rPr>
        <w:t> </w:t>
      </w:r>
      <w:r>
        <w:rPr>
          <w:vertAlign w:val="baseline"/>
        </w:rPr>
        <w:t>make</w:t>
      </w:r>
      <w:r>
        <w:rPr>
          <w:spacing w:val="-3"/>
          <w:vertAlign w:val="baseline"/>
        </w:rPr>
        <w:t> </w:t>
      </w:r>
      <w:r>
        <w:rPr>
          <w:vertAlign w:val="baseline"/>
        </w:rPr>
        <w:t>the</w:t>
      </w:r>
      <w:r>
        <w:rPr>
          <w:spacing w:val="-3"/>
          <w:vertAlign w:val="baseline"/>
        </w:rPr>
        <w:t> </w:t>
      </w:r>
      <w:r>
        <w:rPr>
          <w:vertAlign w:val="baseline"/>
        </w:rPr>
        <w:t>payment.</w:t>
      </w:r>
      <w:r>
        <w:rPr>
          <w:spacing w:val="-4"/>
          <w:vertAlign w:val="baseline"/>
        </w:rPr>
        <w:t> </w:t>
      </w:r>
      <w:r>
        <w:rPr>
          <w:color w:val="005DA1"/>
          <w:u w:val="single" w:color="005DA1"/>
          <w:vertAlign w:val="superscript"/>
        </w:rPr>
        <w:t>931</w:t>
      </w:r>
      <w:r>
        <w:rPr>
          <w:color w:val="005DA1"/>
          <w:spacing w:val="-3"/>
          <w:vertAlign w:val="baseline"/>
        </w:rPr>
        <w:t> </w:t>
      </w:r>
      <w:r>
        <w:rPr>
          <w:vertAlign w:val="baseline"/>
        </w:rPr>
        <w:t>Contractual</w:t>
      </w:r>
      <w:r>
        <w:rPr>
          <w:spacing w:val="-3"/>
          <w:vertAlign w:val="baseline"/>
        </w:rPr>
        <w:t> </w:t>
      </w:r>
      <w:r>
        <w:rPr>
          <w:vertAlign w:val="baseline"/>
        </w:rPr>
        <w:t>intention</w:t>
      </w:r>
      <w:r>
        <w:rPr>
          <w:spacing w:val="-3"/>
          <w:vertAlign w:val="baseline"/>
        </w:rPr>
        <w:t> </w:t>
      </w:r>
      <w:r>
        <w:rPr>
          <w:vertAlign w:val="baseline"/>
        </w:rPr>
        <w:t>was,</w:t>
      </w:r>
      <w:r>
        <w:rPr>
          <w:spacing w:val="-3"/>
          <w:vertAlign w:val="baseline"/>
        </w:rPr>
        <w:t> </w:t>
      </w:r>
      <w:r>
        <w:rPr>
          <w:vertAlign w:val="baseline"/>
        </w:rPr>
        <w:t>similarly,</w:t>
      </w:r>
      <w:r>
        <w:rPr>
          <w:spacing w:val="-3"/>
          <w:vertAlign w:val="baseline"/>
        </w:rPr>
        <w:t> </w:t>
      </w:r>
      <w:r>
        <w:rPr>
          <w:vertAlign w:val="baseline"/>
        </w:rPr>
        <w:t>not negatived where an arbitration clause in a reinsurance contract provided that “this treaty shall be </w:t>
      </w:r>
      <w:r>
        <w:rPr>
          <w:rFonts w:ascii="Arial" w:hAnsi="Arial"/>
          <w:i/>
          <w:vertAlign w:val="baseline"/>
        </w:rPr>
        <w:t>interpreted as </w:t>
      </w:r>
      <w:r>
        <w:rPr>
          <w:vertAlign w:val="baseline"/>
        </w:rPr>
        <w:t>an honourable engagement rather than as a legal obligation … ”. The contract as a </w:t>
      </w:r>
      <w:bookmarkStart w:name="_bookmark1735" w:id="1737"/>
      <w:bookmarkEnd w:id="1737"/>
      <w:r>
        <w:rPr>
          <w:vertAlign w:val="baseline"/>
        </w:rPr>
        <w:t>whole</w:t>
      </w:r>
      <w:r>
        <w:rPr>
          <w:spacing w:val="-1"/>
          <w:vertAlign w:val="baseline"/>
        </w:rPr>
        <w:t> </w:t>
      </w:r>
      <w:r>
        <w:rPr>
          <w:vertAlign w:val="baseline"/>
        </w:rPr>
        <w:t>was</w:t>
      </w:r>
      <w:r>
        <w:rPr>
          <w:spacing w:val="-1"/>
          <w:vertAlign w:val="baseline"/>
        </w:rPr>
        <w:t> </w:t>
      </w:r>
      <w:r>
        <w:rPr>
          <w:vertAlign w:val="baseline"/>
        </w:rPr>
        <w:t>clearly</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binding;</w:t>
      </w:r>
      <w:r>
        <w:rPr>
          <w:spacing w:val="-1"/>
          <w:vertAlign w:val="baseline"/>
        </w:rPr>
        <w:t> </w:t>
      </w:r>
      <w:r>
        <w:rPr>
          <w:vertAlign w:val="baseline"/>
        </w:rPr>
        <w:t>and</w:t>
      </w:r>
      <w:r>
        <w:rPr>
          <w:spacing w:val="-1"/>
          <w:vertAlign w:val="baseline"/>
        </w:rPr>
        <w:t> </w:t>
      </w:r>
      <w:r>
        <w:rPr>
          <w:vertAlign w:val="baseline"/>
        </w:rPr>
        <w:t>the</w:t>
      </w:r>
      <w:r>
        <w:rPr>
          <w:spacing w:val="-1"/>
          <w:vertAlign w:val="baseline"/>
        </w:rPr>
        <w:t> </w:t>
      </w:r>
      <w:r>
        <w:rPr>
          <w:vertAlign w:val="baseline"/>
        </w:rPr>
        <w:t>purpose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words</w:t>
      </w:r>
      <w:r>
        <w:rPr>
          <w:spacing w:val="-1"/>
          <w:vertAlign w:val="baseline"/>
        </w:rPr>
        <w:t> </w:t>
      </w:r>
      <w:r>
        <w:rPr>
          <w:vertAlign w:val="baseline"/>
        </w:rPr>
        <w:t>quoted</w:t>
      </w:r>
      <w:r>
        <w:rPr>
          <w:spacing w:val="-1"/>
          <w:vertAlign w:val="baseline"/>
        </w:rPr>
        <w:t> </w:t>
      </w:r>
      <w:r>
        <w:rPr>
          <w:vertAlign w:val="baseline"/>
        </w:rPr>
        <w:t>was</w:t>
      </w:r>
      <w:r>
        <w:rPr>
          <w:spacing w:val="-1"/>
          <w:vertAlign w:val="baseline"/>
        </w:rPr>
        <w:t> </w:t>
      </w:r>
      <w:r>
        <w:rPr>
          <w:vertAlign w:val="baseline"/>
        </w:rPr>
        <w:t>merely</w:t>
      </w:r>
      <w:r>
        <w:rPr>
          <w:spacing w:val="-1"/>
          <w:vertAlign w:val="baseline"/>
        </w:rPr>
        <w:t> </w:t>
      </w:r>
      <w:r>
        <w:rPr>
          <w:vertAlign w:val="baseline"/>
        </w:rPr>
        <w:t>to</w:t>
      </w:r>
      <w:r>
        <w:rPr>
          <w:spacing w:val="-1"/>
          <w:vertAlign w:val="baseline"/>
        </w:rPr>
        <w:t> </w:t>
      </w:r>
      <w:r>
        <w:rPr>
          <w:vertAlign w:val="baseline"/>
        </w:rPr>
        <w:t>free</w:t>
      </w:r>
      <w:r>
        <w:rPr>
          <w:spacing w:val="-1"/>
          <w:vertAlign w:val="baseline"/>
        </w:rPr>
        <w:t> </w:t>
      </w:r>
      <w:r>
        <w:rPr>
          <w:vertAlign w:val="baseline"/>
        </w:rPr>
        <w:t>the </w:t>
      </w:r>
      <w:bookmarkStart w:name="_bookmark1736" w:id="1738"/>
      <w:bookmarkEnd w:id="1738"/>
      <w:r>
        <w:rPr>
          <w:vertAlign w:val="baseline"/>
        </w:rPr>
        <w:t>arbitrator</w:t>
      </w:r>
      <w:r>
        <w:rPr>
          <w:vertAlign w:val="baseline"/>
        </w:rPr>
        <w:t> “to some extent from strict legal rules” </w:t>
      </w:r>
      <w:r>
        <w:rPr>
          <w:color w:val="005DA1"/>
          <w:u w:val="single" w:color="005DA1"/>
          <w:vertAlign w:val="superscript"/>
        </w:rPr>
        <w:t>932</w:t>
      </w:r>
      <w:r>
        <w:rPr>
          <w:color w:val="005DA1"/>
          <w:vertAlign w:val="baseline"/>
        </w:rPr>
        <w:t> </w:t>
      </w:r>
      <w:r>
        <w:rPr>
          <w:vertAlign w:val="baseline"/>
        </w:rPr>
        <w:t>in interpreting the agreement. Again, in </w:t>
      </w:r>
      <w:r>
        <w:rPr>
          <w:rFonts w:ascii="Arial" w:hAnsi="Arial"/>
          <w:i/>
          <w:vertAlign w:val="baseline"/>
        </w:rPr>
        <w:t>The Mercedes Envoy </w:t>
      </w:r>
      <w:r>
        <w:rPr>
          <w:color w:val="005DA1"/>
          <w:u w:val="single" w:color="005DA1"/>
          <w:vertAlign w:val="superscript"/>
        </w:rPr>
        <w:t>933</w:t>
      </w:r>
      <w:r>
        <w:rPr>
          <w:color w:val="005DA1"/>
          <w:vertAlign w:val="baseline"/>
        </w:rPr>
        <w:t> </w:t>
      </w:r>
      <w:r>
        <w:rPr>
          <w:vertAlign w:val="baseline"/>
        </w:rPr>
        <w:t>a shipowner during negotiations for a charterparty said “we are fixed in good </w:t>
      </w:r>
      <w:bookmarkStart w:name="_bookmark1737" w:id="1739"/>
      <w:bookmarkEnd w:id="1739"/>
      <w:r>
        <w:rPr>
          <w:vertAlign w:val="baseline"/>
        </w:rPr>
        <w:t>faith”.</w:t>
      </w:r>
      <w:r>
        <w:rPr>
          <w:vertAlign w:val="baseline"/>
        </w:rPr>
        <w:t> It was held that the words “in good faith” did not negative contractual intention: if they had any effect, it amounted merely to a “collateral understanding” </w:t>
      </w:r>
      <w:r>
        <w:rPr>
          <w:color w:val="005DA1"/>
          <w:u w:val="single" w:color="005DA1"/>
          <w:vertAlign w:val="superscript"/>
        </w:rPr>
        <w:t>934</w:t>
      </w:r>
      <w:r>
        <w:rPr>
          <w:color w:val="005DA1"/>
          <w:vertAlign w:val="baseline"/>
        </w:rPr>
        <w:t> </w:t>
      </w:r>
      <w:r>
        <w:rPr>
          <w:vertAlign w:val="baseline"/>
        </w:rPr>
        <w:t>that account should be taken of damage to the vessel, of which both shipowner and charterer were aware.</w:t>
      </w:r>
    </w:p>
    <w:p>
      <w:pPr>
        <w:pStyle w:val="BodyText"/>
      </w:pPr>
    </w:p>
    <w:p>
      <w:pPr>
        <w:pStyle w:val="BodyText"/>
        <w:spacing w:before="34"/>
      </w:pPr>
    </w:p>
    <w:p>
      <w:pPr>
        <w:spacing w:before="0"/>
        <w:ind w:left="165" w:right="0" w:firstLine="0"/>
        <w:jc w:val="both"/>
        <w:rPr>
          <w:rFonts w:ascii="Arial"/>
          <w:b/>
          <w:sz w:val="18"/>
        </w:rPr>
      </w:pPr>
      <w:r>
        <w:rPr>
          <w:rFonts w:ascii="Arial"/>
          <w:b/>
          <w:sz w:val="18"/>
        </w:rPr>
        <w:t>Intention impliedly </w:t>
      </w:r>
      <w:r>
        <w:rPr>
          <w:rFonts w:ascii="Arial"/>
          <w:b/>
          <w:spacing w:val="-2"/>
          <w:sz w:val="18"/>
        </w:rPr>
        <w:t>negatived</w:t>
      </w:r>
    </w:p>
    <w:p>
      <w:pPr>
        <w:pStyle w:val="BodyText"/>
        <w:spacing w:before="41"/>
        <w:rPr>
          <w:rFonts w:ascii="Arial"/>
          <w:b/>
          <w:sz w:val="18"/>
        </w:rPr>
      </w:pPr>
    </w:p>
    <w:p>
      <w:pPr>
        <w:pStyle w:val="Heading2"/>
        <w:spacing w:before="1"/>
      </w:pPr>
      <w:r>
        <w:rPr/>
        <w:t>2-</w:t>
      </w:r>
      <w:r>
        <w:rPr>
          <w:spacing w:val="-5"/>
        </w:rPr>
        <w:t>172</w:t>
      </w:r>
    </w:p>
    <w:p>
      <w:pPr>
        <w:pStyle w:val="BodyText"/>
        <w:spacing w:line="235" w:lineRule="auto" w:before="202"/>
        <w:ind w:left="164" w:right="167"/>
        <w:jc w:val="both"/>
      </w:pPr>
      <w:bookmarkStart w:name="_bookmark1738" w:id="1740"/>
      <w:bookmarkEnd w:id="1740"/>
      <w:r>
        <w:rPr/>
      </w:r>
      <w:r>
        <w:rPr/>
        <w:t>In </w:t>
      </w:r>
      <w:r>
        <w:rPr>
          <w:rFonts w:ascii="Arial" w:hAnsi="Arial"/>
          <w:i/>
        </w:rPr>
        <w:t>Baird Textile Holdings Ltd v Marks &amp; Spencer Plc </w:t>
      </w:r>
      <w:r>
        <w:rPr>
          <w:color w:val="005DA1"/>
          <w:u w:val="single" w:color="005DA1"/>
          <w:vertAlign w:val="superscript"/>
        </w:rPr>
        <w:t>935</w:t>
      </w:r>
      <w:r>
        <w:rPr>
          <w:color w:val="005DA1"/>
          <w:vertAlign w:val="baseline"/>
        </w:rPr>
        <w:t> </w:t>
      </w:r>
      <w:r>
        <w:rPr>
          <w:vertAlign w:val="baseline"/>
        </w:rPr>
        <w:t>the claimants had for some 30 years been </w:t>
      </w:r>
      <w:r>
        <w:rPr>
          <w:vertAlign w:val="baseline"/>
        </w:rPr>
        <w:t>a principal supplier of clothing to the defendants, a leading retail chain. When the defendants</w:t>
      </w:r>
      <w:r>
        <w:rPr>
          <w:spacing w:val="40"/>
          <w:vertAlign w:val="baseline"/>
        </w:rPr>
        <w:t> </w:t>
      </w:r>
      <w:bookmarkStart w:name="_bookmark1739" w:id="1741"/>
      <w:bookmarkEnd w:id="1741"/>
      <w:r>
        <w:rPr>
          <w:vertAlign w:val="baseline"/>
        </w:rPr>
        <w:t>terminated</w:t>
      </w:r>
      <w:r>
        <w:rPr>
          <w:vertAlign w:val="baseline"/>
        </w:rPr>
        <w:t> the arrangement with effect from the end of the then current production season, the claimants sought damages, basing their claim on, inter alia, </w:t>
      </w:r>
      <w:r>
        <w:rPr>
          <w:color w:val="005DA1"/>
          <w:u w:val="single" w:color="005DA1"/>
          <w:vertAlign w:val="superscript"/>
        </w:rPr>
        <w:t>936</w:t>
      </w:r>
      <w:r>
        <w:rPr>
          <w:color w:val="005DA1"/>
          <w:vertAlign w:val="baseline"/>
        </w:rPr>
        <w:t> </w:t>
      </w:r>
      <w:r>
        <w:rPr>
          <w:vertAlign w:val="baseline"/>
        </w:rPr>
        <w:t>an alleged implied contract not to </w:t>
      </w:r>
      <w:bookmarkStart w:name="_bookmark1740" w:id="1742"/>
      <w:bookmarkEnd w:id="1742"/>
      <w:r>
        <w:rPr>
          <w:vertAlign w:val="baseline"/>
        </w:rPr>
        <w:t>terminate</w:t>
      </w:r>
      <w:r>
        <w:rPr>
          <w:vertAlign w:val="baseline"/>
        </w:rPr>
        <w:t> the arrangement except on reasonable notice of three years. The claim was rejected because of “the absence of any intention to create legal relations”. </w:t>
      </w:r>
      <w:r>
        <w:rPr>
          <w:color w:val="005DA1"/>
          <w:u w:val="single" w:color="005DA1"/>
          <w:vertAlign w:val="superscript"/>
        </w:rPr>
        <w:t>937</w:t>
      </w:r>
      <w:r>
        <w:rPr>
          <w:color w:val="005DA1"/>
          <w:vertAlign w:val="baseline"/>
        </w:rPr>
        <w:t> </w:t>
      </w:r>
      <w:r>
        <w:rPr>
          <w:vertAlign w:val="baseline"/>
        </w:rPr>
        <w:t>One factor </w:t>
      </w:r>
      <w:r>
        <w:rPr>
          <w:color w:val="005DA1"/>
          <w:u w:val="single" w:color="005DA1"/>
          <w:vertAlign w:val="superscript"/>
        </w:rPr>
        <w:t>938</w:t>
      </w:r>
      <w:r>
        <w:rPr>
          <w:color w:val="005DA1"/>
          <w:vertAlign w:val="baseline"/>
        </w:rPr>
        <w:t> </w:t>
      </w:r>
      <w:r>
        <w:rPr>
          <w:vertAlign w:val="baseline"/>
        </w:rPr>
        <w:t>on which this </w:t>
      </w:r>
      <w:bookmarkStart w:name="_bookmark1741" w:id="1743"/>
      <w:bookmarkEnd w:id="1743"/>
      <w:r>
        <w:rPr>
          <w:vertAlign w:val="baseline"/>
        </w:rPr>
        <w:t>conclusion</w:t>
      </w:r>
      <w:r>
        <w:rPr>
          <w:vertAlign w:val="baseline"/>
        </w:rPr>
        <w:t> was based was that the defendants had (as the claimants themselves had alleged in their points of claim) </w:t>
      </w:r>
      <w:r>
        <w:rPr>
          <w:color w:val="005DA1"/>
          <w:u w:val="single" w:color="005DA1"/>
          <w:vertAlign w:val="superscript"/>
        </w:rPr>
        <w:t>939</w:t>
      </w:r>
      <w:r>
        <w:rPr>
          <w:color w:val="005DA1"/>
          <w:vertAlign w:val="baseline"/>
        </w:rPr>
        <w:t> </w:t>
      </w:r>
      <w:r>
        <w:rPr>
          <w:vertAlign w:val="baseline"/>
        </w:rPr>
        <w:t>deliberately abstained from entering into a long-term contractual relationship with </w:t>
      </w:r>
      <w:bookmarkStart w:name="_bookmark1742" w:id="1744"/>
      <w:bookmarkEnd w:id="1744"/>
      <w:r>
        <w:rPr>
          <w:vertAlign w:val="baseline"/>
        </w:rPr>
        <w:t>the</w:t>
      </w:r>
      <w:r>
        <w:rPr>
          <w:vertAlign w:val="baseline"/>
        </w:rPr>
        <w:t> claimants in order to maintain the flexibility of the de facto long-term commercial relationship </w:t>
      </w:r>
      <w:bookmarkStart w:name="_bookmark1743" w:id="1745"/>
      <w:bookmarkEnd w:id="1745"/>
      <w:r>
        <w:rPr>
          <w:vertAlign w:val="baseline"/>
        </w:rPr>
        <w:t>between</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color w:val="005DA1"/>
          <w:u w:val="single" w:color="005DA1"/>
          <w:vertAlign w:val="superscript"/>
        </w:rPr>
        <w:t>940</w:t>
      </w:r>
      <w:r>
        <w:rPr>
          <w:color w:val="005DA1"/>
          <w:spacing w:val="-3"/>
          <w:vertAlign w:val="baseline"/>
        </w:rPr>
        <w:t> </w:t>
      </w:r>
      <w:r>
        <w:rPr>
          <w:vertAlign w:val="baseline"/>
        </w:rPr>
        <w:t>It</w:t>
      </w:r>
      <w:r>
        <w:rPr>
          <w:spacing w:val="-3"/>
          <w:vertAlign w:val="baseline"/>
        </w:rPr>
        <w:t> </w:t>
      </w:r>
      <w:r>
        <w:rPr>
          <w:vertAlign w:val="baseline"/>
        </w:rPr>
        <w:t>followed</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claimants</w:t>
      </w:r>
      <w:r>
        <w:rPr>
          <w:spacing w:val="-3"/>
          <w:vertAlign w:val="baseline"/>
        </w:rPr>
        <w:t> </w:t>
      </w:r>
      <w:r>
        <w:rPr>
          <w:vertAlign w:val="baseline"/>
        </w:rPr>
        <w:t>must</w:t>
      </w:r>
      <w:r>
        <w:rPr>
          <w:spacing w:val="-3"/>
          <w:vertAlign w:val="baseline"/>
        </w:rPr>
        <w:t> </w:t>
      </w:r>
      <w:r>
        <w:rPr>
          <w:vertAlign w:val="baseline"/>
        </w:rPr>
        <w:t>be</w:t>
      </w:r>
      <w:r>
        <w:rPr>
          <w:spacing w:val="-3"/>
          <w:vertAlign w:val="baseline"/>
        </w:rPr>
        <w:t> </w:t>
      </w:r>
      <w:r>
        <w:rPr>
          <w:vertAlign w:val="baseline"/>
        </w:rPr>
        <w:t>taken</w:t>
      </w:r>
      <w:r>
        <w:rPr>
          <w:spacing w:val="-3"/>
          <w:vertAlign w:val="baseline"/>
        </w:rPr>
        <w:t> </w:t>
      </w:r>
      <w:r>
        <w:rPr>
          <w:vertAlign w:val="baseline"/>
        </w:rPr>
        <w:t>to</w:t>
      </w:r>
      <w:r>
        <w:rPr>
          <w:spacing w:val="-3"/>
          <w:vertAlign w:val="baseline"/>
        </w:rPr>
        <w:t> </w:t>
      </w:r>
      <w:r>
        <w:rPr>
          <w:vertAlign w:val="baseline"/>
        </w:rPr>
        <w:t>have</w:t>
      </w:r>
      <w:r>
        <w:rPr>
          <w:spacing w:val="-3"/>
          <w:vertAlign w:val="baseline"/>
        </w:rPr>
        <w:t> </w:t>
      </w:r>
      <w:r>
        <w:rPr>
          <w:vertAlign w:val="baseline"/>
        </w:rPr>
        <w:t>accepted</w:t>
      </w:r>
      <w:r>
        <w:rPr>
          <w:spacing w:val="-3"/>
          <w:vertAlign w:val="baseline"/>
        </w:rPr>
        <w:t> </w:t>
      </w:r>
      <w:r>
        <w:rPr>
          <w:vertAlign w:val="baseline"/>
        </w:rPr>
        <w:t>the</w:t>
      </w:r>
      <w:r>
        <w:rPr>
          <w:spacing w:val="-3"/>
          <w:vertAlign w:val="baseline"/>
        </w:rPr>
        <w:t> </w:t>
      </w:r>
      <w:r>
        <w:rPr>
          <w:vertAlign w:val="baseline"/>
        </w:rPr>
        <w:t>risk</w:t>
      </w:r>
      <w:r>
        <w:rPr>
          <w:spacing w:val="-3"/>
          <w:vertAlign w:val="baseline"/>
        </w:rPr>
        <w:t> </w:t>
      </w:r>
      <w:r>
        <w:rPr>
          <w:vertAlign w:val="baseline"/>
        </w:rPr>
        <w:t>inherent </w:t>
      </w:r>
      <w:bookmarkStart w:name="_bookmark1744" w:id="1746"/>
      <w:bookmarkEnd w:id="1746"/>
      <w:r>
        <w:rPr>
          <w:vertAlign w:val="baseline"/>
        </w:rPr>
        <w:t>in</w:t>
      </w:r>
      <w:r>
        <w:rPr>
          <w:vertAlign w:val="baseline"/>
        </w:rPr>
        <w:t> such a relationship “without specific contractual protection”. </w:t>
      </w:r>
      <w:r>
        <w:rPr>
          <w:color w:val="005DA1"/>
          <w:u w:val="single" w:color="005DA1"/>
          <w:vertAlign w:val="superscript"/>
        </w:rPr>
        <w:t>941</w:t>
      </w:r>
      <w:r>
        <w:rPr>
          <w:color w:val="005DA1"/>
          <w:vertAlign w:val="baseline"/>
        </w:rPr>
        <w:t> </w:t>
      </w:r>
      <w:r>
        <w:rPr>
          <w:vertAlign w:val="baseline"/>
        </w:rPr>
        <w:t>Contractual retention was, again, impliedly negatived in </w:t>
      </w:r>
      <w:r>
        <w:rPr>
          <w:rFonts w:ascii="Arial" w:hAnsi="Arial"/>
          <w:i/>
          <w:vertAlign w:val="baseline"/>
        </w:rPr>
        <w:t>Cobbe v Yeoman’s Row Management Ltd </w:t>
      </w:r>
      <w:r>
        <w:rPr>
          <w:color w:val="005DA1"/>
          <w:u w:val="single" w:color="005DA1"/>
          <w:vertAlign w:val="superscript"/>
        </w:rPr>
        <w:t>942</w:t>
      </w:r>
      <w:r>
        <w:rPr>
          <w:color w:val="005DA1"/>
          <w:vertAlign w:val="baseline"/>
        </w:rPr>
        <w:t> </w:t>
      </w:r>
      <w:r>
        <w:rPr>
          <w:vertAlign w:val="baseline"/>
        </w:rPr>
        <w:t>where an agreement “in principle” for the redevelopment and disposal of residential property left other aspects of the scheme to be settled</w:t>
      </w:r>
      <w:r>
        <w:rPr>
          <w:spacing w:val="-2"/>
          <w:vertAlign w:val="baseline"/>
        </w:rPr>
        <w:t> </w:t>
      </w:r>
      <w:r>
        <w:rPr>
          <w:vertAlign w:val="baseline"/>
        </w:rPr>
        <w:t>by</w:t>
      </w:r>
      <w:r>
        <w:rPr>
          <w:spacing w:val="-2"/>
          <w:vertAlign w:val="baseline"/>
        </w:rPr>
        <w:t> </w:t>
      </w:r>
      <w:r>
        <w:rPr>
          <w:vertAlign w:val="baseline"/>
        </w:rPr>
        <w:t>further</w:t>
      </w:r>
      <w:r>
        <w:rPr>
          <w:spacing w:val="-2"/>
          <w:vertAlign w:val="baseline"/>
        </w:rPr>
        <w:t> </w:t>
      </w:r>
      <w:r>
        <w:rPr>
          <w:vertAlign w:val="baseline"/>
        </w:rPr>
        <w:t>negotiations</w:t>
      </w:r>
      <w:r>
        <w:rPr>
          <w:spacing w:val="-2"/>
          <w:vertAlign w:val="baseline"/>
        </w:rPr>
        <w:t> </w:t>
      </w:r>
      <w:r>
        <w:rPr>
          <w:vertAlign w:val="baseline"/>
        </w:rPr>
        <w:t>between</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It</w:t>
      </w:r>
      <w:r>
        <w:rPr>
          <w:spacing w:val="-2"/>
          <w:vertAlign w:val="baseline"/>
        </w:rPr>
        <w:t> </w:t>
      </w:r>
      <w:r>
        <w:rPr>
          <w:vertAlign w:val="baseline"/>
        </w:rPr>
        <w:t>was</w:t>
      </w:r>
      <w:r>
        <w:rPr>
          <w:spacing w:val="-2"/>
          <w:vertAlign w:val="baseline"/>
        </w:rPr>
        <w:t> </w:t>
      </w:r>
      <w:r>
        <w:rPr>
          <w:vertAlign w:val="baseline"/>
        </w:rPr>
        <w:t>held</w:t>
      </w:r>
      <w:r>
        <w:rPr>
          <w:spacing w:val="-2"/>
          <w:vertAlign w:val="baseline"/>
        </w:rPr>
        <w:t> </w:t>
      </w:r>
      <w:r>
        <w:rPr>
          <w:vertAlign w:val="baseline"/>
        </w:rPr>
        <w:t>that</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“in</w:t>
      </w:r>
      <w:r>
        <w:rPr>
          <w:spacing w:val="-2"/>
          <w:vertAlign w:val="baseline"/>
        </w:rPr>
        <w:t> </w:t>
      </w:r>
      <w:r>
        <w:rPr>
          <w:vertAlign w:val="baseline"/>
        </w:rPr>
        <w:t>principle”</w:t>
      </w:r>
      <w:r>
        <w:rPr>
          <w:spacing w:val="-2"/>
          <w:vertAlign w:val="baseline"/>
        </w:rPr>
        <w:t> </w:t>
      </w:r>
      <w:r>
        <w:rPr>
          <w:vertAlign w:val="baseline"/>
        </w:rPr>
        <w:t>lacked </w:t>
      </w:r>
      <w:bookmarkStart w:name="_bookmark1745" w:id="1747"/>
      <w:bookmarkEnd w:id="1747"/>
      <w:r>
        <w:rPr>
          <w:vertAlign w:val="baseline"/>
        </w:rPr>
        <w:t>contractual</w:t>
      </w:r>
      <w:r>
        <w:rPr>
          <w:vertAlign w:val="baseline"/>
        </w:rPr>
        <w:t> force since, until those outstanding matters had been settled and embodied in a formal agreement between the parties, each regarded the other as bound in honour only. </w:t>
      </w:r>
      <w:r>
        <w:rPr>
          <w:color w:val="005DA1"/>
          <w:u w:val="single" w:color="005DA1"/>
          <w:vertAlign w:val="superscript"/>
        </w:rPr>
        <w:t>943</w:t>
      </w:r>
    </w:p>
    <w:p>
      <w:pPr>
        <w:pStyle w:val="BodyText"/>
        <w:spacing w:after="0" w:line="235" w:lineRule="auto"/>
        <w:jc w:val="both"/>
        <w:sectPr>
          <w:pgSz w:w="11900" w:h="16840"/>
          <w:pgMar w:header="971" w:footer="0" w:top="1300" w:bottom="280" w:left="1275" w:right="1275"/>
        </w:sectPr>
      </w:pPr>
    </w:p>
    <w:p>
      <w:pPr>
        <w:pStyle w:val="BodyText"/>
        <w:spacing w:before="182"/>
        <w:rPr>
          <w:sz w:val="18"/>
        </w:rPr>
      </w:pPr>
    </w:p>
    <w:p>
      <w:pPr>
        <w:spacing w:before="0"/>
        <w:ind w:left="165" w:right="0" w:firstLine="0"/>
        <w:jc w:val="left"/>
        <w:rPr>
          <w:rFonts w:ascii="Arial"/>
          <w:b/>
          <w:sz w:val="18"/>
        </w:rPr>
      </w:pPr>
      <w:r>
        <w:rPr>
          <w:rFonts w:ascii="Arial"/>
          <w:b/>
          <w:sz w:val="18"/>
        </w:rPr>
        <w:t>Statements inducing a </w:t>
      </w:r>
      <w:r>
        <w:rPr>
          <w:rFonts w:ascii="Arial"/>
          <w:b/>
          <w:spacing w:val="-2"/>
          <w:sz w:val="18"/>
        </w:rPr>
        <w:t>contract</w:t>
      </w:r>
    </w:p>
    <w:p>
      <w:pPr>
        <w:pStyle w:val="BodyText"/>
        <w:spacing w:before="41"/>
        <w:rPr>
          <w:rFonts w:ascii="Arial"/>
          <w:b/>
          <w:sz w:val="18"/>
        </w:rPr>
      </w:pPr>
    </w:p>
    <w:p>
      <w:pPr>
        <w:pStyle w:val="Heading2"/>
      </w:pPr>
      <w:r>
        <w:rPr/>
        <w:t>2-</w:t>
      </w:r>
      <w:r>
        <w:rPr>
          <w:spacing w:val="-5"/>
        </w:rPr>
        <w:t>173</w:t>
      </w:r>
    </w:p>
    <w:p>
      <w:pPr>
        <w:pStyle w:val="BodyText"/>
        <w:spacing w:line="235" w:lineRule="auto" w:before="203"/>
        <w:ind w:left="165" w:right="167"/>
        <w:jc w:val="both"/>
        <w:rPr>
          <w:rFonts w:ascii="Arial" w:hAnsi="Arial"/>
          <w:i/>
        </w:rPr>
      </w:pPr>
      <w:r>
        <w:rPr/>
        <w:t>A statement inducing a contract may be a “mere puff” if the court considers that it was not seriously </w:t>
      </w:r>
      <w:bookmarkStart w:name="_bookmark1746" w:id="1748"/>
      <w:bookmarkEnd w:id="1748"/>
      <w:r>
        <w:rPr/>
        <w:t>meant</w:t>
      </w:r>
      <w:r>
        <w:rPr>
          <w:spacing w:val="1"/>
        </w:rPr>
        <w:t> </w:t>
      </w:r>
      <w:r>
        <w:rPr/>
        <w:t>and</w:t>
      </w:r>
      <w:r>
        <w:rPr>
          <w:spacing w:val="1"/>
        </w:rPr>
        <w:t> </w:t>
      </w:r>
      <w:r>
        <w:rPr/>
        <w:t>that</w:t>
      </w:r>
      <w:r>
        <w:rPr>
          <w:spacing w:val="1"/>
        </w:rPr>
        <w:t> </w:t>
      </w:r>
      <w:r>
        <w:rPr/>
        <w:t>this</w:t>
      </w:r>
      <w:r>
        <w:rPr>
          <w:spacing w:val="1"/>
        </w:rPr>
        <w:t> </w:t>
      </w:r>
      <w:r>
        <w:rPr/>
        <w:t>should</w:t>
      </w:r>
      <w:r>
        <w:rPr>
          <w:spacing w:val="1"/>
        </w:rPr>
        <w:t> </w:t>
      </w:r>
      <w:r>
        <w:rPr/>
        <w:t>have</w:t>
      </w:r>
      <w:r>
        <w:rPr>
          <w:spacing w:val="1"/>
        </w:rPr>
        <w:t> </w:t>
      </w:r>
      <w:r>
        <w:rPr/>
        <w:t>been</w:t>
      </w:r>
      <w:r>
        <w:rPr>
          <w:spacing w:val="1"/>
        </w:rPr>
        <w:t> </w:t>
      </w:r>
      <w:r>
        <w:rPr/>
        <w:t>obvious</w:t>
      </w:r>
      <w:r>
        <w:rPr>
          <w:spacing w:val="1"/>
        </w:rPr>
        <w:t> </w:t>
      </w:r>
      <w:r>
        <w:rPr/>
        <w:t>to</w:t>
      </w:r>
      <w:r>
        <w:rPr>
          <w:spacing w:val="1"/>
        </w:rPr>
        <w:t> </w:t>
      </w:r>
      <w:r>
        <w:rPr/>
        <w:t>the</w:t>
      </w:r>
      <w:r>
        <w:rPr>
          <w:spacing w:val="1"/>
        </w:rPr>
        <w:t> </w:t>
      </w:r>
      <w:r>
        <w:rPr/>
        <w:t>person</w:t>
      </w:r>
      <w:r>
        <w:rPr>
          <w:spacing w:val="1"/>
        </w:rPr>
        <w:t> </w:t>
      </w:r>
      <w:r>
        <w:rPr/>
        <w:t>to</w:t>
      </w:r>
      <w:r>
        <w:rPr>
          <w:spacing w:val="1"/>
        </w:rPr>
        <w:t> </w:t>
      </w:r>
      <w:r>
        <w:rPr/>
        <w:t>whom</w:t>
      </w:r>
      <w:r>
        <w:rPr>
          <w:spacing w:val="1"/>
        </w:rPr>
        <w:t> </w:t>
      </w:r>
      <w:r>
        <w:rPr/>
        <w:t>it</w:t>
      </w:r>
      <w:r>
        <w:rPr>
          <w:spacing w:val="1"/>
        </w:rPr>
        <w:t> </w:t>
      </w:r>
      <w:r>
        <w:rPr/>
        <w:t>was</w:t>
      </w:r>
      <w:r>
        <w:rPr>
          <w:spacing w:val="1"/>
        </w:rPr>
        <w:t> </w:t>
      </w:r>
      <w:r>
        <w:rPr/>
        <w:t>made.</w:t>
      </w:r>
      <w:r>
        <w:rPr>
          <w:spacing w:val="1"/>
        </w:rPr>
        <w:t> </w:t>
      </w:r>
      <w:r>
        <w:rPr/>
        <w:t>In </w:t>
      </w:r>
      <w:r>
        <w:rPr>
          <w:rFonts w:ascii="Arial" w:hAnsi="Arial"/>
          <w:i/>
        </w:rPr>
        <w:t>Weeks</w:t>
      </w:r>
      <w:r>
        <w:rPr>
          <w:rFonts w:ascii="Arial" w:hAnsi="Arial"/>
          <w:i/>
          <w:spacing w:val="1"/>
        </w:rPr>
        <w:t> </w:t>
      </w:r>
      <w:r>
        <w:rPr>
          <w:rFonts w:ascii="Arial" w:hAnsi="Arial"/>
          <w:i/>
        </w:rPr>
        <w:t>v</w:t>
      </w:r>
      <w:r>
        <w:rPr>
          <w:rFonts w:ascii="Arial" w:hAnsi="Arial"/>
          <w:i/>
          <w:spacing w:val="1"/>
        </w:rPr>
        <w:t> </w:t>
      </w:r>
      <w:r>
        <w:rPr>
          <w:rFonts w:ascii="Arial" w:hAnsi="Arial"/>
          <w:i/>
          <w:spacing w:val="-2"/>
        </w:rPr>
        <w:t>Tybald</w:t>
      </w:r>
    </w:p>
    <w:p>
      <w:pPr>
        <w:pStyle w:val="BodyText"/>
        <w:spacing w:line="235" w:lineRule="auto"/>
        <w:ind w:left="165" w:right="167"/>
        <w:jc w:val="both"/>
      </w:pPr>
      <w:r>
        <w:rPr/>
        <w:t>, </w:t>
      </w:r>
      <w:r>
        <w:rPr>
          <w:color w:val="005DA1"/>
          <w:u w:val="single" w:color="005DA1"/>
          <w:vertAlign w:val="superscript"/>
        </w:rPr>
        <w:t>944</w:t>
      </w:r>
      <w:r>
        <w:rPr>
          <w:color w:val="005DA1"/>
          <w:vertAlign w:val="baseline"/>
        </w:rPr>
        <w:t> </w:t>
      </w:r>
      <w:r>
        <w:rPr>
          <w:vertAlign w:val="baseline"/>
        </w:rPr>
        <w:t>for example, the defendant “affirmed and published that he would give £100 to him that should </w:t>
      </w:r>
      <w:bookmarkStart w:name="_bookmark1747" w:id="1749"/>
      <w:bookmarkEnd w:id="1749"/>
      <w:r>
        <w:rPr>
          <w:vertAlign w:val="baseline"/>
        </w:rPr>
        <w:t>marry</w:t>
      </w:r>
      <w:r>
        <w:rPr>
          <w:vertAlign w:val="baseline"/>
        </w:rPr>
        <w:t> his daughter with his consent”. The court held that it was “not reasonable that the defendant should be bound by such general words spoken to excite suitors”. Similarly, in </w:t>
      </w:r>
      <w:r>
        <w:rPr>
          <w:rFonts w:ascii="Arial" w:hAnsi="Arial"/>
          <w:i/>
          <w:vertAlign w:val="baseline"/>
        </w:rPr>
        <w:t>Lambert v Lewis</w:t>
      </w:r>
      <w:r>
        <w:rPr>
          <w:vertAlign w:val="baseline"/>
        </w:rPr>
        <w:t>, </w:t>
      </w:r>
      <w:r>
        <w:rPr>
          <w:color w:val="005DA1"/>
          <w:u w:val="single" w:color="005DA1"/>
          <w:vertAlign w:val="superscript"/>
        </w:rPr>
        <w:t>945</w:t>
      </w:r>
      <w:r>
        <w:rPr>
          <w:color w:val="005DA1"/>
          <w:vertAlign w:val="baseline"/>
        </w:rPr>
        <w:t> </w:t>
      </w:r>
      <w:r>
        <w:rPr>
          <w:vertAlign w:val="baseline"/>
        </w:rPr>
        <w:t>a manufacturer stated in promotional literature that his product was “foolproof ” and that it “required </w:t>
      </w:r>
      <w:r>
        <w:rPr>
          <w:vertAlign w:val="baseline"/>
        </w:rPr>
        <w:t>no maintenance”. These statements did not give rise to a contract between the manufacturer and a </w:t>
      </w:r>
      <w:bookmarkStart w:name="_bookmark1748" w:id="1750"/>
      <w:bookmarkEnd w:id="1750"/>
      <w:r>
        <w:rPr>
          <w:vertAlign w:val="baseline"/>
        </w:rPr>
        <w:t>dealer</w:t>
      </w:r>
      <w:r>
        <w:rPr>
          <w:vertAlign w:val="baseline"/>
        </w:rPr>
        <w:t> (who had bought the product from an intermediary) as they were “not intended to be, nor were they, acted on as being express warranties”. </w:t>
      </w:r>
      <w:r>
        <w:rPr>
          <w:color w:val="005DA1"/>
          <w:u w:val="single" w:color="005DA1"/>
          <w:vertAlign w:val="superscript"/>
        </w:rPr>
        <w:t>946</w:t>
      </w:r>
    </w:p>
    <w:p>
      <w:pPr>
        <w:pStyle w:val="BodyText"/>
        <w:spacing w:before="78"/>
      </w:pPr>
    </w:p>
    <w:p>
      <w:pPr>
        <w:pStyle w:val="Heading2"/>
      </w:pPr>
      <w:r>
        <w:rPr/>
        <w:t>2-</w:t>
      </w:r>
      <w:r>
        <w:rPr>
          <w:spacing w:val="-5"/>
        </w:rPr>
        <w:t>174</w:t>
      </w:r>
    </w:p>
    <w:p>
      <w:pPr>
        <w:pStyle w:val="BodyText"/>
        <w:spacing w:line="235" w:lineRule="auto" w:before="202"/>
        <w:ind w:left="164" w:right="167"/>
        <w:jc w:val="both"/>
      </w:pPr>
      <w:r>
        <w:rPr/>
        <w:t>Other statements which induce persons to enter into contracts have some effect in law, but exactly what that effect is often turns on whether they are “mere representations” or have contractual </w:t>
      </w:r>
      <w:r>
        <w:rPr/>
        <w:t>force. The distinction between these categories turns on the test of contractual intention. In cases concerning the effect of such statements, the test of intention generally determines the </w:t>
      </w:r>
      <w:r>
        <w:rPr>
          <w:rFonts w:ascii="Arial" w:hAnsi="Arial"/>
          <w:i/>
        </w:rPr>
        <w:t>contents </w:t>
      </w:r>
      <w:r>
        <w:rPr/>
        <w:t>of a contract, the </w:t>
      </w:r>
      <w:r>
        <w:rPr>
          <w:rFonts w:ascii="Arial" w:hAnsi="Arial"/>
          <w:i/>
        </w:rPr>
        <w:t>existence </w:t>
      </w:r>
      <w:r>
        <w:rPr/>
        <w:t>of which is not in doubt. But where the inducing statement for some reason cannot take effect as a term of the main contract it may, nevertheless, amount to a collateral contract; </w:t>
      </w:r>
      <w:bookmarkStart w:name="_bookmark1749" w:id="1751"/>
      <w:bookmarkEnd w:id="1751"/>
      <w:r>
        <w:rPr/>
        <w:t>and</w:t>
      </w:r>
      <w:r>
        <w:rPr/>
        <w:t> whether it has this effect again depends on the test of contractual intention. For example, in </w:t>
      </w:r>
      <w:r>
        <w:rPr>
          <w:rFonts w:ascii="Arial" w:hAnsi="Arial"/>
          <w:i/>
        </w:rPr>
        <w:t>Heilbut, Symons &amp; Co v Buckleton </w:t>
      </w:r>
      <w:r>
        <w:rPr>
          <w:color w:val="005DA1"/>
          <w:u w:val="single" w:color="005DA1"/>
          <w:vertAlign w:val="superscript"/>
        </w:rPr>
        <w:t>947</w:t>
      </w:r>
      <w:r>
        <w:rPr>
          <w:color w:val="005DA1"/>
          <w:vertAlign w:val="baseline"/>
        </w:rPr>
        <w:t> </w:t>
      </w:r>
      <w:r>
        <w:rPr>
          <w:vertAlign w:val="baseline"/>
        </w:rPr>
        <w:t>the claimant applied for shares in a company after a conversation with the defendants’ manager, which led the claimant to believe that the company</w:t>
      </w:r>
      <w:r>
        <w:rPr>
          <w:spacing w:val="40"/>
          <w:vertAlign w:val="baseline"/>
        </w:rPr>
        <w:t> </w:t>
      </w:r>
      <w:r>
        <w:rPr>
          <w:vertAlign w:val="baseline"/>
        </w:rPr>
        <w:t>(which the defendants were “bringing out”) was a rubber company. It was not a rubber company, and the claimant alleged that the defendants had warranted that it was a rubber company. It was held that nothing said by the manager was intended to have the effect of a collateral contract. Lord Moulton </w:t>
      </w:r>
      <w:r>
        <w:rPr>
          <w:spacing w:val="-2"/>
          <w:vertAlign w:val="baseline"/>
        </w:rPr>
        <w:t>said:</w:t>
      </w:r>
    </w:p>
    <w:p>
      <w:pPr>
        <w:pStyle w:val="BodyText"/>
      </w:pPr>
    </w:p>
    <w:p>
      <w:pPr>
        <w:pStyle w:val="BodyText"/>
        <w:spacing w:before="122"/>
      </w:pPr>
    </w:p>
    <w:p>
      <w:pPr>
        <w:pStyle w:val="BodyText"/>
        <w:spacing w:line="235" w:lineRule="auto"/>
        <w:ind w:left="1244" w:right="168"/>
      </w:pPr>
      <w:bookmarkStart w:name="_bookmark1750" w:id="1752"/>
      <w:bookmarkEnd w:id="1752"/>
      <w:r>
        <w:rPr/>
      </w:r>
      <w:r>
        <w:rPr/>
        <w:t>“Not only the terms of such contracts but the existence of an animus contrahendi on </w:t>
      </w:r>
      <w:r>
        <w:rPr/>
        <w:t>the part of all the parties to them must be clearly shewn.” </w:t>
      </w:r>
      <w:r>
        <w:rPr>
          <w:color w:val="005DA1"/>
          <w:u w:val="single" w:color="005DA1"/>
          <w:vertAlign w:val="superscript"/>
        </w:rPr>
        <w:t>948</w:t>
      </w:r>
    </w:p>
    <w:p>
      <w:pPr>
        <w:pStyle w:val="BodyText"/>
      </w:pPr>
    </w:p>
    <w:p>
      <w:pPr>
        <w:pStyle w:val="BodyText"/>
        <w:spacing w:before="206"/>
      </w:pPr>
    </w:p>
    <w:p>
      <w:pPr>
        <w:pStyle w:val="BodyText"/>
        <w:spacing w:line="235" w:lineRule="auto"/>
        <w:ind w:left="164" w:right="167"/>
        <w:jc w:val="both"/>
      </w:pPr>
      <w:r>
        <w:rPr/>
        <w:t>It follows that an oral statement made in the course of negotiations will not take effect as collateral contract where the terms of the main contract show that the parties did </w:t>
      </w:r>
      <w:r>
        <w:rPr>
          <w:rFonts w:ascii="Arial" w:hAnsi="Arial"/>
          <w:i/>
        </w:rPr>
        <w:t>not </w:t>
      </w:r>
      <w:r>
        <w:rPr/>
        <w:t>intend the statement to have such effect. This was, for example, the position where the main contract contained an “entire </w:t>
      </w:r>
      <w:bookmarkStart w:name="_bookmark1751" w:id="1753"/>
      <w:bookmarkEnd w:id="1753"/>
      <w:r>
        <w:rPr/>
        <w:t>agreement”</w:t>
      </w:r>
      <w:r>
        <w:rPr/>
        <w:t> clause: this showed that statements made in the course of negotiations were to “have </w:t>
      </w:r>
      <w:r>
        <w:rPr/>
        <w:t>no contractual force”. </w:t>
      </w:r>
      <w:r>
        <w:rPr>
          <w:color w:val="005DA1"/>
          <w:u w:val="single" w:color="005DA1"/>
          <w:vertAlign w:val="superscript"/>
        </w:rPr>
        <w:t>949</w:t>
      </w:r>
      <w:r>
        <w:rPr>
          <w:color w:val="005DA1"/>
          <w:vertAlign w:val="baseline"/>
        </w:rPr>
        <w:t> </w:t>
      </w:r>
      <w:r>
        <w:rPr>
          <w:vertAlign w:val="baseline"/>
        </w:rPr>
        <w:t>Similarly, where a party during negotiations for a lease made a statement of its intention as to its future conduct under the lease, but the negotiations were then continued and the final agreement was inconsistent with the statement, it was held that these circumstances negatived </w:t>
      </w:r>
      <w:bookmarkStart w:name="_bookmark1752" w:id="1754"/>
      <w:bookmarkEnd w:id="1754"/>
      <w:r>
        <w:rPr>
          <w:vertAlign w:val="baseline"/>
        </w:rPr>
        <w:t>contractual</w:t>
      </w:r>
      <w:r>
        <w:rPr>
          <w:vertAlign w:val="baseline"/>
        </w:rPr>
        <w:t> intention with respect to the statement, so that it could not take effect as a collateral contract. </w:t>
      </w:r>
      <w:r>
        <w:rPr>
          <w:color w:val="005DA1"/>
          <w:u w:val="single" w:color="005DA1"/>
          <w:vertAlign w:val="superscript"/>
        </w:rPr>
        <w:t>950</w:t>
      </w:r>
    </w:p>
    <w:p>
      <w:pPr>
        <w:pStyle w:val="BodyText"/>
      </w:pPr>
    </w:p>
    <w:p>
      <w:pPr>
        <w:pStyle w:val="BodyText"/>
        <w:spacing w:before="35"/>
      </w:pPr>
    </w:p>
    <w:p>
      <w:pPr>
        <w:spacing w:before="1"/>
        <w:ind w:left="165" w:right="0" w:firstLine="0"/>
        <w:jc w:val="both"/>
        <w:rPr>
          <w:rFonts w:ascii="Arial"/>
          <w:b/>
          <w:sz w:val="18"/>
        </w:rPr>
      </w:pPr>
      <w:r>
        <w:rPr>
          <w:rFonts w:ascii="Arial"/>
          <w:b/>
          <w:sz w:val="18"/>
        </w:rPr>
        <w:t>Statements inducing contracts with </w:t>
      </w:r>
      <w:r>
        <w:rPr>
          <w:rFonts w:ascii="Arial"/>
          <w:b/>
          <w:spacing w:val="-2"/>
          <w:sz w:val="18"/>
        </w:rPr>
        <w:t>consumers</w:t>
      </w:r>
    </w:p>
    <w:p>
      <w:pPr>
        <w:pStyle w:val="BodyText"/>
        <w:spacing w:before="41"/>
        <w:rPr>
          <w:rFonts w:ascii="Arial"/>
          <w:b/>
          <w:sz w:val="18"/>
        </w:rPr>
      </w:pPr>
    </w:p>
    <w:p>
      <w:pPr>
        <w:pStyle w:val="Heading2"/>
      </w:pPr>
      <w:r>
        <w:rPr/>
        <w:t>2-</w:t>
      </w:r>
      <w:r>
        <w:rPr>
          <w:spacing w:val="-5"/>
        </w:rPr>
        <w:t>175</w:t>
      </w:r>
    </w:p>
    <w:p>
      <w:pPr>
        <w:pStyle w:val="BodyText"/>
        <w:spacing w:line="235" w:lineRule="auto" w:before="202"/>
        <w:ind w:left="165" w:right="167"/>
        <w:jc w:val="both"/>
      </w:pPr>
      <w:r>
        <w:rPr/>
        <w:t>Under the Sale of Goods Act 1979 a commercial seller of goods may be liable to a buyer who </w:t>
      </w:r>
      <w:r>
        <w:rPr/>
        <w:t>deals</w:t>
      </w:r>
      <w:r>
        <w:rPr>
          <w:spacing w:val="40"/>
        </w:rPr>
        <w:t> </w:t>
      </w:r>
      <w:r>
        <w:rPr/>
        <w:t>as consumer if the goods lack a quality claimed for them in “public statements on the </w:t>
      </w:r>
      <w:r>
        <w:rPr>
          <w:rFonts w:ascii="Arial" w:hAnsi="Arial"/>
          <w:i/>
        </w:rPr>
        <w:t>specific </w:t>
      </w:r>
      <w:bookmarkStart w:name="_bookmark1753" w:id="1755"/>
      <w:bookmarkEnd w:id="1755"/>
      <w:r>
        <w:rPr>
          <w:rFonts w:ascii="Arial" w:hAnsi="Arial"/>
          <w:i/>
        </w:rPr>
      </w:r>
      <w:r>
        <w:rPr/>
        <w:t>characteristics of the goods made about them by the seller, the producer or his representative in </w:t>
      </w:r>
      <w:bookmarkStart w:name="_bookmark1754" w:id="1756"/>
      <w:bookmarkEnd w:id="1756"/>
      <w:r>
        <w:rPr/>
        <w:t>advertising</w:t>
      </w:r>
      <w:r>
        <w:rPr/>
        <w:t> or labelling.” </w:t>
      </w:r>
      <w:r>
        <w:rPr>
          <w:color w:val="005DA1"/>
          <w:u w:val="single" w:color="005DA1"/>
          <w:vertAlign w:val="superscript"/>
        </w:rPr>
        <w:t>951</w:t>
      </w:r>
      <w:r>
        <w:rPr>
          <w:color w:val="005DA1"/>
          <w:vertAlign w:val="baseline"/>
        </w:rPr>
        <w:t> </w:t>
      </w:r>
      <w:r>
        <w:rPr>
          <w:vertAlign w:val="baseline"/>
        </w:rPr>
        <w:t>Similar provisions apply to contracts for the supply of goods other than </w:t>
      </w:r>
      <w:bookmarkStart w:name="_bookmark1755" w:id="1757"/>
      <w:bookmarkEnd w:id="1757"/>
      <w:r>
        <w:rPr>
          <w:vertAlign w:val="baseline"/>
        </w:rPr>
        <w:t>contracts</w:t>
      </w:r>
      <w:r>
        <w:rPr>
          <w:vertAlign w:val="baseline"/>
        </w:rPr>
        <w:t> of sale. </w:t>
      </w:r>
      <w:r>
        <w:rPr>
          <w:color w:val="005DA1"/>
          <w:u w:val="single" w:color="005DA1"/>
          <w:vertAlign w:val="superscript"/>
        </w:rPr>
        <w:t>952</w:t>
      </w:r>
      <w:r>
        <w:rPr>
          <w:color w:val="005DA1"/>
          <w:vertAlign w:val="baseline"/>
        </w:rPr>
        <w:t> </w:t>
      </w:r>
      <w:r>
        <w:rPr>
          <w:vertAlign w:val="baseline"/>
        </w:rPr>
        <w:t>The legislation supporting these requirements is now replaced by the Consumer Rights Act 2015 </w:t>
      </w:r>
      <w:r>
        <w:rPr>
          <w:color w:val="005DA1"/>
          <w:u w:val="single" w:color="005DA1"/>
          <w:vertAlign w:val="superscript"/>
        </w:rPr>
        <w:t>953</w:t>
      </w:r>
      <w:r>
        <w:rPr>
          <w:color w:val="005DA1"/>
          <w:vertAlign w:val="baseline"/>
        </w:rPr>
        <w:t> </w:t>
      </w:r>
      <w:r>
        <w:rPr>
          <w:vertAlign w:val="baseline"/>
        </w:rPr>
        <w:t>which imposes analogous liability for statements inducing the contract </w:t>
      </w:r>
      <w:r>
        <w:rPr>
          <w:color w:val="005DA1"/>
          <w:u w:val="single" w:color="005DA1"/>
          <w:vertAlign w:val="superscript"/>
        </w:rPr>
        <w:t>954</w:t>
      </w:r>
      <w:r>
        <w:rPr>
          <w:vertAlign w:val="baseline"/>
        </w:rPr>
        <w:t>; </w:t>
      </w:r>
      <w:bookmarkStart w:name="_bookmark1756" w:id="1758"/>
      <w:bookmarkEnd w:id="1758"/>
      <w:r>
        <w:rPr>
          <w:vertAlign w:val="baseline"/>
        </w:rPr>
        <w:t>including</w:t>
      </w:r>
      <w:r>
        <w:rPr>
          <w:vertAlign w:val="baseline"/>
        </w:rPr>
        <w:t> for “any public statement about … </w:t>
      </w:r>
      <w:r>
        <w:rPr>
          <w:rFonts w:ascii="Arial" w:hAnsi="Arial"/>
          <w:i/>
          <w:vertAlign w:val="baseline"/>
        </w:rPr>
        <w:t>specific </w:t>
      </w:r>
      <w:r>
        <w:rPr>
          <w:vertAlign w:val="baseline"/>
        </w:rPr>
        <w:t>characteristics” of the subject-matter of the contract. </w:t>
      </w:r>
      <w:r>
        <w:rPr>
          <w:color w:val="005DA1"/>
          <w:u w:val="single" w:color="005DA1"/>
          <w:vertAlign w:val="superscript"/>
        </w:rPr>
        <w:t>955</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Guarantees given to </w:t>
      </w:r>
      <w:r>
        <w:rPr>
          <w:rFonts w:ascii="Arial"/>
          <w:b/>
          <w:spacing w:val="-2"/>
          <w:sz w:val="18"/>
        </w:rPr>
        <w:t>consumers</w:t>
      </w:r>
    </w:p>
    <w:p>
      <w:pPr>
        <w:pStyle w:val="BodyText"/>
        <w:spacing w:before="41"/>
        <w:rPr>
          <w:rFonts w:ascii="Arial"/>
          <w:b/>
          <w:sz w:val="18"/>
        </w:rPr>
      </w:pPr>
    </w:p>
    <w:p>
      <w:pPr>
        <w:pStyle w:val="Heading2"/>
      </w:pPr>
      <w:r>
        <w:rPr/>
        <w:t>2-</w:t>
      </w:r>
      <w:r>
        <w:rPr>
          <w:spacing w:val="-5"/>
        </w:rPr>
        <w:t>176</w:t>
      </w:r>
    </w:p>
    <w:p>
      <w:pPr>
        <w:pStyle w:val="BodyText"/>
        <w:spacing w:line="235" w:lineRule="auto" w:before="203"/>
        <w:ind w:left="165" w:right="167"/>
        <w:jc w:val="both"/>
      </w:pPr>
      <w:bookmarkStart w:name="_bookmark1757" w:id="1759"/>
      <w:bookmarkEnd w:id="1759"/>
      <w:r>
        <w:rPr/>
      </w:r>
      <w:r>
        <w:rPr/>
        <w:t>The Sale and Supply of Goods to Consumers Regulations 2002 </w:t>
      </w:r>
      <w:r>
        <w:rPr>
          <w:color w:val="005DA1"/>
          <w:u w:val="single" w:color="005DA1"/>
          <w:vertAlign w:val="superscript"/>
        </w:rPr>
        <w:t>956</w:t>
      </w:r>
      <w:r>
        <w:rPr>
          <w:color w:val="005DA1"/>
          <w:vertAlign w:val="baseline"/>
        </w:rPr>
        <w:t> </w:t>
      </w:r>
      <w:r>
        <w:rPr>
          <w:vertAlign w:val="baseline"/>
        </w:rPr>
        <w:t>provide that, where goods are</w:t>
      </w:r>
      <w:r>
        <w:rPr>
          <w:spacing w:val="40"/>
          <w:vertAlign w:val="baseline"/>
        </w:rPr>
        <w:t> </w:t>
      </w:r>
      <w:bookmarkStart w:name="_bookmark1758" w:id="1760"/>
      <w:bookmarkEnd w:id="1760"/>
      <w:r>
        <w:rPr>
          <w:vertAlign w:val="baseline"/>
        </w:rPr>
        <w:t>sold</w:t>
      </w:r>
      <w:r>
        <w:rPr>
          <w:vertAlign w:val="baseline"/>
        </w:rPr>
        <w:t> or supplied to a consumer and are offered with a “consumer guarantee”, that guarantee </w:t>
      </w:r>
      <w:r>
        <w:rPr>
          <w:vertAlign w:val="baseline"/>
        </w:rPr>
        <w:t>“takes </w:t>
      </w:r>
      <w:bookmarkStart w:name="_bookmark1759" w:id="1761"/>
      <w:bookmarkEnd w:id="1761"/>
      <w:r>
        <w:rPr>
          <w:vertAlign w:val="baseline"/>
        </w:rPr>
        <w:t>effect</w:t>
      </w:r>
      <w:r>
        <w:rPr>
          <w:vertAlign w:val="baseline"/>
        </w:rPr>
        <w:t> as a contractual obligation owed by the guarantor”. </w:t>
      </w:r>
      <w:r>
        <w:rPr>
          <w:color w:val="005DA1"/>
          <w:u w:val="single" w:color="005DA1"/>
          <w:vertAlign w:val="superscript"/>
        </w:rPr>
        <w:t>957</w:t>
      </w:r>
      <w:r>
        <w:rPr>
          <w:color w:val="005DA1"/>
          <w:vertAlign w:val="baseline"/>
        </w:rPr>
        <w:t> </w:t>
      </w:r>
      <w:r>
        <w:rPr>
          <w:vertAlign w:val="baseline"/>
        </w:rPr>
        <w:t>It seems to take effect by virtue of the Regulations, without any separate requirement of contractual intention. This is replaced </w:t>
      </w:r>
      <w:r>
        <w:rPr>
          <w:color w:val="005DA1"/>
          <w:u w:val="single" w:color="005DA1"/>
          <w:vertAlign w:val="superscript"/>
        </w:rPr>
        <w:t>958</w:t>
      </w:r>
      <w:r>
        <w:rPr>
          <w:color w:val="005DA1"/>
          <w:vertAlign w:val="baseline"/>
        </w:rPr>
        <w:t> </w:t>
      </w:r>
      <w:r>
        <w:rPr>
          <w:vertAlign w:val="baseline"/>
        </w:rPr>
        <w:t>by a</w:t>
      </w:r>
      <w:r>
        <w:rPr>
          <w:spacing w:val="40"/>
          <w:vertAlign w:val="baseline"/>
        </w:rPr>
        <w:t> </w:t>
      </w:r>
      <w:bookmarkStart w:name="_bookmark1760" w:id="1762"/>
      <w:bookmarkEnd w:id="1762"/>
      <w:r>
        <w:rPr>
          <w:vertAlign w:val="baseline"/>
        </w:rPr>
        <w:t>similar</w:t>
      </w:r>
      <w:r>
        <w:rPr>
          <w:spacing w:val="-1"/>
          <w:vertAlign w:val="baseline"/>
        </w:rPr>
        <w:t> </w:t>
      </w:r>
      <w:r>
        <w:rPr>
          <w:vertAlign w:val="baseline"/>
        </w:rPr>
        <w:t>provision</w:t>
      </w:r>
      <w:r>
        <w:rPr>
          <w:spacing w:val="-1"/>
          <w:vertAlign w:val="baseline"/>
        </w:rPr>
        <w:t> </w:t>
      </w:r>
      <w:r>
        <w:rPr>
          <w:vertAlign w:val="baseline"/>
        </w:rPr>
        <w:t>contained</w:t>
      </w:r>
      <w:r>
        <w:rPr>
          <w:spacing w:val="-1"/>
          <w:vertAlign w:val="baseline"/>
        </w:rPr>
        <w:t> </w:t>
      </w:r>
      <w:r>
        <w:rPr>
          <w:vertAlign w:val="baseline"/>
        </w:rPr>
        <w:t>in</w:t>
      </w:r>
      <w:r>
        <w:rPr>
          <w:spacing w:val="-1"/>
          <w:vertAlign w:val="baseline"/>
        </w:rPr>
        <w:t> </w:t>
      </w:r>
      <w:r>
        <w:rPr>
          <w:vertAlign w:val="baseline"/>
        </w:rPr>
        <w:t>s.30</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Consumer</w:t>
      </w:r>
      <w:r>
        <w:rPr>
          <w:spacing w:val="-1"/>
          <w:vertAlign w:val="baseline"/>
        </w:rPr>
        <w:t> </w:t>
      </w:r>
      <w:r>
        <w:rPr>
          <w:vertAlign w:val="baseline"/>
        </w:rPr>
        <w:t>Rights</w:t>
      </w:r>
      <w:r>
        <w:rPr>
          <w:spacing w:val="-1"/>
          <w:vertAlign w:val="baseline"/>
        </w:rPr>
        <w:t> </w:t>
      </w:r>
      <w:r>
        <w:rPr>
          <w:vertAlign w:val="baseline"/>
        </w:rPr>
        <w:t>Act</w:t>
      </w:r>
      <w:r>
        <w:rPr>
          <w:spacing w:val="-1"/>
          <w:vertAlign w:val="baseline"/>
        </w:rPr>
        <w:t> </w:t>
      </w:r>
      <w:r>
        <w:rPr>
          <w:vertAlign w:val="baseline"/>
        </w:rPr>
        <w:t>2015,</w:t>
      </w:r>
      <w:r>
        <w:rPr>
          <w:spacing w:val="-1"/>
          <w:vertAlign w:val="baseline"/>
        </w:rPr>
        <w:t> </w:t>
      </w:r>
      <w:r>
        <w:rPr>
          <w:vertAlign w:val="baseline"/>
        </w:rPr>
        <w:t>which</w:t>
      </w:r>
      <w:r>
        <w:rPr>
          <w:spacing w:val="-1"/>
          <w:vertAlign w:val="baseline"/>
        </w:rPr>
        <w:t> </w:t>
      </w:r>
      <w:r>
        <w:rPr>
          <w:vertAlign w:val="baseline"/>
        </w:rPr>
        <w:t>applies</w:t>
      </w:r>
      <w:r>
        <w:rPr>
          <w:spacing w:val="-1"/>
          <w:vertAlign w:val="baseline"/>
        </w:rPr>
        <w:t> </w:t>
      </w:r>
      <w:r>
        <w:rPr>
          <w:vertAlign w:val="baseline"/>
        </w:rPr>
        <w:t>where</w:t>
      </w:r>
      <w:r>
        <w:rPr>
          <w:spacing w:val="-1"/>
          <w:vertAlign w:val="baseline"/>
        </w:rPr>
        <w:t> </w:t>
      </w:r>
      <w:r>
        <w:rPr>
          <w:vertAlign w:val="baseline"/>
        </w:rPr>
        <w:t>there</w:t>
      </w:r>
      <w:r>
        <w:rPr>
          <w:spacing w:val="-1"/>
          <w:vertAlign w:val="baseline"/>
        </w:rPr>
        <w:t> </w:t>
      </w:r>
      <w:r>
        <w:rPr>
          <w:vertAlign w:val="baseline"/>
        </w:rPr>
        <w:t>is</w:t>
      </w:r>
      <w:r>
        <w:rPr>
          <w:spacing w:val="-1"/>
          <w:vertAlign w:val="baseline"/>
        </w:rPr>
        <w:t> </w:t>
      </w:r>
      <w:r>
        <w:rPr>
          <w:vertAlign w:val="baseline"/>
        </w:rPr>
        <w:t>“(a) a contract to supply goods” and “(b) a guarantee in relation to the goods”, </w:t>
      </w:r>
      <w:r>
        <w:rPr>
          <w:color w:val="005DA1"/>
          <w:u w:val="single" w:color="005DA1"/>
          <w:vertAlign w:val="superscript"/>
        </w:rPr>
        <w:t>959</w:t>
      </w:r>
      <w:r>
        <w:rPr>
          <w:color w:val="005DA1"/>
          <w:vertAlign w:val="baseline"/>
        </w:rPr>
        <w:t> </w:t>
      </w:r>
      <w:r>
        <w:rPr>
          <w:vertAlign w:val="baseline"/>
        </w:rPr>
        <w:t>i.e. an undertaking by</w:t>
      </w:r>
      <w:r>
        <w:rPr>
          <w:spacing w:val="40"/>
          <w:vertAlign w:val="baseline"/>
        </w:rPr>
        <w:t> </w:t>
      </w:r>
      <w:r>
        <w:rPr>
          <w:vertAlign w:val="baseline"/>
        </w:rPr>
        <w:t>the “trader or producer” of the goods. Such a guarantee “takes effect … as a contractual obligation </w:t>
      </w:r>
      <w:bookmarkStart w:name="_bookmark1761" w:id="1763"/>
      <w:bookmarkEnd w:id="1763"/>
      <w:r>
        <w:rPr>
          <w:vertAlign w:val="baseline"/>
        </w:rPr>
        <w:t>owed</w:t>
      </w:r>
      <w:r>
        <w:rPr>
          <w:vertAlign w:val="baseline"/>
        </w:rPr>
        <w:t> by the guarantor” “under the conditions set out in the guarantee statement or in any associated advertising”. </w:t>
      </w:r>
      <w:r>
        <w:rPr>
          <w:color w:val="005DA1"/>
          <w:u w:val="single" w:color="005DA1"/>
          <w:vertAlign w:val="superscript"/>
        </w:rPr>
        <w:t>960</w:t>
      </w:r>
    </w:p>
    <w:p>
      <w:pPr>
        <w:pStyle w:val="BodyText"/>
      </w:pPr>
    </w:p>
    <w:p>
      <w:pPr>
        <w:pStyle w:val="BodyText"/>
        <w:spacing w:before="35"/>
      </w:pPr>
    </w:p>
    <w:p>
      <w:pPr>
        <w:spacing w:before="0"/>
        <w:ind w:left="165" w:right="0" w:firstLine="0"/>
        <w:jc w:val="left"/>
        <w:rPr>
          <w:rFonts w:ascii="Arial"/>
          <w:b/>
          <w:sz w:val="18"/>
        </w:rPr>
      </w:pPr>
      <w:r>
        <w:rPr>
          <w:rFonts w:ascii="Arial"/>
          <w:b/>
          <w:sz w:val="18"/>
        </w:rPr>
        <w:t>Social </w:t>
      </w:r>
      <w:r>
        <w:rPr>
          <w:rFonts w:ascii="Arial"/>
          <w:b/>
          <w:spacing w:val="-2"/>
          <w:sz w:val="18"/>
        </w:rPr>
        <w:t>agreements</w:t>
      </w:r>
    </w:p>
    <w:p>
      <w:pPr>
        <w:pStyle w:val="BodyText"/>
        <w:spacing w:before="41"/>
        <w:rPr>
          <w:rFonts w:ascii="Arial"/>
          <w:b/>
          <w:sz w:val="18"/>
        </w:rPr>
      </w:pPr>
    </w:p>
    <w:p>
      <w:pPr>
        <w:pStyle w:val="Heading2"/>
      </w:pPr>
      <w:r>
        <w:rPr/>
        <w:t>2-</w:t>
      </w:r>
      <w:r>
        <w:rPr>
          <w:spacing w:val="-5"/>
        </w:rPr>
        <w:t>177</w:t>
      </w:r>
    </w:p>
    <w:p>
      <w:pPr>
        <w:pStyle w:val="BodyText"/>
        <w:spacing w:line="235" w:lineRule="auto" w:before="203"/>
        <w:ind w:left="165" w:right="167"/>
        <w:jc w:val="both"/>
      </w:pPr>
      <w:r>
        <w:rPr/>
        <w:t>Many social arrangements do not amount to contracts because they are not intended to be </w:t>
      </w:r>
      <w:r>
        <w:rPr/>
        <w:t>legally </w:t>
      </w:r>
      <w:r>
        <w:rPr>
          <w:spacing w:val="-2"/>
        </w:rPr>
        <w:t>binding.</w:t>
      </w:r>
    </w:p>
    <w:p>
      <w:pPr>
        <w:pStyle w:val="BodyText"/>
      </w:pPr>
    </w:p>
    <w:p>
      <w:pPr>
        <w:pStyle w:val="BodyText"/>
        <w:spacing w:before="126"/>
      </w:pPr>
    </w:p>
    <w:p>
      <w:pPr>
        <w:pStyle w:val="BodyText"/>
        <w:spacing w:line="235" w:lineRule="auto"/>
        <w:ind w:left="1245" w:right="167"/>
        <w:jc w:val="both"/>
      </w:pPr>
      <w:bookmarkStart w:name="_bookmark1762" w:id="1764"/>
      <w:bookmarkEnd w:id="1764"/>
      <w:r>
        <w:rPr/>
      </w:r>
      <w:r>
        <w:rPr/>
        <w:t>“The ordinary example is where two parties agree to take a walk together, or where </w:t>
      </w:r>
      <w:r>
        <w:rPr/>
        <w:t>there is an offer and an acceptance of hospitality.” </w:t>
      </w:r>
      <w:r>
        <w:rPr>
          <w:color w:val="005DA1"/>
          <w:u w:val="single" w:color="005DA1"/>
          <w:vertAlign w:val="superscript"/>
        </w:rPr>
        <w:t>961</w:t>
      </w:r>
    </w:p>
    <w:p>
      <w:pPr>
        <w:pStyle w:val="BodyText"/>
      </w:pPr>
    </w:p>
    <w:p>
      <w:pPr>
        <w:pStyle w:val="BodyText"/>
        <w:spacing w:before="206"/>
      </w:pPr>
    </w:p>
    <w:p>
      <w:pPr>
        <w:pStyle w:val="BodyText"/>
        <w:spacing w:line="235" w:lineRule="auto"/>
        <w:ind w:left="165" w:right="167"/>
        <w:jc w:val="both"/>
      </w:pPr>
      <w:r>
        <w:rPr/>
        <w:t>Similarly it has been held that the winner of a competition held by a golf club could not sue for </w:t>
      </w:r>
      <w:r>
        <w:rPr/>
        <w:t>his prize where:</w:t>
      </w:r>
    </w:p>
    <w:p>
      <w:pPr>
        <w:pStyle w:val="BodyText"/>
      </w:pPr>
    </w:p>
    <w:p>
      <w:pPr>
        <w:pStyle w:val="BodyText"/>
        <w:spacing w:before="126"/>
      </w:pPr>
    </w:p>
    <w:p>
      <w:pPr>
        <w:pStyle w:val="BodyText"/>
        <w:spacing w:line="235" w:lineRule="auto"/>
        <w:ind w:left="1245" w:right="167"/>
        <w:jc w:val="both"/>
      </w:pPr>
      <w:r>
        <w:rPr/>
        <w:t>“no one concerned with that competition ever intended that there should be any </w:t>
      </w:r>
      <w:r>
        <w:rPr/>
        <w:t>legal </w:t>
      </w:r>
      <w:bookmarkStart w:name="_bookmark1763" w:id="1765"/>
      <w:bookmarkEnd w:id="1765"/>
      <w:r>
        <w:rPr/>
        <w:t>results</w:t>
      </w:r>
      <w:r>
        <w:rPr/>
        <w:t> flowing from the conditions posted and the acceptance by the competitor of those conditions” </w:t>
      </w:r>
      <w:r>
        <w:rPr>
          <w:color w:val="005DA1"/>
          <w:u w:val="single" w:color="005DA1"/>
          <w:vertAlign w:val="superscript"/>
        </w:rPr>
        <w:t>962</w:t>
      </w:r>
    </w:p>
    <w:p>
      <w:pPr>
        <w:pStyle w:val="BodyText"/>
        <w:spacing w:before="116"/>
      </w:pPr>
    </w:p>
    <w:p>
      <w:pPr>
        <w:pStyle w:val="BodyText"/>
        <w:spacing w:line="235" w:lineRule="auto"/>
        <w:ind w:left="164" w:right="167"/>
        <w:jc w:val="both"/>
      </w:pPr>
      <w:bookmarkStart w:name="_bookmark1764" w:id="1766"/>
      <w:bookmarkEnd w:id="1766"/>
      <w:r>
        <w:rPr/>
      </w:r>
      <w:r>
        <w:rPr/>
        <w:t>that the rules of a competition organised by a “jalopy club” for charitable purposes did not </w:t>
      </w:r>
      <w:r>
        <w:rPr/>
        <w:t>have </w:t>
      </w:r>
      <w:bookmarkStart w:name="_bookmark1765" w:id="1767"/>
      <w:bookmarkEnd w:id="1767"/>
      <w:r>
        <w:rPr/>
        <w:t>contractual</w:t>
      </w:r>
      <w:r>
        <w:rPr/>
        <w:t> force </w:t>
      </w:r>
      <w:r>
        <w:rPr>
          <w:color w:val="005DA1"/>
          <w:u w:val="single" w:color="005DA1"/>
          <w:vertAlign w:val="superscript"/>
        </w:rPr>
        <w:t>963</w:t>
      </w:r>
      <w:r>
        <w:rPr>
          <w:vertAlign w:val="baseline"/>
        </w:rPr>
        <w:t>; that “car pool” and similar arrangements between friends or neighbours did not amount to contracts even though one party contributed to the running costs of the other’s vehicle </w:t>
      </w:r>
      <w:r>
        <w:rPr>
          <w:color w:val="005DA1"/>
          <w:u w:val="single" w:color="005DA1"/>
          <w:vertAlign w:val="superscript"/>
        </w:rPr>
        <w:t>964</w:t>
      </w:r>
      <w:r>
        <w:rPr>
          <w:vertAlign w:val="baseline"/>
        </w:rPr>
        <w:t>; </w:t>
      </w:r>
      <w:bookmarkStart w:name="_bookmark1766" w:id="1768"/>
      <w:bookmarkEnd w:id="1768"/>
      <w:r>
        <w:rPr>
          <w:vertAlign w:val="baseline"/>
        </w:rPr>
        <w:t>that</w:t>
      </w:r>
      <w:r>
        <w:rPr>
          <w:vertAlign w:val="baseline"/>
        </w:rPr>
        <w:t> an agreement between members of a group of friends relating to musical performances by the group was not intended to have contractual effect, </w:t>
      </w:r>
      <w:r>
        <w:rPr>
          <w:color w:val="005DA1"/>
          <w:u w:val="single" w:color="005DA1"/>
          <w:vertAlign w:val="superscript"/>
        </w:rPr>
        <w:t>965</w:t>
      </w:r>
      <w:r>
        <w:rPr>
          <w:color w:val="005DA1"/>
          <w:vertAlign w:val="baseline"/>
        </w:rPr>
        <w:t> </w:t>
      </w:r>
      <w:r>
        <w:rPr>
          <w:vertAlign w:val="baseline"/>
        </w:rPr>
        <w:t>and that the provision of free residential </w:t>
      </w:r>
      <w:bookmarkStart w:name="_bookmark1767" w:id="1769"/>
      <w:bookmarkEnd w:id="1769"/>
      <w:r>
        <w:rPr>
          <w:vertAlign w:val="baseline"/>
        </w:rPr>
        <w:t>accommodation</w:t>
      </w:r>
      <w:r>
        <w:rPr>
          <w:vertAlign w:val="baseline"/>
        </w:rPr>
        <w:t> for close friends did not amount to a contract as it was an act of bounty, done without </w:t>
      </w:r>
      <w:bookmarkStart w:name="_bookmark1768" w:id="1770"/>
      <w:bookmarkEnd w:id="1770"/>
      <w:r>
        <w:rPr>
          <w:vertAlign w:val="baseline"/>
        </w:rPr>
        <w:t>any</w:t>
      </w:r>
      <w:r>
        <w:rPr>
          <w:vertAlign w:val="baseline"/>
        </w:rPr>
        <w:t> intention to enter into legal relations. </w:t>
      </w:r>
      <w:r>
        <w:rPr>
          <w:color w:val="005DA1"/>
          <w:u w:val="single" w:color="005DA1"/>
          <w:vertAlign w:val="superscript"/>
        </w:rPr>
        <w:t>966</w:t>
      </w:r>
      <w:r>
        <w:rPr>
          <w:color w:val="005DA1"/>
          <w:vertAlign w:val="baseline"/>
        </w:rPr>
        <w:t> </w:t>
      </w:r>
      <w:r>
        <w:rPr>
          <w:vertAlign w:val="baseline"/>
        </w:rPr>
        <w:t>On the other hand, contractual intention was found in an agreement between an employer and employee to play the lottery and share any winnings. </w:t>
      </w:r>
      <w:r>
        <w:rPr>
          <w:color w:val="005DA1"/>
          <w:u w:val="single" w:color="005DA1"/>
          <w:vertAlign w:val="superscript"/>
        </w:rPr>
        <w:t>967</w:t>
      </w:r>
    </w:p>
    <w:p>
      <w:pPr>
        <w:pStyle w:val="BodyText"/>
      </w:pPr>
    </w:p>
    <w:p>
      <w:pPr>
        <w:pStyle w:val="BodyText"/>
        <w:spacing w:before="35"/>
      </w:pPr>
    </w:p>
    <w:p>
      <w:pPr>
        <w:spacing w:before="0"/>
        <w:ind w:left="165" w:right="0" w:firstLine="0"/>
        <w:jc w:val="left"/>
        <w:rPr>
          <w:rFonts w:ascii="Arial"/>
          <w:b/>
          <w:sz w:val="18"/>
        </w:rPr>
      </w:pPr>
      <w:r>
        <w:rPr>
          <w:rFonts w:ascii="Arial"/>
          <w:b/>
          <w:sz w:val="18"/>
        </w:rPr>
        <w:t>Domestic agreements between </w:t>
      </w:r>
      <w:r>
        <w:rPr>
          <w:rFonts w:ascii="Arial"/>
          <w:b/>
          <w:spacing w:val="-2"/>
          <w:sz w:val="18"/>
        </w:rPr>
        <w:t>spouses</w:t>
      </w:r>
    </w:p>
    <w:p>
      <w:pPr>
        <w:pStyle w:val="BodyText"/>
        <w:spacing w:before="42"/>
        <w:rPr>
          <w:rFonts w:ascii="Arial"/>
          <w:b/>
          <w:sz w:val="18"/>
        </w:rPr>
      </w:pPr>
    </w:p>
    <w:p>
      <w:pPr>
        <w:pStyle w:val="Heading2"/>
      </w:pPr>
      <w:r>
        <w:rPr/>
        <w:t>2-</w:t>
      </w:r>
      <w:r>
        <w:rPr>
          <w:spacing w:val="-5"/>
        </w:rPr>
        <w:t>178</w:t>
      </w:r>
    </w:p>
    <w:p>
      <w:pPr>
        <w:pStyle w:val="BodyText"/>
        <w:spacing w:line="235" w:lineRule="auto" w:before="202"/>
        <w:ind w:left="165" w:right="167"/>
        <w:jc w:val="both"/>
      </w:pPr>
      <w:bookmarkStart w:name="_bookmark1769" w:id="1771"/>
      <w:bookmarkEnd w:id="1771"/>
      <w:r>
        <w:rPr/>
      </w:r>
      <w:r>
        <w:rPr/>
        <w:t>For the same reason, many domestic arrangements between spouses lack contractual force. </w:t>
      </w:r>
      <w:r>
        <w:rPr/>
        <w:t>In </w:t>
      </w:r>
      <w:r>
        <w:rPr>
          <w:rFonts w:ascii="Arial" w:hAnsi="Arial"/>
          <w:i/>
        </w:rPr>
        <w:t>Balfour v Balfour </w:t>
      </w:r>
      <w:r>
        <w:rPr>
          <w:color w:val="005DA1"/>
          <w:u w:val="single" w:color="005DA1"/>
          <w:vertAlign w:val="superscript"/>
        </w:rPr>
        <w:t>968</w:t>
      </w:r>
      <w:r>
        <w:rPr>
          <w:color w:val="005DA1"/>
          <w:vertAlign w:val="baseline"/>
        </w:rPr>
        <w:t> </w:t>
      </w:r>
      <w:r>
        <w:rPr>
          <w:vertAlign w:val="baseline"/>
        </w:rPr>
        <w:t>a husband who worked abroad promised to pay an allowance of £30 per month</w:t>
      </w:r>
      <w:r>
        <w:rPr>
          <w:spacing w:val="40"/>
          <w:vertAlign w:val="baseline"/>
        </w:rPr>
        <w:t> </w:t>
      </w:r>
      <w:r>
        <w:rPr>
          <w:vertAlign w:val="baseline"/>
        </w:rPr>
        <w:t>to his wife, who had to stay in England on medical grounds. The wife’s attempt to enforce this</w:t>
      </w:r>
      <w:r>
        <w:rPr>
          <w:spacing w:val="80"/>
          <w:vertAlign w:val="baseline"/>
        </w:rPr>
        <w:t> </w:t>
      </w:r>
      <w:r>
        <w:rPr>
          <w:vertAlign w:val="baseline"/>
        </w:rPr>
        <w:t>promise by action failed for two reasons: she had not provided any consideration, and the parties did not intend the arrangement to be legally binding. On the second ground alone, most domestic arrangements between husband and wife are not contracts. Atkin L.J. said:</w:t>
      </w:r>
    </w:p>
    <w:p>
      <w:pPr>
        <w:pStyle w:val="BodyText"/>
        <w:spacing w:after="0" w:line="235" w:lineRule="auto"/>
        <w:jc w:val="both"/>
        <w:sectPr>
          <w:pgSz w:w="11900" w:h="16840"/>
          <w:pgMar w:header="971" w:footer="0" w:top="1300" w:bottom="280" w:left="1275" w:right="1275"/>
        </w:sectPr>
      </w:pPr>
    </w:p>
    <w:p>
      <w:pPr>
        <w:pStyle w:val="BodyText"/>
        <w:spacing w:before="167"/>
      </w:pPr>
    </w:p>
    <w:p>
      <w:pPr>
        <w:pStyle w:val="BodyText"/>
        <w:spacing w:line="235" w:lineRule="auto"/>
        <w:ind w:left="1245" w:right="167"/>
        <w:jc w:val="both"/>
      </w:pPr>
      <w:r>
        <w:rPr/>
        <w:t>“Those agreements, or many of them, do not result in contracts at all … even </w:t>
      </w:r>
      <w:r>
        <w:rPr/>
        <w:t>though there may be what as between other parties would constitute consideration for the agreement … They are not contracts … because the parties did not intend that they should be attended by legal consequences … Agreements such as these are outside the realm of contracts altogether.” </w:t>
      </w:r>
      <w:r>
        <w:rPr>
          <w:color w:val="005DA1"/>
          <w:u w:val="single" w:color="005DA1"/>
          <w:vertAlign w:val="superscript"/>
        </w:rPr>
        <w:t>969</w:t>
      </w:r>
    </w:p>
    <w:p>
      <w:pPr>
        <w:pStyle w:val="BodyText"/>
        <w:spacing w:before="115"/>
      </w:pPr>
    </w:p>
    <w:p>
      <w:pPr>
        <w:pStyle w:val="BodyText"/>
        <w:spacing w:line="235" w:lineRule="auto"/>
        <w:ind w:left="165" w:right="167"/>
        <w:jc w:val="both"/>
      </w:pPr>
      <w:r>
        <w:rPr/>
        <w:t>It has been said that the facts of </w:t>
      </w:r>
      <w:r>
        <w:rPr>
          <w:rFonts w:ascii="Arial" w:hAnsi="Arial"/>
          <w:i/>
        </w:rPr>
        <w:t>Balfour v Balfour </w:t>
      </w:r>
      <w:r>
        <w:rPr/>
        <w:t>“stretched the doctrine to its limits” </w:t>
      </w:r>
      <w:r>
        <w:rPr>
          <w:color w:val="005DA1"/>
          <w:u w:val="single" w:color="005DA1"/>
          <w:vertAlign w:val="superscript"/>
        </w:rPr>
        <w:t>970</w:t>
      </w:r>
      <w:r>
        <w:rPr>
          <w:vertAlign w:val="baseline"/>
        </w:rPr>
        <w:t>; but </w:t>
      </w:r>
      <w:r>
        <w:rPr>
          <w:vertAlign w:val="baseline"/>
        </w:rPr>
        <w:t>the doctrine itself has not been judicially questioned and the cases provide many other instances of its application. </w:t>
      </w:r>
      <w:r>
        <w:rPr>
          <w:color w:val="005DA1"/>
          <w:u w:val="single" w:color="005DA1"/>
          <w:vertAlign w:val="superscript"/>
        </w:rPr>
        <w:t>971</w:t>
      </w:r>
      <w:r>
        <w:rPr>
          <w:color w:val="005DA1"/>
          <w:vertAlign w:val="baseline"/>
        </w:rPr>
        <w:t> </w:t>
      </w:r>
      <w:r>
        <w:rPr>
          <w:vertAlign w:val="baseline"/>
        </w:rPr>
        <w:t>The doctrine does not, of course, prevent a husband from making a binding contract with his wife. For example, a husband can be his wife’s tenant.</w:t>
      </w:r>
      <w:r>
        <w:rPr>
          <w:spacing w:val="-1"/>
          <w:vertAlign w:val="baseline"/>
        </w:rPr>
        <w:t> </w:t>
      </w:r>
      <w:r>
        <w:rPr>
          <w:color w:val="005DA1"/>
          <w:u w:val="single" w:color="005DA1"/>
          <w:vertAlign w:val="superscript"/>
        </w:rPr>
        <w:t>972</w:t>
      </w:r>
      <w:r>
        <w:rPr>
          <w:color w:val="005DA1"/>
          <w:vertAlign w:val="baseline"/>
        </w:rPr>
        <w:t> </w:t>
      </w:r>
      <w:r>
        <w:rPr>
          <w:vertAlign w:val="baseline"/>
        </w:rPr>
        <w:t>Binding separation agreements are often made when husband and wife agree to live apart. </w:t>
      </w:r>
      <w:r>
        <w:rPr>
          <w:color w:val="005DA1"/>
          <w:u w:val="single" w:color="005DA1"/>
          <w:vertAlign w:val="superscript"/>
        </w:rPr>
        <w:t>973</w:t>
      </w:r>
      <w:r>
        <w:rPr>
          <w:color w:val="005DA1"/>
          <w:vertAlign w:val="baseline"/>
        </w:rPr>
        <w:t> </w:t>
      </w:r>
      <w:r>
        <w:rPr>
          <w:vertAlign w:val="baseline"/>
        </w:rPr>
        <w:t>And where a man before marriage promised his future wife to leave her a house if she married him she was able to enforce the promise although it was made informally and in affectionate terms. </w:t>
      </w:r>
      <w:r>
        <w:rPr>
          <w:color w:val="005DA1"/>
          <w:u w:val="single" w:color="005DA1"/>
          <w:vertAlign w:val="superscript"/>
        </w:rPr>
        <w:t>974</w:t>
      </w:r>
    </w:p>
    <w:p>
      <w:pPr>
        <w:pStyle w:val="BodyText"/>
      </w:pPr>
    </w:p>
    <w:p>
      <w:pPr>
        <w:pStyle w:val="BodyText"/>
        <w:spacing w:before="36"/>
      </w:pPr>
    </w:p>
    <w:p>
      <w:pPr>
        <w:spacing w:before="0"/>
        <w:ind w:left="165" w:right="0" w:firstLine="0"/>
        <w:jc w:val="left"/>
        <w:rPr>
          <w:rFonts w:ascii="Arial"/>
          <w:b/>
          <w:sz w:val="18"/>
        </w:rPr>
      </w:pPr>
      <w:r>
        <w:rPr>
          <w:rFonts w:ascii="Arial"/>
          <w:b/>
          <w:sz w:val="18"/>
        </w:rPr>
        <w:t>Domestic agreements between civil </w:t>
      </w:r>
      <w:r>
        <w:rPr>
          <w:rFonts w:ascii="Arial"/>
          <w:b/>
          <w:spacing w:val="-2"/>
          <w:sz w:val="18"/>
        </w:rPr>
        <w:t>partners</w:t>
      </w:r>
    </w:p>
    <w:p>
      <w:pPr>
        <w:pStyle w:val="BodyText"/>
        <w:spacing w:before="41"/>
        <w:rPr>
          <w:rFonts w:ascii="Arial"/>
          <w:b/>
          <w:sz w:val="18"/>
        </w:rPr>
      </w:pPr>
    </w:p>
    <w:p>
      <w:pPr>
        <w:pStyle w:val="Heading2"/>
      </w:pPr>
      <w:r>
        <w:rPr/>
        <w:t>2-</w:t>
      </w:r>
      <w:r>
        <w:rPr>
          <w:spacing w:val="-5"/>
        </w:rPr>
        <w:t>179</w:t>
      </w:r>
    </w:p>
    <w:p>
      <w:pPr>
        <w:pStyle w:val="BodyText"/>
        <w:spacing w:line="235" w:lineRule="auto" w:before="203"/>
        <w:ind w:left="165" w:right="167"/>
        <w:jc w:val="both"/>
      </w:pPr>
      <w:r>
        <w:rPr/>
        <w:t>The</w:t>
      </w:r>
      <w:r>
        <w:rPr>
          <w:spacing w:val="40"/>
        </w:rPr>
        <w:t> </w:t>
      </w:r>
      <w:r>
        <w:rPr/>
        <w:t>authorities</w:t>
      </w:r>
      <w:r>
        <w:rPr>
          <w:spacing w:val="40"/>
        </w:rPr>
        <w:t> </w:t>
      </w:r>
      <w:r>
        <w:rPr/>
        <w:t>relating</w:t>
      </w:r>
      <w:r>
        <w:rPr>
          <w:spacing w:val="40"/>
        </w:rPr>
        <w:t> </w:t>
      </w:r>
      <w:r>
        <w:rPr/>
        <w:t>to</w:t>
      </w:r>
      <w:r>
        <w:rPr>
          <w:spacing w:val="40"/>
        </w:rPr>
        <w:t> </w:t>
      </w:r>
      <w:r>
        <w:rPr/>
        <w:t>the</w:t>
      </w:r>
      <w:r>
        <w:rPr>
          <w:spacing w:val="40"/>
        </w:rPr>
        <w:t> </w:t>
      </w:r>
      <w:r>
        <w:rPr/>
        <w:t>effects</w:t>
      </w:r>
      <w:r>
        <w:rPr>
          <w:spacing w:val="40"/>
        </w:rPr>
        <w:t> </w:t>
      </w:r>
      <w:r>
        <w:rPr/>
        <w:t>of</w:t>
      </w:r>
      <w:r>
        <w:rPr>
          <w:spacing w:val="40"/>
        </w:rPr>
        <w:t> </w:t>
      </w:r>
      <w:r>
        <w:rPr/>
        <w:t>domestic</w:t>
      </w:r>
      <w:r>
        <w:rPr>
          <w:spacing w:val="40"/>
        </w:rPr>
        <w:t> </w:t>
      </w:r>
      <w:r>
        <w:rPr/>
        <w:t>agreements</w:t>
      </w:r>
      <w:r>
        <w:rPr>
          <w:spacing w:val="40"/>
        </w:rPr>
        <w:t> </w:t>
      </w:r>
      <w:r>
        <w:rPr/>
        <w:t>between</w:t>
      </w:r>
      <w:r>
        <w:rPr>
          <w:spacing w:val="40"/>
        </w:rPr>
        <w:t> </w:t>
      </w:r>
      <w:r>
        <w:rPr/>
        <w:t>spouses,</w:t>
      </w:r>
      <w:r>
        <w:rPr>
          <w:spacing w:val="40"/>
        </w:rPr>
        <w:t> </w:t>
      </w:r>
      <w:r>
        <w:rPr/>
        <w:t>discussed</w:t>
      </w:r>
      <w:r>
        <w:rPr>
          <w:spacing w:val="40"/>
        </w:rPr>
        <w:t> </w:t>
      </w:r>
      <w:r>
        <w:rPr/>
        <w:t>in para.2-178 above, could, it is submitted, be applied by analogy to such agreements between persons of the same sex who had entered into a civil partnership under the Civil Partnership Act 2004. </w:t>
      </w:r>
      <w:r>
        <w:rPr>
          <w:color w:val="005DA1"/>
          <w:u w:val="single" w:color="005DA1"/>
          <w:vertAlign w:val="superscript"/>
        </w:rPr>
        <w:t>975</w:t>
      </w:r>
      <w:r>
        <w:rPr>
          <w:color w:val="005DA1"/>
          <w:vertAlign w:val="baseline"/>
        </w:rPr>
        <w:t> </w:t>
      </w:r>
      <w:r>
        <w:rPr>
          <w:vertAlign w:val="baseline"/>
        </w:rPr>
        <w:t>The Act is silent on the point but present submission derives support from the fact that it treats civil partnerships as analogous to marriages for many legal purposes, including (in particular) statutory provisions relating to the legal effects of agreements between the parties </w:t>
      </w:r>
      <w:r>
        <w:rPr>
          <w:color w:val="005DA1"/>
          <w:u w:val="single" w:color="005DA1"/>
          <w:vertAlign w:val="superscript"/>
        </w:rPr>
        <w:t>976</w:t>
      </w:r>
      <w:r>
        <w:rPr>
          <w:color w:val="005DA1"/>
          <w:vertAlign w:val="baseline"/>
        </w:rPr>
        <w:t> </w:t>
      </w:r>
      <w:r>
        <w:rPr>
          <w:vertAlign w:val="baseline"/>
        </w:rPr>
        <w:t>or for the benefit of one</w:t>
      </w:r>
      <w:r>
        <w:rPr>
          <w:spacing w:val="40"/>
          <w:vertAlign w:val="baseline"/>
        </w:rPr>
        <w:t> </w:t>
      </w:r>
      <w:r>
        <w:rPr>
          <w:vertAlign w:val="baseline"/>
        </w:rPr>
        <w:t>of them. </w:t>
      </w:r>
      <w:r>
        <w:rPr>
          <w:color w:val="005DA1"/>
          <w:u w:val="single" w:color="005DA1"/>
          <w:vertAlign w:val="superscript"/>
        </w:rPr>
        <w:t>977</w:t>
      </w:r>
    </w:p>
    <w:p>
      <w:pPr>
        <w:pStyle w:val="BodyText"/>
      </w:pPr>
    </w:p>
    <w:p>
      <w:pPr>
        <w:pStyle w:val="BodyText"/>
        <w:spacing w:before="36"/>
      </w:pPr>
    </w:p>
    <w:p>
      <w:pPr>
        <w:spacing w:before="0"/>
        <w:ind w:left="165" w:right="0" w:firstLine="0"/>
        <w:jc w:val="left"/>
        <w:rPr>
          <w:rFonts w:ascii="Arial"/>
          <w:b/>
          <w:sz w:val="18"/>
        </w:rPr>
      </w:pPr>
      <w:r>
        <w:rPr>
          <w:rFonts w:ascii="Arial"/>
          <w:b/>
          <w:sz w:val="18"/>
        </w:rPr>
        <w:t>Domestic agreements between other </w:t>
      </w:r>
      <w:r>
        <w:rPr>
          <w:rFonts w:ascii="Arial"/>
          <w:b/>
          <w:spacing w:val="-2"/>
          <w:sz w:val="18"/>
        </w:rPr>
        <w:t>cohabitants</w:t>
      </w:r>
    </w:p>
    <w:p>
      <w:pPr>
        <w:pStyle w:val="BodyText"/>
        <w:spacing w:before="41"/>
        <w:rPr>
          <w:rFonts w:ascii="Arial"/>
          <w:b/>
          <w:sz w:val="18"/>
        </w:rPr>
      </w:pPr>
    </w:p>
    <w:p>
      <w:pPr>
        <w:pStyle w:val="Heading2"/>
      </w:pPr>
      <w:r>
        <w:rPr/>
        <w:t>2-</w:t>
      </w:r>
      <w:r>
        <w:rPr>
          <w:spacing w:val="-5"/>
        </w:rPr>
        <w:t>180</w:t>
      </w:r>
    </w:p>
    <w:p>
      <w:pPr>
        <w:pStyle w:val="BodyText"/>
        <w:spacing w:line="235" w:lineRule="auto" w:before="203"/>
        <w:ind w:left="164" w:right="166"/>
        <w:jc w:val="both"/>
      </w:pPr>
      <w:r>
        <w:rPr/>
        <w:t>Issues of contractual intention can similarly arise where a couple make an agreement with regard to a house in which they live together in a quasi-marital relationship without being married or </w:t>
      </w:r>
      <w:r>
        <w:rPr/>
        <w:t>having entered into a civil partnership. </w:t>
      </w:r>
      <w:r>
        <w:rPr>
          <w:color w:val="005DA1"/>
          <w:u w:val="single" w:color="005DA1"/>
          <w:vertAlign w:val="superscript"/>
        </w:rPr>
        <w:t>978</w:t>
      </w:r>
      <w:r>
        <w:rPr>
          <w:color w:val="005DA1"/>
          <w:vertAlign w:val="baseline"/>
        </w:rPr>
        <w:t> </w:t>
      </w:r>
      <w:r>
        <w:rPr>
          <w:vertAlign w:val="baseline"/>
        </w:rPr>
        <w:t>Where, for example, a man and a woman so cohabited, it was said to be “part of the bargain between the parties expressed or to be implied that the [woman] should contribute her labour towards the reparation of the house in which she was to have some beneficial interest.” </w:t>
      </w:r>
      <w:r>
        <w:rPr>
          <w:color w:val="005DA1"/>
          <w:u w:val="single" w:color="005DA1"/>
          <w:vertAlign w:val="superscript"/>
        </w:rPr>
        <w:t>979</w:t>
      </w:r>
      <w:r>
        <w:rPr>
          <w:color w:val="005DA1"/>
          <w:vertAlign w:val="baseline"/>
        </w:rPr>
        <w:t> </w:t>
      </w:r>
      <w:r>
        <w:rPr>
          <w:vertAlign w:val="baseline"/>
        </w:rPr>
        <w:t>This “bargain” was enforceable, either by way of contract </w:t>
      </w:r>
      <w:r>
        <w:rPr>
          <w:color w:val="005DA1"/>
          <w:u w:val="single" w:color="005DA1"/>
          <w:vertAlign w:val="superscript"/>
        </w:rPr>
        <w:t>980</w:t>
      </w:r>
      <w:r>
        <w:rPr>
          <w:color w:val="005DA1"/>
          <w:vertAlign w:val="baseline"/>
        </w:rPr>
        <w:t> </w:t>
      </w:r>
      <w:r>
        <w:rPr>
          <w:vertAlign w:val="baseline"/>
        </w:rPr>
        <w:t>or by way of constructive trust. </w:t>
      </w:r>
      <w:r>
        <w:rPr>
          <w:color w:val="005DA1"/>
          <w:u w:val="single" w:color="005DA1"/>
          <w:vertAlign w:val="superscript"/>
        </w:rPr>
        <w:t>981</w:t>
      </w:r>
      <w:r>
        <w:rPr>
          <w:color w:val="005DA1"/>
          <w:vertAlign w:val="baseline"/>
        </w:rPr>
        <w:t> </w:t>
      </w:r>
      <w:r>
        <w:rPr>
          <w:vertAlign w:val="baseline"/>
        </w:rPr>
        <w:t>Formal requirements (imposed in 1989) for contracts for the creation of interests in land </w:t>
      </w:r>
      <w:r>
        <w:rPr>
          <w:color w:val="005DA1"/>
          <w:u w:val="single" w:color="005DA1"/>
          <w:vertAlign w:val="superscript"/>
        </w:rPr>
        <w:t>982</w:t>
      </w:r>
      <w:r>
        <w:rPr>
          <w:color w:val="005DA1"/>
          <w:vertAlign w:val="baseline"/>
        </w:rPr>
        <w:t> </w:t>
      </w:r>
      <w:r>
        <w:rPr>
          <w:vertAlign w:val="baseline"/>
        </w:rPr>
        <w:t>make</w:t>
      </w:r>
      <w:r>
        <w:rPr>
          <w:spacing w:val="-1"/>
          <w:vertAlign w:val="baseline"/>
        </w:rPr>
        <w:t> </w:t>
      </w:r>
      <w:r>
        <w:rPr>
          <w:vertAlign w:val="baseline"/>
        </w:rPr>
        <w:t>it</w:t>
      </w:r>
      <w:r>
        <w:rPr>
          <w:spacing w:val="-1"/>
          <w:vertAlign w:val="baseline"/>
        </w:rPr>
        <w:t> </w:t>
      </w:r>
      <w:r>
        <w:rPr>
          <w:vertAlign w:val="baseline"/>
        </w:rPr>
        <w:t>unlikely</w:t>
      </w:r>
      <w:r>
        <w:rPr>
          <w:spacing w:val="-1"/>
          <w:vertAlign w:val="baseline"/>
        </w:rPr>
        <w:t> </w:t>
      </w:r>
      <w:r>
        <w:rPr>
          <w:color w:val="005DA1"/>
          <w:u w:val="single" w:color="005DA1"/>
          <w:vertAlign w:val="superscript"/>
        </w:rPr>
        <w:t>983</w:t>
      </w:r>
      <w:r>
        <w:rPr>
          <w:color w:val="005DA1"/>
          <w:spacing w:val="-1"/>
          <w:vertAlign w:val="baseline"/>
        </w:rPr>
        <w:t> </w:t>
      </w:r>
      <w:r>
        <w:rPr>
          <w:vertAlign w:val="baseline"/>
        </w:rPr>
        <w:t>that</w:t>
      </w:r>
      <w:r>
        <w:rPr>
          <w:spacing w:val="-1"/>
          <w:vertAlign w:val="baseline"/>
        </w:rPr>
        <w:t> </w:t>
      </w:r>
      <w:r>
        <w:rPr>
          <w:vertAlign w:val="baseline"/>
        </w:rPr>
        <w:t>such</w:t>
      </w:r>
      <w:r>
        <w:rPr>
          <w:spacing w:val="-1"/>
          <w:vertAlign w:val="baseline"/>
        </w:rPr>
        <w:t> </w:t>
      </w:r>
      <w:r>
        <w:rPr>
          <w:vertAlign w:val="baseline"/>
        </w:rPr>
        <w:t>an</w:t>
      </w:r>
      <w:r>
        <w:rPr>
          <w:spacing w:val="-1"/>
          <w:vertAlign w:val="baseline"/>
        </w:rPr>
        <w:t> </w:t>
      </w:r>
      <w:r>
        <w:rPr>
          <w:vertAlign w:val="baseline"/>
        </w:rPr>
        <w:t>arrangement</w:t>
      </w:r>
      <w:r>
        <w:rPr>
          <w:spacing w:val="-1"/>
          <w:vertAlign w:val="baseline"/>
        </w:rPr>
        <w:t> </w:t>
      </w:r>
      <w:r>
        <w:rPr>
          <w:vertAlign w:val="baseline"/>
        </w:rPr>
        <w:t>could</w:t>
      </w:r>
      <w:r>
        <w:rPr>
          <w:spacing w:val="-1"/>
          <w:vertAlign w:val="baseline"/>
        </w:rPr>
        <w:t> </w:t>
      </w:r>
      <w:r>
        <w:rPr>
          <w:vertAlign w:val="baseline"/>
        </w:rPr>
        <w:t>now</w:t>
      </w:r>
      <w:r>
        <w:rPr>
          <w:spacing w:val="-1"/>
          <w:vertAlign w:val="baseline"/>
        </w:rPr>
        <w:t> </w:t>
      </w:r>
      <w:r>
        <w:rPr>
          <w:vertAlign w:val="baseline"/>
        </w:rPr>
        <w:t>take</w:t>
      </w:r>
      <w:r>
        <w:rPr>
          <w:spacing w:val="-1"/>
          <w:vertAlign w:val="baseline"/>
        </w:rPr>
        <w:t> </w:t>
      </w:r>
      <w:r>
        <w:rPr>
          <w:vertAlign w:val="baseline"/>
        </w:rPr>
        <w:t>effect</w:t>
      </w:r>
      <w:r>
        <w:rPr>
          <w:spacing w:val="-1"/>
          <w:vertAlign w:val="baseline"/>
        </w:rPr>
        <w:t> </w:t>
      </w:r>
      <w:r>
        <w:rPr>
          <w:vertAlign w:val="baseline"/>
        </w:rPr>
        <w:t>as</w:t>
      </w:r>
      <w:r>
        <w:rPr>
          <w:spacing w:val="-1"/>
          <w:vertAlign w:val="baseline"/>
        </w:rPr>
        <w:t> </w:t>
      </w:r>
      <w:r>
        <w:rPr>
          <w:vertAlign w:val="baseline"/>
        </w:rPr>
        <w:t>such</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but</w:t>
      </w:r>
      <w:r>
        <w:rPr>
          <w:spacing w:val="-1"/>
          <w:vertAlign w:val="baseline"/>
        </w:rPr>
        <w:t> </w:t>
      </w:r>
      <w:r>
        <w:rPr>
          <w:vertAlign w:val="baseline"/>
        </w:rPr>
        <w:t>they</w:t>
      </w:r>
      <w:r>
        <w:rPr>
          <w:spacing w:val="-1"/>
          <w:vertAlign w:val="baseline"/>
        </w:rPr>
        <w:t> </w:t>
      </w:r>
      <w:r>
        <w:rPr>
          <w:vertAlign w:val="baseline"/>
        </w:rPr>
        <w:t>would not prevent it from taking effect by way of constructive trust </w:t>
      </w:r>
      <w:r>
        <w:rPr>
          <w:color w:val="005DA1"/>
          <w:u w:val="single" w:color="005DA1"/>
          <w:vertAlign w:val="superscript"/>
        </w:rPr>
        <w:t>984</w:t>
      </w:r>
      <w:r>
        <w:rPr>
          <w:color w:val="005DA1"/>
          <w:vertAlign w:val="baseline"/>
        </w:rPr>
        <w:t> </w:t>
      </w:r>
      <w:r>
        <w:rPr>
          <w:vertAlign w:val="baseline"/>
        </w:rPr>
        <w:t>or of proprietary estoppel. </w:t>
      </w:r>
      <w:r>
        <w:rPr>
          <w:color w:val="005DA1"/>
          <w:u w:val="single" w:color="005DA1"/>
          <w:vertAlign w:val="superscript"/>
        </w:rPr>
        <w:t>985</w:t>
      </w:r>
      <w:r>
        <w:rPr>
          <w:color w:val="005DA1"/>
          <w:vertAlign w:val="baseline"/>
        </w:rPr>
        <w:t> </w:t>
      </w:r>
      <w:r>
        <w:rPr>
          <w:vertAlign w:val="baseline"/>
        </w:rPr>
        <w:t>Even where (in a case of this kind) the woman did nothing to increase the value of the house (and so had no “proprietary interest in the property” </w:t>
      </w:r>
      <w:r>
        <w:rPr>
          <w:color w:val="005DA1"/>
          <w:u w:val="single" w:color="005DA1"/>
          <w:vertAlign w:val="superscript"/>
        </w:rPr>
        <w:t>986</w:t>
      </w:r>
      <w:r>
        <w:rPr>
          <w:vertAlign w:val="baseline"/>
        </w:rPr>
        <w:t>) the man’s promise that the house should continue to be available for her and the couple’s children was held to be enforceable as a contractual licence as she had acted in reliance on the promise by moving out of her rent-controlled flat in reliance on the promise. </w:t>
      </w:r>
      <w:r>
        <w:rPr>
          <w:color w:val="005DA1"/>
          <w:u w:val="single" w:color="005DA1"/>
          <w:vertAlign w:val="superscript"/>
        </w:rPr>
        <w:t>987</w:t>
      </w:r>
      <w:r>
        <w:rPr>
          <w:color w:val="005DA1"/>
          <w:vertAlign w:val="baseline"/>
        </w:rPr>
        <w:t> </w:t>
      </w:r>
      <w:r>
        <w:rPr>
          <w:vertAlign w:val="baseline"/>
        </w:rPr>
        <w:t>But in another case, </w:t>
      </w:r>
      <w:r>
        <w:rPr>
          <w:color w:val="005DA1"/>
          <w:u w:val="single" w:color="005DA1"/>
          <w:vertAlign w:val="superscript"/>
        </w:rPr>
        <w:t>988</w:t>
      </w:r>
      <w:r>
        <w:rPr>
          <w:color w:val="005DA1"/>
          <w:vertAlign w:val="baseline"/>
        </w:rPr>
        <w:t> </w:t>
      </w:r>
      <w:r>
        <w:rPr>
          <w:vertAlign w:val="baseline"/>
        </w:rPr>
        <w:t>in which there was no such element of reliance, it was held that the provision by a married man of a house for his mistress did not give rise to a legally binding promise that she should be allowed to stay in the house. Even when such a promise can be established, it would (whether or not the parties were spouses or civil partners) be more difficult to show that some less important promise, e.g. as to the amount of money to be provided by way of a dress or housekeeping allowance, was intended to have contractual effect.</w:t>
      </w:r>
    </w:p>
    <w:p>
      <w:pPr>
        <w:pStyle w:val="BodyText"/>
      </w:pPr>
    </w:p>
    <w:p>
      <w:pPr>
        <w:pStyle w:val="BodyText"/>
        <w:spacing w:before="31"/>
      </w:pPr>
    </w:p>
    <w:p>
      <w:pPr>
        <w:spacing w:before="0"/>
        <w:ind w:left="165" w:right="0" w:firstLine="0"/>
        <w:jc w:val="left"/>
        <w:rPr>
          <w:rFonts w:ascii="Arial"/>
          <w:b/>
          <w:sz w:val="18"/>
        </w:rPr>
      </w:pPr>
      <w:r>
        <w:rPr>
          <w:rFonts w:ascii="Arial"/>
          <w:b/>
          <w:sz w:val="18"/>
        </w:rPr>
        <w:t>Pre-nuptial </w:t>
      </w:r>
      <w:r>
        <w:rPr>
          <w:rFonts w:ascii="Arial"/>
          <w:b/>
          <w:spacing w:val="-2"/>
          <w:sz w:val="18"/>
        </w:rPr>
        <w:t>agreements</w:t>
      </w:r>
    </w:p>
    <w:p>
      <w:pPr>
        <w:pStyle w:val="BodyText"/>
        <w:spacing w:before="41"/>
        <w:rPr>
          <w:rFonts w:ascii="Arial"/>
          <w:b/>
          <w:sz w:val="18"/>
        </w:rPr>
      </w:pPr>
    </w:p>
    <w:p>
      <w:pPr>
        <w:pStyle w:val="Heading2"/>
        <w:spacing w:before="1"/>
      </w:pPr>
      <w:r>
        <w:rPr/>
        <w:t>2-</w:t>
      </w:r>
      <w:r>
        <w:rPr>
          <w:spacing w:val="-5"/>
        </w:rPr>
        <w:t>181</w:t>
      </w:r>
    </w:p>
    <w:p>
      <w:pPr>
        <w:pStyle w:val="BodyText"/>
        <w:spacing w:line="235" w:lineRule="auto" w:before="202"/>
        <w:ind w:left="165" w:right="167"/>
        <w:jc w:val="both"/>
      </w:pPr>
      <w:r>
        <w:rPr/>
        <w:t>Until quite recently pre-nuptial and post-nuptial agreements (agreements that determine the </w:t>
      </w:r>
      <w:r>
        <w:rPr/>
        <w:t>financial consequences</w:t>
      </w:r>
      <w:r>
        <w:rPr>
          <w:spacing w:val="19"/>
        </w:rPr>
        <w:t> </w:t>
      </w:r>
      <w:r>
        <w:rPr/>
        <w:t>of</w:t>
      </w:r>
      <w:r>
        <w:rPr>
          <w:spacing w:val="19"/>
        </w:rPr>
        <w:t> </w:t>
      </w:r>
      <w:r>
        <w:rPr/>
        <w:t>divorce</w:t>
      </w:r>
      <w:r>
        <w:rPr>
          <w:spacing w:val="19"/>
        </w:rPr>
        <w:t> </w:t>
      </w:r>
      <w:r>
        <w:rPr/>
        <w:t>where</w:t>
      </w:r>
      <w:r>
        <w:rPr>
          <w:spacing w:val="19"/>
        </w:rPr>
        <w:t> </w:t>
      </w:r>
      <w:r>
        <w:rPr/>
        <w:t>no</w:t>
      </w:r>
      <w:r>
        <w:rPr>
          <w:spacing w:val="19"/>
        </w:rPr>
        <w:t> </w:t>
      </w:r>
      <w:r>
        <w:rPr/>
        <w:t>divorce</w:t>
      </w:r>
      <w:r>
        <w:rPr>
          <w:spacing w:val="19"/>
        </w:rPr>
        <w:t> </w:t>
      </w:r>
      <w:r>
        <w:rPr/>
        <w:t>was</w:t>
      </w:r>
      <w:r>
        <w:rPr>
          <w:spacing w:val="19"/>
        </w:rPr>
        <w:t> </w:t>
      </w:r>
      <w:r>
        <w:rPr/>
        <w:t>actually</w:t>
      </w:r>
      <w:r>
        <w:rPr>
          <w:spacing w:val="19"/>
        </w:rPr>
        <w:t> </w:t>
      </w:r>
      <w:r>
        <w:rPr/>
        <w:t>planned)</w:t>
      </w:r>
      <w:r>
        <w:rPr>
          <w:spacing w:val="19"/>
        </w:rPr>
        <w:t> </w:t>
      </w:r>
      <w:r>
        <w:rPr/>
        <w:t>were</w:t>
      </w:r>
      <w:r>
        <w:rPr>
          <w:spacing w:val="19"/>
        </w:rPr>
        <w:t> </w:t>
      </w:r>
      <w:r>
        <w:rPr/>
        <w:t>void</w:t>
      </w:r>
      <w:r>
        <w:rPr>
          <w:spacing w:val="19"/>
        </w:rPr>
        <w:t> </w:t>
      </w:r>
      <w:r>
        <w:rPr/>
        <w:t>as</w:t>
      </w:r>
      <w:r>
        <w:rPr>
          <w:spacing w:val="19"/>
        </w:rPr>
        <w:t> </w:t>
      </w:r>
      <w:r>
        <w:rPr/>
        <w:t>a</w:t>
      </w:r>
      <w:r>
        <w:rPr>
          <w:spacing w:val="19"/>
        </w:rPr>
        <w:t> </w:t>
      </w:r>
      <w:r>
        <w:rPr/>
        <w:t>matter</w:t>
      </w:r>
      <w:r>
        <w:rPr>
          <w:spacing w:val="19"/>
        </w:rPr>
        <w:t> </w:t>
      </w:r>
      <w:r>
        <w:rPr/>
        <w:t>of</w:t>
      </w:r>
      <w:r>
        <w:rPr>
          <w:spacing w:val="19"/>
        </w:rPr>
        <w:t> </w:t>
      </w:r>
      <w:r>
        <w:rPr>
          <w:spacing w:val="-2"/>
        </w:rPr>
        <w:t>contract</w:t>
      </w:r>
    </w:p>
    <w:p>
      <w:pPr>
        <w:pStyle w:val="BodyText"/>
        <w:spacing w:after="0" w:line="235" w:lineRule="auto"/>
        <w:jc w:val="both"/>
        <w:sectPr>
          <w:pgSz w:w="11900" w:h="16840"/>
          <w:pgMar w:header="971" w:footer="0" w:top="1300" w:bottom="280" w:left="1275" w:right="1275"/>
        </w:sectPr>
      </w:pPr>
    </w:p>
    <w:p>
      <w:pPr>
        <w:pStyle w:val="BodyText"/>
        <w:spacing w:line="235" w:lineRule="auto" w:before="210"/>
        <w:ind w:left="165" w:right="167"/>
        <w:jc w:val="both"/>
      </w:pPr>
      <w:r>
        <w:rPr/>
        <w:t>law </w:t>
      </w:r>
      <w:r>
        <w:rPr>
          <w:color w:val="005DA1"/>
          <w:u w:val="single" w:color="005DA1"/>
          <w:vertAlign w:val="superscript"/>
        </w:rPr>
        <w:t>989</w:t>
      </w:r>
      <w:r>
        <w:rPr>
          <w:vertAlign w:val="baseline"/>
        </w:rPr>
        <w:t>; they were found to be contrary to public policy, due to their potential to encourage or make it easier for parties to divorce. In </w:t>
      </w:r>
      <w:r>
        <w:rPr>
          <w:rFonts w:ascii="Arial"/>
          <w:i/>
          <w:vertAlign w:val="baseline"/>
        </w:rPr>
        <w:t>Radmacher v Granatino </w:t>
      </w:r>
      <w:r>
        <w:rPr>
          <w:color w:val="005DA1"/>
          <w:u w:val="single" w:color="005DA1"/>
          <w:vertAlign w:val="superscript"/>
        </w:rPr>
        <w:t>990</w:t>
      </w:r>
      <w:r>
        <w:rPr>
          <w:color w:val="005DA1"/>
          <w:vertAlign w:val="baseline"/>
        </w:rPr>
        <w:t> </w:t>
      </w:r>
      <w:r>
        <w:rPr>
          <w:vertAlign w:val="baseline"/>
        </w:rPr>
        <w:t>the Supreme Court held that henceforth:</w:t>
      </w:r>
    </w:p>
    <w:p>
      <w:pPr>
        <w:pStyle w:val="BodyText"/>
      </w:pPr>
    </w:p>
    <w:p>
      <w:pPr>
        <w:pStyle w:val="BodyText"/>
        <w:spacing w:before="126"/>
      </w:pPr>
    </w:p>
    <w:p>
      <w:pPr>
        <w:pStyle w:val="BodyText"/>
        <w:spacing w:line="235" w:lineRule="auto"/>
        <w:ind w:left="1245" w:right="167"/>
        <w:jc w:val="both"/>
      </w:pPr>
      <w:r>
        <w:rPr/>
        <w:t>“the court should give effect to a nuptial agreement that is freely entered into by </w:t>
      </w:r>
      <w:r>
        <w:rPr/>
        <w:t>each party with a full appreciation of its implications unless in the circumstances prevailing it would not be fair to hold the parties to their agreement.” </w:t>
      </w:r>
      <w:r>
        <w:rPr>
          <w:color w:val="005DA1"/>
          <w:u w:val="single" w:color="005DA1"/>
          <w:vertAlign w:val="superscript"/>
        </w:rPr>
        <w:t>991</w:t>
      </w:r>
    </w:p>
    <w:p>
      <w:pPr>
        <w:pStyle w:val="BodyText"/>
        <w:spacing w:before="116"/>
      </w:pPr>
    </w:p>
    <w:p>
      <w:pPr>
        <w:pStyle w:val="BodyText"/>
        <w:spacing w:line="235" w:lineRule="auto"/>
        <w:ind w:left="164" w:right="167"/>
        <w:jc w:val="both"/>
      </w:pPr>
      <w:r>
        <w:rPr/>
        <w:t>Their Lordships added that: </w:t>
      </w:r>
      <w:r>
        <w:rPr>
          <w:color w:val="005DA1"/>
          <w:u w:val="single" w:color="005DA1"/>
          <w:vertAlign w:val="superscript"/>
        </w:rPr>
        <w:t>992</w:t>
      </w:r>
      <w:r>
        <w:rPr>
          <w:color w:val="005DA1"/>
          <w:vertAlign w:val="baseline"/>
        </w:rPr>
        <w:t> </w:t>
      </w:r>
      <w:r>
        <w:rPr>
          <w:vertAlign w:val="baseline"/>
        </w:rPr>
        <w:t>“It is, of course, important that each party should intend that </w:t>
      </w:r>
      <w:r>
        <w:rPr>
          <w:vertAlign w:val="baseline"/>
        </w:rPr>
        <w:t>the agreement should be effective”; it may not have been right to infer from such an intention in the past because parties:</w:t>
      </w:r>
    </w:p>
    <w:p>
      <w:pPr>
        <w:pStyle w:val="BodyText"/>
      </w:pPr>
    </w:p>
    <w:p>
      <w:pPr>
        <w:pStyle w:val="BodyText"/>
        <w:spacing w:before="125"/>
      </w:pPr>
    </w:p>
    <w:p>
      <w:pPr>
        <w:pStyle w:val="BodyText"/>
        <w:spacing w:line="235" w:lineRule="auto" w:before="1"/>
        <w:ind w:left="1244" w:right="167"/>
        <w:jc w:val="both"/>
      </w:pPr>
      <w:r>
        <w:rPr/>
        <w:t>“may have been advised that such agreements were void under English law and likely to carry little or no weight. That will no longer be the case … Thus in future it will be natural to</w:t>
      </w:r>
      <w:r>
        <w:rPr>
          <w:spacing w:val="-2"/>
        </w:rPr>
        <w:t> </w:t>
      </w:r>
      <w:r>
        <w:rPr/>
        <w:t>infer</w:t>
      </w:r>
      <w:r>
        <w:rPr>
          <w:spacing w:val="-2"/>
        </w:rPr>
        <w:t> </w:t>
      </w:r>
      <w:r>
        <w:rPr/>
        <w:t>that</w:t>
      </w:r>
      <w:r>
        <w:rPr>
          <w:spacing w:val="-2"/>
        </w:rPr>
        <w:t> </w:t>
      </w:r>
      <w:r>
        <w:rPr/>
        <w:t>parties</w:t>
      </w:r>
      <w:r>
        <w:rPr>
          <w:spacing w:val="-2"/>
        </w:rPr>
        <w:t> </w:t>
      </w:r>
      <w:r>
        <w:rPr/>
        <w:t>who</w:t>
      </w:r>
      <w:r>
        <w:rPr>
          <w:spacing w:val="-2"/>
        </w:rPr>
        <w:t> </w:t>
      </w:r>
      <w:r>
        <w:rPr/>
        <w:t>enter</w:t>
      </w:r>
      <w:r>
        <w:rPr>
          <w:spacing w:val="-2"/>
        </w:rPr>
        <w:t> </w:t>
      </w:r>
      <w:r>
        <w:rPr/>
        <w:t>into</w:t>
      </w:r>
      <w:r>
        <w:rPr>
          <w:spacing w:val="-2"/>
        </w:rPr>
        <w:t> </w:t>
      </w:r>
      <w:r>
        <w:rPr/>
        <w:t>an</w:t>
      </w:r>
      <w:r>
        <w:rPr>
          <w:spacing w:val="-2"/>
        </w:rPr>
        <w:t> </w:t>
      </w:r>
      <w:r>
        <w:rPr/>
        <w:t>ante-nuptial</w:t>
      </w:r>
      <w:r>
        <w:rPr>
          <w:spacing w:val="-2"/>
        </w:rPr>
        <w:t> </w:t>
      </w:r>
      <w:r>
        <w:rPr/>
        <w:t>agreement</w:t>
      </w:r>
      <w:r>
        <w:rPr>
          <w:spacing w:val="-2"/>
        </w:rPr>
        <w:t> </w:t>
      </w:r>
      <w:r>
        <w:rPr/>
        <w:t>to</w:t>
      </w:r>
      <w:r>
        <w:rPr>
          <w:spacing w:val="-2"/>
        </w:rPr>
        <w:t> </w:t>
      </w:r>
      <w:r>
        <w:rPr/>
        <w:t>which</w:t>
      </w:r>
      <w:r>
        <w:rPr>
          <w:spacing w:val="-2"/>
        </w:rPr>
        <w:t> </w:t>
      </w:r>
      <w:r>
        <w:rPr/>
        <w:t>English</w:t>
      </w:r>
      <w:r>
        <w:rPr>
          <w:spacing w:val="-2"/>
        </w:rPr>
        <w:t> </w:t>
      </w:r>
      <w:r>
        <w:rPr/>
        <w:t>law</w:t>
      </w:r>
      <w:r>
        <w:rPr>
          <w:spacing w:val="-2"/>
        </w:rPr>
        <w:t> </w:t>
      </w:r>
      <w:r>
        <w:rPr/>
        <w:t>is</w:t>
      </w:r>
      <w:r>
        <w:rPr>
          <w:spacing w:val="-2"/>
        </w:rPr>
        <w:t> </w:t>
      </w:r>
      <w:r>
        <w:rPr/>
        <w:t>likely to be applied intend that effect should be given to it.”</w:t>
      </w:r>
    </w:p>
    <w:p>
      <w:pPr>
        <w:pStyle w:val="BodyText"/>
      </w:pPr>
    </w:p>
    <w:p>
      <w:pPr>
        <w:pStyle w:val="BodyText"/>
      </w:pPr>
    </w:p>
    <w:p>
      <w:pPr>
        <w:pStyle w:val="BodyText"/>
        <w:spacing w:before="153"/>
      </w:pPr>
    </w:p>
    <w:p>
      <w:pPr>
        <w:spacing w:before="1"/>
        <w:ind w:left="164" w:right="0" w:firstLine="0"/>
        <w:jc w:val="both"/>
        <w:rPr>
          <w:rFonts w:ascii="Arial"/>
          <w:b/>
          <w:sz w:val="18"/>
        </w:rPr>
      </w:pPr>
      <w:r>
        <w:rPr>
          <w:rFonts w:ascii="Arial"/>
          <w:b/>
          <w:sz w:val="18"/>
        </w:rPr>
        <w:t>Other shared </w:t>
      </w:r>
      <w:r>
        <w:rPr>
          <w:rFonts w:ascii="Arial"/>
          <w:b/>
          <w:spacing w:val="-2"/>
          <w:sz w:val="18"/>
        </w:rPr>
        <w:t>households</w:t>
      </w:r>
    </w:p>
    <w:p>
      <w:pPr>
        <w:pStyle w:val="BodyText"/>
        <w:spacing w:before="41"/>
        <w:rPr>
          <w:rFonts w:ascii="Arial"/>
          <w:b/>
          <w:sz w:val="18"/>
        </w:rPr>
      </w:pPr>
    </w:p>
    <w:p>
      <w:pPr>
        <w:pStyle w:val="Heading2"/>
        <w:ind w:left="164"/>
      </w:pPr>
      <w:r>
        <w:rPr/>
        <w:t>2-</w:t>
      </w:r>
      <w:r>
        <w:rPr>
          <w:spacing w:val="-5"/>
        </w:rPr>
        <w:t>182</w:t>
      </w:r>
    </w:p>
    <w:p>
      <w:pPr>
        <w:pStyle w:val="BodyText"/>
        <w:spacing w:line="235" w:lineRule="auto" w:before="202"/>
        <w:ind w:left="164" w:right="167"/>
        <w:jc w:val="both"/>
      </w:pPr>
      <w:r>
        <w:rPr/>
        <w:t>Where adult members of a family (other than husband and wife, persons living together as such or civil partners) share a common household, the financial terms on which they do so may well </w:t>
      </w:r>
      <w:r>
        <w:rPr/>
        <w:t>be intended to have contractual effect. This was for example held to be the position where a young couple were induced to sell their house, and to move in with their elderly relations, by the latters’ promise to leave them a share of the proposed joint home. The argument that this promise was not intended to be legally binding was rejected as the young couple would not have taken the important step of selling their own house on the faith of a merely social arrangement. </w:t>
      </w:r>
      <w:r>
        <w:rPr>
          <w:color w:val="005DA1"/>
          <w:u w:val="single" w:color="005DA1"/>
          <w:vertAlign w:val="superscript"/>
        </w:rPr>
        <w:t>993</w:t>
      </w:r>
      <w:r>
        <w:rPr>
          <w:color w:val="005DA1"/>
          <w:vertAlign w:val="baseline"/>
        </w:rPr>
        <w:t> </w:t>
      </w:r>
      <w:r>
        <w:rPr>
          <w:vertAlign w:val="baseline"/>
        </w:rPr>
        <w:t>But while the common household</w:t>
      </w:r>
      <w:r>
        <w:rPr>
          <w:spacing w:val="-1"/>
          <w:vertAlign w:val="baseline"/>
        </w:rPr>
        <w:t> </w:t>
      </w:r>
      <w:r>
        <w:rPr>
          <w:vertAlign w:val="baseline"/>
        </w:rPr>
        <w:t>was</w:t>
      </w:r>
      <w:r>
        <w:rPr>
          <w:spacing w:val="-1"/>
          <w:vertAlign w:val="baseline"/>
        </w:rPr>
        <w:t> </w:t>
      </w:r>
      <w:r>
        <w:rPr>
          <w:vertAlign w:val="baseline"/>
        </w:rPr>
        <w:t>a</w:t>
      </w:r>
      <w:r>
        <w:rPr>
          <w:spacing w:val="-1"/>
          <w:vertAlign w:val="baseline"/>
        </w:rPr>
        <w:t> </w:t>
      </w:r>
      <w:r>
        <w:rPr>
          <w:vertAlign w:val="baseline"/>
        </w:rPr>
        <w:t>going</w:t>
      </w:r>
      <w:r>
        <w:rPr>
          <w:spacing w:val="-1"/>
          <w:vertAlign w:val="baseline"/>
        </w:rPr>
        <w:t> </w:t>
      </w:r>
      <w:r>
        <w:rPr>
          <w:vertAlign w:val="baseline"/>
        </w:rPr>
        <w:t>concern</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must</w:t>
      </w:r>
      <w:r>
        <w:rPr>
          <w:spacing w:val="-1"/>
          <w:vertAlign w:val="baseline"/>
        </w:rPr>
        <w:t> </w:t>
      </w:r>
      <w:r>
        <w:rPr>
          <w:vertAlign w:val="baseline"/>
        </w:rPr>
        <w:t>have</w:t>
      </w:r>
      <w:r>
        <w:rPr>
          <w:spacing w:val="-1"/>
          <w:vertAlign w:val="baseline"/>
        </w:rPr>
        <w:t> </w:t>
      </w:r>
      <w:r>
        <w:rPr>
          <w:vertAlign w:val="baseline"/>
        </w:rPr>
        <w:t>made</w:t>
      </w:r>
      <w:r>
        <w:rPr>
          <w:spacing w:val="-1"/>
          <w:vertAlign w:val="baseline"/>
        </w:rPr>
        <w:t> </w:t>
      </w:r>
      <w:r>
        <w:rPr>
          <w:vertAlign w:val="baseline"/>
        </w:rPr>
        <w:t>many</w:t>
      </w:r>
      <w:r>
        <w:rPr>
          <w:spacing w:val="-1"/>
          <w:vertAlign w:val="baseline"/>
        </w:rPr>
        <w:t> </w:t>
      </w:r>
      <w:r>
        <w:rPr>
          <w:vertAlign w:val="baseline"/>
        </w:rPr>
        <w:t>arrangements</w:t>
      </w:r>
      <w:r>
        <w:rPr>
          <w:spacing w:val="-1"/>
          <w:vertAlign w:val="baseline"/>
        </w:rPr>
        <w:t> </w:t>
      </w:r>
      <w:r>
        <w:rPr>
          <w:vertAlign w:val="baseline"/>
        </w:rPr>
        <w:t>about</w:t>
      </w:r>
      <w:r>
        <w:rPr>
          <w:spacing w:val="-1"/>
          <w:vertAlign w:val="baseline"/>
        </w:rPr>
        <w:t> </w:t>
      </w:r>
      <w:r>
        <w:rPr>
          <w:vertAlign w:val="baseline"/>
        </w:rPr>
        <w:t>its</w:t>
      </w:r>
      <w:r>
        <w:rPr>
          <w:spacing w:val="-1"/>
          <w:vertAlign w:val="baseline"/>
        </w:rPr>
        <w:t> </w:t>
      </w:r>
      <w:r>
        <w:rPr>
          <w:vertAlign w:val="baseline"/>
        </w:rPr>
        <w:t>day-to-day management</w:t>
      </w:r>
      <w:r>
        <w:rPr>
          <w:spacing w:val="-1"/>
          <w:vertAlign w:val="baseline"/>
        </w:rPr>
        <w:t> </w:t>
      </w:r>
      <w:r>
        <w:rPr>
          <w:vertAlign w:val="baseline"/>
        </w:rPr>
        <w:t>which</w:t>
      </w:r>
      <w:r>
        <w:rPr>
          <w:spacing w:val="-1"/>
          <w:vertAlign w:val="baseline"/>
        </w:rPr>
        <w:t> </w:t>
      </w:r>
      <w:r>
        <w:rPr>
          <w:vertAlign w:val="baseline"/>
        </w:rPr>
        <w:t>were</w:t>
      </w:r>
      <w:r>
        <w:rPr>
          <w:spacing w:val="-1"/>
          <w:vertAlign w:val="baseline"/>
        </w:rPr>
        <w:t> </w:t>
      </w:r>
      <w:r>
        <w:rPr>
          <w:vertAlign w:val="baseline"/>
        </w:rPr>
        <w:t>not</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legally</w:t>
      </w:r>
      <w:r>
        <w:rPr>
          <w:spacing w:val="-1"/>
          <w:vertAlign w:val="baseline"/>
        </w:rPr>
        <w:t> </w:t>
      </w:r>
      <w:r>
        <w:rPr>
          <w:vertAlign w:val="baseline"/>
        </w:rPr>
        <w:t>binding.</w:t>
      </w:r>
      <w:r>
        <w:rPr>
          <w:spacing w:val="-1"/>
          <w:vertAlign w:val="baseline"/>
        </w:rPr>
        <w:t> </w:t>
      </w:r>
      <w:r>
        <w:rPr>
          <w:vertAlign w:val="baseline"/>
        </w:rPr>
        <w:t>In</w:t>
      </w:r>
      <w:r>
        <w:rPr>
          <w:spacing w:val="-1"/>
          <w:vertAlign w:val="baseline"/>
        </w:rPr>
        <w:t> </w:t>
      </w:r>
      <w:r>
        <w:rPr>
          <w:vertAlign w:val="baseline"/>
        </w:rPr>
        <w:t>cases</w:t>
      </w:r>
      <w:r>
        <w:rPr>
          <w:spacing w:val="-1"/>
          <w:vertAlign w:val="baseline"/>
        </w:rPr>
        <w:t> </w:t>
      </w:r>
      <w:r>
        <w:rPr>
          <w:vertAlign w:val="baseline"/>
        </w:rPr>
        <w:t>of</w:t>
      </w:r>
      <w:r>
        <w:rPr>
          <w:spacing w:val="-1"/>
          <w:vertAlign w:val="baseline"/>
        </w:rPr>
        <w:t> </w:t>
      </w:r>
      <w:r>
        <w:rPr>
          <w:vertAlign w:val="baseline"/>
        </w:rPr>
        <w:t>this</w:t>
      </w:r>
      <w:r>
        <w:rPr>
          <w:spacing w:val="-1"/>
          <w:vertAlign w:val="baseline"/>
        </w:rPr>
        <w:t> </w:t>
      </w:r>
      <w:r>
        <w:rPr>
          <w:vertAlign w:val="baseline"/>
        </w:rPr>
        <w:t>kind,</w:t>
      </w:r>
      <w:r>
        <w:rPr>
          <w:spacing w:val="-1"/>
          <w:vertAlign w:val="baseline"/>
        </w:rPr>
        <w:t> </w:t>
      </w:r>
      <w:r>
        <w:rPr>
          <w:vertAlign w:val="baseline"/>
        </w:rPr>
        <w:t>it</w:t>
      </w:r>
      <w:r>
        <w:rPr>
          <w:spacing w:val="-1"/>
          <w:vertAlign w:val="baseline"/>
        </w:rPr>
        <w:t> </w:t>
      </w:r>
      <w:r>
        <w:rPr>
          <w:vertAlign w:val="baseline"/>
        </w:rPr>
        <w:t>may</w:t>
      </w:r>
      <w:r>
        <w:rPr>
          <w:spacing w:val="-1"/>
          <w:vertAlign w:val="baseline"/>
        </w:rPr>
        <w:t> </w:t>
      </w:r>
      <w:r>
        <w:rPr>
          <w:vertAlign w:val="baseline"/>
        </w:rPr>
        <w:t>often</w:t>
      </w:r>
      <w:r>
        <w:rPr>
          <w:spacing w:val="-1"/>
          <w:vertAlign w:val="baseline"/>
        </w:rPr>
        <w:t> </w:t>
      </w:r>
      <w:r>
        <w:rPr>
          <w:vertAlign w:val="baseline"/>
        </w:rPr>
        <w:t>be</w:t>
      </w:r>
      <w:r>
        <w:rPr>
          <w:spacing w:val="-1"/>
          <w:vertAlign w:val="baseline"/>
        </w:rPr>
        <w:t> </w:t>
      </w:r>
      <w:r>
        <w:rPr>
          <w:vertAlign w:val="baseline"/>
        </w:rPr>
        <w:t>clear that there is some contract, but the terms of the arrangement may be so imprecise that it is hard to say just what obligation it imposes. For example, in </w:t>
      </w:r>
      <w:r>
        <w:rPr>
          <w:rFonts w:ascii="Arial" w:hAnsi="Arial"/>
          <w:i/>
          <w:vertAlign w:val="baseline"/>
        </w:rPr>
        <w:t>Hussey v Palmer </w:t>
      </w:r>
      <w:r>
        <w:rPr>
          <w:color w:val="005DA1"/>
          <w:u w:val="single" w:color="005DA1"/>
          <w:vertAlign w:val="superscript"/>
        </w:rPr>
        <w:t>994</w:t>
      </w:r>
      <w:r>
        <w:rPr>
          <w:color w:val="005DA1"/>
          <w:vertAlign w:val="baseline"/>
        </w:rPr>
        <w:t> </w:t>
      </w:r>
      <w:r>
        <w:rPr>
          <w:vertAlign w:val="baseline"/>
        </w:rPr>
        <w:t>a lady spent £600 on having a room added to her son-in-law’s house, on the understanding that she could live there for the rest of her life. When she left voluntarily, about a year later, it was held that there was no contract of loan in respect of the £600 </w:t>
      </w:r>
      <w:r>
        <w:rPr>
          <w:color w:val="005DA1"/>
          <w:u w:val="single" w:color="005DA1"/>
          <w:vertAlign w:val="superscript"/>
        </w:rPr>
        <w:t>995</w:t>
      </w:r>
      <w:r>
        <w:rPr>
          <w:vertAlign w:val="baseline"/>
        </w:rPr>
        <w:t>; but it seems likely that there was a contract to allow her to live in the room for the rest of her life.</w:t>
      </w:r>
    </w:p>
    <w:p>
      <w:pPr>
        <w:pStyle w:val="BodyText"/>
        <w:spacing w:before="76"/>
      </w:pPr>
    </w:p>
    <w:p>
      <w:pPr>
        <w:pStyle w:val="Heading2"/>
      </w:pPr>
      <w:r>
        <w:rPr/>
        <w:t>2-</w:t>
      </w:r>
      <w:r>
        <w:rPr>
          <w:spacing w:val="-5"/>
        </w:rPr>
        <w:t>183</w:t>
      </w:r>
    </w:p>
    <w:p>
      <w:pPr>
        <w:pStyle w:val="BodyText"/>
        <w:spacing w:line="235" w:lineRule="auto" w:before="203"/>
        <w:ind w:left="165" w:right="167"/>
        <w:jc w:val="both"/>
      </w:pPr>
      <w:r>
        <w:rPr/>
        <w:t>An agreement between persons who share a common household may be a contract if it has nothing</w:t>
      </w:r>
      <w:r>
        <w:rPr>
          <w:spacing w:val="40"/>
        </w:rPr>
        <w:t> </w:t>
      </w:r>
      <w:r>
        <w:rPr/>
        <w:t>to do with the routine management of the household. Thus in </w:t>
      </w:r>
      <w:r>
        <w:rPr>
          <w:rFonts w:ascii="Arial"/>
          <w:i/>
        </w:rPr>
        <w:t>Simpkins v Pays </w:t>
      </w:r>
      <w:r>
        <w:rPr>
          <w:color w:val="005DA1"/>
          <w:u w:val="single" w:color="005DA1"/>
          <w:vertAlign w:val="superscript"/>
        </w:rPr>
        <w:t>996</w:t>
      </w:r>
      <w:r>
        <w:rPr>
          <w:color w:val="005DA1"/>
          <w:vertAlign w:val="baseline"/>
        </w:rPr>
        <w:t> </w:t>
      </w:r>
      <w:r>
        <w:rPr>
          <w:vertAlign w:val="baseline"/>
        </w:rPr>
        <w:t>three ladies </w:t>
      </w:r>
      <w:r>
        <w:rPr>
          <w:vertAlign w:val="baseline"/>
        </w:rPr>
        <w:t>who lived in the same house took part in a fashion competition run by a newspaper. They agreed to send in their entries on one coupon and to share the prize which any such entry might win; and the agreement to share was held to be legally binding.</w:t>
      </w:r>
    </w:p>
    <w:p>
      <w:pPr>
        <w:pStyle w:val="BodyText"/>
      </w:pPr>
    </w:p>
    <w:p>
      <w:pPr>
        <w:pStyle w:val="BodyText"/>
        <w:spacing w:before="36"/>
      </w:pPr>
    </w:p>
    <w:p>
      <w:pPr>
        <w:spacing w:before="1"/>
        <w:ind w:left="165" w:right="0" w:firstLine="0"/>
        <w:jc w:val="left"/>
        <w:rPr>
          <w:rFonts w:ascii="Arial"/>
          <w:b/>
          <w:sz w:val="18"/>
        </w:rPr>
      </w:pPr>
      <w:r>
        <w:rPr>
          <w:rFonts w:ascii="Arial"/>
          <w:b/>
          <w:sz w:val="18"/>
        </w:rPr>
        <w:t>Parents and </w:t>
      </w:r>
      <w:r>
        <w:rPr>
          <w:rFonts w:ascii="Arial"/>
          <w:b/>
          <w:spacing w:val="-2"/>
          <w:sz w:val="18"/>
        </w:rPr>
        <w:t>children</w:t>
      </w:r>
    </w:p>
    <w:p>
      <w:pPr>
        <w:pStyle w:val="BodyText"/>
        <w:spacing w:before="41"/>
        <w:rPr>
          <w:rFonts w:ascii="Arial"/>
          <w:b/>
          <w:sz w:val="18"/>
        </w:rPr>
      </w:pPr>
    </w:p>
    <w:p>
      <w:pPr>
        <w:pStyle w:val="Heading2"/>
      </w:pPr>
      <w:r>
        <w:rPr/>
        <w:t>2-</w:t>
      </w:r>
      <w:r>
        <w:rPr>
          <w:spacing w:val="-5"/>
        </w:rPr>
        <w:t>184</w:t>
      </w:r>
    </w:p>
    <w:p>
      <w:pPr>
        <w:pStyle w:val="BodyText"/>
        <w:spacing w:line="235" w:lineRule="auto" w:before="202"/>
        <w:ind w:left="165" w:right="167"/>
        <w:jc w:val="both"/>
      </w:pPr>
      <w:r>
        <w:rPr/>
        <w:t>Similar issues of contractual intention can arise from promises between parents and children. </w:t>
      </w:r>
      <w:r>
        <w:rPr/>
        <w:t>An informal promise by a parent to pay a child an allowance during study is not normally a contract, though it may become one if, for example, it is part of a bargain made to induce the child to give up some</w:t>
      </w:r>
      <w:r>
        <w:rPr>
          <w:spacing w:val="3"/>
        </w:rPr>
        <w:t> </w:t>
      </w:r>
      <w:r>
        <w:rPr/>
        <w:t>occupation</w:t>
      </w:r>
      <w:r>
        <w:rPr>
          <w:spacing w:val="4"/>
        </w:rPr>
        <w:t> </w:t>
      </w:r>
      <w:r>
        <w:rPr/>
        <w:t>so</w:t>
      </w:r>
      <w:r>
        <w:rPr>
          <w:spacing w:val="4"/>
        </w:rPr>
        <w:t> </w:t>
      </w:r>
      <w:r>
        <w:rPr/>
        <w:t>as</w:t>
      </w:r>
      <w:r>
        <w:rPr>
          <w:spacing w:val="4"/>
        </w:rPr>
        <w:t> </w:t>
      </w:r>
      <w:r>
        <w:rPr/>
        <w:t>to</w:t>
      </w:r>
      <w:r>
        <w:rPr>
          <w:spacing w:val="4"/>
        </w:rPr>
        <w:t> </w:t>
      </w:r>
      <w:r>
        <w:rPr/>
        <w:t>enter</w:t>
      </w:r>
      <w:r>
        <w:rPr>
          <w:spacing w:val="4"/>
        </w:rPr>
        <w:t> </w:t>
      </w:r>
      <w:r>
        <w:rPr/>
        <w:t>on</w:t>
      </w:r>
      <w:r>
        <w:rPr>
          <w:spacing w:val="4"/>
        </w:rPr>
        <w:t> </w:t>
      </w:r>
      <w:r>
        <w:rPr/>
        <w:t>some</w:t>
      </w:r>
      <w:r>
        <w:rPr>
          <w:spacing w:val="4"/>
        </w:rPr>
        <w:t> </w:t>
      </w:r>
      <w:r>
        <w:rPr/>
        <w:t>particular</w:t>
      </w:r>
      <w:r>
        <w:rPr>
          <w:spacing w:val="4"/>
        </w:rPr>
        <w:t> </w:t>
      </w:r>
      <w:r>
        <w:rPr/>
        <w:t>course</w:t>
      </w:r>
      <w:r>
        <w:rPr>
          <w:spacing w:val="4"/>
        </w:rPr>
        <w:t> </w:t>
      </w:r>
      <w:r>
        <w:rPr/>
        <w:t>of</w:t>
      </w:r>
      <w:r>
        <w:rPr>
          <w:spacing w:val="4"/>
        </w:rPr>
        <w:t> </w:t>
      </w:r>
      <w:r>
        <w:rPr/>
        <w:t>study.</w:t>
      </w:r>
      <w:r>
        <w:rPr>
          <w:spacing w:val="3"/>
        </w:rPr>
        <w:t> </w:t>
      </w:r>
      <w:r>
        <w:rPr>
          <w:color w:val="005DA1"/>
          <w:u w:val="single" w:color="005DA1"/>
          <w:vertAlign w:val="superscript"/>
        </w:rPr>
        <w:t>997</w:t>
      </w:r>
      <w:r>
        <w:rPr>
          <w:color w:val="005DA1"/>
          <w:spacing w:val="4"/>
          <w:vertAlign w:val="baseline"/>
        </w:rPr>
        <w:t> </w:t>
      </w:r>
      <w:r>
        <w:rPr>
          <w:vertAlign w:val="baseline"/>
        </w:rPr>
        <w:t>Similarly,</w:t>
      </w:r>
      <w:r>
        <w:rPr>
          <w:spacing w:val="4"/>
          <w:vertAlign w:val="baseline"/>
        </w:rPr>
        <w:t> </w:t>
      </w:r>
      <w:r>
        <w:rPr>
          <w:vertAlign w:val="baseline"/>
        </w:rPr>
        <w:t>there</w:t>
      </w:r>
      <w:r>
        <w:rPr>
          <w:spacing w:val="4"/>
          <w:vertAlign w:val="baseline"/>
        </w:rPr>
        <w:t> </w:t>
      </w:r>
      <w:r>
        <w:rPr>
          <w:vertAlign w:val="baseline"/>
        </w:rPr>
        <w:t>is</w:t>
      </w:r>
      <w:r>
        <w:rPr>
          <w:spacing w:val="4"/>
          <w:vertAlign w:val="baseline"/>
        </w:rPr>
        <w:t> </w:t>
      </w:r>
      <w:r>
        <w:rPr>
          <w:vertAlign w:val="baseline"/>
        </w:rPr>
        <w:t>not</w:t>
      </w:r>
      <w:r>
        <w:rPr>
          <w:spacing w:val="4"/>
          <w:vertAlign w:val="baseline"/>
        </w:rPr>
        <w:t> </w:t>
      </w:r>
      <w:r>
        <w:rPr>
          <w:spacing w:val="-2"/>
          <w:vertAlign w:val="baseline"/>
        </w:rPr>
        <w:t>normally</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a contract where a mother agrees to nurse her child who has fallen ill or been injured, even </w:t>
      </w:r>
      <w:r>
        <w:rPr/>
        <w:t>though she</w:t>
      </w:r>
      <w:r>
        <w:rPr>
          <w:spacing w:val="-1"/>
        </w:rPr>
        <w:t> </w:t>
      </w:r>
      <w:r>
        <w:rPr/>
        <w:t>has</w:t>
      </w:r>
      <w:r>
        <w:rPr>
          <w:spacing w:val="-1"/>
        </w:rPr>
        <w:t> </w:t>
      </w:r>
      <w:r>
        <w:rPr/>
        <w:t>to</w:t>
      </w:r>
      <w:r>
        <w:rPr>
          <w:spacing w:val="-1"/>
        </w:rPr>
        <w:t> </w:t>
      </w:r>
      <w:r>
        <w:rPr/>
        <w:t>give</w:t>
      </w:r>
      <w:r>
        <w:rPr>
          <w:spacing w:val="-1"/>
        </w:rPr>
        <w:t> </w:t>
      </w:r>
      <w:r>
        <w:rPr/>
        <w:t>up</w:t>
      </w:r>
      <w:r>
        <w:rPr>
          <w:spacing w:val="-1"/>
        </w:rPr>
        <w:t> </w:t>
      </w:r>
      <w:r>
        <w:rPr/>
        <w:t>her</w:t>
      </w:r>
      <w:r>
        <w:rPr>
          <w:spacing w:val="-1"/>
        </w:rPr>
        <w:t> </w:t>
      </w:r>
      <w:r>
        <w:rPr/>
        <w:t>work</w:t>
      </w:r>
      <w:r>
        <w:rPr>
          <w:spacing w:val="-1"/>
        </w:rPr>
        <w:t> </w:t>
      </w:r>
      <w:r>
        <w:rPr/>
        <w:t>to</w:t>
      </w:r>
      <w:r>
        <w:rPr>
          <w:spacing w:val="-1"/>
        </w:rPr>
        <w:t> </w:t>
      </w:r>
      <w:r>
        <w:rPr/>
        <w:t>do</w:t>
      </w:r>
      <w:r>
        <w:rPr>
          <w:spacing w:val="-1"/>
        </w:rPr>
        <w:t> </w:t>
      </w:r>
      <w:r>
        <w:rPr/>
        <w:t>so.</w:t>
      </w:r>
      <w:r>
        <w:rPr>
          <w:spacing w:val="-1"/>
        </w:rPr>
        <w:t> </w:t>
      </w:r>
      <w:r>
        <w:rPr>
          <w:color w:val="005DA1"/>
          <w:u w:val="single" w:color="005DA1"/>
          <w:vertAlign w:val="superscript"/>
        </w:rPr>
        <w:t>998</w:t>
      </w:r>
      <w:r>
        <w:rPr>
          <w:color w:val="005DA1"/>
          <w:spacing w:val="-1"/>
          <w:vertAlign w:val="baseline"/>
        </w:rPr>
        <w:t> </w:t>
      </w:r>
      <w:r>
        <w:rPr>
          <w:vertAlign w:val="baseline"/>
        </w:rPr>
        <w:t>Conversely,</w:t>
      </w:r>
      <w:r>
        <w:rPr>
          <w:spacing w:val="-1"/>
          <w:vertAlign w:val="baseline"/>
        </w:rPr>
        <w:t> </w:t>
      </w:r>
      <w:r>
        <w:rPr>
          <w:vertAlign w:val="baseline"/>
        </w:rPr>
        <w:t>it</w:t>
      </w:r>
      <w:r>
        <w:rPr>
          <w:spacing w:val="-1"/>
          <w:vertAlign w:val="baseline"/>
        </w:rPr>
        <w:t> </w:t>
      </w:r>
      <w:r>
        <w:rPr>
          <w:vertAlign w:val="baseline"/>
        </w:rPr>
        <w:t>has</w:t>
      </w:r>
      <w:r>
        <w:rPr>
          <w:spacing w:val="-1"/>
          <w:vertAlign w:val="baseline"/>
        </w:rPr>
        <w:t> </w:t>
      </w:r>
      <w:r>
        <w:rPr>
          <w:vertAlign w:val="baseline"/>
        </w:rPr>
        <w:t>been</w:t>
      </w:r>
      <w:r>
        <w:rPr>
          <w:spacing w:val="-1"/>
          <w:vertAlign w:val="baseline"/>
        </w:rPr>
        <w:t> </w:t>
      </w:r>
      <w:r>
        <w:rPr>
          <w:vertAlign w:val="baseline"/>
        </w:rPr>
        <w:t>held</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gift</w:t>
      </w:r>
      <w:r>
        <w:rPr>
          <w:spacing w:val="-1"/>
          <w:vertAlign w:val="baseline"/>
        </w:rPr>
        <w:t> </w:t>
      </w:r>
      <w:r>
        <w:rPr>
          <w:vertAlign w:val="baseline"/>
        </w:rPr>
        <w:t>of</w:t>
      </w:r>
      <w:r>
        <w:rPr>
          <w:spacing w:val="-1"/>
          <w:vertAlign w:val="baseline"/>
        </w:rPr>
        <w:t> </w:t>
      </w:r>
      <w:r>
        <w:rPr>
          <w:vertAlign w:val="baseline"/>
        </w:rPr>
        <w:t>a</w:t>
      </w:r>
      <w:r>
        <w:rPr>
          <w:spacing w:val="-1"/>
          <w:vertAlign w:val="baseline"/>
        </w:rPr>
        <w:t> </w:t>
      </w:r>
      <w:r>
        <w:rPr>
          <w:vertAlign w:val="baseline"/>
        </w:rPr>
        <w:t>flat</w:t>
      </w:r>
      <w:r>
        <w:rPr>
          <w:spacing w:val="-1"/>
          <w:vertAlign w:val="baseline"/>
        </w:rPr>
        <w:t> </w:t>
      </w:r>
      <w:r>
        <w:rPr>
          <w:vertAlign w:val="baseline"/>
        </w:rPr>
        <w:t>by</w:t>
      </w:r>
      <w:r>
        <w:rPr>
          <w:spacing w:val="-1"/>
          <w:vertAlign w:val="baseline"/>
        </w:rPr>
        <w:t> </w:t>
      </w:r>
      <w:r>
        <w:rPr>
          <w:vertAlign w:val="baseline"/>
        </w:rPr>
        <w:t>a</w:t>
      </w:r>
      <w:r>
        <w:rPr>
          <w:spacing w:val="-1"/>
          <w:vertAlign w:val="baseline"/>
        </w:rPr>
        <w:t> </w:t>
      </w:r>
      <w:r>
        <w:rPr>
          <w:vertAlign w:val="baseline"/>
        </w:rPr>
        <w:t>mother to her daughter on condition that the daughter should look after the mother there did not amount to a contract</w:t>
      </w:r>
      <w:r>
        <w:rPr>
          <w:spacing w:val="-1"/>
          <w:vertAlign w:val="baseline"/>
        </w:rPr>
        <w:t> </w:t>
      </w:r>
      <w:r>
        <w:rPr>
          <w:vertAlign w:val="baseline"/>
        </w:rPr>
        <w:t>because</w:t>
      </w:r>
      <w:r>
        <w:rPr>
          <w:spacing w:val="-1"/>
          <w:vertAlign w:val="baseline"/>
        </w:rPr>
        <w:t> </w:t>
      </w:r>
      <w:r>
        <w:rPr>
          <w:vertAlign w:val="baseline"/>
        </w:rPr>
        <w:t>it</w:t>
      </w:r>
      <w:r>
        <w:rPr>
          <w:spacing w:val="-1"/>
          <w:vertAlign w:val="baseline"/>
        </w:rPr>
        <w:t> </w:t>
      </w:r>
      <w:r>
        <w:rPr>
          <w:vertAlign w:val="baseline"/>
        </w:rPr>
        <w:t>was</w:t>
      </w:r>
      <w:r>
        <w:rPr>
          <w:spacing w:val="-1"/>
          <w:vertAlign w:val="baseline"/>
        </w:rPr>
        <w:t> </w:t>
      </w:r>
      <w:r>
        <w:rPr>
          <w:vertAlign w:val="baseline"/>
        </w:rPr>
        <w:t>not</w:t>
      </w:r>
      <w:r>
        <w:rPr>
          <w:spacing w:val="-1"/>
          <w:vertAlign w:val="baseline"/>
        </w:rPr>
        <w:t> </w:t>
      </w:r>
      <w:r>
        <w:rPr>
          <w:vertAlign w:val="baseline"/>
        </w:rPr>
        <w:t>intended</w:t>
      </w:r>
      <w:r>
        <w:rPr>
          <w:spacing w:val="-1"/>
          <w:vertAlign w:val="baseline"/>
        </w:rPr>
        <w:t> </w:t>
      </w:r>
      <w:r>
        <w:rPr>
          <w:vertAlign w:val="baseline"/>
        </w:rPr>
        <w:t>to</w:t>
      </w:r>
      <w:r>
        <w:rPr>
          <w:spacing w:val="-1"/>
          <w:vertAlign w:val="baseline"/>
        </w:rPr>
        <w:t> </w:t>
      </w:r>
      <w:r>
        <w:rPr>
          <w:vertAlign w:val="baseline"/>
        </w:rPr>
        <w:t>have</w:t>
      </w:r>
      <w:r>
        <w:rPr>
          <w:spacing w:val="-1"/>
          <w:vertAlign w:val="baseline"/>
        </w:rPr>
        <w:t> </w:t>
      </w:r>
      <w:r>
        <w:rPr>
          <w:vertAlign w:val="baseline"/>
        </w:rPr>
        <w:t>contractual</w:t>
      </w:r>
      <w:r>
        <w:rPr>
          <w:spacing w:val="-1"/>
          <w:vertAlign w:val="baseline"/>
        </w:rPr>
        <w:t> </w:t>
      </w:r>
      <w:r>
        <w:rPr>
          <w:vertAlign w:val="baseline"/>
        </w:rPr>
        <w:t>force.</w:t>
      </w:r>
      <w:r>
        <w:rPr>
          <w:spacing w:val="-2"/>
          <w:vertAlign w:val="baseline"/>
        </w:rPr>
        <w:t> </w:t>
      </w:r>
      <w:r>
        <w:rPr>
          <w:color w:val="005DA1"/>
          <w:u w:val="single" w:color="005DA1"/>
          <w:vertAlign w:val="superscript"/>
        </w:rPr>
        <w:t>999</w:t>
      </w:r>
      <w:r>
        <w:rPr>
          <w:color w:val="005DA1"/>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other</w:t>
      </w:r>
      <w:r>
        <w:rPr>
          <w:spacing w:val="-1"/>
          <w:vertAlign w:val="baseline"/>
        </w:rPr>
        <w:t> </w:t>
      </w:r>
      <w:r>
        <w:rPr>
          <w:vertAlign w:val="baseline"/>
        </w:rPr>
        <w:t>hand,</w:t>
      </w:r>
      <w:r>
        <w:rPr>
          <w:spacing w:val="-1"/>
          <w:vertAlign w:val="baseline"/>
        </w:rPr>
        <w:t> </w:t>
      </w:r>
      <w:r>
        <w:rPr>
          <w:vertAlign w:val="baseline"/>
        </w:rPr>
        <w:t>where</w:t>
      </w:r>
      <w:r>
        <w:rPr>
          <w:spacing w:val="-1"/>
          <w:vertAlign w:val="baseline"/>
        </w:rPr>
        <w:t> </w:t>
      </w:r>
      <w:r>
        <w:rPr>
          <w:vertAlign w:val="baseline"/>
        </w:rPr>
        <w:t>a</w:t>
      </w:r>
      <w:r>
        <w:rPr>
          <w:spacing w:val="-1"/>
          <w:vertAlign w:val="baseline"/>
        </w:rPr>
        <w:t> </w:t>
      </w:r>
      <w:r>
        <w:rPr>
          <w:vertAlign w:val="baseline"/>
        </w:rPr>
        <w:t>mother bought</w:t>
      </w:r>
      <w:r>
        <w:rPr>
          <w:spacing w:val="4"/>
          <w:vertAlign w:val="baseline"/>
        </w:rPr>
        <w:t> </w:t>
      </w:r>
      <w:r>
        <w:rPr>
          <w:vertAlign w:val="baseline"/>
        </w:rPr>
        <w:t>a</w:t>
      </w:r>
      <w:r>
        <w:rPr>
          <w:spacing w:val="4"/>
          <w:vertAlign w:val="baseline"/>
        </w:rPr>
        <w:t> </w:t>
      </w:r>
      <w:r>
        <w:rPr>
          <w:vertAlign w:val="baseline"/>
        </w:rPr>
        <w:t>house</w:t>
      </w:r>
      <w:r>
        <w:rPr>
          <w:spacing w:val="4"/>
          <w:vertAlign w:val="baseline"/>
        </w:rPr>
        <w:t> </w:t>
      </w:r>
      <w:r>
        <w:rPr>
          <w:vertAlign w:val="baseline"/>
        </w:rPr>
        <w:t>as</w:t>
      </w:r>
      <w:r>
        <w:rPr>
          <w:spacing w:val="4"/>
          <w:vertAlign w:val="baseline"/>
        </w:rPr>
        <w:t> </w:t>
      </w:r>
      <w:r>
        <w:rPr>
          <w:vertAlign w:val="baseline"/>
        </w:rPr>
        <w:t>a</w:t>
      </w:r>
      <w:r>
        <w:rPr>
          <w:spacing w:val="4"/>
          <w:vertAlign w:val="baseline"/>
        </w:rPr>
        <w:t> </w:t>
      </w:r>
      <w:r>
        <w:rPr>
          <w:vertAlign w:val="baseline"/>
        </w:rPr>
        <w:t>residence</w:t>
      </w:r>
      <w:r>
        <w:rPr>
          <w:spacing w:val="4"/>
          <w:vertAlign w:val="baseline"/>
        </w:rPr>
        <w:t> </w:t>
      </w:r>
      <w:r>
        <w:rPr>
          <w:vertAlign w:val="baseline"/>
        </w:rPr>
        <w:t>for</w:t>
      </w:r>
      <w:r>
        <w:rPr>
          <w:spacing w:val="4"/>
          <w:vertAlign w:val="baseline"/>
        </w:rPr>
        <w:t> </w:t>
      </w:r>
      <w:r>
        <w:rPr>
          <w:vertAlign w:val="baseline"/>
        </w:rPr>
        <w:t>her</w:t>
      </w:r>
      <w:r>
        <w:rPr>
          <w:spacing w:val="4"/>
          <w:vertAlign w:val="baseline"/>
        </w:rPr>
        <w:t> </w:t>
      </w:r>
      <w:r>
        <w:rPr>
          <w:vertAlign w:val="baseline"/>
        </w:rPr>
        <w:t>son</w:t>
      </w:r>
      <w:r>
        <w:rPr>
          <w:spacing w:val="4"/>
          <w:vertAlign w:val="baseline"/>
        </w:rPr>
        <w:t> </w:t>
      </w:r>
      <w:r>
        <w:rPr>
          <w:vertAlign w:val="baseline"/>
        </w:rPr>
        <w:t>and</w:t>
      </w:r>
      <w:r>
        <w:rPr>
          <w:spacing w:val="4"/>
          <w:vertAlign w:val="baseline"/>
        </w:rPr>
        <w:t> </w:t>
      </w:r>
      <w:r>
        <w:rPr>
          <w:vertAlign w:val="baseline"/>
        </w:rPr>
        <w:t>daughter-in-law</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terms</w:t>
      </w:r>
      <w:r>
        <w:rPr>
          <w:spacing w:val="4"/>
          <w:vertAlign w:val="baseline"/>
        </w:rPr>
        <w:t> </w:t>
      </w:r>
      <w:r>
        <w:rPr>
          <w:vertAlign w:val="baseline"/>
        </w:rPr>
        <w:t>that</w:t>
      </w:r>
      <w:r>
        <w:rPr>
          <w:spacing w:val="4"/>
          <w:vertAlign w:val="baseline"/>
        </w:rPr>
        <w:t> </w:t>
      </w:r>
      <w:r>
        <w:rPr>
          <w:vertAlign w:val="baseline"/>
        </w:rPr>
        <w:t>they</w:t>
      </w:r>
      <w:r>
        <w:rPr>
          <w:spacing w:val="4"/>
          <w:vertAlign w:val="baseline"/>
        </w:rPr>
        <w:t> </w:t>
      </w:r>
      <w:r>
        <w:rPr>
          <w:vertAlign w:val="baseline"/>
        </w:rPr>
        <w:t>should</w:t>
      </w:r>
      <w:r>
        <w:rPr>
          <w:spacing w:val="4"/>
          <w:vertAlign w:val="baseline"/>
        </w:rPr>
        <w:t> </w:t>
      </w:r>
      <w:r>
        <w:rPr>
          <w:vertAlign w:val="baseline"/>
        </w:rPr>
        <w:t>pay</w:t>
      </w:r>
      <w:r>
        <w:rPr>
          <w:spacing w:val="4"/>
          <w:vertAlign w:val="baseline"/>
        </w:rPr>
        <w:t> </w:t>
      </w:r>
      <w:r>
        <w:rPr>
          <w:spacing w:val="-5"/>
          <w:vertAlign w:val="baseline"/>
        </w:rPr>
        <w:t>her</w:t>
      </w:r>
    </w:p>
    <w:p>
      <w:pPr>
        <w:pStyle w:val="BodyText"/>
        <w:spacing w:line="235" w:lineRule="auto"/>
        <w:ind w:left="165" w:right="167"/>
        <w:jc w:val="both"/>
      </w:pPr>
      <w:r>
        <w:rPr/>
        <w:t>£7 per week to pay off the purchase price, this was held to amount to a contractual licence which the mother could not revoke so long as either of the young couple kept up the payments. </w:t>
      </w:r>
      <w:r>
        <w:rPr>
          <w:color w:val="005DA1"/>
          <w:u w:val="single" w:color="005DA1"/>
          <w:vertAlign w:val="superscript"/>
        </w:rPr>
        <w:t>1000</w:t>
      </w:r>
    </w:p>
    <w:p>
      <w:pPr>
        <w:pStyle w:val="BodyText"/>
      </w:pPr>
    </w:p>
    <w:p>
      <w:pPr>
        <w:pStyle w:val="BodyText"/>
        <w:spacing w:before="36"/>
      </w:pPr>
    </w:p>
    <w:p>
      <w:pPr>
        <w:spacing w:before="0"/>
        <w:ind w:left="165" w:right="0" w:firstLine="0"/>
        <w:jc w:val="left"/>
        <w:rPr>
          <w:rFonts w:ascii="Arial"/>
          <w:b/>
          <w:sz w:val="18"/>
        </w:rPr>
      </w:pPr>
      <w:r>
        <w:rPr>
          <w:rFonts w:ascii="Arial"/>
          <w:b/>
          <w:sz w:val="18"/>
        </w:rPr>
        <w:t>Agreements giving discretion to one party whether to </w:t>
      </w:r>
      <w:r>
        <w:rPr>
          <w:rFonts w:ascii="Arial"/>
          <w:b/>
          <w:spacing w:val="-2"/>
          <w:sz w:val="18"/>
        </w:rPr>
        <w:t>perform</w:t>
      </w:r>
    </w:p>
    <w:p>
      <w:pPr>
        <w:pStyle w:val="BodyText"/>
        <w:spacing w:before="41"/>
        <w:rPr>
          <w:rFonts w:ascii="Arial"/>
          <w:b/>
          <w:sz w:val="18"/>
        </w:rPr>
      </w:pPr>
    </w:p>
    <w:p>
      <w:pPr>
        <w:pStyle w:val="Heading2"/>
        <w:spacing w:before="1"/>
      </w:pPr>
      <w:r>
        <w:rPr/>
        <w:t>2-</w:t>
      </w:r>
      <w:r>
        <w:rPr>
          <w:spacing w:val="-5"/>
        </w:rPr>
        <w:t>185</w:t>
      </w:r>
    </w:p>
    <w:p>
      <w:pPr>
        <w:pStyle w:val="BodyText"/>
        <w:spacing w:line="235" w:lineRule="auto" w:before="202"/>
        <w:ind w:left="164" w:right="167"/>
        <w:jc w:val="both"/>
      </w:pPr>
      <w:r>
        <w:rPr/>
        <w:t>An agreement may consist of mutual promises one of which gives a very wide discretion to one </w:t>
      </w:r>
      <w:r>
        <w:rPr/>
        <w:t>party. In such a case the discretionary promise may be too vague to constitute consideration for the other party’s promise which may therefore be unenforceable. </w:t>
      </w:r>
      <w:r>
        <w:rPr>
          <w:color w:val="005DA1"/>
          <w:u w:val="single" w:color="005DA1"/>
          <w:vertAlign w:val="superscript"/>
        </w:rPr>
        <w:t>1001</w:t>
      </w:r>
      <w:r>
        <w:rPr>
          <w:color w:val="005DA1"/>
          <w:vertAlign w:val="baseline"/>
        </w:rPr>
        <w:t> </w:t>
      </w:r>
      <w:r>
        <w:rPr>
          <w:vertAlign w:val="baseline"/>
        </w:rPr>
        <w:t>But if the other party has actually performed (so that there can be no question that </w:t>
      </w:r>
      <w:r>
        <w:rPr>
          <w:rFonts w:ascii="Arial" w:hAnsi="Arial"/>
          <w:i/>
          <w:vertAlign w:val="baseline"/>
        </w:rPr>
        <w:t>he </w:t>
      </w:r>
      <w:r>
        <w:rPr>
          <w:vertAlign w:val="baseline"/>
        </w:rPr>
        <w:t>has provided consideration), the further question may arise whether the discretionary promise can be enforced; and this raises an issue of contractual intention. In </w:t>
      </w:r>
      <w:r>
        <w:rPr>
          <w:rFonts w:ascii="Arial" w:hAnsi="Arial"/>
          <w:i/>
          <w:vertAlign w:val="baseline"/>
        </w:rPr>
        <w:t>Taylor v Brewer </w:t>
      </w:r>
      <w:r>
        <w:rPr>
          <w:color w:val="005DA1"/>
          <w:u w:val="single" w:color="005DA1"/>
          <w:vertAlign w:val="superscript"/>
        </w:rPr>
        <w:t>1002</w:t>
      </w:r>
      <w:r>
        <w:rPr>
          <w:color w:val="005DA1"/>
          <w:vertAlign w:val="baseline"/>
        </w:rPr>
        <w:t> </w:t>
      </w:r>
      <w:r>
        <w:rPr>
          <w:vertAlign w:val="baseline"/>
        </w:rPr>
        <w:t>the claimant agreed to do work for a committee who resolved that he should receive “such remuneration … as should be deemed right”. His claim for a reasonable remuneration for work done failed: the promise to pay was “merely an engagement of honour”. </w:t>
      </w:r>
      <w:r>
        <w:rPr>
          <w:color w:val="005DA1"/>
          <w:u w:val="single" w:color="005DA1"/>
          <w:vertAlign w:val="superscript"/>
        </w:rPr>
        <w:t>1003</w:t>
      </w:r>
      <w:r>
        <w:rPr>
          <w:color w:val="005DA1"/>
          <w:vertAlign w:val="baseline"/>
        </w:rPr>
        <w:t> </w:t>
      </w:r>
      <w:r>
        <w:rPr>
          <w:vertAlign w:val="baseline"/>
        </w:rPr>
        <w:t>This case is now more often distinguished than followed, </w:t>
      </w:r>
      <w:r>
        <w:rPr>
          <w:color w:val="005DA1"/>
          <w:u w:val="single" w:color="005DA1"/>
          <w:vertAlign w:val="superscript"/>
        </w:rPr>
        <w:t>1004</w:t>
      </w:r>
      <w:r>
        <w:rPr>
          <w:color w:val="005DA1"/>
          <w:vertAlign w:val="baseline"/>
        </w:rPr>
        <w:t> </w:t>
      </w:r>
      <w:r>
        <w:rPr>
          <w:vertAlign w:val="baseline"/>
        </w:rPr>
        <w:t>but its reasoning would still be applied if the wording made it clear that the promise was not intended to be legally binding. </w:t>
      </w:r>
      <w:r>
        <w:rPr>
          <w:color w:val="005DA1"/>
          <w:u w:val="single" w:color="005DA1"/>
          <w:vertAlign w:val="superscript"/>
        </w:rPr>
        <w:t>1005</w:t>
      </w:r>
      <w:r>
        <w:rPr>
          <w:color w:val="005DA1"/>
          <w:vertAlign w:val="baseline"/>
        </w:rPr>
        <w:t> </w:t>
      </w:r>
      <w:r>
        <w:rPr>
          <w:vertAlign w:val="baseline"/>
        </w:rPr>
        <w:t>A fortiori, there is no contract where performance by </w:t>
      </w:r>
      <w:r>
        <w:rPr>
          <w:rFonts w:ascii="Arial" w:hAnsi="Arial"/>
          <w:i/>
          <w:vertAlign w:val="baseline"/>
        </w:rPr>
        <w:t>each </w:t>
      </w:r>
      <w:r>
        <w:rPr>
          <w:vertAlign w:val="baseline"/>
        </w:rPr>
        <w:t>party was left to that party’s discretion. </w:t>
      </w:r>
      <w:r>
        <w:rPr>
          <w:color w:val="005DA1"/>
          <w:u w:val="single" w:color="005DA1"/>
          <w:vertAlign w:val="superscript"/>
        </w:rPr>
        <w:t>1006</w:t>
      </w:r>
      <w:r>
        <w:rPr>
          <w:color w:val="005DA1"/>
          <w:vertAlign w:val="baseline"/>
        </w:rPr>
        <w:t> </w:t>
      </w:r>
      <w:r>
        <w:rPr>
          <w:vertAlign w:val="baseline"/>
        </w:rPr>
        <w:t>Where, however, an agreement is clearly intended to have contractual effect, there is judicial support for the view that a discretion conferred by it on one party cannot “however widely worded … be exercised for purposes contrary to those of the instrument by which it is conferred”. </w:t>
      </w:r>
      <w:r>
        <w:rPr>
          <w:color w:val="005DA1"/>
          <w:u w:val="single" w:color="005DA1"/>
          <w:vertAlign w:val="superscript"/>
        </w:rPr>
        <w:t>1007</w:t>
      </w:r>
      <w:r>
        <w:rPr>
          <w:color w:val="005DA1"/>
          <w:vertAlign w:val="baseline"/>
        </w:rPr>
        <w:t> </w:t>
      </w:r>
      <w:r>
        <w:rPr>
          <w:vertAlign w:val="baseline"/>
        </w:rPr>
        <w:t>The court may also be able to control the exercise of such a contractual discretion by holding that it must be exercised “rationally and in good faith” </w:t>
      </w:r>
      <w:r>
        <w:rPr>
          <w:color w:val="005DA1"/>
          <w:u w:val="single" w:color="005DA1"/>
          <w:vertAlign w:val="superscript"/>
        </w:rPr>
        <w:t>1008</w:t>
      </w:r>
      <w:r>
        <w:rPr>
          <w:vertAlign w:val="baseline"/>
        </w:rPr>
        <w:t>; but, if these requirements are satisfied, there is no further requirement that the exercise of the discretion must be reasonable. </w:t>
      </w:r>
      <w:r>
        <w:rPr>
          <w:color w:val="005DA1"/>
          <w:u w:val="single" w:color="005DA1"/>
          <w:vertAlign w:val="superscript"/>
        </w:rPr>
        <w:t>1009</w:t>
      </w:r>
    </w:p>
    <w:p>
      <w:pPr>
        <w:pStyle w:val="BodyText"/>
        <w:spacing w:before="84"/>
      </w:pPr>
    </w:p>
    <w:p>
      <w:pPr>
        <w:pStyle w:val="BodyText"/>
        <w:spacing w:line="235" w:lineRule="auto"/>
        <w:ind w:left="164" w:right="167"/>
        <w:jc w:val="both"/>
      </w:pPr>
      <w:r>
        <w:rPr/>
        <w:t>Even where an agreement does not, from its inception, impose any contractual obligation on </w:t>
      </w:r>
      <w:r>
        <w:rPr/>
        <w:t>either party, such obligations may arise from the subsequent conduct of the parties in pursuance of it. This was the position where a local authority engaged the claimant as home tutor for pupils who were unable to attend school. </w:t>
      </w:r>
      <w:r>
        <w:rPr>
          <w:color w:val="005DA1"/>
          <w:u w:val="single" w:color="005DA1"/>
          <w:vertAlign w:val="superscript"/>
        </w:rPr>
        <w:t>1010</w:t>
      </w:r>
      <w:r>
        <w:rPr>
          <w:color w:val="005DA1"/>
          <w:vertAlign w:val="baseline"/>
        </w:rPr>
        <w:t> </w:t>
      </w:r>
      <w:r>
        <w:rPr>
          <w:vertAlign w:val="baseline"/>
        </w:rPr>
        <w:t>The arrangement did not bind the claimant to accept, or the authority to offer, any pupil but once the claimant had agreed to accept a particular pupil, she was obliged to fulfil her commitment to that pupil and the authority was bound to provide work in relation to that pupil until the engagement in relation to him had run its course. Thus a series of contracts arose in relation to each pupil offered to, and accepted by, the claimant, even though the original arrangement in pursuance of which the pupils were sent had no contractual force.</w:t>
      </w:r>
    </w:p>
    <w:p>
      <w:pPr>
        <w:pStyle w:val="BodyText"/>
      </w:pPr>
    </w:p>
    <w:p>
      <w:pPr>
        <w:pStyle w:val="BodyText"/>
        <w:spacing w:before="35"/>
      </w:pPr>
    </w:p>
    <w:p>
      <w:pPr>
        <w:spacing w:before="0"/>
        <w:ind w:left="164" w:right="0" w:firstLine="0"/>
        <w:jc w:val="left"/>
        <w:rPr>
          <w:rFonts w:ascii="Arial"/>
          <w:b/>
          <w:sz w:val="18"/>
        </w:rPr>
      </w:pPr>
      <w:r>
        <w:rPr>
          <w:rFonts w:ascii="Arial"/>
          <w:b/>
          <w:sz w:val="18"/>
        </w:rPr>
        <w:t>Agreements giving discretion to </w:t>
      </w:r>
      <w:r>
        <w:rPr>
          <w:rFonts w:ascii="Arial"/>
          <w:b/>
          <w:spacing w:val="-2"/>
          <w:sz w:val="18"/>
        </w:rPr>
        <w:t>rescind</w:t>
      </w:r>
    </w:p>
    <w:p>
      <w:pPr>
        <w:pStyle w:val="BodyText"/>
        <w:spacing w:before="41"/>
        <w:rPr>
          <w:rFonts w:ascii="Arial"/>
          <w:b/>
          <w:sz w:val="18"/>
        </w:rPr>
      </w:pPr>
    </w:p>
    <w:p>
      <w:pPr>
        <w:pStyle w:val="Heading2"/>
        <w:ind w:left="164"/>
      </w:pPr>
      <w:r>
        <w:rPr/>
        <w:t>2-</w:t>
      </w:r>
      <w:r>
        <w:rPr>
          <w:spacing w:val="-5"/>
        </w:rPr>
        <w:t>186</w:t>
      </w:r>
    </w:p>
    <w:p>
      <w:pPr>
        <w:pStyle w:val="BodyText"/>
        <w:spacing w:line="235" w:lineRule="auto" w:before="203"/>
        <w:ind w:left="164" w:right="167"/>
        <w:jc w:val="both"/>
      </w:pPr>
      <w:r>
        <w:rPr/>
        <w:t>An agreement may give one party a discretion to rescind. That party will not be bound if his promise means “I will only perform if I do not change my mind”. But the power to rescind may only be </w:t>
      </w:r>
      <w:r>
        <w:rPr/>
        <w:t>inserted as a safeguard in certain eventualities which are not exhaustively stated, for example, where a contract for the sale of land entitles the vendor to rescind if the purchaser persists in some requisition or objection which the vendor is “unable </w:t>
      </w:r>
      <w:r>
        <w:rPr>
          <w:rFonts w:ascii="Arial" w:hAnsi="Arial"/>
          <w:i/>
        </w:rPr>
        <w:t>or unwilling </w:t>
      </w:r>
      <w:r>
        <w:rPr/>
        <w:t>to satisfy”. In such a case there is a contract and the court will control the exercise of the power to rescind by insisting that the vendor must not rescind “arbitrarily, or capriciously, or unreasonably. Much less, can he act in bad faith”. </w:t>
      </w:r>
      <w:r>
        <w:rPr>
          <w:color w:val="005DA1"/>
          <w:u w:val="single" w:color="005DA1"/>
          <w:vertAlign w:val="superscript"/>
        </w:rPr>
        <w:t>1011</w:t>
      </w:r>
    </w:p>
    <w:p>
      <w:pPr>
        <w:pStyle w:val="BodyText"/>
      </w:pPr>
    </w:p>
    <w:p>
      <w:pPr>
        <w:pStyle w:val="BodyText"/>
        <w:spacing w:before="36"/>
      </w:pPr>
    </w:p>
    <w:p>
      <w:pPr>
        <w:spacing w:before="0"/>
        <w:ind w:left="165" w:right="0" w:firstLine="0"/>
        <w:jc w:val="left"/>
        <w:rPr>
          <w:rFonts w:ascii="Arial"/>
          <w:b/>
          <w:sz w:val="18"/>
        </w:rPr>
      </w:pPr>
      <w:r>
        <w:rPr>
          <w:rFonts w:ascii="Arial"/>
          <w:b/>
          <w:sz w:val="18"/>
        </w:rPr>
        <w:t>Collective </w:t>
      </w:r>
      <w:r>
        <w:rPr>
          <w:rFonts w:ascii="Arial"/>
          <w:b/>
          <w:spacing w:val="-2"/>
          <w:sz w:val="18"/>
        </w:rPr>
        <w:t>agreements</w:t>
      </w:r>
    </w:p>
    <w:p>
      <w:pPr>
        <w:pStyle w:val="BodyText"/>
        <w:spacing w:before="41"/>
        <w:rPr>
          <w:rFonts w:ascii="Arial"/>
          <w:b/>
          <w:sz w:val="18"/>
        </w:rPr>
      </w:pPr>
    </w:p>
    <w:p>
      <w:pPr>
        <w:pStyle w:val="Heading2"/>
      </w:pPr>
      <w:r>
        <w:rPr/>
        <w:t>2-</w:t>
      </w:r>
      <w:r>
        <w:rPr>
          <w:spacing w:val="-5"/>
        </w:rPr>
        <w:t>187</w:t>
      </w:r>
    </w:p>
    <w:p>
      <w:pPr>
        <w:pStyle w:val="BodyText"/>
        <w:spacing w:before="199"/>
        <w:ind w:left="165"/>
        <w:jc w:val="both"/>
      </w:pPr>
      <w:r>
        <w:rPr/>
        <w:t>The</w:t>
      </w:r>
      <w:r>
        <w:rPr>
          <w:spacing w:val="1"/>
        </w:rPr>
        <w:t> </w:t>
      </w:r>
      <w:r>
        <w:rPr/>
        <w:t>terms</w:t>
      </w:r>
      <w:r>
        <w:rPr>
          <w:spacing w:val="1"/>
        </w:rPr>
        <w:t> </w:t>
      </w:r>
      <w:r>
        <w:rPr/>
        <w:t>of</w:t>
      </w:r>
      <w:r>
        <w:rPr>
          <w:spacing w:val="1"/>
        </w:rPr>
        <w:t> </w:t>
      </w:r>
      <w:r>
        <w:rPr/>
        <w:t>collective</w:t>
      </w:r>
      <w:r>
        <w:rPr>
          <w:spacing w:val="1"/>
        </w:rPr>
        <w:t> </w:t>
      </w:r>
      <w:r>
        <w:rPr/>
        <w:t>agreements</w:t>
      </w:r>
      <w:r>
        <w:rPr>
          <w:spacing w:val="1"/>
        </w:rPr>
        <w:t> </w:t>
      </w:r>
      <w:r>
        <w:rPr/>
        <w:t>between</w:t>
      </w:r>
      <w:r>
        <w:rPr>
          <w:spacing w:val="1"/>
        </w:rPr>
        <w:t> </w:t>
      </w:r>
      <w:r>
        <w:rPr/>
        <w:t>trade</w:t>
      </w:r>
      <w:r>
        <w:rPr>
          <w:spacing w:val="1"/>
        </w:rPr>
        <w:t> </w:t>
      </w:r>
      <w:r>
        <w:rPr/>
        <w:t>unions</w:t>
      </w:r>
      <w:r>
        <w:rPr>
          <w:spacing w:val="1"/>
        </w:rPr>
        <w:t> </w:t>
      </w:r>
      <w:r>
        <w:rPr/>
        <w:t>and</w:t>
      </w:r>
      <w:r>
        <w:rPr>
          <w:spacing w:val="1"/>
        </w:rPr>
        <w:t> </w:t>
      </w:r>
      <w:r>
        <w:rPr/>
        <w:t>employers</w:t>
      </w:r>
      <w:r>
        <w:rPr>
          <w:spacing w:val="1"/>
        </w:rPr>
        <w:t> </w:t>
      </w:r>
      <w:r>
        <w:rPr/>
        <w:t>(or</w:t>
      </w:r>
      <w:r>
        <w:rPr>
          <w:spacing w:val="1"/>
        </w:rPr>
        <w:t> </w:t>
      </w:r>
      <w:r>
        <w:rPr/>
        <w:t>employers’</w:t>
      </w:r>
      <w:r>
        <w:rPr>
          <w:spacing w:val="1"/>
        </w:rPr>
        <w:t> </w:t>
      </w:r>
      <w:r>
        <w:rPr>
          <w:spacing w:val="-2"/>
        </w:rPr>
        <w:t>associations)</w:t>
      </w:r>
    </w:p>
    <w:p>
      <w:pPr>
        <w:pStyle w:val="BodyText"/>
        <w:spacing w:after="0"/>
        <w:jc w:val="both"/>
        <w:sectPr>
          <w:pgSz w:w="11900" w:h="16840"/>
          <w:pgMar w:header="971" w:footer="0" w:top="1300" w:bottom="280" w:left="1275" w:right="1275"/>
        </w:sectPr>
      </w:pPr>
    </w:p>
    <w:p>
      <w:pPr>
        <w:pStyle w:val="BodyText"/>
        <w:spacing w:line="235" w:lineRule="auto" w:before="210"/>
        <w:ind w:left="164" w:right="166"/>
        <w:jc w:val="both"/>
      </w:pPr>
      <w:r>
        <w:rPr/>
        <w:t>may be incorporated in individual employment contracts and so become binding on the parties to those contracts. </w:t>
      </w:r>
      <w:r>
        <w:rPr>
          <w:color w:val="005DA1"/>
          <w:u w:val="single" w:color="005DA1"/>
          <w:vertAlign w:val="superscript"/>
        </w:rPr>
        <w:t>1012</w:t>
      </w:r>
      <w:r>
        <w:rPr>
          <w:color w:val="005DA1"/>
          <w:vertAlign w:val="baseline"/>
        </w:rPr>
        <w:t> </w:t>
      </w:r>
      <w:r>
        <w:rPr>
          <w:vertAlign w:val="baseline"/>
        </w:rPr>
        <w:t>But the general common law view was that such collective agreements were not legally binding between the parties to them. The Trade Union and Labour Relations (Consolidation) Act 1992 goes further in providing that a collective agreement </w:t>
      </w:r>
      <w:r>
        <w:rPr>
          <w:color w:val="005DA1"/>
          <w:u w:val="single" w:color="005DA1"/>
          <w:vertAlign w:val="superscript"/>
        </w:rPr>
        <w:t>1013</w:t>
      </w:r>
      <w:r>
        <w:rPr>
          <w:color w:val="005DA1"/>
          <w:vertAlign w:val="baseline"/>
        </w:rPr>
        <w:t> </w:t>
      </w:r>
      <w:r>
        <w:rPr>
          <w:vertAlign w:val="baseline"/>
        </w:rPr>
        <w:t>is “conclusively presumed not to have been intended by the parties to be a legally enforceable contract” unless it is in writing </w:t>
      </w:r>
      <w:r>
        <w:rPr>
          <w:vertAlign w:val="baseline"/>
        </w:rPr>
        <w:t>and expressly provides the contrary (in which case the agreement is conclusively presumed to have been intended by the parties to be a legally enforceable contract). </w:t>
      </w:r>
      <w:r>
        <w:rPr>
          <w:color w:val="005DA1"/>
          <w:u w:val="single" w:color="005DA1"/>
          <w:vertAlign w:val="superscript"/>
        </w:rPr>
        <w:t>1014</w:t>
      </w:r>
      <w:r>
        <w:rPr>
          <w:color w:val="005DA1"/>
          <w:vertAlign w:val="baseline"/>
        </w:rPr>
        <w:t> </w:t>
      </w:r>
      <w:r>
        <w:rPr>
          <w:vertAlign w:val="baseline"/>
        </w:rPr>
        <w:t>To displace the presumption that a collective agreement is not intended to be a legally binding contract, the agreement must provide that it was intended to be </w:t>
      </w:r>
      <w:r>
        <w:rPr>
          <w:rFonts w:ascii="Arial" w:hAnsi="Arial"/>
          <w:i/>
          <w:vertAlign w:val="baseline"/>
        </w:rPr>
        <w:t>legally </w:t>
      </w:r>
      <w:r>
        <w:rPr>
          <w:vertAlign w:val="baseline"/>
        </w:rPr>
        <w:t>binding. The presumption is not displaced by a statement that the parties shall be “bound by the agreement” for this may mean that they are bound in honour only. </w:t>
      </w:r>
      <w:r>
        <w:rPr>
          <w:color w:val="005DA1"/>
          <w:u w:val="single" w:color="005DA1"/>
          <w:vertAlign w:val="superscript"/>
        </w:rPr>
        <w:t>1015</w:t>
      </w:r>
    </w:p>
    <w:p>
      <w:pPr>
        <w:pStyle w:val="BodyText"/>
      </w:pPr>
    </w:p>
    <w:p>
      <w:pPr>
        <w:pStyle w:val="BodyText"/>
        <w:spacing w:before="35"/>
      </w:pPr>
    </w:p>
    <w:p>
      <w:pPr>
        <w:spacing w:before="0"/>
        <w:ind w:left="165" w:right="0" w:firstLine="0"/>
        <w:jc w:val="left"/>
        <w:rPr>
          <w:rFonts w:ascii="Arial"/>
          <w:b/>
          <w:sz w:val="18"/>
        </w:rPr>
      </w:pPr>
      <w:r>
        <w:rPr>
          <w:rFonts w:ascii="Arial"/>
          <w:b/>
          <w:sz w:val="18"/>
        </w:rPr>
        <w:t>Free travel </w:t>
      </w:r>
      <w:r>
        <w:rPr>
          <w:rFonts w:ascii="Arial"/>
          <w:b/>
          <w:spacing w:val="-2"/>
          <w:sz w:val="18"/>
        </w:rPr>
        <w:t>passes</w:t>
      </w:r>
    </w:p>
    <w:p>
      <w:pPr>
        <w:pStyle w:val="BodyText"/>
        <w:spacing w:before="41"/>
        <w:rPr>
          <w:rFonts w:ascii="Arial"/>
          <w:b/>
          <w:sz w:val="18"/>
        </w:rPr>
      </w:pPr>
    </w:p>
    <w:p>
      <w:pPr>
        <w:pStyle w:val="Heading2"/>
      </w:pPr>
      <w:r>
        <w:rPr/>
        <w:t>2-</w:t>
      </w:r>
      <w:r>
        <w:rPr>
          <w:spacing w:val="-5"/>
        </w:rPr>
        <w:t>188</w:t>
      </w:r>
    </w:p>
    <w:p>
      <w:pPr>
        <w:pStyle w:val="BodyText"/>
        <w:spacing w:line="235" w:lineRule="auto" w:before="203"/>
        <w:ind w:left="165" w:right="167"/>
        <w:jc w:val="both"/>
      </w:pPr>
      <w:r>
        <w:rPr/>
        <w:t>There are conflicting decisions on the question whether the issue and acceptance of a free </w:t>
      </w:r>
      <w:r>
        <w:rPr/>
        <w:t>travel</w:t>
      </w:r>
      <w:r>
        <w:rPr>
          <w:spacing w:val="40"/>
        </w:rPr>
        <w:t> </w:t>
      </w:r>
      <w:r>
        <w:rPr/>
        <w:t>pass amounts to a contract. In </w:t>
      </w:r>
      <w:r>
        <w:rPr>
          <w:rFonts w:ascii="Arial" w:hAnsi="Arial"/>
          <w:i/>
        </w:rPr>
        <w:t>Wilkie v L.P.T.B</w:t>
      </w:r>
      <w:r>
        <w:rPr/>
        <w:t>. </w:t>
      </w:r>
      <w:r>
        <w:rPr>
          <w:color w:val="005DA1"/>
          <w:u w:val="single" w:color="005DA1"/>
          <w:vertAlign w:val="superscript"/>
        </w:rPr>
        <w:t>1016</w:t>
      </w:r>
      <w:r>
        <w:rPr>
          <w:color w:val="005DA1"/>
          <w:vertAlign w:val="baseline"/>
        </w:rPr>
        <w:t> </w:t>
      </w:r>
      <w:r>
        <w:rPr>
          <w:vertAlign w:val="baseline"/>
        </w:rPr>
        <w:t>it was held that such a pass issued by a transport undertaking to one of its own employees did not amount to a contract. But the contrary conclusion</w:t>
      </w:r>
      <w:r>
        <w:rPr>
          <w:spacing w:val="40"/>
          <w:vertAlign w:val="baseline"/>
        </w:rPr>
        <w:t> </w:t>
      </w:r>
      <w:r>
        <w:rPr>
          <w:vertAlign w:val="baseline"/>
        </w:rPr>
        <w:t>was reached in </w:t>
      </w:r>
      <w:r>
        <w:rPr>
          <w:rFonts w:ascii="Arial" w:hAnsi="Arial"/>
          <w:i/>
          <w:vertAlign w:val="baseline"/>
        </w:rPr>
        <w:t>Gore v Van der Lann </w:t>
      </w:r>
      <w:r>
        <w:rPr>
          <w:color w:val="005DA1"/>
          <w:u w:val="single" w:color="005DA1"/>
          <w:vertAlign w:val="superscript"/>
        </w:rPr>
        <w:t>1017</w:t>
      </w:r>
      <w:r>
        <w:rPr>
          <w:color w:val="005DA1"/>
          <w:vertAlign w:val="baseline"/>
        </w:rPr>
        <w:t> </w:t>
      </w:r>
      <w:r>
        <w:rPr>
          <w:vertAlign w:val="baseline"/>
        </w:rPr>
        <w:t>where the pass was issued to an old age pensioner. This conclusion was based on the ground that an application for the pass had been made on a form couched in contractual language; and </w:t>
      </w:r>
      <w:r>
        <w:rPr>
          <w:rFonts w:ascii="Arial" w:hAnsi="Arial"/>
          <w:i/>
          <w:vertAlign w:val="baseline"/>
        </w:rPr>
        <w:t>Wilkie’s </w:t>
      </w:r>
      <w:r>
        <w:rPr>
          <w:vertAlign w:val="baseline"/>
        </w:rPr>
        <w:t>case was distinguished on the ground that the pass there was issued to the employee “as a matter of course … as one of the privileges attaching to his employment”. </w:t>
      </w:r>
      <w:r>
        <w:rPr>
          <w:color w:val="005DA1"/>
          <w:u w:val="single" w:color="005DA1"/>
          <w:vertAlign w:val="superscript"/>
        </w:rPr>
        <w:t>1018</w:t>
      </w:r>
      <w:r>
        <w:rPr>
          <w:color w:val="005DA1"/>
          <w:vertAlign w:val="baseline"/>
        </w:rPr>
        <w:t> </w:t>
      </w:r>
      <w:r>
        <w:rPr>
          <w:vertAlign w:val="baseline"/>
        </w:rPr>
        <w:t>But as the pass in </w:t>
      </w:r>
      <w:r>
        <w:rPr>
          <w:rFonts w:ascii="Arial" w:hAnsi="Arial"/>
          <w:i/>
          <w:vertAlign w:val="baseline"/>
        </w:rPr>
        <w:t>Gore’s </w:t>
      </w:r>
      <w:r>
        <w:rPr>
          <w:vertAlign w:val="baseline"/>
        </w:rPr>
        <w:t>case was issued expressly on the “understanding” that it constituted only a licence subject to conditions, the distinction seems, with respect, to be a tenuous </w:t>
      </w:r>
      <w:r>
        <w:rPr>
          <w:spacing w:val="-4"/>
          <w:vertAlign w:val="baseline"/>
        </w:rPr>
        <w:t>one.</w:t>
      </w:r>
    </w:p>
    <w:p>
      <w:pPr>
        <w:pStyle w:val="BodyText"/>
      </w:pPr>
    </w:p>
    <w:p>
      <w:pPr>
        <w:pStyle w:val="BodyText"/>
        <w:spacing w:before="35"/>
      </w:pPr>
    </w:p>
    <w:p>
      <w:pPr>
        <w:spacing w:before="0"/>
        <w:ind w:left="165" w:right="0" w:firstLine="0"/>
        <w:jc w:val="left"/>
        <w:rPr>
          <w:rFonts w:ascii="Arial"/>
          <w:b/>
          <w:sz w:val="18"/>
        </w:rPr>
      </w:pPr>
      <w:r>
        <w:rPr>
          <w:rFonts w:ascii="Arial"/>
          <w:b/>
          <w:sz w:val="18"/>
        </w:rPr>
        <w:t>Statements of governmental </w:t>
      </w:r>
      <w:r>
        <w:rPr>
          <w:rFonts w:ascii="Arial"/>
          <w:b/>
          <w:spacing w:val="-2"/>
          <w:sz w:val="18"/>
        </w:rPr>
        <w:t>policy</w:t>
      </w:r>
    </w:p>
    <w:p>
      <w:pPr>
        <w:pStyle w:val="BodyText"/>
        <w:spacing w:before="41"/>
        <w:rPr>
          <w:rFonts w:ascii="Arial"/>
          <w:b/>
          <w:sz w:val="18"/>
        </w:rPr>
      </w:pPr>
    </w:p>
    <w:p>
      <w:pPr>
        <w:pStyle w:val="Heading2"/>
      </w:pPr>
      <w:r>
        <w:rPr/>
        <w:t>2-</w:t>
      </w:r>
      <w:r>
        <w:rPr>
          <w:spacing w:val="-5"/>
        </w:rPr>
        <w:t>189</w:t>
      </w:r>
    </w:p>
    <w:p>
      <w:pPr>
        <w:pStyle w:val="BodyText"/>
        <w:spacing w:line="235" w:lineRule="auto" w:before="203"/>
        <w:ind w:left="165" w:right="167"/>
        <w:jc w:val="both"/>
      </w:pPr>
      <w:r>
        <w:rPr/>
        <w:t>In a case </w:t>
      </w:r>
      <w:r>
        <w:rPr>
          <w:color w:val="005DA1"/>
          <w:u w:val="single" w:color="005DA1"/>
          <w:vertAlign w:val="superscript"/>
        </w:rPr>
        <w:t>1019</w:t>
      </w:r>
      <w:r>
        <w:rPr>
          <w:color w:val="005DA1"/>
          <w:vertAlign w:val="baseline"/>
        </w:rPr>
        <w:t> </w:t>
      </w:r>
      <w:r>
        <w:rPr>
          <w:vertAlign w:val="baseline"/>
        </w:rPr>
        <w:t>arising out of the First World War a statement was made, during the war, on behalf </w:t>
      </w:r>
      <w:r>
        <w:rPr>
          <w:vertAlign w:val="baseline"/>
        </w:rPr>
        <w:t>of the Government, to the effect that a certain neutral ship would be allowed to leave a British port if specified conditions were met. It was held that the statement did not amount to a contract: it was “merely an expression of intention to act in a particular way in a certain event”. </w:t>
      </w:r>
      <w:r>
        <w:rPr>
          <w:color w:val="005DA1"/>
          <w:u w:val="single" w:color="005DA1"/>
          <w:vertAlign w:val="superscript"/>
        </w:rPr>
        <w:t>1020</w:t>
      </w:r>
    </w:p>
    <w:p>
      <w:pPr>
        <w:pStyle w:val="BodyText"/>
      </w:pPr>
    </w:p>
    <w:p>
      <w:pPr>
        <w:pStyle w:val="BodyText"/>
        <w:spacing w:before="37"/>
      </w:pPr>
    </w:p>
    <w:p>
      <w:pPr>
        <w:spacing w:before="0"/>
        <w:ind w:left="165" w:right="0" w:firstLine="0"/>
        <w:jc w:val="left"/>
        <w:rPr>
          <w:rFonts w:ascii="Arial"/>
          <w:b/>
          <w:sz w:val="18"/>
        </w:rPr>
      </w:pPr>
      <w:r>
        <w:rPr>
          <w:rFonts w:ascii="Arial"/>
          <w:b/>
          <w:sz w:val="18"/>
        </w:rPr>
        <w:t>Agreements giving effect to pre-existing </w:t>
      </w:r>
      <w:r>
        <w:rPr>
          <w:rFonts w:ascii="Arial"/>
          <w:b/>
          <w:spacing w:val="-2"/>
          <w:sz w:val="18"/>
        </w:rPr>
        <w:t>rights</w:t>
      </w:r>
    </w:p>
    <w:p>
      <w:pPr>
        <w:pStyle w:val="BodyText"/>
        <w:spacing w:before="41"/>
        <w:rPr>
          <w:rFonts w:ascii="Arial"/>
          <w:b/>
          <w:sz w:val="18"/>
        </w:rPr>
      </w:pPr>
    </w:p>
    <w:p>
      <w:pPr>
        <w:pStyle w:val="Heading2"/>
      </w:pPr>
      <w:r>
        <w:rPr/>
        <w:t>2-</w:t>
      </w:r>
      <w:r>
        <w:rPr>
          <w:spacing w:val="-5"/>
        </w:rPr>
        <w:t>190</w:t>
      </w:r>
    </w:p>
    <w:p>
      <w:pPr>
        <w:pStyle w:val="BodyText"/>
        <w:spacing w:line="235" w:lineRule="auto" w:before="203"/>
        <w:ind w:left="165" w:right="167"/>
        <w:jc w:val="both"/>
      </w:pPr>
      <w:r>
        <w:rPr/>
        <w:t>A number of cases support the view that an arrangement which is believed simply to give effect </w:t>
      </w:r>
      <w:r>
        <w:rPr/>
        <w:t>to preexisting</w:t>
      </w:r>
      <w:r>
        <w:rPr>
          <w:spacing w:val="-1"/>
        </w:rPr>
        <w:t> </w:t>
      </w:r>
      <w:r>
        <w:rPr/>
        <w:t>contractual</w:t>
      </w:r>
      <w:r>
        <w:rPr>
          <w:spacing w:val="-1"/>
        </w:rPr>
        <w:t> </w:t>
      </w:r>
      <w:r>
        <w:rPr/>
        <w:t>rights</w:t>
      </w:r>
      <w:r>
        <w:rPr>
          <w:spacing w:val="-1"/>
        </w:rPr>
        <w:t> </w:t>
      </w:r>
      <w:r>
        <w:rPr/>
        <w:t>is</w:t>
      </w:r>
      <w:r>
        <w:rPr>
          <w:spacing w:val="-1"/>
        </w:rPr>
        <w:t> </w:t>
      </w:r>
      <w:r>
        <w:rPr/>
        <w:t>not</w:t>
      </w:r>
      <w:r>
        <w:rPr>
          <w:spacing w:val="-1"/>
        </w:rPr>
        <w:t> </w:t>
      </w:r>
      <w:r>
        <w:rPr/>
        <w:t>a</w:t>
      </w:r>
      <w:r>
        <w:rPr>
          <w:spacing w:val="-1"/>
        </w:rPr>
        <w:t> </w:t>
      </w:r>
      <w:r>
        <w:rPr/>
        <w:t>contract</w:t>
      </w:r>
      <w:r>
        <w:rPr>
          <w:spacing w:val="-1"/>
        </w:rPr>
        <w:t> </w:t>
      </w:r>
      <w:r>
        <w:rPr/>
        <w:t>because</w:t>
      </w:r>
      <w:r>
        <w:rPr>
          <w:spacing w:val="-1"/>
        </w:rPr>
        <w:t> </w:t>
      </w:r>
      <w:r>
        <w:rPr/>
        <w:t>the</w:t>
      </w:r>
      <w:r>
        <w:rPr>
          <w:spacing w:val="-1"/>
        </w:rPr>
        <w:t> </w:t>
      </w:r>
      <w:r>
        <w:rPr/>
        <w:t>parties</w:t>
      </w:r>
      <w:r>
        <w:rPr>
          <w:spacing w:val="-1"/>
        </w:rPr>
        <w:t> </w:t>
      </w:r>
      <w:r>
        <w:rPr/>
        <w:t>had</w:t>
      </w:r>
      <w:r>
        <w:rPr>
          <w:spacing w:val="-1"/>
        </w:rPr>
        <w:t> </w:t>
      </w:r>
      <w:r>
        <w:rPr/>
        <w:t>no</w:t>
      </w:r>
      <w:r>
        <w:rPr>
          <w:spacing w:val="-1"/>
        </w:rPr>
        <w:t> </w:t>
      </w:r>
      <w:r>
        <w:rPr/>
        <w:t>intention</w:t>
      </w:r>
      <w:r>
        <w:rPr>
          <w:spacing w:val="-1"/>
        </w:rPr>
        <w:t> </w:t>
      </w:r>
      <w:r>
        <w:rPr/>
        <w:t>to</w:t>
      </w:r>
      <w:r>
        <w:rPr>
          <w:spacing w:val="-1"/>
        </w:rPr>
        <w:t> </w:t>
      </w:r>
      <w:r>
        <w:rPr/>
        <w:t>enter</w:t>
      </w:r>
      <w:r>
        <w:rPr>
          <w:spacing w:val="-1"/>
        </w:rPr>
        <w:t> </w:t>
      </w:r>
      <w:r>
        <w:rPr/>
        <w:t>into</w:t>
      </w:r>
      <w:r>
        <w:rPr>
          <w:spacing w:val="-1"/>
        </w:rPr>
        <w:t> </w:t>
      </w:r>
      <w:r>
        <w:rPr/>
        <w:t>a</w:t>
      </w:r>
      <w:r>
        <w:rPr>
          <w:spacing w:val="-2"/>
        </w:rPr>
        <w:t> </w:t>
      </w:r>
      <w:r>
        <w:rPr>
          <w:rFonts w:ascii="Arial"/>
          <w:i/>
        </w:rPr>
        <w:t>new </w:t>
      </w:r>
      <w:r>
        <w:rPr/>
        <w:t>contract</w:t>
      </w:r>
      <w:r>
        <w:rPr>
          <w:spacing w:val="-3"/>
        </w:rPr>
        <w:t> </w:t>
      </w:r>
      <w:r>
        <w:rPr>
          <w:color w:val="005DA1"/>
          <w:u w:val="single" w:color="005DA1"/>
          <w:vertAlign w:val="superscript"/>
        </w:rPr>
        <w:t>1021</w:t>
      </w:r>
      <w:r>
        <w:rPr>
          <w:vertAlign w:val="baseline"/>
        </w:rPr>
        <w:t>;</w:t>
      </w:r>
      <w:r>
        <w:rPr>
          <w:spacing w:val="-3"/>
          <w:vertAlign w:val="baseline"/>
        </w:rPr>
        <w:t> </w:t>
      </w:r>
      <w:r>
        <w:rPr>
          <w:vertAlign w:val="baseline"/>
        </w:rPr>
        <w:t>this</w:t>
      </w:r>
      <w:r>
        <w:rPr>
          <w:spacing w:val="-3"/>
          <w:vertAlign w:val="baseline"/>
        </w:rPr>
        <w:t> </w:t>
      </w:r>
      <w:r>
        <w:rPr>
          <w:vertAlign w:val="baseline"/>
        </w:rPr>
        <w:t>may</w:t>
      </w:r>
      <w:r>
        <w:rPr>
          <w:spacing w:val="-3"/>
          <w:vertAlign w:val="baseline"/>
        </w:rPr>
        <w:t> </w:t>
      </w:r>
      <w:r>
        <w:rPr>
          <w:vertAlign w:val="baseline"/>
        </w:rPr>
        <w:t>be</w:t>
      </w:r>
      <w:r>
        <w:rPr>
          <w:spacing w:val="-3"/>
          <w:vertAlign w:val="baseline"/>
        </w:rPr>
        <w:t> </w:t>
      </w:r>
      <w:r>
        <w:rPr>
          <w:vertAlign w:val="baseline"/>
        </w:rPr>
        <w:t>true</w:t>
      </w:r>
      <w:r>
        <w:rPr>
          <w:spacing w:val="-3"/>
          <w:vertAlign w:val="baseline"/>
        </w:rPr>
        <w:t> </w:t>
      </w:r>
      <w:r>
        <w:rPr>
          <w:vertAlign w:val="baseline"/>
        </w:rPr>
        <w:t>even</w:t>
      </w:r>
      <w:r>
        <w:rPr>
          <w:spacing w:val="-3"/>
          <w:vertAlign w:val="baseline"/>
        </w:rPr>
        <w:t> </w:t>
      </w:r>
      <w:r>
        <w:rPr>
          <w:vertAlign w:val="baseline"/>
        </w:rPr>
        <w:t>where</w:t>
      </w:r>
      <w:r>
        <w:rPr>
          <w:spacing w:val="-3"/>
          <w:vertAlign w:val="baseline"/>
        </w:rPr>
        <w:t> </w:t>
      </w:r>
      <w:r>
        <w:rPr>
          <w:vertAlign w:val="baseline"/>
        </w:rPr>
        <w:t>the</w:t>
      </w:r>
      <w:r>
        <w:rPr>
          <w:spacing w:val="-3"/>
          <w:vertAlign w:val="baseline"/>
        </w:rPr>
        <w:t> </w:t>
      </w:r>
      <w:r>
        <w:rPr>
          <w:vertAlign w:val="baseline"/>
        </w:rPr>
        <w:t>contract</w:t>
      </w:r>
      <w:r>
        <w:rPr>
          <w:spacing w:val="-3"/>
          <w:vertAlign w:val="baseline"/>
        </w:rPr>
        <w:t> </w:t>
      </w:r>
      <w:r>
        <w:rPr>
          <w:vertAlign w:val="baseline"/>
        </w:rPr>
        <w:t>giving</w:t>
      </w:r>
      <w:r>
        <w:rPr>
          <w:spacing w:val="-3"/>
          <w:vertAlign w:val="baseline"/>
        </w:rPr>
        <w:t> </w:t>
      </w:r>
      <w:r>
        <w:rPr>
          <w:vertAlign w:val="baseline"/>
        </w:rPr>
        <w:t>rise</w:t>
      </w:r>
      <w:r>
        <w:rPr>
          <w:spacing w:val="-3"/>
          <w:vertAlign w:val="baseline"/>
        </w:rPr>
        <w:t> </w:t>
      </w:r>
      <w:r>
        <w:rPr>
          <w:vertAlign w:val="baseline"/>
        </w:rPr>
        <w:t>to</w:t>
      </w:r>
      <w:r>
        <w:rPr>
          <w:spacing w:val="-3"/>
          <w:vertAlign w:val="baseline"/>
        </w:rPr>
        <w:t> </w:t>
      </w:r>
      <w:r>
        <w:rPr>
          <w:vertAlign w:val="baseline"/>
        </w:rPr>
        <w:t>those</w:t>
      </w:r>
      <w:r>
        <w:rPr>
          <w:spacing w:val="-3"/>
          <w:vertAlign w:val="baseline"/>
        </w:rPr>
        <w:t> </w:t>
      </w:r>
      <w:r>
        <w:rPr>
          <w:vertAlign w:val="baseline"/>
        </w:rPr>
        <w:t>rights</w:t>
      </w:r>
      <w:r>
        <w:rPr>
          <w:spacing w:val="-3"/>
          <w:vertAlign w:val="baseline"/>
        </w:rPr>
        <w:t> </w:t>
      </w:r>
      <w:r>
        <w:rPr>
          <w:vertAlign w:val="baseline"/>
        </w:rPr>
        <w:t>had</w:t>
      </w:r>
      <w:r>
        <w:rPr>
          <w:spacing w:val="-3"/>
          <w:vertAlign w:val="baseline"/>
        </w:rPr>
        <w:t> </w:t>
      </w:r>
      <w:r>
        <w:rPr>
          <w:vertAlign w:val="baseline"/>
        </w:rPr>
        <w:t>been</w:t>
      </w:r>
      <w:r>
        <w:rPr>
          <w:spacing w:val="-3"/>
          <w:vertAlign w:val="baseline"/>
        </w:rPr>
        <w:t> </w:t>
      </w:r>
      <w:r>
        <w:rPr>
          <w:vertAlign w:val="baseline"/>
        </w:rPr>
        <w:t>discharged, so long as the parties believed that it was still in existence. </w:t>
      </w:r>
      <w:r>
        <w:rPr>
          <w:color w:val="005DA1"/>
          <w:u w:val="single" w:color="005DA1"/>
          <w:vertAlign w:val="superscript"/>
        </w:rPr>
        <w:t>1022</w:t>
      </w:r>
      <w:r>
        <w:rPr>
          <w:color w:val="005DA1"/>
          <w:vertAlign w:val="baseline"/>
        </w:rPr>
        <w:t> </w:t>
      </w:r>
      <w:r>
        <w:rPr>
          <w:vertAlign w:val="baseline"/>
        </w:rPr>
        <w:t>But other cases show that contractual intention is not negatived where the conduct of the parties makes it clear that they intended not</w:t>
      </w:r>
      <w:r>
        <w:rPr>
          <w:spacing w:val="40"/>
          <w:vertAlign w:val="baseline"/>
        </w:rPr>
        <w:t> </w:t>
      </w:r>
      <w:r>
        <w:rPr>
          <w:vertAlign w:val="baseline"/>
        </w:rPr>
        <w:t>merely to give effect to their earlier contract but also to enter into a new contract containing additional terms </w:t>
      </w:r>
      <w:r>
        <w:rPr>
          <w:color w:val="005DA1"/>
          <w:u w:val="single" w:color="005DA1"/>
          <w:vertAlign w:val="superscript"/>
        </w:rPr>
        <w:t>1023</w:t>
      </w:r>
      <w:r>
        <w:rPr>
          <w:vertAlign w:val="baseline"/>
        </w:rPr>
        <w:t>; or merely because the conduct of one party to the alleged new contract consisted of his performance of a contract between him and a third party. </w:t>
      </w:r>
      <w:r>
        <w:rPr>
          <w:color w:val="005DA1"/>
          <w:u w:val="single" w:color="005DA1"/>
          <w:vertAlign w:val="superscript"/>
        </w:rPr>
        <w:t>1024</w:t>
      </w:r>
    </w:p>
    <w:p>
      <w:pPr>
        <w:pStyle w:val="BodyText"/>
      </w:pPr>
    </w:p>
    <w:p>
      <w:pPr>
        <w:pStyle w:val="BodyText"/>
        <w:spacing w:before="35"/>
      </w:pPr>
    </w:p>
    <w:p>
      <w:pPr>
        <w:spacing w:before="1"/>
        <w:ind w:left="165" w:right="0" w:firstLine="0"/>
        <w:jc w:val="left"/>
        <w:rPr>
          <w:rFonts w:ascii="Arial"/>
          <w:b/>
          <w:sz w:val="18"/>
        </w:rPr>
      </w:pPr>
      <w:r>
        <w:rPr>
          <w:rFonts w:ascii="Arial"/>
          <w:b/>
          <w:sz w:val="18"/>
        </w:rPr>
        <w:t>Nature of relationship between the parties: </w:t>
      </w:r>
      <w:r>
        <w:rPr>
          <w:rFonts w:ascii="Arial"/>
          <w:b/>
          <w:spacing w:val="-2"/>
          <w:sz w:val="18"/>
        </w:rPr>
        <w:t>clergy</w:t>
      </w:r>
    </w:p>
    <w:p>
      <w:pPr>
        <w:pStyle w:val="BodyText"/>
        <w:spacing w:before="41"/>
        <w:rPr>
          <w:rFonts w:ascii="Arial"/>
          <w:b/>
          <w:sz w:val="18"/>
        </w:rPr>
      </w:pPr>
    </w:p>
    <w:p>
      <w:pPr>
        <w:pStyle w:val="Heading2"/>
      </w:pPr>
      <w:r>
        <w:rPr/>
        <w:t>2-</w:t>
      </w:r>
      <w:r>
        <w:rPr>
          <w:spacing w:val="-5"/>
        </w:rPr>
        <w:t>191</w:t>
      </w:r>
    </w:p>
    <w:p>
      <w:pPr>
        <w:pStyle w:val="BodyText"/>
        <w:spacing w:line="235" w:lineRule="auto" w:before="202"/>
        <w:ind w:left="165" w:right="167"/>
        <w:jc w:val="both"/>
      </w:pPr>
      <w:r>
        <w:rPr/>
        <w:t>Contractual intention may sometimes be negatived by the nature of the relationship between </w:t>
      </w:r>
      <w:r>
        <w:rPr/>
        <w:t>the parties. </w:t>
      </w:r>
      <w:r>
        <w:rPr>
          <w:color w:val="005DA1"/>
          <w:u w:val="single" w:color="005DA1"/>
          <w:vertAlign w:val="superscript"/>
        </w:rPr>
        <w:t>1025</w:t>
      </w:r>
      <w:r>
        <w:rPr>
          <w:color w:val="005DA1"/>
          <w:vertAlign w:val="baseline"/>
        </w:rPr>
        <w:t> </w:t>
      </w:r>
      <w:r>
        <w:rPr>
          <w:vertAlign w:val="baseline"/>
        </w:rPr>
        <w:t>This view was, for example, taken in a number of cases in which it was held that there was no contract between a minister of the church (or between a person holding a corresponding appointment</w:t>
      </w:r>
      <w:r>
        <w:rPr>
          <w:spacing w:val="20"/>
          <w:vertAlign w:val="baseline"/>
        </w:rPr>
        <w:t> </w:t>
      </w:r>
      <w:r>
        <w:rPr>
          <w:vertAlign w:val="baseline"/>
        </w:rPr>
        <w:t>in</w:t>
      </w:r>
      <w:r>
        <w:rPr>
          <w:spacing w:val="20"/>
          <w:vertAlign w:val="baseline"/>
        </w:rPr>
        <w:t> </w:t>
      </w:r>
      <w:r>
        <w:rPr>
          <w:vertAlign w:val="baseline"/>
        </w:rPr>
        <w:t>a</w:t>
      </w:r>
      <w:r>
        <w:rPr>
          <w:spacing w:val="20"/>
          <w:vertAlign w:val="baseline"/>
        </w:rPr>
        <w:t> </w:t>
      </w:r>
      <w:r>
        <w:rPr>
          <w:vertAlign w:val="baseline"/>
        </w:rPr>
        <w:t>similar</w:t>
      </w:r>
      <w:r>
        <w:rPr>
          <w:spacing w:val="20"/>
          <w:vertAlign w:val="baseline"/>
        </w:rPr>
        <w:t> </w:t>
      </w:r>
      <w:r>
        <w:rPr>
          <w:vertAlign w:val="baseline"/>
        </w:rPr>
        <w:t>religious</w:t>
      </w:r>
      <w:r>
        <w:rPr>
          <w:spacing w:val="20"/>
          <w:vertAlign w:val="baseline"/>
        </w:rPr>
        <w:t> </w:t>
      </w:r>
      <w:r>
        <w:rPr>
          <w:vertAlign w:val="baseline"/>
        </w:rPr>
        <w:t>institution)</w:t>
      </w:r>
      <w:r>
        <w:rPr>
          <w:spacing w:val="20"/>
          <w:vertAlign w:val="baseline"/>
        </w:rPr>
        <w:t> </w:t>
      </w:r>
      <w:r>
        <w:rPr>
          <w:vertAlign w:val="baseline"/>
        </w:rPr>
        <w:t>and</w:t>
      </w:r>
      <w:r>
        <w:rPr>
          <w:spacing w:val="20"/>
          <w:vertAlign w:val="baseline"/>
        </w:rPr>
        <w:t> </w:t>
      </w:r>
      <w:r>
        <w:rPr>
          <w:vertAlign w:val="baseline"/>
        </w:rPr>
        <w:t>the</w:t>
      </w:r>
      <w:r>
        <w:rPr>
          <w:spacing w:val="20"/>
          <w:vertAlign w:val="baseline"/>
        </w:rPr>
        <w:t> </w:t>
      </w:r>
      <w:r>
        <w:rPr>
          <w:vertAlign w:val="baseline"/>
        </w:rPr>
        <w:t>church</w:t>
      </w:r>
      <w:r>
        <w:rPr>
          <w:spacing w:val="20"/>
          <w:vertAlign w:val="baseline"/>
        </w:rPr>
        <w:t> </w:t>
      </w:r>
      <w:r>
        <w:rPr>
          <w:vertAlign w:val="baseline"/>
        </w:rPr>
        <w:t>(or</w:t>
      </w:r>
      <w:r>
        <w:rPr>
          <w:spacing w:val="20"/>
          <w:vertAlign w:val="baseline"/>
        </w:rPr>
        <w:t> </w:t>
      </w:r>
      <w:r>
        <w:rPr>
          <w:vertAlign w:val="baseline"/>
        </w:rPr>
        <w:t>other</w:t>
      </w:r>
      <w:r>
        <w:rPr>
          <w:spacing w:val="20"/>
          <w:vertAlign w:val="baseline"/>
        </w:rPr>
        <w:t> </w:t>
      </w:r>
      <w:r>
        <w:rPr>
          <w:vertAlign w:val="baseline"/>
        </w:rPr>
        <w:t>similar</w:t>
      </w:r>
      <w:r>
        <w:rPr>
          <w:spacing w:val="20"/>
          <w:vertAlign w:val="baseline"/>
        </w:rPr>
        <w:t> </w:t>
      </w:r>
      <w:r>
        <w:rPr>
          <w:vertAlign w:val="baseline"/>
        </w:rPr>
        <w:t>institution);</w:t>
      </w:r>
      <w:r>
        <w:rPr>
          <w:spacing w:val="20"/>
          <w:vertAlign w:val="baseline"/>
        </w:rPr>
        <w:t> </w:t>
      </w:r>
      <w:r>
        <w:rPr>
          <w:vertAlign w:val="baseline"/>
        </w:rPr>
        <w:t>the</w:t>
      </w:r>
      <w:r>
        <w:rPr>
          <w:spacing w:val="20"/>
          <w:vertAlign w:val="baseline"/>
        </w:rPr>
        <w:t> </w:t>
      </w:r>
      <w:r>
        <w:rPr>
          <w:spacing w:val="-2"/>
          <w:vertAlign w:val="baseline"/>
        </w:rPr>
        <w:t>reason</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4" w:right="167"/>
        <w:jc w:val="both"/>
      </w:pPr>
      <w:r>
        <w:rPr/>
        <w:t>given for this conclusion was that the relationship was not one “in which the parties intended to create legal relations between themselves so as to make the agreement enforceable in the courts”. </w:t>
      </w:r>
      <w:r>
        <w:rPr>
          <w:color w:val="005DA1"/>
          <w:u w:val="single" w:color="005DA1"/>
          <w:vertAlign w:val="superscript"/>
        </w:rPr>
        <w:t>1026</w:t>
      </w:r>
      <w:r>
        <w:rPr>
          <w:color w:val="005DA1"/>
          <w:vertAlign w:val="baseline"/>
        </w:rPr>
        <w:t> </w:t>
      </w:r>
      <w:r>
        <w:rPr>
          <w:vertAlign w:val="baseline"/>
        </w:rPr>
        <w:t>But</w:t>
      </w:r>
      <w:r>
        <w:rPr>
          <w:spacing w:val="40"/>
          <w:vertAlign w:val="baseline"/>
        </w:rPr>
        <w:t> </w:t>
      </w:r>
      <w:r>
        <w:rPr>
          <w:vertAlign w:val="baseline"/>
        </w:rPr>
        <w:t>in </w:t>
      </w:r>
      <w:r>
        <w:rPr>
          <w:rFonts w:ascii="Arial" w:hAnsi="Arial"/>
          <w:i/>
          <w:vertAlign w:val="baseline"/>
        </w:rPr>
        <w:t>Percy v Board of National Mission of the Church of Scotland</w:t>
      </w:r>
      <w:r>
        <w:rPr>
          <w:vertAlign w:val="baseline"/>
        </w:rPr>
        <w:t>, </w:t>
      </w:r>
      <w:r>
        <w:rPr>
          <w:color w:val="005DA1"/>
          <w:u w:val="single" w:color="005DA1"/>
          <w:vertAlign w:val="superscript"/>
        </w:rPr>
        <w:t>1027</w:t>
      </w:r>
      <w:r>
        <w:rPr>
          <w:color w:val="005DA1"/>
          <w:vertAlign w:val="baseline"/>
        </w:rPr>
        <w:t> </w:t>
      </w:r>
      <w:r>
        <w:rPr>
          <w:vertAlign w:val="baseline"/>
        </w:rPr>
        <w:t>the House of Lords held that the appointment of Ms Percy as an associate minister of the Church of Scotland had given rise to a “contract of employment” </w:t>
      </w:r>
      <w:r>
        <w:rPr>
          <w:color w:val="005DA1"/>
          <w:u w:val="single" w:color="005DA1"/>
          <w:vertAlign w:val="superscript"/>
        </w:rPr>
        <w:t>1028</w:t>
      </w:r>
      <w:r>
        <w:rPr>
          <w:color w:val="005DA1"/>
          <w:vertAlign w:val="baseline"/>
        </w:rPr>
        <w:t> </w:t>
      </w:r>
      <w:r>
        <w:rPr>
          <w:vertAlign w:val="baseline"/>
        </w:rPr>
        <w:t>for the purpose of the statutory prohibition against sex discrimination in such a contract. One view is that </w:t>
      </w:r>
      <w:r>
        <w:rPr>
          <w:rFonts w:ascii="Arial" w:hAnsi="Arial"/>
          <w:i/>
          <w:vertAlign w:val="baseline"/>
        </w:rPr>
        <w:t>Percy’s </w:t>
      </w:r>
      <w:r>
        <w:rPr>
          <w:vertAlign w:val="baseline"/>
        </w:rPr>
        <w:t>case marks a change in the judicial approach to the</w:t>
      </w:r>
      <w:r>
        <w:rPr>
          <w:spacing w:val="40"/>
          <w:vertAlign w:val="baseline"/>
        </w:rPr>
        <w:t> </w:t>
      </w:r>
      <w:r>
        <w:rPr>
          <w:vertAlign w:val="baseline"/>
        </w:rPr>
        <w:t>question of contractual intention in cases of this kind. This view is supported by statements of Lord Nicholls in that case that “in this regard there seems to be no cogent reason today to draw a distinction</w:t>
      </w:r>
      <w:r>
        <w:rPr>
          <w:spacing w:val="-1"/>
          <w:vertAlign w:val="baseline"/>
        </w:rPr>
        <w:t> </w:t>
      </w:r>
      <w:r>
        <w:rPr>
          <w:vertAlign w:val="baseline"/>
        </w:rPr>
        <w:t>between</w:t>
      </w:r>
      <w:r>
        <w:rPr>
          <w:spacing w:val="-1"/>
          <w:vertAlign w:val="baseline"/>
        </w:rPr>
        <w:t> </w:t>
      </w:r>
      <w:r>
        <w:rPr>
          <w:vertAlign w:val="baseline"/>
        </w:rPr>
        <w:t>a</w:t>
      </w:r>
      <w:r>
        <w:rPr>
          <w:spacing w:val="-1"/>
          <w:vertAlign w:val="baseline"/>
        </w:rPr>
        <w:t> </w:t>
      </w:r>
      <w:r>
        <w:rPr>
          <w:vertAlign w:val="baseline"/>
        </w:rPr>
        <w:t>post</w:t>
      </w:r>
      <w:r>
        <w:rPr>
          <w:spacing w:val="-1"/>
          <w:vertAlign w:val="baseline"/>
        </w:rPr>
        <w:t> </w:t>
      </w:r>
      <w:r>
        <w:rPr>
          <w:vertAlign w:val="baseline"/>
        </w:rPr>
        <w:t>whose</w:t>
      </w:r>
      <w:r>
        <w:rPr>
          <w:spacing w:val="-1"/>
          <w:vertAlign w:val="baseline"/>
        </w:rPr>
        <w:t> </w:t>
      </w:r>
      <w:r>
        <w:rPr>
          <w:vertAlign w:val="baseline"/>
        </w:rPr>
        <w:t>duties</w:t>
      </w:r>
      <w:r>
        <w:rPr>
          <w:spacing w:val="-1"/>
          <w:vertAlign w:val="baseline"/>
        </w:rPr>
        <w:t> </w:t>
      </w:r>
      <w:r>
        <w:rPr>
          <w:vertAlign w:val="baseline"/>
        </w:rPr>
        <w:t>are</w:t>
      </w:r>
      <w:r>
        <w:rPr>
          <w:spacing w:val="-1"/>
          <w:vertAlign w:val="baseline"/>
        </w:rPr>
        <w:t> </w:t>
      </w:r>
      <w:r>
        <w:rPr>
          <w:vertAlign w:val="baseline"/>
        </w:rPr>
        <w:t>primarily</w:t>
      </w:r>
      <w:r>
        <w:rPr>
          <w:spacing w:val="-1"/>
          <w:vertAlign w:val="baseline"/>
        </w:rPr>
        <w:t> </w:t>
      </w:r>
      <w:r>
        <w:rPr>
          <w:vertAlign w:val="baseline"/>
        </w:rPr>
        <w:t>religious</w:t>
      </w:r>
      <w:r>
        <w:rPr>
          <w:spacing w:val="-1"/>
          <w:vertAlign w:val="baseline"/>
        </w:rPr>
        <w:t> </w:t>
      </w:r>
      <w:r>
        <w:rPr>
          <w:vertAlign w:val="baseline"/>
        </w:rPr>
        <w:t>and</w:t>
      </w:r>
      <w:r>
        <w:rPr>
          <w:spacing w:val="-1"/>
          <w:vertAlign w:val="baseline"/>
        </w:rPr>
        <w:t> </w:t>
      </w:r>
      <w:r>
        <w:rPr>
          <w:vertAlign w:val="baseline"/>
        </w:rPr>
        <w:t>a</w:t>
      </w:r>
      <w:r>
        <w:rPr>
          <w:spacing w:val="-1"/>
          <w:vertAlign w:val="baseline"/>
        </w:rPr>
        <w:t> </w:t>
      </w:r>
      <w:r>
        <w:rPr>
          <w:vertAlign w:val="baseline"/>
        </w:rPr>
        <w:t>post</w:t>
      </w:r>
      <w:r>
        <w:rPr>
          <w:spacing w:val="-1"/>
          <w:vertAlign w:val="baseline"/>
        </w:rPr>
        <w:t> </w:t>
      </w:r>
      <w:r>
        <w:rPr>
          <w:vertAlign w:val="baseline"/>
        </w:rPr>
        <w:t>within</w:t>
      </w:r>
      <w:r>
        <w:rPr>
          <w:spacing w:val="-1"/>
          <w:vertAlign w:val="baseline"/>
        </w:rPr>
        <w:t> </w:t>
      </w:r>
      <w:r>
        <w:rPr>
          <w:vertAlign w:val="baseline"/>
        </w:rPr>
        <w:t>the</w:t>
      </w:r>
      <w:r>
        <w:rPr>
          <w:spacing w:val="-1"/>
          <w:vertAlign w:val="baseline"/>
        </w:rPr>
        <w:t> </w:t>
      </w:r>
      <w:r>
        <w:rPr>
          <w:vertAlign w:val="baseline"/>
        </w:rPr>
        <w:t>church</w:t>
      </w:r>
      <w:r>
        <w:rPr>
          <w:spacing w:val="-1"/>
          <w:vertAlign w:val="baseline"/>
        </w:rPr>
        <w:t> </w:t>
      </w:r>
      <w:r>
        <w:rPr>
          <w:vertAlign w:val="baseline"/>
        </w:rPr>
        <w:t>where</w:t>
      </w:r>
      <w:r>
        <w:rPr>
          <w:spacing w:val="-1"/>
          <w:vertAlign w:val="baseline"/>
        </w:rPr>
        <w:t> </w:t>
      </w:r>
      <w:r>
        <w:rPr>
          <w:vertAlign w:val="baseline"/>
        </w:rPr>
        <w:t>this is not so” </w:t>
      </w:r>
      <w:r>
        <w:rPr>
          <w:color w:val="005DA1"/>
          <w:u w:val="single" w:color="005DA1"/>
          <w:vertAlign w:val="superscript"/>
        </w:rPr>
        <w:t>1029</w:t>
      </w:r>
      <w:r>
        <w:rPr>
          <w:vertAlign w:val="baseline"/>
        </w:rPr>
        <w:t>; and that in the context of statutory protection of employees it was “time to recognise that employment arrangements between the church and its ministers should not lightly be taken as intended to have no legal effect.” </w:t>
      </w:r>
      <w:r>
        <w:rPr>
          <w:color w:val="005DA1"/>
          <w:u w:val="single" w:color="005DA1"/>
          <w:vertAlign w:val="superscript"/>
        </w:rPr>
        <w:t>1030</w:t>
      </w:r>
      <w:r>
        <w:rPr>
          <w:color w:val="005DA1"/>
          <w:vertAlign w:val="baseline"/>
        </w:rPr>
        <w:t> </w:t>
      </w:r>
      <w:r>
        <w:rPr>
          <w:vertAlign w:val="baseline"/>
        </w:rPr>
        <w:t>This is particularly so in respect of “arrangements which on their face were intended to give rise to legal obligations” </w:t>
      </w:r>
      <w:r>
        <w:rPr>
          <w:color w:val="005DA1"/>
          <w:u w:val="single" w:color="005DA1"/>
          <w:vertAlign w:val="superscript"/>
        </w:rPr>
        <w:t>1031</w:t>
      </w:r>
      <w:r>
        <w:rPr>
          <w:color w:val="005DA1"/>
          <w:vertAlign w:val="baseline"/>
        </w:rPr>
        <w:t> </w:t>
      </w:r>
      <w:r>
        <w:rPr>
          <w:vertAlign w:val="baseline"/>
        </w:rPr>
        <w:t>such as the offer and acceptance of employment, specifying in some detail the rights and obligations of the parties. </w:t>
      </w:r>
      <w:r>
        <w:rPr>
          <w:color w:val="005DA1"/>
          <w:u w:val="single" w:color="005DA1"/>
          <w:vertAlign w:val="superscript"/>
        </w:rPr>
        <w:t>1032</w:t>
      </w:r>
      <w:r>
        <w:rPr>
          <w:color w:val="005DA1"/>
          <w:vertAlign w:val="baseline"/>
        </w:rPr>
        <w:t> </w:t>
      </w:r>
      <w:r>
        <w:rPr>
          <w:vertAlign w:val="baseline"/>
        </w:rPr>
        <w:t>There is therefore no longer any presumption that, in cases of the kind discussed in this paragraph, there is no intention to create legal relations. </w:t>
      </w:r>
      <w:r>
        <w:rPr>
          <w:color w:val="005DA1"/>
          <w:u w:val="single" w:color="005DA1"/>
          <w:vertAlign w:val="superscript"/>
        </w:rPr>
        <w:t>1033</w:t>
      </w:r>
      <w:r>
        <w:rPr>
          <w:color w:val="005DA1"/>
          <w:vertAlign w:val="baseline"/>
        </w:rPr>
        <w:t> </w:t>
      </w:r>
      <w:r>
        <w:rPr>
          <w:vertAlign w:val="baseline"/>
        </w:rPr>
        <w:t>On the other hand, it was accepted in </w:t>
      </w:r>
      <w:r>
        <w:rPr>
          <w:rFonts w:ascii="Arial" w:hAnsi="Arial"/>
          <w:i/>
          <w:vertAlign w:val="baseline"/>
        </w:rPr>
        <w:t>Percy’s </w:t>
      </w:r>
      <w:r>
        <w:rPr>
          <w:vertAlign w:val="baseline"/>
        </w:rPr>
        <w:t>case that “many arrangements … in church matters” were such that “viewed objectively … the parties [could] not be taken to have intended to enter into a legally binding contract” because of the “breadth and looseness [of the arrangements] and the circumstances in which they were undertaken”. </w:t>
      </w:r>
      <w:r>
        <w:rPr>
          <w:color w:val="005DA1"/>
          <w:u w:val="single" w:color="005DA1"/>
          <w:vertAlign w:val="superscript"/>
        </w:rPr>
        <w:t>1034</w:t>
      </w:r>
      <w:r>
        <w:rPr>
          <w:color w:val="005DA1"/>
          <w:vertAlign w:val="baseline"/>
        </w:rPr>
        <w:t> </w:t>
      </w:r>
      <w:r>
        <w:rPr>
          <w:vertAlign w:val="baseline"/>
        </w:rPr>
        <w:t>In </w:t>
      </w:r>
      <w:r>
        <w:rPr>
          <w:rFonts w:ascii="Arial" w:hAnsi="Arial"/>
          <w:i/>
          <w:vertAlign w:val="baseline"/>
        </w:rPr>
        <w:t>President of the Methodist Conference v Preston</w:t>
      </w:r>
      <w:r>
        <w:rPr>
          <w:vertAlign w:val="baseline"/>
        </w:rPr>
        <w:t>, the Supreme Court </w:t>
      </w:r>
      <w:r>
        <w:rPr>
          <w:color w:val="005DA1"/>
          <w:u w:val="single" w:color="005DA1"/>
          <w:vertAlign w:val="superscript"/>
        </w:rPr>
        <w:t>1035</w:t>
      </w:r>
      <w:r>
        <w:rPr>
          <w:color w:val="005DA1"/>
          <w:vertAlign w:val="baseline"/>
        </w:rPr>
        <w:t> </w:t>
      </w:r>
      <w:r>
        <w:rPr>
          <w:vertAlign w:val="baseline"/>
        </w:rPr>
        <w:t>(reversing the Court of Appeal) </w:t>
      </w:r>
      <w:r>
        <w:rPr>
          <w:color w:val="005DA1"/>
          <w:u w:val="single" w:color="005DA1"/>
          <w:vertAlign w:val="superscript"/>
        </w:rPr>
        <w:t>1036</w:t>
      </w:r>
      <w:r>
        <w:rPr>
          <w:color w:val="005DA1"/>
          <w:vertAlign w:val="baseline"/>
        </w:rPr>
        <w:t> </w:t>
      </w:r>
      <w:r>
        <w:rPr>
          <w:vertAlign w:val="baseline"/>
        </w:rPr>
        <w:t>held (by a majority, Lady Hale dissenting) that a minister of the Methodist Church could not prosecute a claim for unfair dismissal against the Church </w:t>
      </w:r>
      <w:r>
        <w:rPr>
          <w:color w:val="005DA1"/>
          <w:u w:val="single" w:color="005DA1"/>
          <w:vertAlign w:val="superscript"/>
        </w:rPr>
        <w:t>1037</w:t>
      </w:r>
      <w:r>
        <w:rPr>
          <w:color w:val="005DA1"/>
          <w:vertAlign w:val="baseline"/>
        </w:rPr>
        <w:t> </w:t>
      </w:r>
      <w:r>
        <w:rPr>
          <w:vertAlign w:val="baseline"/>
        </w:rPr>
        <w:t>as she had not worked for the Church under a “contract of service”. </w:t>
      </w:r>
      <w:r>
        <w:rPr>
          <w:color w:val="005DA1"/>
          <w:u w:val="single" w:color="005DA1"/>
          <w:vertAlign w:val="superscript"/>
        </w:rPr>
        <w:t>1038</w:t>
      </w:r>
      <w:r>
        <w:rPr>
          <w:color w:val="005DA1"/>
          <w:vertAlign w:val="baseline"/>
        </w:rPr>
        <w:t> </w:t>
      </w:r>
      <w:r>
        <w:rPr>
          <w:vertAlign w:val="baseline"/>
        </w:rPr>
        <w:t>Lord Sumption (with whose leading judgment Lords Wilson and Carnwath agreed) adopted a new approach to this problem. He said that:</w:t>
      </w:r>
    </w:p>
    <w:p>
      <w:pPr>
        <w:pStyle w:val="BodyText"/>
      </w:pPr>
    </w:p>
    <w:p>
      <w:pPr>
        <w:pStyle w:val="BodyText"/>
        <w:spacing w:before="118"/>
      </w:pPr>
    </w:p>
    <w:p>
      <w:pPr>
        <w:pStyle w:val="BodyText"/>
        <w:spacing w:line="235" w:lineRule="auto"/>
        <w:ind w:left="1244" w:right="168"/>
      </w:pPr>
      <w:r>
        <w:rPr/>
        <w:t>“The correct approach is to examine the rules and practices of the particular church </w:t>
      </w:r>
      <w:r>
        <w:rPr/>
        <w:t>and any special arrangements made with the particular minister.”” </w:t>
      </w:r>
      <w:r>
        <w:rPr>
          <w:color w:val="005DA1"/>
          <w:u w:val="single" w:color="005DA1"/>
          <w:vertAlign w:val="superscript"/>
        </w:rPr>
        <w:t>1039</w:t>
      </w:r>
    </w:p>
    <w:p>
      <w:pPr>
        <w:pStyle w:val="BodyText"/>
        <w:spacing w:before="116"/>
      </w:pPr>
    </w:p>
    <w:p>
      <w:pPr>
        <w:pStyle w:val="BodyText"/>
        <w:spacing w:line="235" w:lineRule="auto"/>
        <w:ind w:left="165" w:right="167"/>
        <w:jc w:val="both"/>
      </w:pPr>
      <w:r>
        <w:rPr/>
        <w:t>In the particular case, having regard to the constitution of the Methodist Church as contained in its Deed of Union and its standing orders, the rights and duties of its ministers arose “entirely from </w:t>
      </w:r>
      <w:r>
        <w:rPr/>
        <w:t>their status in the constitution of the Church and not from any contract” unless “some special arrangement is made with a particular minister”. </w:t>
      </w:r>
      <w:r>
        <w:rPr>
          <w:color w:val="005DA1"/>
          <w:u w:val="single" w:color="005DA1"/>
          <w:vertAlign w:val="superscript"/>
        </w:rPr>
        <w:t>1040</w:t>
      </w:r>
      <w:r>
        <w:rPr>
          <w:color w:val="005DA1"/>
          <w:vertAlign w:val="baseline"/>
        </w:rPr>
        <w:t> </w:t>
      </w:r>
      <w:r>
        <w:rPr>
          <w:vertAlign w:val="baseline"/>
        </w:rPr>
        <w:t>Lord Sumption pointed, in particular, to:</w:t>
      </w:r>
    </w:p>
    <w:p>
      <w:pPr>
        <w:pStyle w:val="BodyText"/>
      </w:pPr>
    </w:p>
    <w:p>
      <w:pPr>
        <w:pStyle w:val="BodyText"/>
        <w:spacing w:before="125"/>
      </w:pPr>
    </w:p>
    <w:p>
      <w:pPr>
        <w:pStyle w:val="BodyText"/>
        <w:spacing w:line="235" w:lineRule="auto"/>
        <w:ind w:left="1244"/>
      </w:pPr>
      <w:r>
        <w:rPr/>
        <w:t>“the</w:t>
      </w:r>
      <w:r>
        <w:rPr>
          <w:spacing w:val="80"/>
        </w:rPr>
        <w:t> </w:t>
      </w:r>
      <w:r>
        <w:rPr/>
        <w:t>lifelong</w:t>
      </w:r>
      <w:r>
        <w:rPr>
          <w:spacing w:val="80"/>
        </w:rPr>
        <w:t> </w:t>
      </w:r>
      <w:r>
        <w:rPr/>
        <w:t>commitment</w:t>
      </w:r>
      <w:r>
        <w:rPr>
          <w:spacing w:val="80"/>
        </w:rPr>
        <w:t> </w:t>
      </w:r>
      <w:r>
        <w:rPr/>
        <w:t>of</w:t>
      </w:r>
      <w:r>
        <w:rPr>
          <w:spacing w:val="80"/>
        </w:rPr>
        <w:t> </w:t>
      </w:r>
      <w:r>
        <w:rPr/>
        <w:t>the</w:t>
      </w:r>
      <w:r>
        <w:rPr>
          <w:spacing w:val="80"/>
        </w:rPr>
        <w:t> </w:t>
      </w:r>
      <w:r>
        <w:rPr/>
        <w:t>minister,</w:t>
      </w:r>
      <w:r>
        <w:rPr>
          <w:spacing w:val="80"/>
        </w:rPr>
        <w:t> </w:t>
      </w:r>
      <w:r>
        <w:rPr/>
        <w:t>the</w:t>
      </w:r>
      <w:r>
        <w:rPr>
          <w:spacing w:val="80"/>
        </w:rPr>
        <w:t> </w:t>
      </w:r>
      <w:r>
        <w:rPr/>
        <w:t>exclusion</w:t>
      </w:r>
      <w:r>
        <w:rPr>
          <w:spacing w:val="80"/>
        </w:rPr>
        <w:t> </w:t>
      </w:r>
      <w:r>
        <w:rPr/>
        <w:t>of</w:t>
      </w:r>
      <w:r>
        <w:rPr>
          <w:spacing w:val="80"/>
        </w:rPr>
        <w:t> </w:t>
      </w:r>
      <w:r>
        <w:rPr/>
        <w:t>any</w:t>
      </w:r>
      <w:r>
        <w:rPr>
          <w:spacing w:val="80"/>
        </w:rPr>
        <w:t> </w:t>
      </w:r>
      <w:r>
        <w:rPr/>
        <w:t>right</w:t>
      </w:r>
      <w:r>
        <w:rPr>
          <w:spacing w:val="80"/>
        </w:rPr>
        <w:t> </w:t>
      </w:r>
      <w:r>
        <w:rPr/>
        <w:t>of</w:t>
      </w:r>
      <w:r>
        <w:rPr>
          <w:spacing w:val="80"/>
        </w:rPr>
        <w:t> </w:t>
      </w:r>
      <w:r>
        <w:rPr/>
        <w:t>unilateral resignation and the characterisation of the stipend as maintenance and support.” </w:t>
      </w:r>
      <w:r>
        <w:rPr>
          <w:color w:val="005DA1"/>
          <w:u w:val="single" w:color="005DA1"/>
          <w:vertAlign w:val="superscript"/>
        </w:rPr>
        <w:t>1041</w:t>
      </w:r>
    </w:p>
    <w:p>
      <w:pPr>
        <w:pStyle w:val="BodyText"/>
        <w:spacing w:before="116"/>
      </w:pPr>
    </w:p>
    <w:p>
      <w:pPr>
        <w:pStyle w:val="BodyText"/>
        <w:spacing w:line="235" w:lineRule="auto"/>
        <w:ind w:left="164" w:right="167"/>
        <w:jc w:val="both"/>
      </w:pPr>
      <w:r>
        <w:rPr/>
        <w:t>In these circumstances, and in the absence of any special arrangements, the requirement </w:t>
      </w:r>
      <w:r>
        <w:rPr/>
        <w:t>of “contractual intention” </w:t>
      </w:r>
      <w:r>
        <w:rPr>
          <w:color w:val="005DA1"/>
          <w:u w:val="single" w:color="005DA1"/>
          <w:vertAlign w:val="superscript"/>
        </w:rPr>
        <w:t>1042</w:t>
      </w:r>
      <w:r>
        <w:rPr>
          <w:color w:val="005DA1"/>
          <w:vertAlign w:val="baseline"/>
        </w:rPr>
        <w:t> </w:t>
      </w:r>
      <w:r>
        <w:rPr>
          <w:vertAlign w:val="baseline"/>
        </w:rPr>
        <w:t>was not satisfied. </w:t>
      </w:r>
      <w:r>
        <w:rPr>
          <w:rFonts w:ascii="Arial" w:hAnsi="Arial"/>
          <w:i/>
          <w:vertAlign w:val="baseline"/>
        </w:rPr>
        <w:t>Percy’s </w:t>
      </w:r>
      <w:r>
        <w:rPr>
          <w:vertAlign w:val="baseline"/>
        </w:rPr>
        <w:t>case can be distinguished on the basis that it relates to a sex discrimination claim rather than a claim for unfair dismissal, the statutory</w:t>
      </w:r>
      <w:r>
        <w:rPr>
          <w:spacing w:val="40"/>
          <w:vertAlign w:val="baseline"/>
        </w:rPr>
        <w:t> </w:t>
      </w:r>
      <w:r>
        <w:rPr>
          <w:vertAlign w:val="baseline"/>
        </w:rPr>
        <w:t>requirements for which are expressed in different terms. </w:t>
      </w:r>
      <w:r>
        <w:rPr>
          <w:color w:val="005DA1"/>
          <w:u w:val="single" w:color="005DA1"/>
          <w:vertAlign w:val="superscript"/>
        </w:rPr>
        <w:t>1043</w:t>
      </w:r>
      <w:r>
        <w:rPr>
          <w:color w:val="005DA1"/>
          <w:vertAlign w:val="baseline"/>
        </w:rPr>
        <w:t> </w:t>
      </w:r>
      <w:r>
        <w:rPr>
          <w:vertAlign w:val="baseline"/>
        </w:rPr>
        <w:t>Consistently, it was held in </w:t>
      </w:r>
      <w:r>
        <w:rPr>
          <w:rFonts w:ascii="Arial" w:hAnsi="Arial"/>
          <w:i/>
          <w:vertAlign w:val="baseline"/>
        </w:rPr>
        <w:t>E v English Province of our Lady of Charity </w:t>
      </w:r>
      <w:r>
        <w:rPr>
          <w:color w:val="005DA1"/>
          <w:u w:val="single" w:color="005DA1"/>
          <w:vertAlign w:val="superscript"/>
        </w:rPr>
        <w:t>1044</w:t>
      </w:r>
      <w:r>
        <w:rPr>
          <w:color w:val="005DA1"/>
          <w:vertAlign w:val="baseline"/>
        </w:rPr>
        <w:t> </w:t>
      </w:r>
      <w:r>
        <w:rPr>
          <w:vertAlign w:val="baseline"/>
        </w:rPr>
        <w:t>that the relationship between a Roman Catholic priest and the Diocesan Bishop who had appointed him was such as to give rise to the possibility of the Bishop’s being vicariously liable for the priest’s torts. It was said that the facts that there was no formal</w:t>
      </w:r>
      <w:r>
        <w:rPr>
          <w:spacing w:val="40"/>
          <w:vertAlign w:val="baseline"/>
        </w:rPr>
        <w:t> </w:t>
      </w:r>
      <w:r>
        <w:rPr>
          <w:vertAlign w:val="baseline"/>
        </w:rPr>
        <w:t>contract, no offer and acceptance, no terms and conditions, and no provision for payment of wages did not negative this possibility, though they might “have relevance in a different context”. </w:t>
      </w:r>
      <w:r>
        <w:rPr>
          <w:color w:val="005DA1"/>
          <w:u w:val="single" w:color="005DA1"/>
          <w:vertAlign w:val="superscript"/>
        </w:rPr>
        <w:t>1045</w:t>
      </w:r>
      <w:r>
        <w:rPr>
          <w:color w:val="005DA1"/>
          <w:spacing w:val="40"/>
          <w:vertAlign w:val="baseline"/>
        </w:rPr>
        <w:t> </w:t>
      </w:r>
      <w:r>
        <w:rPr>
          <w:vertAlign w:val="baseline"/>
        </w:rPr>
        <w:t>Affirming this decision on appeal, </w:t>
      </w:r>
      <w:r>
        <w:rPr>
          <w:color w:val="005DA1"/>
          <w:u w:val="single" w:color="005DA1"/>
          <w:vertAlign w:val="superscript"/>
        </w:rPr>
        <w:t>1046</w:t>
      </w:r>
      <w:r>
        <w:rPr>
          <w:color w:val="005DA1"/>
          <w:vertAlign w:val="baseline"/>
        </w:rPr>
        <w:t> </w:t>
      </w:r>
      <w:r>
        <w:rPr>
          <w:vertAlign w:val="baseline"/>
        </w:rPr>
        <w:t>Ward L.J. discussed the authorities on the question whether there is a contract of service between a minister of religion and the Church (or other body) that has appointed him or her. </w:t>
      </w:r>
      <w:r>
        <w:rPr>
          <w:color w:val="005DA1"/>
          <w:u w:val="single" w:color="005DA1"/>
          <w:vertAlign w:val="superscript"/>
        </w:rPr>
        <w:t>1047</w:t>
      </w:r>
      <w:r>
        <w:rPr>
          <w:color w:val="005DA1"/>
          <w:vertAlign w:val="baseline"/>
        </w:rPr>
        <w:t> </w:t>
      </w:r>
      <w:r>
        <w:rPr>
          <w:vertAlign w:val="baseline"/>
        </w:rPr>
        <w:t>He concluded that there was “no contract of service in this case” as the appointment of the priest by the Bishop “was made without any intention to create any legal relationship between them”. </w:t>
      </w:r>
      <w:r>
        <w:rPr>
          <w:color w:val="005DA1"/>
          <w:u w:val="single" w:color="005DA1"/>
          <w:vertAlign w:val="superscript"/>
        </w:rPr>
        <w:t>1048</w:t>
      </w:r>
      <w:r>
        <w:rPr>
          <w:color w:val="005DA1"/>
          <w:vertAlign w:val="baseline"/>
        </w:rPr>
        <w:t> </w:t>
      </w:r>
      <w:r>
        <w:rPr>
          <w:vertAlign w:val="baseline"/>
        </w:rPr>
        <w:t>Davies L.J. (concurring) found the employment cases “of relatively limited significance” </w:t>
      </w:r>
      <w:r>
        <w:rPr>
          <w:color w:val="005DA1"/>
          <w:u w:val="single" w:color="005DA1"/>
          <w:vertAlign w:val="superscript"/>
        </w:rPr>
        <w:t>1049</w:t>
      </w:r>
      <w:r>
        <w:rPr>
          <w:color w:val="005DA1"/>
          <w:vertAlign w:val="baseline"/>
        </w:rPr>
        <w:t> </w:t>
      </w:r>
      <w:r>
        <w:rPr>
          <w:vertAlign w:val="baseline"/>
        </w:rPr>
        <w:t>in the vicarious liability context before the court. </w:t>
      </w:r>
      <w:r>
        <w:rPr>
          <w:rFonts w:ascii="Arial" w:hAnsi="Arial"/>
          <w:i/>
          <w:vertAlign w:val="baseline"/>
        </w:rPr>
        <w:t>E</w:t>
      </w:r>
      <w:r>
        <w:rPr>
          <w:rFonts w:ascii="Arial" w:hAnsi="Arial"/>
          <w:i/>
          <w:spacing w:val="-14"/>
          <w:vertAlign w:val="baseline"/>
        </w:rPr>
        <w:t> </w:t>
      </w:r>
      <w:r>
        <w:rPr>
          <w:vertAlign w:val="baseline"/>
        </w:rPr>
        <w:t>’s case was extensively discussed in </w:t>
      </w:r>
      <w:r>
        <w:rPr>
          <w:rFonts w:ascii="Arial" w:hAnsi="Arial"/>
          <w:i/>
          <w:vertAlign w:val="baseline"/>
        </w:rPr>
        <w:t>Various Claimants v Catholic Child Welfare Society </w:t>
      </w:r>
      <w:r>
        <w:rPr>
          <w:color w:val="005DA1"/>
          <w:u w:val="single" w:color="005DA1"/>
          <w:vertAlign w:val="superscript"/>
        </w:rPr>
        <w:t>1050</w:t>
      </w:r>
      <w:r>
        <w:rPr>
          <w:color w:val="005DA1"/>
          <w:vertAlign w:val="baseline"/>
        </w:rPr>
        <w:t> </w:t>
      </w:r>
      <w:r>
        <w:rPr>
          <w:vertAlign w:val="baseline"/>
        </w:rPr>
        <w:t>where the Supreme Court held that the Institute of the Brothers of the Christian Schools was vicariously liable for acts of abuse of children committed by the Institute’s lay brothers who had acted as teachers in those schools but who were not in any contractual relations with the Institute. There is no reference to either of these two vicarious liability cases in the judgments of the Supreme Court in </w:t>
      </w:r>
      <w:r>
        <w:rPr>
          <w:rFonts w:ascii="Arial" w:hAnsi="Arial"/>
          <w:i/>
          <w:vertAlign w:val="baseline"/>
        </w:rPr>
        <w:t>President of the Methodist Conference v Prescott </w:t>
      </w:r>
      <w:r>
        <w:rPr>
          <w:color w:val="005DA1"/>
          <w:u w:val="single" w:color="005DA1"/>
          <w:vertAlign w:val="superscript"/>
        </w:rPr>
        <w:t>1051</w:t>
      </w:r>
      <w:r>
        <w:rPr>
          <w:color w:val="005DA1"/>
          <w:vertAlign w:val="baseline"/>
        </w:rPr>
        <w:t> </w:t>
      </w:r>
      <w:r>
        <w:rPr>
          <w:vertAlign w:val="baseline"/>
        </w:rPr>
        <w:t>discussed in this paragraph.</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Civil </w:t>
      </w:r>
      <w:r>
        <w:rPr>
          <w:rFonts w:ascii="Arial"/>
          <w:b/>
          <w:spacing w:val="-2"/>
          <w:sz w:val="18"/>
        </w:rPr>
        <w:t>servants</w:t>
      </w:r>
    </w:p>
    <w:p>
      <w:pPr>
        <w:pStyle w:val="BodyText"/>
        <w:spacing w:before="41"/>
        <w:rPr>
          <w:rFonts w:ascii="Arial"/>
          <w:b/>
          <w:sz w:val="18"/>
        </w:rPr>
      </w:pPr>
    </w:p>
    <w:p>
      <w:pPr>
        <w:pStyle w:val="Heading2"/>
      </w:pPr>
      <w:r>
        <w:rPr/>
        <w:t>2-</w:t>
      </w:r>
      <w:r>
        <w:rPr>
          <w:spacing w:val="-5"/>
        </w:rPr>
        <w:t>192</w:t>
      </w:r>
    </w:p>
    <w:p>
      <w:pPr>
        <w:pStyle w:val="BodyText"/>
        <w:spacing w:line="235" w:lineRule="auto" w:before="203"/>
        <w:ind w:left="165" w:right="167"/>
        <w:jc w:val="both"/>
      </w:pPr>
      <w:r>
        <w:rPr/>
        <w:t>At</w:t>
      </w:r>
      <w:r>
        <w:rPr>
          <w:spacing w:val="-2"/>
        </w:rPr>
        <w:t> </w:t>
      </w:r>
      <w:r>
        <w:rPr/>
        <w:t>one</w:t>
      </w:r>
      <w:r>
        <w:rPr>
          <w:spacing w:val="-2"/>
        </w:rPr>
        <w:t> </w:t>
      </w:r>
      <w:r>
        <w:rPr/>
        <w:t>time,</w:t>
      </w:r>
      <w:r>
        <w:rPr>
          <w:spacing w:val="-2"/>
        </w:rPr>
        <w:t> </w:t>
      </w:r>
      <w:r>
        <w:rPr/>
        <w:t>it</w:t>
      </w:r>
      <w:r>
        <w:rPr>
          <w:spacing w:val="-2"/>
        </w:rPr>
        <w:t> </w:t>
      </w:r>
      <w:r>
        <w:rPr/>
        <w:t>was</w:t>
      </w:r>
      <w:r>
        <w:rPr>
          <w:spacing w:val="-2"/>
        </w:rPr>
        <w:t> </w:t>
      </w:r>
      <w:r>
        <w:rPr/>
        <w:t>thought</w:t>
      </w:r>
      <w:r>
        <w:rPr>
          <w:spacing w:val="-2"/>
        </w:rPr>
        <w:t> </w:t>
      </w:r>
      <w:r>
        <w:rPr/>
        <w:t>that</w:t>
      </w:r>
      <w:r>
        <w:rPr>
          <w:spacing w:val="-2"/>
        </w:rPr>
        <w:t> </w:t>
      </w:r>
      <w:r>
        <w:rPr/>
        <w:t>the</w:t>
      </w:r>
      <w:r>
        <w:rPr>
          <w:spacing w:val="-2"/>
        </w:rPr>
        <w:t> </w:t>
      </w:r>
      <w:r>
        <w:rPr/>
        <w:t>legal</w:t>
      </w:r>
      <w:r>
        <w:rPr>
          <w:spacing w:val="-2"/>
        </w:rPr>
        <w:t> </w:t>
      </w:r>
      <w:r>
        <w:rPr/>
        <w:t>relationship</w:t>
      </w:r>
      <w:r>
        <w:rPr>
          <w:spacing w:val="-2"/>
        </w:rPr>
        <w:t> </w:t>
      </w:r>
      <w:r>
        <w:rPr/>
        <w:t>between</w:t>
      </w:r>
      <w:r>
        <w:rPr>
          <w:spacing w:val="-2"/>
        </w:rPr>
        <w:t> </w:t>
      </w:r>
      <w:r>
        <w:rPr/>
        <w:t>the</w:t>
      </w:r>
      <w:r>
        <w:rPr>
          <w:spacing w:val="-2"/>
        </w:rPr>
        <w:t> </w:t>
      </w:r>
      <w:r>
        <w:rPr/>
        <w:t>Crown</w:t>
      </w:r>
      <w:r>
        <w:rPr>
          <w:spacing w:val="-2"/>
        </w:rPr>
        <w:t> </w:t>
      </w:r>
      <w:r>
        <w:rPr/>
        <w:t>and</w:t>
      </w:r>
      <w:r>
        <w:rPr>
          <w:spacing w:val="-2"/>
        </w:rPr>
        <w:t> </w:t>
      </w:r>
      <w:r>
        <w:rPr/>
        <w:t>its</w:t>
      </w:r>
      <w:r>
        <w:rPr>
          <w:spacing w:val="-2"/>
        </w:rPr>
        <w:t> </w:t>
      </w:r>
      <w:r>
        <w:rPr/>
        <w:t>civil</w:t>
      </w:r>
      <w:r>
        <w:rPr>
          <w:spacing w:val="-2"/>
        </w:rPr>
        <w:t> </w:t>
      </w:r>
      <w:r>
        <w:rPr/>
        <w:t>servants</w:t>
      </w:r>
      <w:r>
        <w:rPr>
          <w:spacing w:val="-2"/>
        </w:rPr>
        <w:t> </w:t>
      </w:r>
      <w:r>
        <w:rPr/>
        <w:t>was</w:t>
      </w:r>
      <w:r>
        <w:rPr>
          <w:spacing w:val="-2"/>
        </w:rPr>
        <w:t> </w:t>
      </w:r>
      <w:r>
        <w:rPr/>
        <w:t>not contractual because the Crown did not, when the relationship was entered into, have the necessary contractual intention. </w:t>
      </w:r>
      <w:r>
        <w:rPr>
          <w:color w:val="005DA1"/>
          <w:u w:val="single" w:color="005DA1"/>
          <w:vertAlign w:val="superscript"/>
        </w:rPr>
        <w:t>1052</w:t>
      </w:r>
      <w:r>
        <w:rPr>
          <w:color w:val="005DA1"/>
          <w:vertAlign w:val="baseline"/>
        </w:rPr>
        <w:t> </w:t>
      </w:r>
      <w:r>
        <w:rPr>
          <w:vertAlign w:val="baseline"/>
        </w:rPr>
        <w:t>But it was said in one of the cases which supported that view that there was evidence</w:t>
      </w:r>
      <w:r>
        <w:rPr>
          <w:spacing w:val="-4"/>
          <w:vertAlign w:val="baseline"/>
        </w:rPr>
        <w:t> </w:t>
      </w:r>
      <w:r>
        <w:rPr>
          <w:vertAlign w:val="baseline"/>
        </w:rPr>
        <w:t>that</w:t>
      </w:r>
      <w:r>
        <w:rPr>
          <w:spacing w:val="-4"/>
          <w:vertAlign w:val="baseline"/>
        </w:rPr>
        <w:t> </w:t>
      </w:r>
      <w:r>
        <w:rPr>
          <w:vertAlign w:val="baseline"/>
        </w:rPr>
        <w:t>the</w:t>
      </w:r>
      <w:r>
        <w:rPr>
          <w:spacing w:val="-4"/>
          <w:vertAlign w:val="baseline"/>
        </w:rPr>
        <w:t> </w:t>
      </w:r>
      <w:r>
        <w:rPr>
          <w:vertAlign w:val="baseline"/>
        </w:rPr>
        <w:t>Crown</w:t>
      </w:r>
      <w:r>
        <w:rPr>
          <w:spacing w:val="-4"/>
          <w:vertAlign w:val="baseline"/>
        </w:rPr>
        <w:t> </w:t>
      </w:r>
      <w:r>
        <w:rPr>
          <w:vertAlign w:val="baseline"/>
        </w:rPr>
        <w:t>was</w:t>
      </w:r>
      <w:r>
        <w:rPr>
          <w:spacing w:val="-4"/>
          <w:vertAlign w:val="baseline"/>
        </w:rPr>
        <w:t> </w:t>
      </w:r>
      <w:r>
        <w:rPr>
          <w:vertAlign w:val="baseline"/>
        </w:rPr>
        <w:t>reconsidering</w:t>
      </w:r>
      <w:r>
        <w:rPr>
          <w:spacing w:val="-4"/>
          <w:vertAlign w:val="baseline"/>
        </w:rPr>
        <w:t> </w:t>
      </w:r>
      <w:r>
        <w:rPr>
          <w:vertAlign w:val="baseline"/>
        </w:rPr>
        <w:t>its</w:t>
      </w:r>
      <w:r>
        <w:rPr>
          <w:spacing w:val="-4"/>
          <w:vertAlign w:val="baseline"/>
        </w:rPr>
        <w:t> </w:t>
      </w:r>
      <w:r>
        <w:rPr>
          <w:vertAlign w:val="baseline"/>
        </w:rPr>
        <w:t>position</w:t>
      </w:r>
      <w:r>
        <w:rPr>
          <w:spacing w:val="-4"/>
          <w:vertAlign w:val="baseline"/>
        </w:rPr>
        <w:t> </w:t>
      </w:r>
      <w:r>
        <w:rPr>
          <w:vertAlign w:val="baseline"/>
        </w:rPr>
        <w:t>on</w:t>
      </w:r>
      <w:r>
        <w:rPr>
          <w:spacing w:val="-4"/>
          <w:vertAlign w:val="baseline"/>
        </w:rPr>
        <w:t> </w:t>
      </w:r>
      <w:r>
        <w:rPr>
          <w:vertAlign w:val="baseline"/>
        </w:rPr>
        <w:t>the</w:t>
      </w:r>
      <w:r>
        <w:rPr>
          <w:spacing w:val="-4"/>
          <w:vertAlign w:val="baseline"/>
        </w:rPr>
        <w:t> </w:t>
      </w:r>
      <w:r>
        <w:rPr>
          <w:vertAlign w:val="baseline"/>
        </w:rPr>
        <w:t>point</w:t>
      </w:r>
      <w:r>
        <w:rPr>
          <w:spacing w:val="-5"/>
          <w:vertAlign w:val="baseline"/>
        </w:rPr>
        <w:t> </w:t>
      </w:r>
      <w:r>
        <w:rPr>
          <w:color w:val="005DA1"/>
          <w:u w:val="single" w:color="005DA1"/>
          <w:vertAlign w:val="superscript"/>
        </w:rPr>
        <w:t>1053</w:t>
      </w:r>
      <w:r>
        <w:rPr>
          <w:vertAlign w:val="baseline"/>
        </w:rPr>
        <w:t>;</w:t>
      </w:r>
      <w:r>
        <w:rPr>
          <w:spacing w:val="-4"/>
          <w:vertAlign w:val="baseline"/>
        </w:rPr>
        <w:t> </w:t>
      </w:r>
      <w:r>
        <w:rPr>
          <w:vertAlign w:val="baseline"/>
        </w:rPr>
        <w:t>and</w:t>
      </w:r>
      <w:r>
        <w:rPr>
          <w:spacing w:val="-4"/>
          <w:vertAlign w:val="baseline"/>
        </w:rPr>
        <w:t> </w:t>
      </w:r>
      <w:r>
        <w:rPr>
          <w:vertAlign w:val="baseline"/>
        </w:rPr>
        <w:t>it</w:t>
      </w:r>
      <w:r>
        <w:rPr>
          <w:spacing w:val="-4"/>
          <w:vertAlign w:val="baseline"/>
        </w:rPr>
        <w:t> </w:t>
      </w:r>
      <w:r>
        <w:rPr>
          <w:vertAlign w:val="baseline"/>
        </w:rPr>
        <w:t>has</w:t>
      </w:r>
      <w:r>
        <w:rPr>
          <w:spacing w:val="-4"/>
          <w:vertAlign w:val="baseline"/>
        </w:rPr>
        <w:t> </w:t>
      </w:r>
      <w:r>
        <w:rPr>
          <w:vertAlign w:val="baseline"/>
        </w:rPr>
        <w:t>since</w:t>
      </w:r>
      <w:r>
        <w:rPr>
          <w:spacing w:val="-4"/>
          <w:vertAlign w:val="baseline"/>
        </w:rPr>
        <w:t> </w:t>
      </w:r>
      <w:r>
        <w:rPr>
          <w:vertAlign w:val="baseline"/>
        </w:rPr>
        <w:t>been</w:t>
      </w:r>
      <w:r>
        <w:rPr>
          <w:spacing w:val="-4"/>
          <w:vertAlign w:val="baseline"/>
        </w:rPr>
        <w:t> </w:t>
      </w:r>
      <w:r>
        <w:rPr>
          <w:vertAlign w:val="baseline"/>
        </w:rPr>
        <w:t>held</w:t>
      </w:r>
      <w:r>
        <w:rPr>
          <w:spacing w:val="-4"/>
          <w:vertAlign w:val="baseline"/>
        </w:rPr>
        <w:t> </w:t>
      </w:r>
      <w:r>
        <w:rPr>
          <w:color w:val="005DA1"/>
          <w:u w:val="single" w:color="005DA1"/>
          <w:vertAlign w:val="superscript"/>
        </w:rPr>
        <w:t>1054</w:t>
      </w:r>
      <w:r>
        <w:rPr>
          <w:color w:val="005DA1"/>
          <w:vertAlign w:val="baseline"/>
        </w:rPr>
        <w:t> </w:t>
      </w:r>
      <w:r>
        <w:rPr>
          <w:vertAlign w:val="baseline"/>
        </w:rPr>
        <w:t>that the requirement of contractual intention was satisfied in spite of the fact that the terms of appointment stated that “a civil servant does not have a contract of employment” but had rather “a letter of appointment”. These words were not sufficient to turn a relationship which, apart from them, had all the characteristics of a contract into one which was binding in honour only. For the </w:t>
      </w:r>
      <w:r>
        <w:rPr>
          <w:vertAlign w:val="baseline"/>
        </w:rPr>
        <w:t>purposes</w:t>
      </w:r>
      <w:r>
        <w:rPr>
          <w:spacing w:val="80"/>
          <w:vertAlign w:val="baseline"/>
        </w:rPr>
        <w:t> </w:t>
      </w:r>
      <w:r>
        <w:rPr>
          <w:vertAlign w:val="baseline"/>
        </w:rPr>
        <w:t>of Pt 5 of the Equality Act 2010 “employment” means (inter alia) “Crown employment”. </w:t>
      </w:r>
      <w:r>
        <w:rPr>
          <w:color w:val="005DA1"/>
          <w:u w:val="single" w:color="005DA1"/>
          <w:vertAlign w:val="superscript"/>
        </w:rPr>
        <w:t>1055</w:t>
      </w:r>
    </w:p>
    <w:p>
      <w:pPr>
        <w:pStyle w:val="BodyText"/>
      </w:pPr>
    </w:p>
    <w:p>
      <w:pPr>
        <w:pStyle w:val="BodyText"/>
        <w:spacing w:before="35"/>
      </w:pPr>
    </w:p>
    <w:p>
      <w:pPr>
        <w:spacing w:before="0"/>
        <w:ind w:left="165" w:right="0" w:firstLine="0"/>
        <w:jc w:val="left"/>
        <w:rPr>
          <w:rFonts w:ascii="Arial"/>
          <w:b/>
          <w:sz w:val="18"/>
        </w:rPr>
      </w:pPr>
      <w:r>
        <w:rPr>
          <w:rFonts w:ascii="Arial"/>
          <w:b/>
          <w:sz w:val="18"/>
        </w:rPr>
        <w:t>Police </w:t>
      </w:r>
      <w:r>
        <w:rPr>
          <w:rFonts w:ascii="Arial"/>
          <w:b/>
          <w:spacing w:val="-2"/>
          <w:sz w:val="18"/>
        </w:rPr>
        <w:t>constables</w:t>
      </w:r>
    </w:p>
    <w:p>
      <w:pPr>
        <w:pStyle w:val="BodyText"/>
        <w:spacing w:before="41"/>
        <w:rPr>
          <w:rFonts w:ascii="Arial"/>
          <w:b/>
          <w:sz w:val="18"/>
        </w:rPr>
      </w:pPr>
    </w:p>
    <w:p>
      <w:pPr>
        <w:pStyle w:val="Heading2"/>
      </w:pPr>
      <w:r>
        <w:rPr/>
        <w:t>2-</w:t>
      </w:r>
      <w:r>
        <w:rPr>
          <w:spacing w:val="-5"/>
        </w:rPr>
        <w:t>193</w:t>
      </w:r>
    </w:p>
    <w:p>
      <w:pPr>
        <w:pStyle w:val="BodyText"/>
        <w:spacing w:line="235" w:lineRule="auto" w:before="203"/>
        <w:ind w:left="165" w:right="167"/>
        <w:jc w:val="both"/>
      </w:pPr>
      <w:r>
        <w:rPr/>
        <w:t>It</w:t>
      </w:r>
      <w:r>
        <w:rPr>
          <w:spacing w:val="-2"/>
        </w:rPr>
        <w:t> </w:t>
      </w:r>
      <w:r>
        <w:rPr/>
        <w:t>has</w:t>
      </w:r>
      <w:r>
        <w:rPr>
          <w:spacing w:val="-2"/>
        </w:rPr>
        <w:t> </w:t>
      </w:r>
      <w:r>
        <w:rPr/>
        <w:t>been</w:t>
      </w:r>
      <w:r>
        <w:rPr>
          <w:spacing w:val="-2"/>
        </w:rPr>
        <w:t> </w:t>
      </w:r>
      <w:r>
        <w:rPr/>
        <w:t>said</w:t>
      </w:r>
      <w:r>
        <w:rPr>
          <w:spacing w:val="-2"/>
        </w:rPr>
        <w:t> </w:t>
      </w:r>
      <w:r>
        <w:rPr/>
        <w:t>that</w:t>
      </w:r>
      <w:r>
        <w:rPr>
          <w:spacing w:val="-2"/>
        </w:rPr>
        <w:t> </w:t>
      </w:r>
      <w:r>
        <w:rPr/>
        <w:t>a</w:t>
      </w:r>
      <w:r>
        <w:rPr>
          <w:spacing w:val="-2"/>
        </w:rPr>
        <w:t> </w:t>
      </w:r>
      <w:r>
        <w:rPr/>
        <w:t>police</w:t>
      </w:r>
      <w:r>
        <w:rPr>
          <w:spacing w:val="-2"/>
        </w:rPr>
        <w:t> </w:t>
      </w:r>
      <w:r>
        <w:rPr/>
        <w:t>constable</w:t>
      </w:r>
      <w:r>
        <w:rPr>
          <w:spacing w:val="-2"/>
        </w:rPr>
        <w:t> </w:t>
      </w:r>
      <w:r>
        <w:rPr/>
        <w:t>is</w:t>
      </w:r>
      <w:r>
        <w:rPr>
          <w:spacing w:val="-2"/>
        </w:rPr>
        <w:t> </w:t>
      </w:r>
      <w:r>
        <w:rPr/>
        <w:t>a</w:t>
      </w:r>
      <w:r>
        <w:rPr>
          <w:spacing w:val="-2"/>
        </w:rPr>
        <w:t> </w:t>
      </w:r>
      <w:r>
        <w:rPr/>
        <w:t>person</w:t>
      </w:r>
      <w:r>
        <w:rPr>
          <w:spacing w:val="-2"/>
        </w:rPr>
        <w:t> </w:t>
      </w:r>
      <w:r>
        <w:rPr/>
        <w:t>who</w:t>
      </w:r>
      <w:r>
        <w:rPr>
          <w:spacing w:val="-2"/>
        </w:rPr>
        <w:t> </w:t>
      </w:r>
      <w:r>
        <w:rPr/>
        <w:t>“holds</w:t>
      </w:r>
      <w:r>
        <w:rPr>
          <w:spacing w:val="-2"/>
        </w:rPr>
        <w:t> </w:t>
      </w:r>
      <w:r>
        <w:rPr/>
        <w:t>an</w:t>
      </w:r>
      <w:r>
        <w:rPr>
          <w:spacing w:val="-2"/>
        </w:rPr>
        <w:t> </w:t>
      </w:r>
      <w:r>
        <w:rPr/>
        <w:t>office</w:t>
      </w:r>
      <w:r>
        <w:rPr>
          <w:spacing w:val="-2"/>
        </w:rPr>
        <w:t> </w:t>
      </w:r>
      <w:r>
        <w:rPr/>
        <w:t>and</w:t>
      </w:r>
      <w:r>
        <w:rPr>
          <w:spacing w:val="-2"/>
        </w:rPr>
        <w:t> </w:t>
      </w:r>
      <w:r>
        <w:rPr/>
        <w:t>is</w:t>
      </w:r>
      <w:r>
        <w:rPr>
          <w:spacing w:val="-2"/>
        </w:rPr>
        <w:t> </w:t>
      </w:r>
      <w:r>
        <w:rPr/>
        <w:t>not</w:t>
      </w:r>
      <w:r>
        <w:rPr>
          <w:spacing w:val="-2"/>
        </w:rPr>
        <w:t> </w:t>
      </w:r>
      <w:r>
        <w:rPr/>
        <w:t>therefore</w:t>
      </w:r>
      <w:r>
        <w:rPr>
          <w:spacing w:val="-2"/>
        </w:rPr>
        <w:t> </w:t>
      </w:r>
      <w:r>
        <w:rPr/>
        <w:t>strictly</w:t>
      </w:r>
      <w:r>
        <w:rPr>
          <w:spacing w:val="-2"/>
        </w:rPr>
        <w:t> </w:t>
      </w:r>
      <w:r>
        <w:rPr/>
        <w:t>an employee”</w:t>
      </w:r>
      <w:r>
        <w:rPr>
          <w:spacing w:val="-3"/>
        </w:rPr>
        <w:t> </w:t>
      </w:r>
      <w:r>
        <w:rPr>
          <w:color w:val="005DA1"/>
          <w:u w:val="single" w:color="005DA1"/>
          <w:vertAlign w:val="superscript"/>
        </w:rPr>
        <w:t>1056</w:t>
      </w:r>
      <w:r>
        <w:rPr>
          <w:vertAlign w:val="baseline"/>
        </w:rPr>
        <w:t>;</w:t>
      </w:r>
      <w:r>
        <w:rPr>
          <w:spacing w:val="-3"/>
          <w:vertAlign w:val="baseline"/>
        </w:rPr>
        <w:t> </w:t>
      </w:r>
      <w:r>
        <w:rPr>
          <w:vertAlign w:val="baseline"/>
        </w:rPr>
        <w:t>and</w:t>
      </w:r>
      <w:r>
        <w:rPr>
          <w:spacing w:val="-3"/>
          <w:vertAlign w:val="baseline"/>
        </w:rPr>
        <w:t> </w:t>
      </w:r>
      <w:r>
        <w:rPr>
          <w:vertAlign w:val="baseline"/>
        </w:rPr>
        <w:t>that</w:t>
      </w:r>
      <w:r>
        <w:rPr>
          <w:spacing w:val="-3"/>
          <w:vertAlign w:val="baseline"/>
        </w:rPr>
        <w:t> </w:t>
      </w:r>
      <w:r>
        <w:rPr>
          <w:vertAlign w:val="baseline"/>
        </w:rPr>
        <w:t>there</w:t>
      </w:r>
      <w:r>
        <w:rPr>
          <w:spacing w:val="-3"/>
          <w:vertAlign w:val="baseline"/>
        </w:rPr>
        <w:t> </w:t>
      </w:r>
      <w:r>
        <w:rPr>
          <w:vertAlign w:val="baseline"/>
        </w:rPr>
        <w:t>is</w:t>
      </w:r>
      <w:r>
        <w:rPr>
          <w:spacing w:val="-3"/>
          <w:vertAlign w:val="baseline"/>
        </w:rPr>
        <w:t> </w:t>
      </w:r>
      <w:r>
        <w:rPr>
          <w:vertAlign w:val="baseline"/>
        </w:rPr>
        <w:t>“no</w:t>
      </w:r>
      <w:r>
        <w:rPr>
          <w:spacing w:val="-3"/>
          <w:vertAlign w:val="baseline"/>
        </w:rPr>
        <w:t> </w:t>
      </w:r>
      <w:r>
        <w:rPr>
          <w:vertAlign w:val="baseline"/>
        </w:rPr>
        <w:t>contract</w:t>
      </w:r>
      <w:r>
        <w:rPr>
          <w:spacing w:val="-3"/>
          <w:vertAlign w:val="baseline"/>
        </w:rPr>
        <w:t> </w:t>
      </w:r>
      <w:r>
        <w:rPr>
          <w:vertAlign w:val="baseline"/>
        </w:rPr>
        <w:t>between</w:t>
      </w:r>
      <w:r>
        <w:rPr>
          <w:spacing w:val="-3"/>
          <w:vertAlign w:val="baseline"/>
        </w:rPr>
        <w:t> </w:t>
      </w:r>
      <w:r>
        <w:rPr>
          <w:vertAlign w:val="baseline"/>
        </w:rPr>
        <w:t>a</w:t>
      </w:r>
      <w:r>
        <w:rPr>
          <w:spacing w:val="-3"/>
          <w:vertAlign w:val="baseline"/>
        </w:rPr>
        <w:t> </w:t>
      </w:r>
      <w:r>
        <w:rPr>
          <w:vertAlign w:val="baseline"/>
        </w:rPr>
        <w:t>police</w:t>
      </w:r>
      <w:r>
        <w:rPr>
          <w:spacing w:val="-3"/>
          <w:vertAlign w:val="baseline"/>
        </w:rPr>
        <w:t> </w:t>
      </w:r>
      <w:r>
        <w:rPr>
          <w:vertAlign w:val="baseline"/>
        </w:rPr>
        <w:t>officer</w:t>
      </w:r>
      <w:r>
        <w:rPr>
          <w:spacing w:val="-3"/>
          <w:vertAlign w:val="baseline"/>
        </w:rPr>
        <w:t> </w:t>
      </w:r>
      <w:r>
        <w:rPr>
          <w:vertAlign w:val="baseline"/>
        </w:rPr>
        <w:t>and</w:t>
      </w:r>
      <w:r>
        <w:rPr>
          <w:spacing w:val="-3"/>
          <w:vertAlign w:val="baseline"/>
        </w:rPr>
        <w:t> </w:t>
      </w:r>
      <w:r>
        <w:rPr>
          <w:vertAlign w:val="baseline"/>
        </w:rPr>
        <w:t>a</w:t>
      </w:r>
      <w:r>
        <w:rPr>
          <w:spacing w:val="-3"/>
          <w:vertAlign w:val="baseline"/>
        </w:rPr>
        <w:t> </w:t>
      </w:r>
      <w:r>
        <w:rPr>
          <w:vertAlign w:val="baseline"/>
        </w:rPr>
        <w:t>chief</w:t>
      </w:r>
      <w:r>
        <w:rPr>
          <w:spacing w:val="-3"/>
          <w:vertAlign w:val="baseline"/>
        </w:rPr>
        <w:t> </w:t>
      </w:r>
      <w:r>
        <w:rPr>
          <w:vertAlign w:val="baseline"/>
        </w:rPr>
        <w:t>constable”.</w:t>
      </w:r>
      <w:r>
        <w:rPr>
          <w:spacing w:val="-4"/>
          <w:vertAlign w:val="baseline"/>
        </w:rPr>
        <w:t> </w:t>
      </w:r>
      <w:r>
        <w:rPr>
          <w:color w:val="005DA1"/>
          <w:u w:val="single" w:color="005DA1"/>
          <w:vertAlign w:val="superscript"/>
        </w:rPr>
        <w:t>1057</w:t>
      </w:r>
      <w:r>
        <w:rPr>
          <w:color w:val="005DA1"/>
          <w:spacing w:val="-3"/>
          <w:vertAlign w:val="baseline"/>
        </w:rPr>
        <w:t> </w:t>
      </w:r>
      <w:r>
        <w:rPr>
          <w:vertAlign w:val="baseline"/>
        </w:rPr>
        <w:t>But</w:t>
      </w:r>
      <w:r>
        <w:rPr>
          <w:spacing w:val="-3"/>
          <w:vertAlign w:val="baseline"/>
        </w:rPr>
        <w:t> </w:t>
      </w:r>
      <w:r>
        <w:rPr>
          <w:vertAlign w:val="baseline"/>
        </w:rPr>
        <w:t>it does not follow that the relationship is binding in honour only: the resulting relationship is “closely analogous to a contract of employment” </w:t>
      </w:r>
      <w:r>
        <w:rPr>
          <w:color w:val="005DA1"/>
          <w:u w:val="single" w:color="005DA1"/>
          <w:vertAlign w:val="superscript"/>
        </w:rPr>
        <w:t>1058</w:t>
      </w:r>
      <w:r>
        <w:rPr>
          <w:color w:val="005DA1"/>
          <w:vertAlign w:val="baseline"/>
        </w:rPr>
        <w:t> </w:t>
      </w:r>
      <w:r>
        <w:rPr>
          <w:vertAlign w:val="baseline"/>
        </w:rPr>
        <w:t>so that duties analogous to those arising out of such </w:t>
      </w:r>
      <w:r>
        <w:rPr>
          <w:vertAlign w:val="baseline"/>
        </w:rPr>
        <w:t>a contract</w:t>
      </w:r>
      <w:r>
        <w:rPr>
          <w:spacing w:val="-2"/>
          <w:vertAlign w:val="baseline"/>
        </w:rPr>
        <w:t> </w:t>
      </w:r>
      <w:r>
        <w:rPr>
          <w:vertAlign w:val="baseline"/>
        </w:rPr>
        <w:t>may</w:t>
      </w:r>
      <w:r>
        <w:rPr>
          <w:spacing w:val="-2"/>
          <w:vertAlign w:val="baseline"/>
        </w:rPr>
        <w:t> </w:t>
      </w:r>
      <w:r>
        <w:rPr>
          <w:vertAlign w:val="baseline"/>
        </w:rPr>
        <w:t>be</w:t>
      </w:r>
      <w:r>
        <w:rPr>
          <w:spacing w:val="-2"/>
          <w:vertAlign w:val="baseline"/>
        </w:rPr>
        <w:t> </w:t>
      </w:r>
      <w:r>
        <w:rPr>
          <w:vertAlign w:val="baseline"/>
        </w:rPr>
        <w:t>owed</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constable.</w:t>
      </w:r>
      <w:r>
        <w:rPr>
          <w:spacing w:val="-2"/>
          <w:vertAlign w:val="baseline"/>
        </w:rPr>
        <w:t> </w:t>
      </w:r>
      <w:r>
        <w:rPr>
          <w:vertAlign w:val="baseline"/>
        </w:rPr>
        <w:t>For</w:t>
      </w:r>
      <w:r>
        <w:rPr>
          <w:spacing w:val="-2"/>
          <w:vertAlign w:val="baseline"/>
        </w:rPr>
        <w:t> </w:t>
      </w:r>
      <w:r>
        <w:rPr>
          <w:vertAlign w:val="baseline"/>
        </w:rPr>
        <w:t>the</w:t>
      </w:r>
      <w:r>
        <w:rPr>
          <w:spacing w:val="-2"/>
          <w:vertAlign w:val="baseline"/>
        </w:rPr>
        <w:t> </w:t>
      </w:r>
      <w:r>
        <w:rPr>
          <w:vertAlign w:val="baseline"/>
        </w:rPr>
        <w:t>purposes</w:t>
      </w:r>
      <w:r>
        <w:rPr>
          <w:spacing w:val="-2"/>
          <w:vertAlign w:val="baseline"/>
        </w:rPr>
        <w:t> </w:t>
      </w:r>
      <w:r>
        <w:rPr>
          <w:vertAlign w:val="baseline"/>
        </w:rPr>
        <w:t>of</w:t>
      </w:r>
      <w:r>
        <w:rPr>
          <w:spacing w:val="-2"/>
          <w:vertAlign w:val="baseline"/>
        </w:rPr>
        <w:t> </w:t>
      </w:r>
      <w:r>
        <w:rPr>
          <w:vertAlign w:val="baseline"/>
        </w:rPr>
        <w:t>Pt</w:t>
      </w:r>
      <w:r>
        <w:rPr>
          <w:spacing w:val="-2"/>
          <w:vertAlign w:val="baseline"/>
        </w:rPr>
        <w:t> </w:t>
      </w:r>
      <w:r>
        <w:rPr>
          <w:vertAlign w:val="baseline"/>
        </w:rPr>
        <w:t>5</w:t>
      </w:r>
      <w:r>
        <w:rPr>
          <w:spacing w:val="-2"/>
          <w:vertAlign w:val="baseline"/>
        </w:rPr>
        <w:t> </w:t>
      </w:r>
      <w:r>
        <w:rPr>
          <w:vertAlign w:val="baseline"/>
        </w:rPr>
        <w:t>of</w:t>
      </w:r>
      <w:r>
        <w:rPr>
          <w:spacing w:val="-2"/>
          <w:vertAlign w:val="baseline"/>
        </w:rPr>
        <w:t> </w:t>
      </w:r>
      <w:r>
        <w:rPr>
          <w:vertAlign w:val="baseline"/>
        </w:rPr>
        <w:t>the</w:t>
      </w:r>
      <w:r>
        <w:rPr>
          <w:spacing w:val="-2"/>
          <w:vertAlign w:val="baseline"/>
        </w:rPr>
        <w:t> </w:t>
      </w:r>
      <w:r>
        <w:rPr>
          <w:vertAlign w:val="baseline"/>
        </w:rPr>
        <w:t>Equality</w:t>
      </w:r>
      <w:r>
        <w:rPr>
          <w:spacing w:val="-2"/>
          <w:vertAlign w:val="baseline"/>
        </w:rPr>
        <w:t> </w:t>
      </w:r>
      <w:r>
        <w:rPr>
          <w:vertAlign w:val="baseline"/>
        </w:rPr>
        <w:t>Act</w:t>
      </w:r>
      <w:r>
        <w:rPr>
          <w:spacing w:val="-2"/>
          <w:vertAlign w:val="baseline"/>
        </w:rPr>
        <w:t> </w:t>
      </w:r>
      <w:r>
        <w:rPr>
          <w:vertAlign w:val="baseline"/>
        </w:rPr>
        <w:t>2010,</w:t>
      </w:r>
      <w:r>
        <w:rPr>
          <w:spacing w:val="-2"/>
          <w:vertAlign w:val="baseline"/>
        </w:rPr>
        <w:t> </w:t>
      </w:r>
      <w:r>
        <w:rPr>
          <w:vertAlign w:val="baseline"/>
        </w:rPr>
        <w:t>“holding</w:t>
      </w:r>
      <w:r>
        <w:rPr>
          <w:spacing w:val="-2"/>
          <w:vertAlign w:val="baseline"/>
        </w:rPr>
        <w:t> </w:t>
      </w:r>
      <w:r>
        <w:rPr>
          <w:vertAlign w:val="baseline"/>
        </w:rPr>
        <w:t>the office of constable is to be treated as employment … ”. </w:t>
      </w:r>
      <w:r>
        <w:rPr>
          <w:color w:val="005DA1"/>
          <w:u w:val="single" w:color="005DA1"/>
          <w:vertAlign w:val="superscript"/>
        </w:rPr>
        <w:t>1059</w:t>
      </w:r>
    </w:p>
    <w:p>
      <w:pPr>
        <w:pStyle w:val="BodyText"/>
      </w:pPr>
    </w:p>
    <w:p>
      <w:pPr>
        <w:pStyle w:val="BodyText"/>
        <w:spacing w:before="36"/>
      </w:pPr>
    </w:p>
    <w:p>
      <w:pPr>
        <w:spacing w:before="0"/>
        <w:ind w:left="165" w:right="0" w:firstLine="0"/>
        <w:jc w:val="left"/>
        <w:rPr>
          <w:rFonts w:ascii="Arial"/>
          <w:b/>
          <w:sz w:val="18"/>
        </w:rPr>
      </w:pPr>
      <w:r>
        <w:rPr>
          <w:rFonts w:ascii="Arial"/>
          <w:b/>
          <w:sz w:val="18"/>
        </w:rPr>
        <w:t>Vague </w:t>
      </w:r>
      <w:r>
        <w:rPr>
          <w:rFonts w:ascii="Arial"/>
          <w:b/>
          <w:spacing w:val="-2"/>
          <w:sz w:val="18"/>
        </w:rPr>
        <w:t>agreements</w:t>
      </w:r>
    </w:p>
    <w:p>
      <w:pPr>
        <w:pStyle w:val="BodyText"/>
        <w:spacing w:before="42"/>
        <w:rPr>
          <w:rFonts w:ascii="Arial"/>
          <w:b/>
          <w:sz w:val="18"/>
        </w:rPr>
      </w:pPr>
    </w:p>
    <w:p>
      <w:pPr>
        <w:pStyle w:val="Heading2"/>
      </w:pPr>
      <w:r>
        <w:rPr/>
        <w:t>2-</w:t>
      </w:r>
      <w:r>
        <w:rPr>
          <w:spacing w:val="-5"/>
        </w:rPr>
        <w:t>194</w:t>
      </w:r>
    </w:p>
    <w:p>
      <w:pPr>
        <w:pStyle w:val="BodyText"/>
        <w:spacing w:line="235" w:lineRule="auto" w:before="202"/>
        <w:ind w:left="164" w:right="166"/>
        <w:jc w:val="both"/>
      </w:pPr>
      <w:r>
        <w:rPr/>
        <w:t>Another factor relevant to the issue of contractual intention is the degree of precision with which </w:t>
      </w:r>
      <w:r>
        <w:rPr/>
        <w:t>the agreement is expressed. In one case it was held that a husband’s promise to let his deserted wife</w:t>
      </w:r>
      <w:r>
        <w:rPr>
          <w:spacing w:val="40"/>
        </w:rPr>
        <w:t> </w:t>
      </w:r>
      <w:r>
        <w:rPr/>
        <w:t>stay in the matrimonial home had no contractual force because it was not “intended by him, or understood by her, to have any contractual basis or effect”. </w:t>
      </w:r>
      <w:r>
        <w:rPr>
          <w:color w:val="005DA1"/>
          <w:u w:val="single" w:color="005DA1"/>
          <w:vertAlign w:val="superscript"/>
        </w:rPr>
        <w:t>1060</w:t>
      </w:r>
      <w:r>
        <w:rPr>
          <w:color w:val="005DA1"/>
          <w:vertAlign w:val="baseline"/>
        </w:rPr>
        <w:t> </w:t>
      </w:r>
      <w:r>
        <w:rPr>
          <w:vertAlign w:val="baseline"/>
        </w:rPr>
        <w:t>The promise was too vague: it did not state for how long or on what terms the wife could stay in the house. </w:t>
      </w:r>
      <w:r>
        <w:rPr>
          <w:color w:val="005DA1"/>
          <w:u w:val="single" w:color="005DA1"/>
          <w:vertAlign w:val="superscript"/>
        </w:rPr>
        <w:t>1061</w:t>
      </w:r>
      <w:r>
        <w:rPr>
          <w:color w:val="005DA1"/>
          <w:vertAlign w:val="baseline"/>
        </w:rPr>
        <w:t> </w:t>
      </w:r>
      <w:r>
        <w:rPr>
          <w:vertAlign w:val="baseline"/>
        </w:rPr>
        <w:t>So, too, the use of deliberately vague language was held to negative contractual intention where a property developer reached an “understanding” with a firm of solicitors to employ them in connection with a proposed development,</w:t>
      </w:r>
      <w:r>
        <w:rPr>
          <w:spacing w:val="-1"/>
          <w:vertAlign w:val="baseline"/>
        </w:rPr>
        <w:t> </w:t>
      </w:r>
      <w:r>
        <w:rPr>
          <w:vertAlign w:val="baseline"/>
        </w:rPr>
        <w:t>but</w:t>
      </w:r>
      <w:r>
        <w:rPr>
          <w:spacing w:val="-1"/>
          <w:vertAlign w:val="baseline"/>
        </w:rPr>
        <w:t> </w:t>
      </w:r>
      <w:r>
        <w:rPr>
          <w:vertAlign w:val="baseline"/>
        </w:rPr>
        <w:t>neither</w:t>
      </w:r>
      <w:r>
        <w:rPr>
          <w:spacing w:val="-1"/>
          <w:vertAlign w:val="baseline"/>
        </w:rPr>
        <w:t> </w:t>
      </w:r>
      <w:r>
        <w:rPr>
          <w:vertAlign w:val="baseline"/>
        </w:rPr>
        <w:t>side</w:t>
      </w:r>
      <w:r>
        <w:rPr>
          <w:spacing w:val="-1"/>
          <w:vertAlign w:val="baseline"/>
        </w:rPr>
        <w:t> </w:t>
      </w:r>
      <w:r>
        <w:rPr>
          <w:vertAlign w:val="baseline"/>
        </w:rPr>
        <w:t>entered</w:t>
      </w:r>
      <w:r>
        <w:rPr>
          <w:spacing w:val="-1"/>
          <w:vertAlign w:val="baseline"/>
        </w:rPr>
        <w:t> </w:t>
      </w:r>
      <w:r>
        <w:rPr>
          <w:vertAlign w:val="baseline"/>
        </w:rPr>
        <w:t>into</w:t>
      </w:r>
      <w:r>
        <w:rPr>
          <w:spacing w:val="-1"/>
          <w:vertAlign w:val="baseline"/>
        </w:rPr>
        <w:t> </w:t>
      </w:r>
      <w:r>
        <w:rPr>
          <w:vertAlign w:val="baseline"/>
        </w:rPr>
        <w:t>a</w:t>
      </w:r>
      <w:r>
        <w:rPr>
          <w:spacing w:val="-1"/>
          <w:vertAlign w:val="baseline"/>
        </w:rPr>
        <w:t> </w:t>
      </w:r>
      <w:r>
        <w:rPr>
          <w:vertAlign w:val="baseline"/>
        </w:rPr>
        <w:t>definite</w:t>
      </w:r>
      <w:r>
        <w:rPr>
          <w:spacing w:val="-1"/>
          <w:vertAlign w:val="baseline"/>
        </w:rPr>
        <w:t> </w:t>
      </w:r>
      <w:r>
        <w:rPr>
          <w:vertAlign w:val="baseline"/>
        </w:rPr>
        <w:t>commitment.</w:t>
      </w:r>
      <w:r>
        <w:rPr>
          <w:spacing w:val="-1"/>
          <w:vertAlign w:val="baseline"/>
        </w:rPr>
        <w:t> </w:t>
      </w:r>
      <w:r>
        <w:rPr>
          <w:color w:val="005DA1"/>
          <w:u w:val="single" w:color="005DA1"/>
          <w:vertAlign w:val="superscript"/>
        </w:rPr>
        <w:t>1062</w:t>
      </w:r>
      <w:r>
        <w:rPr>
          <w:color w:val="005DA1"/>
          <w:spacing w:val="-1"/>
          <w:vertAlign w:val="baseline"/>
        </w:rPr>
        <w:t> </w:t>
      </w:r>
      <w:r>
        <w:rPr>
          <w:vertAlign w:val="baseline"/>
        </w:rPr>
        <w:t>For</w:t>
      </w:r>
      <w:r>
        <w:rPr>
          <w:spacing w:val="-1"/>
          <w:vertAlign w:val="baseline"/>
        </w:rPr>
        <w:t> </w:t>
      </w:r>
      <w:r>
        <w:rPr>
          <w:vertAlign w:val="baseline"/>
        </w:rPr>
        <w:t>the</w:t>
      </w:r>
      <w:r>
        <w:rPr>
          <w:spacing w:val="-1"/>
          <w:vertAlign w:val="baseline"/>
        </w:rPr>
        <w:t> </w:t>
      </w:r>
      <w:r>
        <w:rPr>
          <w:vertAlign w:val="baseline"/>
        </w:rPr>
        <w:t>same</w:t>
      </w:r>
      <w:r>
        <w:rPr>
          <w:spacing w:val="-1"/>
          <w:vertAlign w:val="baseline"/>
        </w:rPr>
        <w:t> </w:t>
      </w:r>
      <w:r>
        <w:rPr>
          <w:vertAlign w:val="baseline"/>
        </w:rPr>
        <w:t>reason,</w:t>
      </w:r>
      <w:r>
        <w:rPr>
          <w:spacing w:val="-1"/>
          <w:vertAlign w:val="baseline"/>
        </w:rPr>
        <w:t> </w:t>
      </w:r>
      <w:r>
        <w:rPr>
          <w:vertAlign w:val="baseline"/>
        </w:rPr>
        <w:t>“letters</w:t>
      </w:r>
      <w:r>
        <w:rPr>
          <w:spacing w:val="-1"/>
          <w:vertAlign w:val="baseline"/>
        </w:rPr>
        <w:t> </w:t>
      </w:r>
      <w:r>
        <w:rPr>
          <w:vertAlign w:val="baseline"/>
        </w:rPr>
        <w:t>of intent” </w:t>
      </w:r>
      <w:r>
        <w:rPr>
          <w:color w:val="005DA1"/>
          <w:u w:val="single" w:color="005DA1"/>
          <w:vertAlign w:val="superscript"/>
        </w:rPr>
        <w:t>1063</w:t>
      </w:r>
      <w:r>
        <w:rPr>
          <w:color w:val="005DA1"/>
          <w:vertAlign w:val="baseline"/>
        </w:rPr>
        <w:t> </w:t>
      </w:r>
      <w:r>
        <w:rPr>
          <w:vertAlign w:val="baseline"/>
        </w:rPr>
        <w:t>or “letters of comfort” </w:t>
      </w:r>
      <w:r>
        <w:rPr>
          <w:color w:val="005DA1"/>
          <w:u w:val="single" w:color="005DA1"/>
          <w:vertAlign w:val="superscript"/>
        </w:rPr>
        <w:t>1064</w:t>
      </w:r>
      <w:r>
        <w:rPr>
          <w:color w:val="005DA1"/>
          <w:vertAlign w:val="baseline"/>
        </w:rPr>
        <w:t> </w:t>
      </w:r>
      <w:r>
        <w:rPr>
          <w:vertAlign w:val="baseline"/>
        </w:rPr>
        <w:t>may lack the force of legally binding contracts. </w:t>
      </w:r>
      <w:r>
        <w:rPr>
          <w:color w:val="005DA1"/>
          <w:u w:val="single" w:color="005DA1"/>
          <w:vertAlign w:val="superscript"/>
        </w:rPr>
        <w:t>1065</w:t>
      </w:r>
      <w:r>
        <w:rPr>
          <w:color w:val="005DA1"/>
          <w:vertAlign w:val="baseline"/>
        </w:rPr>
        <w:t> </w:t>
      </w:r>
      <w:r>
        <w:rPr>
          <w:vertAlign w:val="baseline"/>
        </w:rPr>
        <w:t>The assumption in all these cases was that the parties had reached agreement, and in them lack of contractual intention prevented that agreement from having legal effect. Vagueness may also be a ground for concluding that the parties had never reached agreement at all. </w:t>
      </w:r>
      <w:r>
        <w:rPr>
          <w:color w:val="005DA1"/>
          <w:u w:val="single" w:color="005DA1"/>
          <w:vertAlign w:val="superscript"/>
        </w:rPr>
        <w:t>1066</w:t>
      </w:r>
      <w:r>
        <w:rPr>
          <w:color w:val="005DA1"/>
          <w:vertAlign w:val="baseline"/>
        </w:rPr>
        <w:t> </w:t>
      </w:r>
      <w:r>
        <w:rPr>
          <w:vertAlign w:val="baseline"/>
        </w:rPr>
        <w:t>This is a separate issue from that of contractual intention, which strictly speaking concerns only the </w:t>
      </w:r>
      <w:r>
        <w:rPr>
          <w:rFonts w:ascii="Arial" w:hAnsi="Arial"/>
          <w:i/>
          <w:vertAlign w:val="baseline"/>
        </w:rPr>
        <w:t>effect </w:t>
      </w:r>
      <w:r>
        <w:rPr>
          <w:vertAlign w:val="baseline"/>
        </w:rPr>
        <w:t>of an agreement</w:t>
      </w:r>
      <w:r>
        <w:rPr>
          <w:spacing w:val="-1"/>
          <w:vertAlign w:val="baseline"/>
        </w:rPr>
        <w:t> </w:t>
      </w:r>
      <w:r>
        <w:rPr>
          <w:vertAlign w:val="baseline"/>
        </w:rPr>
        <w:t>which</w:t>
      </w:r>
      <w:r>
        <w:rPr>
          <w:spacing w:val="-1"/>
          <w:vertAlign w:val="baseline"/>
        </w:rPr>
        <w:t> </w:t>
      </w:r>
      <w:r>
        <w:rPr>
          <w:vertAlign w:val="baseline"/>
        </w:rPr>
        <w:t>is</w:t>
      </w:r>
      <w:r>
        <w:rPr>
          <w:spacing w:val="-1"/>
          <w:vertAlign w:val="baseline"/>
        </w:rPr>
        <w:t> </w:t>
      </w:r>
      <w:r>
        <w:rPr>
          <w:vertAlign w:val="baseline"/>
        </w:rPr>
        <w:t>first</w:t>
      </w:r>
      <w:r>
        <w:rPr>
          <w:spacing w:val="-1"/>
          <w:vertAlign w:val="baseline"/>
        </w:rPr>
        <w:t> </w:t>
      </w:r>
      <w:r>
        <w:rPr>
          <w:vertAlign w:val="baseline"/>
        </w:rPr>
        <w:t>shown</w:t>
      </w:r>
      <w:r>
        <w:rPr>
          <w:spacing w:val="-1"/>
          <w:vertAlign w:val="baseline"/>
        </w:rPr>
        <w:t> </w:t>
      </w:r>
      <w:r>
        <w:rPr>
          <w:vertAlign w:val="baseline"/>
        </w:rPr>
        <w:t>to</w:t>
      </w:r>
      <w:r>
        <w:rPr>
          <w:spacing w:val="-1"/>
          <w:vertAlign w:val="baseline"/>
        </w:rPr>
        <w:t> </w:t>
      </w:r>
      <w:r>
        <w:rPr>
          <w:vertAlign w:val="baseline"/>
        </w:rPr>
        <w:t>exist.</w:t>
      </w:r>
      <w:r>
        <w:rPr>
          <w:spacing w:val="-1"/>
          <w:vertAlign w:val="baseline"/>
        </w:rPr>
        <w:t> </w:t>
      </w:r>
      <w:r>
        <w:rPr>
          <w:color w:val="005DA1"/>
          <w:u w:val="single" w:color="005DA1"/>
          <w:vertAlign w:val="superscript"/>
        </w:rPr>
        <w:t>1067</w:t>
      </w:r>
      <w:r>
        <w:rPr>
          <w:color w:val="005DA1"/>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one</w:t>
      </w:r>
      <w:r>
        <w:rPr>
          <w:spacing w:val="-1"/>
          <w:vertAlign w:val="baseline"/>
        </w:rPr>
        <w:t> </w:t>
      </w:r>
      <w:r>
        <w:rPr>
          <w:vertAlign w:val="baseline"/>
        </w:rPr>
        <w:t>hand,</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may</w:t>
      </w:r>
      <w:r>
        <w:rPr>
          <w:spacing w:val="-1"/>
          <w:vertAlign w:val="baseline"/>
        </w:rPr>
        <w:t> </w:t>
      </w:r>
      <w:r>
        <w:rPr>
          <w:vertAlign w:val="baseline"/>
        </w:rPr>
        <w:t>agree</w:t>
      </w:r>
      <w:r>
        <w:rPr>
          <w:spacing w:val="-1"/>
          <w:vertAlign w:val="baseline"/>
        </w:rPr>
        <w:t> </w:t>
      </w:r>
      <w:r>
        <w:rPr>
          <w:vertAlign w:val="baseline"/>
        </w:rPr>
        <w:t>on</w:t>
      </w:r>
      <w:r>
        <w:rPr>
          <w:spacing w:val="-1"/>
          <w:vertAlign w:val="baseline"/>
        </w:rPr>
        <w:t> </w:t>
      </w:r>
      <w:r>
        <w:rPr>
          <w:vertAlign w:val="baseline"/>
        </w:rPr>
        <w:t>terms</w:t>
      </w:r>
      <w:r>
        <w:rPr>
          <w:spacing w:val="-1"/>
          <w:vertAlign w:val="baseline"/>
        </w:rPr>
        <w:t> </w:t>
      </w:r>
      <w:r>
        <w:rPr>
          <w:vertAlign w:val="baseline"/>
        </w:rPr>
        <w:t>that</w:t>
      </w:r>
      <w:r>
        <w:rPr>
          <w:spacing w:val="-1"/>
          <w:vertAlign w:val="baseline"/>
        </w:rPr>
        <w:t> </w:t>
      </w:r>
      <w:r>
        <w:rPr>
          <w:vertAlign w:val="baseline"/>
        </w:rPr>
        <w:t>are sufficiently certain but deprive that agreement of contractual force by express words, as in the</w:t>
      </w:r>
      <w:r>
        <w:rPr>
          <w:spacing w:val="40"/>
          <w:vertAlign w:val="baseline"/>
        </w:rPr>
        <w:t> </w:t>
      </w:r>
      <w:r>
        <w:rPr>
          <w:vertAlign w:val="baseline"/>
        </w:rPr>
        <w:t>“subject to contract” cases discussed earlier in this chapter. </w:t>
      </w:r>
      <w:r>
        <w:rPr>
          <w:color w:val="005DA1"/>
          <w:u w:val="single" w:color="005DA1"/>
          <w:vertAlign w:val="superscript"/>
        </w:rPr>
        <w:t>1068</w:t>
      </w:r>
      <w:r>
        <w:rPr>
          <w:color w:val="005DA1"/>
          <w:vertAlign w:val="baseline"/>
        </w:rPr>
        <w:t> </w:t>
      </w:r>
      <w:r>
        <w:rPr>
          <w:vertAlign w:val="baseline"/>
        </w:rPr>
        <w:t>On the other hand, an agreement</w:t>
      </w:r>
      <w:r>
        <w:rPr>
          <w:spacing w:val="40"/>
          <w:vertAlign w:val="baseline"/>
        </w:rPr>
        <w:t> </w:t>
      </w:r>
      <w:r>
        <w:rPr>
          <w:vertAlign w:val="baseline"/>
        </w:rPr>
        <w:t>may satisfy the requirement of contractual intention, yet be too vague to enforce. An example, of the latter situation is </w:t>
      </w:r>
      <w:r>
        <w:rPr>
          <w:rFonts w:ascii="Arial" w:hAnsi="Arial"/>
          <w:i/>
          <w:vertAlign w:val="baseline"/>
        </w:rPr>
        <w:t>Dhanani v Crasnianski</w:t>
      </w:r>
      <w:r>
        <w:rPr>
          <w:vertAlign w:val="baseline"/>
        </w:rPr>
        <w:t>. </w:t>
      </w:r>
      <w:r>
        <w:rPr>
          <w:color w:val="005DA1"/>
          <w:u w:val="single" w:color="005DA1"/>
          <w:vertAlign w:val="superscript"/>
        </w:rPr>
        <w:t>1069</w:t>
      </w:r>
      <w:r>
        <w:rPr>
          <w:color w:val="005DA1"/>
          <w:vertAlign w:val="baseline"/>
        </w:rPr>
        <w:t> </w:t>
      </w:r>
      <w:r>
        <w:rPr>
          <w:vertAlign w:val="baseline"/>
        </w:rPr>
        <w:t>There, Ramsay J. held that an agreement to set up a private equity fund satisfied the requirement of contractual intention </w:t>
      </w:r>
      <w:r>
        <w:rPr>
          <w:color w:val="005DA1"/>
          <w:u w:val="single" w:color="005DA1"/>
          <w:vertAlign w:val="superscript"/>
        </w:rPr>
        <w:t>1070</w:t>
      </w:r>
      <w:r>
        <w:rPr>
          <w:color w:val="005DA1"/>
          <w:vertAlign w:val="baseline"/>
        </w:rPr>
        <w:t> </w:t>
      </w:r>
      <w:r>
        <w:rPr>
          <w:vertAlign w:val="baseline"/>
        </w:rPr>
        <w:t>but nevertheless lacked contractual force because it was “in essence an agreement to agree” </w:t>
      </w:r>
      <w:r>
        <w:rPr>
          <w:color w:val="005DA1"/>
          <w:u w:val="single" w:color="005DA1"/>
          <w:vertAlign w:val="superscript"/>
        </w:rPr>
        <w:t>1071</w:t>
      </w:r>
      <w:r>
        <w:rPr>
          <w:color w:val="005DA1"/>
          <w:vertAlign w:val="baseline"/>
        </w:rPr>
        <w:t> </w:t>
      </w:r>
      <w:r>
        <w:rPr>
          <w:vertAlign w:val="baseline"/>
        </w:rPr>
        <w:t>on terms which were “essential for such an agreement to be enforced” </w:t>
      </w:r>
      <w:r>
        <w:rPr>
          <w:color w:val="005DA1"/>
          <w:u w:val="single" w:color="005DA1"/>
          <w:vertAlign w:val="superscript"/>
        </w:rPr>
        <w:t>1072</w:t>
      </w:r>
      <w:r>
        <w:rPr>
          <w:color w:val="005DA1"/>
          <w:vertAlign w:val="baseline"/>
        </w:rPr>
        <w:t> </w:t>
      </w:r>
      <w:r>
        <w:rPr>
          <w:vertAlign w:val="baseline"/>
        </w:rPr>
        <w:t>and “[w]ithout such further agreement the fund could not be set up”, </w:t>
      </w:r>
      <w:r>
        <w:rPr>
          <w:color w:val="005DA1"/>
          <w:u w:val="single" w:color="005DA1"/>
          <w:vertAlign w:val="superscript"/>
        </w:rPr>
        <w:t>1073</w:t>
      </w:r>
      <w:r>
        <w:rPr>
          <w:color w:val="005DA1"/>
          <w:vertAlign w:val="baseline"/>
        </w:rPr>
        <w:t> </w:t>
      </w:r>
      <w:r>
        <w:rPr>
          <w:vertAlign w:val="baseline"/>
        </w:rPr>
        <w:t>there being “no objective criteria” </w:t>
      </w:r>
      <w:r>
        <w:rPr>
          <w:color w:val="005DA1"/>
          <w:u w:val="single" w:color="005DA1"/>
          <w:vertAlign w:val="superscript"/>
        </w:rPr>
        <w:t>1074</w:t>
      </w:r>
      <w:r>
        <w:rPr>
          <w:color w:val="005DA1"/>
          <w:vertAlign w:val="baseline"/>
        </w:rPr>
        <w:t> </w:t>
      </w:r>
      <w:r>
        <w:rPr>
          <w:vertAlign w:val="baseline"/>
        </w:rPr>
        <w:t>by which the outstanding points could be resolved. The view that contractual intention and certainty are separate requirements is further supported</w:t>
      </w:r>
      <w:r>
        <w:rPr>
          <w:spacing w:val="-3"/>
          <w:vertAlign w:val="baseline"/>
        </w:rPr>
        <w:t> </w:t>
      </w:r>
      <w:r>
        <w:rPr>
          <w:vertAlign w:val="baseline"/>
        </w:rPr>
        <w:t>by</w:t>
      </w:r>
      <w:r>
        <w:rPr>
          <w:spacing w:val="-3"/>
          <w:vertAlign w:val="baseline"/>
        </w:rPr>
        <w:t> </w:t>
      </w:r>
      <w:r>
        <w:rPr>
          <w:vertAlign w:val="baseline"/>
        </w:rPr>
        <w:t>the</w:t>
      </w:r>
      <w:r>
        <w:rPr>
          <w:spacing w:val="-3"/>
          <w:vertAlign w:val="baseline"/>
        </w:rPr>
        <w:t> </w:t>
      </w:r>
      <w:r>
        <w:rPr>
          <w:vertAlign w:val="baseline"/>
        </w:rPr>
        <w:t>reasoning</w:t>
      </w:r>
      <w:r>
        <w:rPr>
          <w:spacing w:val="-3"/>
          <w:vertAlign w:val="baseline"/>
        </w:rPr>
        <w:t> </w:t>
      </w:r>
      <w:r>
        <w:rPr>
          <w:vertAlign w:val="baseline"/>
        </w:rPr>
        <w:t>of</w:t>
      </w:r>
      <w:r>
        <w:rPr>
          <w:spacing w:val="-3"/>
          <w:vertAlign w:val="baseline"/>
        </w:rPr>
        <w:t> </w:t>
      </w:r>
      <w:r>
        <w:rPr>
          <w:rFonts w:ascii="Arial" w:hAnsi="Arial"/>
          <w:i/>
          <w:vertAlign w:val="baseline"/>
        </w:rPr>
        <w:t>Barbudev</w:t>
      </w:r>
      <w:r>
        <w:rPr>
          <w:rFonts w:ascii="Arial" w:hAnsi="Arial"/>
          <w:i/>
          <w:spacing w:val="-3"/>
          <w:vertAlign w:val="baseline"/>
        </w:rPr>
        <w:t> </w:t>
      </w:r>
      <w:r>
        <w:rPr>
          <w:rFonts w:ascii="Arial" w:hAnsi="Arial"/>
          <w:i/>
          <w:vertAlign w:val="baseline"/>
        </w:rPr>
        <w:t>v</w:t>
      </w:r>
      <w:r>
        <w:rPr>
          <w:rFonts w:ascii="Arial" w:hAnsi="Arial"/>
          <w:i/>
          <w:spacing w:val="-3"/>
          <w:vertAlign w:val="baseline"/>
        </w:rPr>
        <w:t> </w:t>
      </w:r>
      <w:r>
        <w:rPr>
          <w:rFonts w:ascii="Arial" w:hAnsi="Arial"/>
          <w:i/>
          <w:vertAlign w:val="baseline"/>
        </w:rPr>
        <w:t>Eurocom</w:t>
      </w:r>
      <w:r>
        <w:rPr>
          <w:rFonts w:ascii="Arial" w:hAnsi="Arial"/>
          <w:i/>
          <w:spacing w:val="-3"/>
          <w:vertAlign w:val="baseline"/>
        </w:rPr>
        <w:t> </w:t>
      </w:r>
      <w:r>
        <w:rPr>
          <w:rFonts w:ascii="Arial" w:hAnsi="Arial"/>
          <w:i/>
          <w:vertAlign w:val="baseline"/>
        </w:rPr>
        <w:t>Cable</w:t>
      </w:r>
      <w:r>
        <w:rPr>
          <w:rFonts w:ascii="Arial" w:hAnsi="Arial"/>
          <w:i/>
          <w:spacing w:val="-3"/>
          <w:vertAlign w:val="baseline"/>
        </w:rPr>
        <w:t> </w:t>
      </w:r>
      <w:r>
        <w:rPr>
          <w:rFonts w:ascii="Arial" w:hAnsi="Arial"/>
          <w:i/>
          <w:vertAlign w:val="baseline"/>
        </w:rPr>
        <w:t>Management</w:t>
      </w:r>
      <w:r>
        <w:rPr>
          <w:rFonts w:ascii="Arial" w:hAnsi="Arial"/>
          <w:i/>
          <w:spacing w:val="-3"/>
          <w:vertAlign w:val="baseline"/>
        </w:rPr>
        <w:t> </w:t>
      </w:r>
      <w:r>
        <w:rPr>
          <w:rFonts w:ascii="Arial" w:hAnsi="Arial"/>
          <w:i/>
          <w:vertAlign w:val="baseline"/>
        </w:rPr>
        <w:t>Bulgaria</w:t>
      </w:r>
      <w:r>
        <w:rPr>
          <w:rFonts w:ascii="Arial" w:hAnsi="Arial"/>
          <w:i/>
          <w:spacing w:val="-3"/>
          <w:vertAlign w:val="baseline"/>
        </w:rPr>
        <w:t> </w:t>
      </w:r>
      <w:r>
        <w:rPr>
          <w:rFonts w:ascii="Arial" w:hAnsi="Arial"/>
          <w:i/>
          <w:vertAlign w:val="baseline"/>
        </w:rPr>
        <w:t>Eood</w:t>
      </w:r>
      <w:r>
        <w:rPr>
          <w:vertAlign w:val="baseline"/>
        </w:rPr>
        <w:t>,</w:t>
      </w:r>
      <w:r>
        <w:rPr>
          <w:spacing w:val="-3"/>
          <w:vertAlign w:val="baseline"/>
        </w:rPr>
        <w:t> </w:t>
      </w:r>
      <w:r>
        <w:rPr>
          <w:color w:val="005DA1"/>
          <w:u w:val="single" w:color="005DA1"/>
          <w:vertAlign w:val="superscript"/>
        </w:rPr>
        <w:t>1075</w:t>
      </w:r>
      <w:r>
        <w:rPr>
          <w:color w:val="005DA1"/>
          <w:spacing w:val="-3"/>
          <w:vertAlign w:val="baseline"/>
        </w:rPr>
        <w:t> </w:t>
      </w:r>
      <w:r>
        <w:rPr>
          <w:vertAlign w:val="baseline"/>
        </w:rPr>
        <w:t>where</w:t>
      </w:r>
      <w:r>
        <w:rPr>
          <w:spacing w:val="-3"/>
          <w:vertAlign w:val="baseline"/>
        </w:rPr>
        <w:t> </w:t>
      </w:r>
      <w:r>
        <w:rPr>
          <w:vertAlign w:val="baseline"/>
        </w:rPr>
        <w:t>the issue was whether a “side letter” to a contract for the acquisition of shares in a company, gave the claimant (a major shareholder in the company) the right to acquire shares in the purchase company on terms to be agreed. The Court of Appeal held that the side letter was intended to create legal relations,</w:t>
      </w:r>
      <w:r>
        <w:rPr>
          <w:spacing w:val="12"/>
          <w:vertAlign w:val="baseline"/>
        </w:rPr>
        <w:t> </w:t>
      </w:r>
      <w:r>
        <w:rPr>
          <w:color w:val="005DA1"/>
          <w:u w:val="single" w:color="005DA1"/>
          <w:vertAlign w:val="superscript"/>
        </w:rPr>
        <w:t>1076</w:t>
      </w:r>
      <w:r>
        <w:rPr>
          <w:color w:val="005DA1"/>
          <w:spacing w:val="13"/>
          <w:vertAlign w:val="baseline"/>
        </w:rPr>
        <w:t> </w:t>
      </w:r>
      <w:r>
        <w:rPr>
          <w:vertAlign w:val="baseline"/>
        </w:rPr>
        <w:t>but</w:t>
      </w:r>
      <w:r>
        <w:rPr>
          <w:spacing w:val="13"/>
          <w:vertAlign w:val="baseline"/>
        </w:rPr>
        <w:t> </w:t>
      </w:r>
      <w:r>
        <w:rPr>
          <w:vertAlign w:val="baseline"/>
        </w:rPr>
        <w:t>that</w:t>
      </w:r>
      <w:r>
        <w:rPr>
          <w:spacing w:val="12"/>
          <w:vertAlign w:val="baseline"/>
        </w:rPr>
        <w:t> </w:t>
      </w:r>
      <w:r>
        <w:rPr>
          <w:vertAlign w:val="baseline"/>
        </w:rPr>
        <w:t>it</w:t>
      </w:r>
      <w:r>
        <w:rPr>
          <w:spacing w:val="13"/>
          <w:vertAlign w:val="baseline"/>
        </w:rPr>
        <w:t> </w:t>
      </w:r>
      <w:r>
        <w:rPr>
          <w:vertAlign w:val="baseline"/>
        </w:rPr>
        <w:t>did</w:t>
      </w:r>
      <w:r>
        <w:rPr>
          <w:spacing w:val="13"/>
          <w:vertAlign w:val="baseline"/>
        </w:rPr>
        <w:t> </w:t>
      </w:r>
      <w:r>
        <w:rPr>
          <w:vertAlign w:val="baseline"/>
        </w:rPr>
        <w:t>not</w:t>
      </w:r>
      <w:r>
        <w:rPr>
          <w:spacing w:val="13"/>
          <w:vertAlign w:val="baseline"/>
        </w:rPr>
        <w:t> </w:t>
      </w:r>
      <w:r>
        <w:rPr>
          <w:vertAlign w:val="baseline"/>
        </w:rPr>
        <w:t>give</w:t>
      </w:r>
      <w:r>
        <w:rPr>
          <w:spacing w:val="12"/>
          <w:vertAlign w:val="baseline"/>
        </w:rPr>
        <w:t> </w:t>
      </w:r>
      <w:r>
        <w:rPr>
          <w:vertAlign w:val="baseline"/>
        </w:rPr>
        <w:t>rise</w:t>
      </w:r>
      <w:r>
        <w:rPr>
          <w:spacing w:val="13"/>
          <w:vertAlign w:val="baseline"/>
        </w:rPr>
        <w:t> </w:t>
      </w:r>
      <w:r>
        <w:rPr>
          <w:vertAlign w:val="baseline"/>
        </w:rPr>
        <w:t>to</w:t>
      </w:r>
      <w:r>
        <w:rPr>
          <w:spacing w:val="13"/>
          <w:vertAlign w:val="baseline"/>
        </w:rPr>
        <w:t> </w:t>
      </w:r>
      <w:r>
        <w:rPr>
          <w:vertAlign w:val="baseline"/>
        </w:rPr>
        <w:t>a</w:t>
      </w:r>
      <w:r>
        <w:rPr>
          <w:spacing w:val="12"/>
          <w:vertAlign w:val="baseline"/>
        </w:rPr>
        <w:t> </w:t>
      </w:r>
      <w:r>
        <w:rPr>
          <w:vertAlign w:val="baseline"/>
        </w:rPr>
        <w:t>legally</w:t>
      </w:r>
      <w:r>
        <w:rPr>
          <w:spacing w:val="13"/>
          <w:vertAlign w:val="baseline"/>
        </w:rPr>
        <w:t> </w:t>
      </w:r>
      <w:r>
        <w:rPr>
          <w:vertAlign w:val="baseline"/>
        </w:rPr>
        <w:t>binding</w:t>
      </w:r>
      <w:r>
        <w:rPr>
          <w:spacing w:val="13"/>
          <w:vertAlign w:val="baseline"/>
        </w:rPr>
        <w:t> </w:t>
      </w:r>
      <w:r>
        <w:rPr>
          <w:vertAlign w:val="baseline"/>
        </w:rPr>
        <w:t>contract</w:t>
      </w:r>
      <w:r>
        <w:rPr>
          <w:spacing w:val="13"/>
          <w:vertAlign w:val="baseline"/>
        </w:rPr>
        <w:t> </w:t>
      </w:r>
      <w:r>
        <w:rPr>
          <w:vertAlign w:val="baseline"/>
        </w:rPr>
        <w:t>entitling</w:t>
      </w:r>
      <w:r>
        <w:rPr>
          <w:spacing w:val="12"/>
          <w:vertAlign w:val="baseline"/>
        </w:rPr>
        <w:t> </w:t>
      </w:r>
      <w:r>
        <w:rPr>
          <w:vertAlign w:val="baseline"/>
        </w:rPr>
        <w:t>the</w:t>
      </w:r>
      <w:r>
        <w:rPr>
          <w:spacing w:val="13"/>
          <w:vertAlign w:val="baseline"/>
        </w:rPr>
        <w:t> </w:t>
      </w:r>
      <w:r>
        <w:rPr>
          <w:vertAlign w:val="baseline"/>
        </w:rPr>
        <w:t>claimant</w:t>
      </w:r>
      <w:r>
        <w:rPr>
          <w:spacing w:val="13"/>
          <w:vertAlign w:val="baseline"/>
        </w:rPr>
        <w:t> </w:t>
      </w:r>
      <w:r>
        <w:rPr>
          <w:vertAlign w:val="baseline"/>
        </w:rPr>
        <w:t>to</w:t>
      </w:r>
      <w:r>
        <w:rPr>
          <w:spacing w:val="12"/>
          <w:vertAlign w:val="baseline"/>
        </w:rPr>
        <w:t> </w:t>
      </w:r>
      <w:r>
        <w:rPr>
          <w:spacing w:val="-2"/>
          <w:vertAlign w:val="baseline"/>
        </w:rPr>
        <w:t>acquire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the shares in the purchaser company since it was no more than an agreement to agree, </w:t>
      </w:r>
      <w:r>
        <w:rPr>
          <w:color w:val="005DA1"/>
          <w:u w:val="single" w:color="005DA1"/>
          <w:vertAlign w:val="superscript"/>
        </w:rPr>
        <w:t>1077</w:t>
      </w:r>
      <w:r>
        <w:rPr>
          <w:color w:val="005DA1"/>
          <w:vertAlign w:val="baseline"/>
        </w:rPr>
        <w:t> </w:t>
      </w:r>
      <w:r>
        <w:rPr>
          <w:vertAlign w:val="baseline"/>
        </w:rPr>
        <w:t>and </w:t>
      </w:r>
      <w:r>
        <w:rPr>
          <w:rFonts w:ascii="Arial" w:hAnsi="Arial"/>
          <w:i/>
          <w:vertAlign w:val="baseline"/>
        </w:rPr>
        <w:t>also </w:t>
      </w:r>
      <w:r>
        <w:rPr>
          <w:vertAlign w:val="baseline"/>
        </w:rPr>
        <w:t>since</w:t>
      </w:r>
      <w:r>
        <w:rPr>
          <w:spacing w:val="-3"/>
          <w:vertAlign w:val="baseline"/>
        </w:rPr>
        <w:t> </w:t>
      </w:r>
      <w:r>
        <w:rPr>
          <w:vertAlign w:val="baseline"/>
        </w:rPr>
        <w:t>many</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essential</w:t>
      </w:r>
      <w:r>
        <w:rPr>
          <w:spacing w:val="-3"/>
          <w:vertAlign w:val="baseline"/>
        </w:rPr>
        <w:t> </w:t>
      </w:r>
      <w:r>
        <w:rPr>
          <w:vertAlign w:val="baseline"/>
        </w:rPr>
        <w:t>terms</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alleged</w:t>
      </w:r>
      <w:r>
        <w:rPr>
          <w:spacing w:val="-3"/>
          <w:vertAlign w:val="baseline"/>
        </w:rPr>
        <w:t> </w:t>
      </w:r>
      <w:r>
        <w:rPr>
          <w:vertAlign w:val="baseline"/>
        </w:rPr>
        <w:t>contract</w:t>
      </w:r>
      <w:r>
        <w:rPr>
          <w:spacing w:val="-3"/>
          <w:vertAlign w:val="baseline"/>
        </w:rPr>
        <w:t> </w:t>
      </w:r>
      <w:r>
        <w:rPr>
          <w:vertAlign w:val="baseline"/>
        </w:rPr>
        <w:t>had</w:t>
      </w:r>
      <w:r>
        <w:rPr>
          <w:spacing w:val="-3"/>
          <w:vertAlign w:val="baseline"/>
        </w:rPr>
        <w:t> </w:t>
      </w:r>
      <w:r>
        <w:rPr>
          <w:vertAlign w:val="baseline"/>
        </w:rPr>
        <w:t>not</w:t>
      </w:r>
      <w:r>
        <w:rPr>
          <w:spacing w:val="-3"/>
          <w:vertAlign w:val="baseline"/>
        </w:rPr>
        <w:t> </w:t>
      </w:r>
      <w:r>
        <w:rPr>
          <w:vertAlign w:val="baseline"/>
        </w:rPr>
        <w:t>been</w:t>
      </w:r>
      <w:r>
        <w:rPr>
          <w:spacing w:val="-3"/>
          <w:vertAlign w:val="baseline"/>
        </w:rPr>
        <w:t> </w:t>
      </w:r>
      <w:r>
        <w:rPr>
          <w:vertAlign w:val="baseline"/>
        </w:rPr>
        <w:t>agreed.</w:t>
      </w:r>
      <w:r>
        <w:rPr>
          <w:spacing w:val="-4"/>
          <w:vertAlign w:val="baseline"/>
        </w:rPr>
        <w:t> </w:t>
      </w:r>
      <w:r>
        <w:rPr>
          <w:color w:val="005DA1"/>
          <w:u w:val="single" w:color="005DA1"/>
          <w:vertAlign w:val="superscript"/>
        </w:rPr>
        <w:t>1078</w:t>
      </w:r>
      <w:r>
        <w:rPr>
          <w:color w:val="005DA1"/>
          <w:spacing w:val="-3"/>
          <w:vertAlign w:val="baseline"/>
        </w:rPr>
        <w:t> </w:t>
      </w:r>
      <w:r>
        <w:rPr>
          <w:vertAlign w:val="baseline"/>
        </w:rPr>
        <w:t>While</w:t>
      </w:r>
      <w:r>
        <w:rPr>
          <w:spacing w:val="-3"/>
          <w:vertAlign w:val="baseline"/>
        </w:rPr>
        <w:t> </w:t>
      </w:r>
      <w:r>
        <w:rPr>
          <w:vertAlign w:val="baseline"/>
        </w:rPr>
        <w:t>the</w:t>
      </w:r>
      <w:r>
        <w:rPr>
          <w:spacing w:val="-3"/>
          <w:vertAlign w:val="baseline"/>
        </w:rPr>
        <w:t> </w:t>
      </w:r>
      <w:r>
        <w:rPr>
          <w:vertAlign w:val="baseline"/>
        </w:rPr>
        <w:t>issues</w:t>
      </w:r>
      <w:r>
        <w:rPr>
          <w:spacing w:val="-3"/>
          <w:vertAlign w:val="baseline"/>
        </w:rPr>
        <w:t> </w:t>
      </w:r>
      <w:r>
        <w:rPr>
          <w:vertAlign w:val="baseline"/>
        </w:rPr>
        <w:t>of contractual intention and vagueness are conceptually distinct, they may overlap in borderline cases </w:t>
      </w:r>
      <w:r>
        <w:rPr>
          <w:color w:val="005DA1"/>
          <w:u w:val="single" w:color="005DA1"/>
          <w:vertAlign w:val="superscript"/>
        </w:rPr>
        <w:t>1079</w:t>
      </w:r>
      <w:r>
        <w:rPr>
          <w:vertAlign w:val="baseline"/>
        </w:rPr>
        <w:t>;</w:t>
      </w:r>
      <w:r>
        <w:rPr>
          <w:spacing w:val="-1"/>
          <w:vertAlign w:val="baseline"/>
        </w:rPr>
        <w:t> </w:t>
      </w:r>
      <w:r>
        <w:rPr>
          <w:vertAlign w:val="baseline"/>
        </w:rPr>
        <w:t>the</w:t>
      </w:r>
      <w:r>
        <w:rPr>
          <w:spacing w:val="-1"/>
          <w:vertAlign w:val="baseline"/>
        </w:rPr>
        <w:t> </w:t>
      </w:r>
      <w:r>
        <w:rPr>
          <w:vertAlign w:val="baseline"/>
        </w:rPr>
        <w:t>question</w:t>
      </w:r>
      <w:r>
        <w:rPr>
          <w:spacing w:val="-1"/>
          <w:vertAlign w:val="baseline"/>
        </w:rPr>
        <w:t> </w:t>
      </w:r>
      <w:r>
        <w:rPr>
          <w:vertAlign w:val="baseline"/>
        </w:rPr>
        <w:t>whether</w:t>
      </w:r>
      <w:r>
        <w:rPr>
          <w:spacing w:val="-1"/>
          <w:vertAlign w:val="baseline"/>
        </w:rPr>
        <w:t> </w:t>
      </w:r>
      <w:r>
        <w:rPr>
          <w:vertAlign w:val="baseline"/>
        </w:rPr>
        <w:t>an</w:t>
      </w:r>
      <w:r>
        <w:rPr>
          <w:spacing w:val="-1"/>
          <w:vertAlign w:val="baseline"/>
        </w:rPr>
        <w:t> </w:t>
      </w:r>
      <w:r>
        <w:rPr>
          <w:vertAlign w:val="baseline"/>
        </w:rPr>
        <w:t>agreement</w:t>
      </w:r>
      <w:r>
        <w:rPr>
          <w:spacing w:val="-1"/>
          <w:vertAlign w:val="baseline"/>
        </w:rPr>
        <w:t> </w:t>
      </w:r>
      <w:r>
        <w:rPr>
          <w:vertAlign w:val="baseline"/>
        </w:rPr>
        <w:t>exists</w:t>
      </w:r>
      <w:r>
        <w:rPr>
          <w:spacing w:val="-1"/>
          <w:vertAlign w:val="baseline"/>
        </w:rPr>
        <w:t> </w:t>
      </w:r>
      <w:r>
        <w:rPr>
          <w:vertAlign w:val="baseline"/>
        </w:rPr>
        <w:t>will</w:t>
      </w:r>
      <w:r>
        <w:rPr>
          <w:spacing w:val="-1"/>
          <w:vertAlign w:val="baseline"/>
        </w:rPr>
        <w:t> </w:t>
      </w:r>
      <w:r>
        <w:rPr>
          <w:vertAlign w:val="baseline"/>
        </w:rPr>
        <w:t>depend</w:t>
      </w:r>
      <w:r>
        <w:rPr>
          <w:spacing w:val="-1"/>
          <w:vertAlign w:val="baseline"/>
        </w:rPr>
        <w:t> </w:t>
      </w:r>
      <w:r>
        <w:rPr>
          <w:vertAlign w:val="baseline"/>
        </w:rPr>
        <w:t>on</w:t>
      </w:r>
      <w:r>
        <w:rPr>
          <w:spacing w:val="-1"/>
          <w:vertAlign w:val="baseline"/>
        </w:rPr>
        <w:t> </w:t>
      </w:r>
      <w:r>
        <w:rPr>
          <w:vertAlign w:val="baseline"/>
        </w:rPr>
        <w:t>the</w:t>
      </w:r>
      <w:r>
        <w:rPr>
          <w:spacing w:val="-1"/>
          <w:vertAlign w:val="baseline"/>
        </w:rPr>
        <w:t> </w:t>
      </w:r>
      <w:r>
        <w:rPr>
          <w:vertAlign w:val="baseline"/>
        </w:rPr>
        <w:t>degree</w:t>
      </w:r>
      <w:r>
        <w:rPr>
          <w:spacing w:val="-1"/>
          <w:vertAlign w:val="baseline"/>
        </w:rPr>
        <w:t> </w:t>
      </w:r>
      <w:r>
        <w:rPr>
          <w:vertAlign w:val="baseline"/>
        </w:rPr>
        <w:t>of</w:t>
      </w:r>
      <w:r>
        <w:rPr>
          <w:spacing w:val="-1"/>
          <w:vertAlign w:val="baseline"/>
        </w:rPr>
        <w:t> </w:t>
      </w:r>
      <w:r>
        <w:rPr>
          <w:vertAlign w:val="baseline"/>
        </w:rPr>
        <w:t>vagueness</w:t>
      </w:r>
      <w:r>
        <w:rPr>
          <w:spacing w:val="-1"/>
          <w:vertAlign w:val="baseline"/>
        </w:rPr>
        <w:t> </w:t>
      </w:r>
      <w:r>
        <w:rPr>
          <w:vertAlign w:val="baseline"/>
        </w:rPr>
        <w:t>or</w:t>
      </w:r>
      <w:r>
        <w:rPr>
          <w:spacing w:val="-1"/>
          <w:vertAlign w:val="baseline"/>
        </w:rPr>
        <w:t> </w:t>
      </w:r>
      <w:r>
        <w:rPr>
          <w:vertAlign w:val="baseline"/>
        </w:rPr>
        <w:t>on</w:t>
      </w:r>
      <w:r>
        <w:rPr>
          <w:spacing w:val="-1"/>
          <w:vertAlign w:val="baseline"/>
        </w:rPr>
        <w:t> </w:t>
      </w:r>
      <w:r>
        <w:rPr>
          <w:vertAlign w:val="baseline"/>
        </w:rPr>
        <w:t>whether the vagueness can be resolved, e.g. by applying the standard of reasonableness. In one case “the absence of any intention to create legal relations”</w:t>
      </w:r>
      <w:r>
        <w:rPr>
          <w:spacing w:val="-1"/>
          <w:vertAlign w:val="baseline"/>
        </w:rPr>
        <w:t> </w:t>
      </w:r>
      <w:r>
        <w:rPr>
          <w:color w:val="005DA1"/>
          <w:u w:val="single" w:color="005DA1"/>
          <w:vertAlign w:val="superscript"/>
        </w:rPr>
        <w:t>1080</w:t>
      </w:r>
      <w:r>
        <w:rPr>
          <w:color w:val="005DA1"/>
          <w:vertAlign w:val="baseline"/>
        </w:rPr>
        <w:t> </w:t>
      </w:r>
      <w:r>
        <w:rPr>
          <w:vertAlign w:val="baseline"/>
        </w:rPr>
        <w:t>was said to have been a ground for holding that no agreement ever came into existence. Thus, contractual intention may be negatived on the ground of vagueness where the claim is based, not on an express agreement, but on one alleged to be implied from conduct. </w:t>
      </w:r>
      <w:r>
        <w:rPr>
          <w:color w:val="005DA1"/>
          <w:u w:val="single" w:color="005DA1"/>
          <w:vertAlign w:val="superscript"/>
        </w:rPr>
        <w:t>1081</w:t>
      </w:r>
    </w:p>
    <w:p>
      <w:pPr>
        <w:pStyle w:val="BodyText"/>
      </w:pPr>
    </w:p>
    <w:p>
      <w:pPr>
        <w:pStyle w:val="BodyText"/>
        <w:spacing w:before="35"/>
      </w:pPr>
    </w:p>
    <w:p>
      <w:pPr>
        <w:spacing w:before="0"/>
        <w:ind w:left="165" w:right="0" w:firstLine="0"/>
        <w:jc w:val="both"/>
        <w:rPr>
          <w:rFonts w:ascii="Arial"/>
          <w:b/>
          <w:sz w:val="18"/>
        </w:rPr>
      </w:pPr>
      <w:r>
        <w:rPr>
          <w:rFonts w:ascii="Arial"/>
          <w:b/>
          <w:sz w:val="18"/>
        </w:rPr>
        <w:t>Statements made in jest or </w:t>
      </w:r>
      <w:r>
        <w:rPr>
          <w:rFonts w:ascii="Arial"/>
          <w:b/>
          <w:spacing w:val="-2"/>
          <w:sz w:val="18"/>
        </w:rPr>
        <w:t>anger</w:t>
      </w:r>
    </w:p>
    <w:p>
      <w:pPr>
        <w:pStyle w:val="BodyText"/>
        <w:spacing w:before="42"/>
        <w:rPr>
          <w:rFonts w:ascii="Arial"/>
          <w:b/>
          <w:sz w:val="18"/>
        </w:rPr>
      </w:pPr>
    </w:p>
    <w:p>
      <w:pPr>
        <w:pStyle w:val="Heading2"/>
      </w:pPr>
      <w:r>
        <w:rPr/>
        <w:t>2-</w:t>
      </w:r>
      <w:r>
        <w:rPr>
          <w:spacing w:val="-5"/>
        </w:rPr>
        <w:t>195</w:t>
      </w:r>
    </w:p>
    <w:p>
      <w:pPr>
        <w:pStyle w:val="BodyText"/>
        <w:spacing w:line="235" w:lineRule="auto" w:before="202"/>
        <w:ind w:left="165" w:right="167"/>
        <w:jc w:val="both"/>
      </w:pPr>
      <w:r>
        <w:rPr/>
        <w:t>Contractual</w:t>
      </w:r>
      <w:r>
        <w:rPr>
          <w:spacing w:val="-1"/>
        </w:rPr>
        <w:t> </w:t>
      </w:r>
      <w:r>
        <w:rPr/>
        <w:t>intention</w:t>
      </w:r>
      <w:r>
        <w:rPr>
          <w:spacing w:val="-1"/>
        </w:rPr>
        <w:t> </w:t>
      </w:r>
      <w:r>
        <w:rPr/>
        <w:t>may</w:t>
      </w:r>
      <w:r>
        <w:rPr>
          <w:spacing w:val="-1"/>
        </w:rPr>
        <w:t> </w:t>
      </w:r>
      <w:r>
        <w:rPr/>
        <w:t>be</w:t>
      </w:r>
      <w:r>
        <w:rPr>
          <w:spacing w:val="-1"/>
        </w:rPr>
        <w:t> </w:t>
      </w:r>
      <w:r>
        <w:rPr/>
        <w:t>negatived</w:t>
      </w:r>
      <w:r>
        <w:rPr>
          <w:spacing w:val="-1"/>
        </w:rPr>
        <w:t> </w:t>
      </w:r>
      <w:r>
        <w:rPr/>
        <w:t>by</w:t>
      </w:r>
      <w:r>
        <w:rPr>
          <w:spacing w:val="-1"/>
        </w:rPr>
        <w:t> </w:t>
      </w:r>
      <w:r>
        <w:rPr/>
        <w:t>the</w:t>
      </w:r>
      <w:r>
        <w:rPr>
          <w:spacing w:val="-1"/>
        </w:rPr>
        <w:t> </w:t>
      </w:r>
      <w:r>
        <w:rPr/>
        <w:t>fact</w:t>
      </w:r>
      <w:r>
        <w:rPr>
          <w:spacing w:val="-1"/>
        </w:rPr>
        <w:t> </w:t>
      </w:r>
      <w:r>
        <w:rPr/>
        <w:t>that</w:t>
      </w:r>
      <w:r>
        <w:rPr>
          <w:spacing w:val="-1"/>
        </w:rPr>
        <w:t> </w:t>
      </w:r>
      <w:r>
        <w:rPr/>
        <w:t>the</w:t>
      </w:r>
      <w:r>
        <w:rPr>
          <w:spacing w:val="-1"/>
        </w:rPr>
        <w:t> </w:t>
      </w:r>
      <w:r>
        <w:rPr/>
        <w:t>statement</w:t>
      </w:r>
      <w:r>
        <w:rPr>
          <w:spacing w:val="-1"/>
        </w:rPr>
        <w:t> </w:t>
      </w:r>
      <w:r>
        <w:rPr/>
        <w:t>is</w:t>
      </w:r>
      <w:r>
        <w:rPr>
          <w:spacing w:val="-1"/>
        </w:rPr>
        <w:t> </w:t>
      </w:r>
      <w:r>
        <w:rPr/>
        <w:t>made</w:t>
      </w:r>
      <w:r>
        <w:rPr>
          <w:spacing w:val="-1"/>
        </w:rPr>
        <w:t> </w:t>
      </w:r>
      <w:r>
        <w:rPr/>
        <w:t>in</w:t>
      </w:r>
      <w:r>
        <w:rPr>
          <w:spacing w:val="-1"/>
        </w:rPr>
        <w:t> </w:t>
      </w:r>
      <w:r>
        <w:rPr/>
        <w:t>jest</w:t>
      </w:r>
      <w:r>
        <w:rPr>
          <w:spacing w:val="-1"/>
        </w:rPr>
        <w:t> </w:t>
      </w:r>
      <w:r>
        <w:rPr/>
        <w:t>or</w:t>
      </w:r>
      <w:r>
        <w:rPr>
          <w:spacing w:val="-1"/>
        </w:rPr>
        <w:t> </w:t>
      </w:r>
      <w:r>
        <w:rPr/>
        <w:t>anger,</w:t>
      </w:r>
      <w:r>
        <w:rPr>
          <w:spacing w:val="-1"/>
        </w:rPr>
        <w:t> </w:t>
      </w:r>
      <w:r>
        <w:rPr/>
        <w:t>at</w:t>
      </w:r>
      <w:r>
        <w:rPr>
          <w:spacing w:val="-1"/>
        </w:rPr>
        <w:t> </w:t>
      </w:r>
      <w:r>
        <w:rPr/>
        <w:t>least if this fact is obvious to the person to whom the statement is made. </w:t>
      </w:r>
      <w:r>
        <w:rPr>
          <w:color w:val="005DA1"/>
          <w:u w:val="single" w:color="005DA1"/>
          <w:vertAlign w:val="superscript"/>
        </w:rPr>
        <w:t>1082</w:t>
      </w:r>
      <w:r>
        <w:rPr>
          <w:color w:val="005DA1"/>
          <w:vertAlign w:val="baseline"/>
        </w:rPr>
        <w:t> </w:t>
      </w:r>
      <w:r>
        <w:rPr>
          <w:vertAlign w:val="baseline"/>
        </w:rPr>
        <w:t>Thus in </w:t>
      </w:r>
      <w:r>
        <w:rPr>
          <w:rFonts w:ascii="Arial" w:hAnsi="Arial"/>
          <w:i/>
          <w:vertAlign w:val="baseline"/>
        </w:rPr>
        <w:t>Licences Insurance Corporation v Lawson </w:t>
      </w:r>
      <w:r>
        <w:rPr>
          <w:color w:val="005DA1"/>
          <w:u w:val="single" w:color="005DA1"/>
          <w:vertAlign w:val="superscript"/>
        </w:rPr>
        <w:t>1083</w:t>
      </w:r>
      <w:r>
        <w:rPr>
          <w:color w:val="005DA1"/>
          <w:vertAlign w:val="baseline"/>
        </w:rPr>
        <w:t> </w:t>
      </w:r>
      <w:r>
        <w:rPr>
          <w:vertAlign w:val="baseline"/>
        </w:rPr>
        <w:t>the defendant was a director of Company A and of Company B. Company A held shares in Company B and resolved, in the defendant’s absence, to sell them. At a later</w:t>
      </w:r>
      <w:r>
        <w:rPr>
          <w:spacing w:val="40"/>
          <w:vertAlign w:val="baseline"/>
        </w:rPr>
        <w:t> </w:t>
      </w:r>
      <w:r>
        <w:rPr>
          <w:vertAlign w:val="baseline"/>
        </w:rPr>
        <w:t>meeting this resolution was rescinded after a heated discussion, during which the defendant said that he would make good any loss which Company A might suffer if it kept the shares. It was held that the defendant was not liable on this undertaking. Nobody at the meeting regarded it as a contract; it was not recorded as such in the minute book; and the defendant’s fellow-directors at most thought that he was bound in honour.</w:t>
      </w:r>
    </w:p>
    <w:p>
      <w:pPr>
        <w:pStyle w:val="BodyText"/>
      </w:pPr>
    </w:p>
    <w:p>
      <w:pPr>
        <w:pStyle w:val="BodyText"/>
        <w:spacing w:before="35"/>
      </w:pPr>
    </w:p>
    <w:p>
      <w:pPr>
        <w:spacing w:before="1"/>
        <w:ind w:left="165" w:right="0" w:firstLine="0"/>
        <w:jc w:val="left"/>
        <w:rPr>
          <w:rFonts w:ascii="Arial"/>
          <w:b/>
          <w:sz w:val="18"/>
        </w:rPr>
      </w:pPr>
      <w:r>
        <w:rPr>
          <w:rFonts w:ascii="Arial"/>
          <w:b/>
          <w:sz w:val="18"/>
        </w:rPr>
        <w:t>Other </w:t>
      </w:r>
      <w:r>
        <w:rPr>
          <w:rFonts w:ascii="Arial"/>
          <w:b/>
          <w:spacing w:val="-2"/>
          <w:sz w:val="18"/>
        </w:rPr>
        <w:t>cases</w:t>
      </w:r>
    </w:p>
    <w:p>
      <w:pPr>
        <w:pStyle w:val="BodyText"/>
        <w:spacing w:before="41"/>
        <w:rPr>
          <w:rFonts w:ascii="Arial"/>
          <w:b/>
          <w:sz w:val="18"/>
        </w:rPr>
      </w:pPr>
    </w:p>
    <w:p>
      <w:pPr>
        <w:pStyle w:val="Heading2"/>
      </w:pPr>
      <w:r>
        <w:rPr/>
        <w:t>2-</w:t>
      </w:r>
      <w:r>
        <w:rPr>
          <w:spacing w:val="-5"/>
        </w:rPr>
        <w:t>196</w:t>
      </w:r>
    </w:p>
    <w:p>
      <w:pPr>
        <w:pStyle w:val="BodyText"/>
        <w:spacing w:line="235" w:lineRule="auto" w:before="203"/>
        <w:ind w:left="164" w:right="167"/>
        <w:jc w:val="both"/>
      </w:pPr>
      <w:r>
        <w:rPr/>
        <w:t>The cases in which there is no intention to create legal relations cannot be exhaustively </w:t>
      </w:r>
      <w:r>
        <w:rPr/>
        <w:t>classified. Contractual intention may, for example, be negatived by evidence that “the agreement was a goodwill agreement … made without any intention of creating legal relations”, </w:t>
      </w:r>
      <w:r>
        <w:rPr>
          <w:color w:val="005DA1"/>
          <w:u w:val="single" w:color="005DA1"/>
          <w:vertAlign w:val="superscript"/>
        </w:rPr>
        <w:t>1084</w:t>
      </w:r>
      <w:r>
        <w:rPr>
          <w:color w:val="005DA1"/>
          <w:vertAlign w:val="baseline"/>
        </w:rPr>
        <w:t> </w:t>
      </w:r>
      <w:r>
        <w:rPr>
          <w:vertAlign w:val="baseline"/>
        </w:rPr>
        <w:t>that it was a sham, made with “no intention … to create bona fide legal relations”, </w:t>
      </w:r>
      <w:r>
        <w:rPr>
          <w:color w:val="005DA1"/>
          <w:u w:val="single" w:color="005DA1"/>
          <w:vertAlign w:val="superscript"/>
        </w:rPr>
        <w:t>1085</w:t>
      </w:r>
      <w:r>
        <w:rPr>
          <w:color w:val="005DA1"/>
          <w:vertAlign w:val="baseline"/>
        </w:rPr>
        <w:t> </w:t>
      </w:r>
      <w:r>
        <w:rPr>
          <w:vertAlign w:val="baseline"/>
        </w:rPr>
        <w:t>that it formed part of a course of conduct that was “just an act or a role-play”, </w:t>
      </w:r>
      <w:r>
        <w:rPr>
          <w:color w:val="005DA1"/>
          <w:u w:val="single" w:color="005DA1"/>
          <w:vertAlign w:val="superscript"/>
        </w:rPr>
        <w:t>1086</w:t>
      </w:r>
      <w:r>
        <w:rPr>
          <w:color w:val="005DA1"/>
          <w:vertAlign w:val="baseline"/>
        </w:rPr>
        <w:t> </w:t>
      </w:r>
      <w:r>
        <w:rPr>
          <w:vertAlign w:val="baseline"/>
        </w:rPr>
        <w:t>and that the parties had not yet completed the contractual negotiations. </w:t>
      </w:r>
      <w:r>
        <w:rPr>
          <w:color w:val="005DA1"/>
          <w:u w:val="single" w:color="005DA1"/>
          <w:vertAlign w:val="superscript"/>
        </w:rPr>
        <w:t>1087</w:t>
      </w:r>
      <w:r>
        <w:rPr>
          <w:color w:val="005DA1"/>
          <w:vertAlign w:val="baseline"/>
        </w:rPr>
        <w:t> </w:t>
      </w:r>
      <w:r>
        <w:rPr>
          <w:vertAlign w:val="baseline"/>
        </w:rPr>
        <w:t>Many other disparate factors can lead to the same conclusion: for example, where an agreement was made that a landlord would not enforce an order for possession against a tenant who had fallen into arrears with her rent, it was held that this agreement did not create a new tenancy as the parties “plainly did not [so] intend” </w:t>
      </w:r>
      <w:r>
        <w:rPr>
          <w:color w:val="005DA1"/>
          <w:u w:val="single" w:color="005DA1"/>
          <w:vertAlign w:val="superscript"/>
        </w:rPr>
        <w:t>1088</w:t>
      </w:r>
      <w:r>
        <w:rPr>
          <w:vertAlign w:val="baseline"/>
        </w:rPr>
        <w:t>: the agreement merely had the effect of turning the tenant into a “tolerated trespasser”. </w:t>
      </w:r>
      <w:r>
        <w:rPr>
          <w:color w:val="005DA1"/>
          <w:u w:val="single" w:color="005DA1"/>
          <w:vertAlign w:val="superscript"/>
        </w:rPr>
        <w:t>1089</w:t>
      </w:r>
    </w:p>
    <w:p>
      <w:pPr>
        <w:pStyle w:val="BodyText"/>
        <w:spacing w:before="77"/>
      </w:pPr>
    </w:p>
    <w:p>
      <w:pPr>
        <w:pStyle w:val="Heading2"/>
      </w:pPr>
      <w:r>
        <w:rPr/>
        <w:t>2-</w:t>
      </w:r>
      <w:r>
        <w:rPr>
          <w:spacing w:val="-5"/>
        </w:rPr>
        <w:t>197</w:t>
      </w:r>
    </w:p>
    <w:p>
      <w:pPr>
        <w:pStyle w:val="BodyText"/>
        <w:spacing w:line="235" w:lineRule="auto" w:before="203"/>
        <w:ind w:left="165" w:right="167"/>
        <w:jc w:val="both"/>
      </w:pPr>
      <w:r>
        <w:rPr/>
        <w:t>The cases on this topic, </w:t>
      </w:r>
      <w:r>
        <w:rPr>
          <w:color w:val="005DA1"/>
          <w:u w:val="single" w:color="005DA1"/>
          <w:vertAlign w:val="superscript"/>
        </w:rPr>
        <w:t>1090</w:t>
      </w:r>
      <w:r>
        <w:rPr>
          <w:color w:val="005DA1"/>
          <w:vertAlign w:val="baseline"/>
        </w:rPr>
        <w:t> </w:t>
      </w:r>
      <w:r>
        <w:rPr>
          <w:vertAlign w:val="baseline"/>
        </w:rPr>
        <w:t>and in particular those discussed in paras 2-194 to 2-1958 above, </w:t>
      </w:r>
      <w:r>
        <w:rPr>
          <w:vertAlign w:val="baseline"/>
        </w:rPr>
        <w:t>show that the question of contractual intention is, in the last resort, one of fact </w:t>
      </w:r>
      <w:r>
        <w:rPr>
          <w:color w:val="005DA1"/>
          <w:u w:val="single" w:color="005DA1"/>
          <w:vertAlign w:val="superscript"/>
        </w:rPr>
        <w:t>1091</w:t>
      </w:r>
      <w:r>
        <w:rPr>
          <w:vertAlign w:val="baseline"/>
        </w:rPr>
        <w:t>; and in doubtful cases its resolution depends, in particular, on the incidence of the burden of proof and on the objective test which generally determines the issue. These points have already been discussed </w:t>
      </w:r>
      <w:r>
        <w:rPr>
          <w:color w:val="005DA1"/>
          <w:u w:val="single" w:color="005DA1"/>
          <w:vertAlign w:val="superscript"/>
        </w:rPr>
        <w:t>1092</w:t>
      </w:r>
      <w:r>
        <w:rPr>
          <w:vertAlign w:val="baseline"/>
        </w:rPr>
        <w:t>; they help to explain two controversial decisions, in each of which there was a difference of judicial opinion on the issue of contractual intention.</w:t>
      </w:r>
    </w:p>
    <w:p>
      <w:pPr>
        <w:pStyle w:val="BodyText"/>
        <w:spacing w:before="79"/>
      </w:pPr>
    </w:p>
    <w:p>
      <w:pPr>
        <w:pStyle w:val="Heading2"/>
      </w:pPr>
      <w:r>
        <w:rPr/>
        <w:t>2-</w:t>
      </w:r>
      <w:r>
        <w:rPr>
          <w:spacing w:val="-5"/>
        </w:rPr>
        <w:t>198</w:t>
      </w:r>
    </w:p>
    <w:p>
      <w:pPr>
        <w:pStyle w:val="BodyText"/>
        <w:spacing w:line="235" w:lineRule="auto" w:before="203"/>
        <w:ind w:left="165" w:right="167"/>
        <w:jc w:val="both"/>
      </w:pPr>
      <w:r>
        <w:rPr/>
        <w:t>The first is </w:t>
      </w:r>
      <w:r>
        <w:rPr>
          <w:rFonts w:ascii="Arial" w:hAnsi="Arial"/>
          <w:i/>
        </w:rPr>
        <w:t>Esso Petroleum Ltd v Commissioners of Customs and Excise</w:t>
      </w:r>
      <w:r>
        <w:rPr/>
        <w:t>. </w:t>
      </w:r>
      <w:r>
        <w:rPr>
          <w:color w:val="005DA1"/>
          <w:u w:val="single" w:color="005DA1"/>
          <w:vertAlign w:val="superscript"/>
        </w:rPr>
        <w:t>1093</w:t>
      </w:r>
      <w:r>
        <w:rPr>
          <w:color w:val="005DA1"/>
          <w:vertAlign w:val="baseline"/>
        </w:rPr>
        <w:t> </w:t>
      </w:r>
      <w:r>
        <w:rPr>
          <w:vertAlign w:val="baseline"/>
        </w:rPr>
        <w:t>Esso supplied garages with</w:t>
      </w:r>
      <w:r>
        <w:rPr>
          <w:spacing w:val="-2"/>
          <w:vertAlign w:val="baseline"/>
        </w:rPr>
        <w:t> </w:t>
      </w:r>
      <w:r>
        <w:rPr>
          <w:vertAlign w:val="baseline"/>
        </w:rPr>
        <w:t>tokens</w:t>
      </w:r>
      <w:r>
        <w:rPr>
          <w:spacing w:val="-2"/>
          <w:vertAlign w:val="baseline"/>
        </w:rPr>
        <w:t> </w:t>
      </w:r>
      <w:r>
        <w:rPr>
          <w:vertAlign w:val="baseline"/>
        </w:rPr>
        <w:t>called</w:t>
      </w:r>
      <w:r>
        <w:rPr>
          <w:spacing w:val="-2"/>
          <w:vertAlign w:val="baseline"/>
        </w:rPr>
        <w:t> </w:t>
      </w:r>
      <w:r>
        <w:rPr>
          <w:vertAlign w:val="baseline"/>
        </w:rPr>
        <w:t>“World</w:t>
      </w:r>
      <w:r>
        <w:rPr>
          <w:spacing w:val="-2"/>
          <w:vertAlign w:val="baseline"/>
        </w:rPr>
        <w:t> </w:t>
      </w:r>
      <w:r>
        <w:rPr>
          <w:vertAlign w:val="baseline"/>
        </w:rPr>
        <w:t>Cup</w:t>
      </w:r>
      <w:r>
        <w:rPr>
          <w:spacing w:val="-2"/>
          <w:vertAlign w:val="baseline"/>
        </w:rPr>
        <w:t> </w:t>
      </w:r>
      <w:r>
        <w:rPr>
          <w:vertAlign w:val="baseline"/>
        </w:rPr>
        <w:t>coins,”</w:t>
      </w:r>
      <w:r>
        <w:rPr>
          <w:spacing w:val="-2"/>
          <w:vertAlign w:val="baseline"/>
        </w:rPr>
        <w:t> </w:t>
      </w:r>
      <w:r>
        <w:rPr>
          <w:vertAlign w:val="baseline"/>
        </w:rPr>
        <w:t>instructing</w:t>
      </w:r>
      <w:r>
        <w:rPr>
          <w:spacing w:val="-2"/>
          <w:vertAlign w:val="baseline"/>
        </w:rPr>
        <w:t> </w:t>
      </w:r>
      <w:r>
        <w:rPr>
          <w:vertAlign w:val="baseline"/>
        </w:rPr>
        <w:t>them</w:t>
      </w:r>
      <w:r>
        <w:rPr>
          <w:spacing w:val="-2"/>
          <w:vertAlign w:val="baseline"/>
        </w:rPr>
        <w:t> </w:t>
      </w:r>
      <w:r>
        <w:rPr>
          <w:vertAlign w:val="baseline"/>
        </w:rPr>
        <w:t>to</w:t>
      </w:r>
      <w:r>
        <w:rPr>
          <w:spacing w:val="-2"/>
          <w:vertAlign w:val="baseline"/>
        </w:rPr>
        <w:t> </w:t>
      </w:r>
      <w:r>
        <w:rPr>
          <w:vertAlign w:val="baseline"/>
        </w:rPr>
        <w:t>give</w:t>
      </w:r>
      <w:r>
        <w:rPr>
          <w:spacing w:val="-2"/>
          <w:vertAlign w:val="baseline"/>
        </w:rPr>
        <w:t> </w:t>
      </w:r>
      <w:r>
        <w:rPr>
          <w:vertAlign w:val="baseline"/>
        </w:rPr>
        <w:t>away</w:t>
      </w:r>
      <w:r>
        <w:rPr>
          <w:spacing w:val="-2"/>
          <w:vertAlign w:val="baseline"/>
        </w:rPr>
        <w:t> </w:t>
      </w:r>
      <w:r>
        <w:rPr>
          <w:vertAlign w:val="baseline"/>
        </w:rPr>
        <w:t>one</w:t>
      </w:r>
      <w:r>
        <w:rPr>
          <w:spacing w:val="-2"/>
          <w:vertAlign w:val="baseline"/>
        </w:rPr>
        <w:t> </w:t>
      </w:r>
      <w:r>
        <w:rPr>
          <w:vertAlign w:val="baseline"/>
        </w:rPr>
        <w:t>coin</w:t>
      </w:r>
      <w:r>
        <w:rPr>
          <w:spacing w:val="-2"/>
          <w:vertAlign w:val="baseline"/>
        </w:rPr>
        <w:t> </w:t>
      </w:r>
      <w:r>
        <w:rPr>
          <w:vertAlign w:val="baseline"/>
        </w:rPr>
        <w:t>with</w:t>
      </w:r>
      <w:r>
        <w:rPr>
          <w:spacing w:val="-2"/>
          <w:vertAlign w:val="baseline"/>
        </w:rPr>
        <w:t> </w:t>
      </w:r>
      <w:r>
        <w:rPr>
          <w:vertAlign w:val="baseline"/>
        </w:rPr>
        <w:t>every</w:t>
      </w:r>
      <w:r>
        <w:rPr>
          <w:spacing w:val="-2"/>
          <w:vertAlign w:val="baseline"/>
        </w:rPr>
        <w:t> </w:t>
      </w:r>
      <w:r>
        <w:rPr>
          <w:vertAlign w:val="baseline"/>
        </w:rPr>
        <w:t>four</w:t>
      </w:r>
      <w:r>
        <w:rPr>
          <w:spacing w:val="-2"/>
          <w:vertAlign w:val="baseline"/>
        </w:rPr>
        <w:t> </w:t>
      </w:r>
      <w:r>
        <w:rPr>
          <w:vertAlign w:val="baseline"/>
        </w:rPr>
        <w:t>gallons</w:t>
      </w:r>
      <w:r>
        <w:rPr>
          <w:spacing w:val="-2"/>
          <w:vertAlign w:val="baseline"/>
        </w:rPr>
        <w:t> </w:t>
      </w:r>
      <w:r>
        <w:rPr>
          <w:vertAlign w:val="baseline"/>
        </w:rPr>
        <w:t>of petrol sold. The scheme was advertised by Esso and also on posters displayed by garages. By a majority of four to one, the House of Lords held that there was no “sale” of the coins; but that majority was equally divided on the question whether there was any contract at all with regard to the coins. Those who thought that there was a contract </w:t>
      </w:r>
      <w:r>
        <w:rPr>
          <w:color w:val="005DA1"/>
          <w:u w:val="single" w:color="005DA1"/>
          <w:vertAlign w:val="superscript"/>
        </w:rPr>
        <w:t>1094</w:t>
      </w:r>
      <w:r>
        <w:rPr>
          <w:color w:val="005DA1"/>
          <w:vertAlign w:val="baseline"/>
        </w:rPr>
        <w:t> </w:t>
      </w:r>
      <w:r>
        <w:rPr>
          <w:vertAlign w:val="baseline"/>
        </w:rPr>
        <w:t>relied on the incidence of the burden of proof, </w:t>
      </w:r>
      <w:r>
        <w:rPr>
          <w:vertAlign w:val="baseline"/>
        </w:rPr>
        <w:t>and</w:t>
      </w:r>
      <w:r>
        <w:rPr>
          <w:spacing w:val="40"/>
          <w:vertAlign w:val="baseline"/>
        </w:rPr>
        <w:t> </w:t>
      </w:r>
      <w:r>
        <w:rPr>
          <w:vertAlign w:val="baseline"/>
        </w:rPr>
        <w:t>on the argument that “Esso envisaged a bargain of some sort between the garage proprietor and the motorist”.</w:t>
      </w:r>
      <w:r>
        <w:rPr>
          <w:spacing w:val="70"/>
          <w:vertAlign w:val="baseline"/>
        </w:rPr>
        <w:t> </w:t>
      </w:r>
      <w:r>
        <w:rPr>
          <w:color w:val="005DA1"/>
          <w:u w:val="single" w:color="005DA1"/>
          <w:vertAlign w:val="superscript"/>
        </w:rPr>
        <w:t>1095</w:t>
      </w:r>
      <w:r>
        <w:rPr>
          <w:color w:val="005DA1"/>
          <w:spacing w:val="69"/>
          <w:vertAlign w:val="baseline"/>
        </w:rPr>
        <w:t> </w:t>
      </w:r>
      <w:r>
        <w:rPr>
          <w:vertAlign w:val="baseline"/>
        </w:rPr>
        <w:t>On</w:t>
      </w:r>
      <w:r>
        <w:rPr>
          <w:spacing w:val="71"/>
          <w:vertAlign w:val="baseline"/>
        </w:rPr>
        <w:t> </w:t>
      </w:r>
      <w:r>
        <w:rPr>
          <w:vertAlign w:val="baseline"/>
        </w:rPr>
        <w:t>the</w:t>
      </w:r>
      <w:r>
        <w:rPr>
          <w:spacing w:val="70"/>
          <w:vertAlign w:val="baseline"/>
        </w:rPr>
        <w:t> </w:t>
      </w:r>
      <w:r>
        <w:rPr>
          <w:vertAlign w:val="baseline"/>
        </w:rPr>
        <w:t>other</w:t>
      </w:r>
      <w:r>
        <w:rPr>
          <w:spacing w:val="71"/>
          <w:vertAlign w:val="baseline"/>
        </w:rPr>
        <w:t> </w:t>
      </w:r>
      <w:r>
        <w:rPr>
          <w:vertAlign w:val="baseline"/>
        </w:rPr>
        <w:t>hand,</w:t>
      </w:r>
      <w:r>
        <w:rPr>
          <w:spacing w:val="70"/>
          <w:vertAlign w:val="baseline"/>
        </w:rPr>
        <w:t> </w:t>
      </w:r>
      <w:r>
        <w:rPr>
          <w:vertAlign w:val="baseline"/>
        </w:rPr>
        <w:t>Lords</w:t>
      </w:r>
      <w:r>
        <w:rPr>
          <w:spacing w:val="71"/>
          <w:vertAlign w:val="baseline"/>
        </w:rPr>
        <w:t> </w:t>
      </w:r>
      <w:r>
        <w:rPr>
          <w:vertAlign w:val="baseline"/>
        </w:rPr>
        <w:t>Dilhorne</w:t>
      </w:r>
      <w:r>
        <w:rPr>
          <w:spacing w:val="70"/>
          <w:vertAlign w:val="baseline"/>
        </w:rPr>
        <w:t> </w:t>
      </w:r>
      <w:r>
        <w:rPr>
          <w:vertAlign w:val="baseline"/>
        </w:rPr>
        <w:t>and</w:t>
      </w:r>
      <w:r>
        <w:rPr>
          <w:spacing w:val="71"/>
          <w:vertAlign w:val="baseline"/>
        </w:rPr>
        <w:t> </w:t>
      </w:r>
      <w:r>
        <w:rPr>
          <w:vertAlign w:val="baseline"/>
        </w:rPr>
        <w:t>Russell</w:t>
      </w:r>
      <w:r>
        <w:rPr>
          <w:spacing w:val="70"/>
          <w:vertAlign w:val="baseline"/>
        </w:rPr>
        <w:t> </w:t>
      </w:r>
      <w:r>
        <w:rPr>
          <w:vertAlign w:val="baseline"/>
        </w:rPr>
        <w:t>relied</w:t>
      </w:r>
      <w:r>
        <w:rPr>
          <w:spacing w:val="71"/>
          <w:vertAlign w:val="baseline"/>
        </w:rPr>
        <w:t> </w:t>
      </w:r>
      <w:r>
        <w:rPr>
          <w:vertAlign w:val="baseline"/>
        </w:rPr>
        <w:t>on</w:t>
      </w:r>
      <w:r>
        <w:rPr>
          <w:spacing w:val="70"/>
          <w:vertAlign w:val="baseline"/>
        </w:rPr>
        <w:t> </w:t>
      </w:r>
      <w:r>
        <w:rPr>
          <w:vertAlign w:val="baseline"/>
        </w:rPr>
        <w:t>the</w:t>
      </w:r>
      <w:r>
        <w:rPr>
          <w:spacing w:val="70"/>
          <w:vertAlign w:val="baseline"/>
        </w:rPr>
        <w:t> </w:t>
      </w:r>
      <w:r>
        <w:rPr>
          <w:vertAlign w:val="baseline"/>
        </w:rPr>
        <w:t>language</w:t>
      </w:r>
      <w:r>
        <w:rPr>
          <w:spacing w:val="71"/>
          <w:vertAlign w:val="baseline"/>
        </w:rPr>
        <w:t> </w:t>
      </w:r>
      <w:r>
        <w:rPr>
          <w:vertAlign w:val="baseline"/>
        </w:rPr>
        <w:t>of</w:t>
      </w:r>
      <w:r>
        <w:rPr>
          <w:spacing w:val="70"/>
          <w:vertAlign w:val="baseline"/>
        </w:rPr>
        <w:t> </w:t>
      </w:r>
      <w:r>
        <w:rPr>
          <w:spacing w:val="-5"/>
          <w:vertAlign w:val="baseline"/>
        </w:rPr>
        <w:t>the</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advertisements (in which the coins were said to be “going free”), and on the minimal value of the “coins”, as negativing contractual intention.</w:t>
      </w:r>
    </w:p>
    <w:p>
      <w:pPr>
        <w:pStyle w:val="BodyText"/>
        <w:spacing w:before="81"/>
      </w:pPr>
    </w:p>
    <w:p>
      <w:pPr>
        <w:pStyle w:val="Heading2"/>
      </w:pPr>
      <w:r>
        <w:rPr/>
        <w:t>2-</w:t>
      </w:r>
      <w:r>
        <w:rPr>
          <w:spacing w:val="-5"/>
        </w:rPr>
        <w:t>199</w:t>
      </w:r>
    </w:p>
    <w:p>
      <w:pPr>
        <w:pStyle w:val="BodyText"/>
        <w:spacing w:line="235" w:lineRule="auto" w:before="203"/>
        <w:ind w:left="165" w:right="167"/>
        <w:jc w:val="both"/>
      </w:pPr>
      <w:r>
        <w:rPr/>
        <w:t>The second case is </w:t>
      </w:r>
      <w:r>
        <w:rPr>
          <w:rFonts w:ascii="Arial" w:hAnsi="Arial"/>
          <w:i/>
        </w:rPr>
        <w:t>J. Evans &amp; Son (Portsmouth) Ltd v Andrea Merzario Ltd</w:t>
      </w:r>
      <w:r>
        <w:rPr/>
        <w:t>. </w:t>
      </w:r>
      <w:r>
        <w:rPr>
          <w:color w:val="005DA1"/>
          <w:u w:val="single" w:color="005DA1"/>
          <w:vertAlign w:val="superscript"/>
        </w:rPr>
        <w:t>1096</w:t>
      </w:r>
      <w:r>
        <w:rPr>
          <w:color w:val="005DA1"/>
          <w:vertAlign w:val="baseline"/>
        </w:rPr>
        <w:t> </w:t>
      </w:r>
      <w:r>
        <w:rPr>
          <w:vertAlign w:val="baseline"/>
        </w:rPr>
        <w:t>The representative of a firm of forwarding agents told a customer (with whom the firm had long dealt) that his </w:t>
      </w:r>
      <w:r>
        <w:rPr>
          <w:vertAlign w:val="baseline"/>
        </w:rPr>
        <w:t>goods would henceforth be packed in containers, and that these would be carried under deck. About a year later, one such container was carried on deck and lost. At first instance, </w:t>
      </w:r>
      <w:r>
        <w:rPr>
          <w:color w:val="005DA1"/>
          <w:u w:val="single" w:color="005DA1"/>
          <w:vertAlign w:val="superscript"/>
        </w:rPr>
        <w:t>1097</w:t>
      </w:r>
      <w:r>
        <w:rPr>
          <w:color w:val="005DA1"/>
          <w:vertAlign w:val="baseline"/>
        </w:rPr>
        <w:t> </w:t>
      </w:r>
      <w:r>
        <w:rPr>
          <w:vertAlign w:val="baseline"/>
        </w:rPr>
        <w:t>Kerr J. held that the promise was not intended to be legally binding since it was made in the course of a courtesy call, not related to any particular transaction, and indefinite with regard to its future duration. The Court of Appeal, however, held </w:t>
      </w:r>
      <w:r>
        <w:rPr>
          <w:color w:val="005DA1"/>
          <w:u w:val="single" w:color="005DA1"/>
          <w:vertAlign w:val="superscript"/>
        </w:rPr>
        <w:t>1098</w:t>
      </w:r>
      <w:r>
        <w:rPr>
          <w:color w:val="005DA1"/>
          <w:vertAlign w:val="baseline"/>
        </w:rPr>
        <w:t> </w:t>
      </w:r>
      <w:r>
        <w:rPr>
          <w:vertAlign w:val="baseline"/>
        </w:rPr>
        <w:t>that the promise did have contractual force, relying principally on the importance attached by the customer to the carriage of his goods under deck, and on the fact that he would not have agreed to the new mode of carriage in containers but for the promise. The case is no doubt a borderline one. While the objective test prevents the promisor from relying on his subjective intention not to enter into a contractual undertaking, it should equally prevent the promisee’s subjective intention (if not known to the promisor) from being decisive. The decision is explicable if it must have been clear to the promisor that, but for his promise, the promisee would not have agreed</w:t>
      </w:r>
      <w:r>
        <w:rPr>
          <w:spacing w:val="80"/>
          <w:vertAlign w:val="baseline"/>
        </w:rPr>
        <w:t> </w:t>
      </w:r>
      <w:r>
        <w:rPr>
          <w:vertAlign w:val="baseline"/>
        </w:rPr>
        <w:t>to the new mode of carriage in containers.</w:t>
      </w:r>
    </w:p>
    <w:p>
      <w:pPr>
        <w:pStyle w:val="BodyText"/>
      </w:pPr>
    </w:p>
    <w:p>
      <w:pPr>
        <w:pStyle w:val="BodyText"/>
        <w:spacing w:before="34"/>
      </w:pPr>
      <w:r>
        <w:rPr/>
        <mc:AlternateContent>
          <mc:Choice Requires="wps">
            <w:drawing>
              <wp:anchor distT="0" distB="0" distL="0" distR="0" allowOverlap="1" layoutInCell="1" locked="0" behindDoc="1" simplePos="0" relativeHeight="487621120">
                <wp:simplePos x="0" y="0"/>
                <wp:positionH relativeFrom="page">
                  <wp:posOffset>914400</wp:posOffset>
                </wp:positionH>
                <wp:positionV relativeFrom="paragraph">
                  <wp:posOffset>183096</wp:posOffset>
                </wp:positionV>
                <wp:extent cx="5724525" cy="1270"/>
                <wp:effectExtent l="0" t="0" r="0" b="0"/>
                <wp:wrapTopAndBottom/>
                <wp:docPr id="138" name="Graphic 138"/>
                <wp:cNvGraphicFramePr>
                  <a:graphicFrameLocks/>
                </wp:cNvGraphicFramePr>
                <a:graphic>
                  <a:graphicData uri="http://schemas.microsoft.com/office/word/2010/wordprocessingShape">
                    <wps:wsp>
                      <wps:cNvPr id="138" name="Graphic 13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417078pt;width:450.75pt;height:.1pt;mso-position-horizontal-relative:page;mso-position-vertical-relative:paragraph;z-index:-15695360;mso-wrap-distance-left:0;mso-wrap-distance-right:0" id="docshape47" coordorigin="1440,288" coordsize="9015,0" path="m1440,288l10454,288e" filled="false" stroked="true" strokeweight="1pt" strokecolor="#000000">
                <v:path arrowok="t"/>
                <v:stroke dashstyle="solid"/>
                <w10:wrap type="topAndBottom"/>
              </v:shape>
            </w:pict>
          </mc:Fallback>
        </mc:AlternateContent>
      </w:r>
    </w:p>
    <w:p>
      <w:pPr>
        <w:pStyle w:val="BodyText"/>
        <w:spacing w:before="101"/>
      </w:pPr>
    </w:p>
    <w:p>
      <w:pPr>
        <w:tabs>
          <w:tab w:pos="705" w:val="left" w:leader="none"/>
        </w:tabs>
        <w:spacing w:line="235" w:lineRule="auto" w:before="0"/>
        <w:ind w:left="705" w:right="168" w:hanging="541"/>
        <w:jc w:val="left"/>
        <w:rPr>
          <w:sz w:val="20"/>
        </w:rPr>
      </w:pPr>
      <w:bookmarkStart w:name="_bookmark1770" w:id="1772"/>
      <w:bookmarkEnd w:id="1772"/>
      <w:r>
        <w:rPr/>
      </w:r>
      <w:hyperlink w:history="true" w:anchor="_bookmark1694">
        <w:r>
          <w:rPr>
            <w:color w:val="005DA1"/>
            <w:spacing w:val="-4"/>
            <w:position w:val="5"/>
            <w:sz w:val="14"/>
            <w:u w:val="single" w:color="005DA1"/>
          </w:rPr>
          <w:t>889</w:t>
        </w:r>
      </w:hyperlink>
      <w:r>
        <w:rPr>
          <w:spacing w:val="-4"/>
          <w:position w:val="5"/>
          <w:sz w:val="14"/>
        </w:rPr>
        <w:t>.</w:t>
      </w:r>
      <w:r>
        <w:rPr>
          <w:position w:val="5"/>
          <w:sz w:val="14"/>
        </w:rPr>
        <w:tab/>
      </w:r>
      <w:r>
        <w:rPr>
          <w:rFonts w:ascii="Arial" w:hAnsi="Arial"/>
          <w:i/>
          <w:sz w:val="20"/>
        </w:rPr>
        <w:t>R. v Civil Service Appeal Board Ex p. Bruce [1988] 3 All E.R. 686, 693, 698</w:t>
      </w:r>
      <w:r>
        <w:rPr>
          <w:sz w:val="20"/>
        </w:rPr>
        <w:t>; cf. </w:t>
      </w:r>
      <w:r>
        <w:rPr>
          <w:rFonts w:ascii="Arial" w:hAnsi="Arial"/>
          <w:i/>
          <w:sz w:val="20"/>
        </w:rPr>
        <w:t>Re Beaumont [1980] Ch. 444, 453</w:t>
      </w:r>
      <w:r>
        <w:rPr>
          <w:sz w:val="20"/>
        </w:rPr>
        <w:t>: consideration may be provided “under a contract or otherwise”.</w:t>
      </w:r>
    </w:p>
    <w:p>
      <w:pPr>
        <w:pStyle w:val="BodyText"/>
        <w:spacing w:before="9"/>
      </w:pPr>
    </w:p>
    <w:p>
      <w:pPr>
        <w:spacing w:line="235" w:lineRule="auto" w:before="0"/>
        <w:ind w:left="705" w:right="168" w:hanging="541"/>
        <w:jc w:val="both"/>
        <w:rPr>
          <w:sz w:val="20"/>
        </w:rPr>
      </w:pPr>
      <w:bookmarkStart w:name="_bookmark1771" w:id="1773"/>
      <w:bookmarkEnd w:id="1773"/>
      <w:r>
        <w:rPr/>
      </w:r>
      <w:hyperlink w:history="true" w:anchor="_bookmark1694">
        <w:r>
          <w:rPr>
            <w:color w:val="005DA1"/>
            <w:position w:val="5"/>
            <w:sz w:val="14"/>
            <w:u w:val="single" w:color="005DA1"/>
          </w:rPr>
          <w:t>890</w:t>
        </w:r>
      </w:hyperlink>
      <w:r>
        <w:rPr>
          <w:position w:val="5"/>
          <w:sz w:val="14"/>
        </w:rPr>
        <w:t>.</w:t>
      </w:r>
      <w:r>
        <w:rPr>
          <w:spacing w:val="80"/>
          <w:position w:val="5"/>
          <w:sz w:val="14"/>
        </w:rPr>
        <w:t>  </w:t>
      </w:r>
      <w:r>
        <w:rPr>
          <w:sz w:val="20"/>
        </w:rPr>
        <w:t>For enforcement on other grounds, see </w:t>
      </w:r>
      <w:r>
        <w:rPr>
          <w:rFonts w:ascii="Arial" w:hAnsi="Arial"/>
          <w:i/>
          <w:sz w:val="20"/>
        </w:rPr>
        <w:t>John Fox v Bannister King &amp; Rigbeys [1988] Q.B. </w:t>
      </w:r>
      <w:r>
        <w:rPr>
          <w:rFonts w:ascii="Arial" w:hAnsi="Arial"/>
          <w:i/>
          <w:sz w:val="20"/>
        </w:rPr>
        <w:t>925, 928 </w:t>
      </w:r>
      <w:r>
        <w:rPr>
          <w:sz w:val="20"/>
        </w:rPr>
        <w:t>(court’s jurisdiction to enforce honourable conduct on the part of solicitors); </w:t>
      </w:r>
      <w:r>
        <w:rPr>
          <w:rFonts w:ascii="Arial" w:hAnsi="Arial"/>
          <w:i/>
          <w:sz w:val="20"/>
        </w:rPr>
        <w:t>Xydhias v Xydhias [1999] 2 All E.R. 386, 394 </w:t>
      </w:r>
      <w:r>
        <w:rPr>
          <w:sz w:val="20"/>
        </w:rPr>
        <w:t>(compromise of claim for ancillary relief in divorce </w:t>
      </w:r>
      <w:r>
        <w:rPr>
          <w:spacing w:val="-2"/>
          <w:sz w:val="20"/>
        </w:rPr>
        <w:t>proceedings).</w:t>
      </w:r>
    </w:p>
    <w:p>
      <w:pPr>
        <w:pStyle w:val="BodyText"/>
        <w:spacing w:before="8"/>
      </w:pPr>
    </w:p>
    <w:p>
      <w:pPr>
        <w:spacing w:line="235" w:lineRule="auto" w:before="1"/>
        <w:ind w:left="705" w:right="167" w:hanging="541"/>
        <w:jc w:val="both"/>
        <w:rPr>
          <w:sz w:val="20"/>
        </w:rPr>
      </w:pPr>
      <w:bookmarkStart w:name="_bookmark1772" w:id="1774"/>
      <w:bookmarkEnd w:id="1774"/>
      <w:r>
        <w:rPr/>
      </w:r>
      <w:hyperlink w:history="true" w:anchor="_bookmark1695">
        <w:r>
          <w:rPr>
            <w:color w:val="005DA1"/>
            <w:position w:val="5"/>
            <w:sz w:val="14"/>
            <w:u w:val="single" w:color="005DA1"/>
          </w:rPr>
          <w:t>891</w:t>
        </w:r>
      </w:hyperlink>
      <w:r>
        <w:rPr>
          <w:position w:val="5"/>
          <w:sz w:val="14"/>
        </w:rPr>
        <w:t>.</w:t>
      </w:r>
      <w:r>
        <w:rPr>
          <w:spacing w:val="80"/>
          <w:position w:val="5"/>
          <w:sz w:val="14"/>
        </w:rPr>
        <w:t>  </w:t>
      </w:r>
      <w:r>
        <w:rPr>
          <w:sz w:val="20"/>
        </w:rPr>
        <w:t>For recent statements of the requirement to create legal relations, see </w:t>
      </w:r>
      <w:r>
        <w:rPr>
          <w:rFonts w:ascii="Arial" w:hAnsi="Arial"/>
          <w:i/>
          <w:sz w:val="20"/>
        </w:rPr>
        <w:t>Baird Textile Holdings</w:t>
      </w:r>
      <w:r>
        <w:rPr>
          <w:rFonts w:ascii="Arial" w:hAnsi="Arial"/>
          <w:i/>
          <w:spacing w:val="40"/>
          <w:sz w:val="20"/>
        </w:rPr>
        <w:t> </w:t>
      </w:r>
      <w:r>
        <w:rPr>
          <w:rFonts w:ascii="Arial" w:hAnsi="Arial"/>
          <w:i/>
          <w:sz w:val="20"/>
        </w:rPr>
        <w:t>Ltd v Marks &amp; Spencer Plc [2001] EWCA Civ 274, [2002] 1 All E.R. (Comm) 737 </w:t>
      </w:r>
      <w:r>
        <w:rPr>
          <w:sz w:val="20"/>
        </w:rPr>
        <w:t>at [30], [59]; below, para.2-169. See also </w:t>
      </w:r>
      <w:r>
        <w:rPr>
          <w:rFonts w:ascii="Arial" w:hAnsi="Arial"/>
          <w:i/>
          <w:sz w:val="20"/>
        </w:rPr>
        <w:t>Zakhem International Construction Ltd v Nippon Kohan KK </w:t>
      </w:r>
      <w:r>
        <w:rPr>
          <w:rFonts w:ascii="Arial" w:hAnsi="Arial"/>
          <w:i/>
          <w:sz w:val="20"/>
        </w:rPr>
        <w:t>[1987]</w:t>
      </w:r>
      <w:r>
        <w:rPr>
          <w:rFonts w:ascii="Arial" w:hAnsi="Arial"/>
          <w:i/>
          <w:spacing w:val="40"/>
          <w:sz w:val="20"/>
        </w:rPr>
        <w:t> </w:t>
      </w:r>
      <w:r>
        <w:rPr>
          <w:rFonts w:ascii="Arial" w:hAnsi="Arial"/>
          <w:i/>
          <w:sz w:val="20"/>
        </w:rPr>
        <w:t>2 Lloyd’s Rep. 596</w:t>
      </w:r>
      <w:r>
        <w:rPr>
          <w:sz w:val="20"/>
        </w:rPr>
        <w:t>. For a denial of the requirement, see Williston, </w:t>
      </w:r>
      <w:r>
        <w:rPr>
          <w:rFonts w:ascii="Arial" w:hAnsi="Arial"/>
          <w:i/>
          <w:sz w:val="20"/>
        </w:rPr>
        <w:t>Contracts</w:t>
      </w:r>
      <w:r>
        <w:rPr>
          <w:sz w:val="20"/>
        </w:rPr>
        <w:t>, para.21; cf. Tuck, 21</w:t>
      </w:r>
      <w:r>
        <w:rPr>
          <w:spacing w:val="15"/>
          <w:sz w:val="20"/>
        </w:rPr>
        <w:t> </w:t>
      </w:r>
      <w:r>
        <w:rPr>
          <w:sz w:val="20"/>
        </w:rPr>
        <w:t>Can.</w:t>
      </w:r>
      <w:r>
        <w:rPr>
          <w:spacing w:val="17"/>
          <w:sz w:val="20"/>
        </w:rPr>
        <w:t> </w:t>
      </w:r>
      <w:r>
        <w:rPr>
          <w:sz w:val="20"/>
        </w:rPr>
        <w:t>Bar</w:t>
      </w:r>
      <w:r>
        <w:rPr>
          <w:spacing w:val="17"/>
          <w:sz w:val="20"/>
        </w:rPr>
        <w:t> </w:t>
      </w:r>
      <w:r>
        <w:rPr>
          <w:sz w:val="20"/>
        </w:rPr>
        <w:t>Rev.</w:t>
      </w:r>
      <w:r>
        <w:rPr>
          <w:spacing w:val="17"/>
          <w:sz w:val="20"/>
        </w:rPr>
        <w:t> </w:t>
      </w:r>
      <w:r>
        <w:rPr>
          <w:sz w:val="20"/>
        </w:rPr>
        <w:t>123</w:t>
      </w:r>
      <w:r>
        <w:rPr>
          <w:spacing w:val="17"/>
          <w:sz w:val="20"/>
        </w:rPr>
        <w:t> </w:t>
      </w:r>
      <w:r>
        <w:rPr>
          <w:sz w:val="20"/>
        </w:rPr>
        <w:t>(1943);</w:t>
      </w:r>
      <w:r>
        <w:rPr>
          <w:spacing w:val="17"/>
          <w:sz w:val="20"/>
        </w:rPr>
        <w:t> </w:t>
      </w:r>
      <w:r>
        <w:rPr>
          <w:sz w:val="20"/>
        </w:rPr>
        <w:t>Shatwell</w:t>
      </w:r>
      <w:r>
        <w:rPr>
          <w:spacing w:val="17"/>
          <w:sz w:val="20"/>
        </w:rPr>
        <w:t> </w:t>
      </w:r>
      <w:r>
        <w:rPr>
          <w:sz w:val="20"/>
        </w:rPr>
        <w:t>(1954)</w:t>
      </w:r>
      <w:r>
        <w:rPr>
          <w:spacing w:val="17"/>
          <w:sz w:val="20"/>
        </w:rPr>
        <w:t> </w:t>
      </w:r>
      <w:r>
        <w:rPr>
          <w:sz w:val="20"/>
        </w:rPr>
        <w:t>1</w:t>
      </w:r>
      <w:r>
        <w:rPr>
          <w:spacing w:val="17"/>
          <w:sz w:val="20"/>
        </w:rPr>
        <w:t> </w:t>
      </w:r>
      <w:r>
        <w:rPr>
          <w:sz w:val="20"/>
        </w:rPr>
        <w:t>Sydney</w:t>
      </w:r>
      <w:r>
        <w:rPr>
          <w:spacing w:val="17"/>
          <w:sz w:val="20"/>
        </w:rPr>
        <w:t> </w:t>
      </w:r>
      <w:r>
        <w:rPr>
          <w:sz w:val="20"/>
        </w:rPr>
        <w:t>L.R.</w:t>
      </w:r>
      <w:r>
        <w:rPr>
          <w:spacing w:val="17"/>
          <w:sz w:val="20"/>
        </w:rPr>
        <w:t> </w:t>
      </w:r>
      <w:r>
        <w:rPr>
          <w:sz w:val="20"/>
        </w:rPr>
        <w:t>at</w:t>
      </w:r>
      <w:r>
        <w:rPr>
          <w:spacing w:val="17"/>
          <w:sz w:val="20"/>
        </w:rPr>
        <w:t> </w:t>
      </w:r>
      <w:r>
        <w:rPr>
          <w:sz w:val="20"/>
        </w:rPr>
        <w:t>293;</w:t>
      </w:r>
      <w:r>
        <w:rPr>
          <w:spacing w:val="17"/>
          <w:sz w:val="20"/>
        </w:rPr>
        <w:t> </w:t>
      </w:r>
      <w:r>
        <w:rPr>
          <w:sz w:val="20"/>
        </w:rPr>
        <w:t>Unger</w:t>
      </w:r>
      <w:r>
        <w:rPr>
          <w:spacing w:val="17"/>
          <w:sz w:val="20"/>
        </w:rPr>
        <w:t> </w:t>
      </w:r>
      <w:r>
        <w:rPr>
          <w:sz w:val="20"/>
        </w:rPr>
        <w:t>(1956)</w:t>
      </w:r>
      <w:r>
        <w:rPr>
          <w:spacing w:val="17"/>
          <w:sz w:val="20"/>
        </w:rPr>
        <w:t> </w:t>
      </w:r>
      <w:r>
        <w:rPr>
          <w:sz w:val="20"/>
        </w:rPr>
        <w:t>19</w:t>
      </w:r>
      <w:r>
        <w:rPr>
          <w:spacing w:val="17"/>
          <w:sz w:val="20"/>
        </w:rPr>
        <w:t> </w:t>
      </w:r>
      <w:r>
        <w:rPr>
          <w:spacing w:val="-2"/>
          <w:sz w:val="20"/>
        </w:rPr>
        <w:t>M.L.R.</w:t>
      </w:r>
    </w:p>
    <w:p>
      <w:pPr>
        <w:spacing w:line="235" w:lineRule="auto" w:before="0"/>
        <w:ind w:left="705" w:right="167" w:firstLine="0"/>
        <w:jc w:val="both"/>
        <w:rPr>
          <w:sz w:val="20"/>
        </w:rPr>
      </w:pPr>
      <w:r>
        <w:rPr>
          <w:sz w:val="20"/>
        </w:rPr>
        <w:t>96; Hepple [1970] C.L.J. 122; Hedley (1985) 50 J.L.S. 391. There is also said to be a requirement of “mutuality”: see </w:t>
      </w:r>
      <w:r>
        <w:rPr>
          <w:rFonts w:ascii="Arial" w:hAnsi="Arial"/>
          <w:i/>
          <w:sz w:val="20"/>
        </w:rPr>
        <w:t>Simpkins v Pays [1955] 1 W.L.R. 975, 979</w:t>
      </w:r>
      <w:r>
        <w:rPr>
          <w:sz w:val="20"/>
        </w:rPr>
        <w:t>; </w:t>
      </w:r>
      <w:r>
        <w:rPr>
          <w:rFonts w:ascii="Arial" w:hAnsi="Arial"/>
          <w:i/>
          <w:sz w:val="20"/>
        </w:rPr>
        <w:t>Rajbenback v Mamon [1955] 1 Q.B. 283, 286</w:t>
      </w:r>
      <w:r>
        <w:rPr>
          <w:sz w:val="20"/>
        </w:rPr>
        <w:t>; but this expression here refers to consideration rather than </w:t>
      </w:r>
      <w:r>
        <w:rPr>
          <w:sz w:val="20"/>
        </w:rPr>
        <w:t>to contractual intention: see </w:t>
      </w:r>
      <w:r>
        <w:rPr>
          <w:rFonts w:ascii="Arial" w:hAnsi="Arial"/>
          <w:i/>
          <w:sz w:val="20"/>
        </w:rPr>
        <w:t>Lees v Whitcombe (1828) 5 Bing. 34</w:t>
      </w:r>
      <w:r>
        <w:rPr>
          <w:sz w:val="20"/>
        </w:rPr>
        <w:t>; </w:t>
      </w:r>
      <w:r>
        <w:rPr>
          <w:rFonts w:ascii="Arial" w:hAnsi="Arial"/>
          <w:i/>
          <w:sz w:val="20"/>
        </w:rPr>
        <w:t>Sykes v Dixon (1839) 9 Ad. &amp; El. 693</w:t>
      </w:r>
      <w:r>
        <w:rPr>
          <w:sz w:val="20"/>
        </w:rPr>
        <w:t>; </w:t>
      </w:r>
      <w:r>
        <w:rPr>
          <w:rFonts w:ascii="Arial" w:hAnsi="Arial"/>
          <w:i/>
          <w:sz w:val="20"/>
        </w:rPr>
        <w:t>Westhead v Sproson (1861) 6 H. &amp; N. 728</w:t>
      </w:r>
      <w:r>
        <w:rPr>
          <w:sz w:val="20"/>
        </w:rPr>
        <w:t>; Treitel (1961) 77 L.Q.R. 83.</w:t>
      </w:r>
    </w:p>
    <w:p>
      <w:pPr>
        <w:pStyle w:val="BodyText"/>
        <w:spacing w:before="6"/>
      </w:pPr>
    </w:p>
    <w:p>
      <w:pPr>
        <w:pStyle w:val="BodyText"/>
        <w:spacing w:line="235" w:lineRule="auto"/>
        <w:ind w:left="705" w:right="167" w:hanging="541"/>
        <w:jc w:val="both"/>
      </w:pPr>
      <w:bookmarkStart w:name="_bookmark1773" w:id="1775"/>
      <w:bookmarkEnd w:id="1775"/>
      <w:r>
        <w:rPr/>
      </w:r>
      <w:hyperlink w:history="true" w:anchor="_bookmark1696">
        <w:r>
          <w:rPr>
            <w:color w:val="005DA1"/>
            <w:position w:val="5"/>
            <w:sz w:val="14"/>
            <w:u w:val="single" w:color="005DA1"/>
          </w:rPr>
          <w:t>892</w:t>
        </w:r>
      </w:hyperlink>
      <w:r>
        <w:rPr>
          <w:position w:val="5"/>
          <w:sz w:val="14"/>
        </w:rPr>
        <w:t>.</w:t>
      </w:r>
      <w:r>
        <w:rPr>
          <w:spacing w:val="80"/>
          <w:position w:val="5"/>
          <w:sz w:val="14"/>
        </w:rPr>
        <w:t>  </w:t>
      </w:r>
      <w:r>
        <w:rPr/>
        <w:t>Certain regulated agreements under the Consumer Credit Act 1974 must contain a signature </w:t>
      </w:r>
      <w:r>
        <w:rPr/>
        <w:t>in a “signature box” warning the signer to sign the agreement “only if you want to be legally bound by</w:t>
      </w:r>
      <w:r>
        <w:rPr>
          <w:spacing w:val="-1"/>
        </w:rPr>
        <w:t> </w:t>
      </w:r>
      <w:r>
        <w:rPr/>
        <w:t>its</w:t>
      </w:r>
      <w:r>
        <w:rPr>
          <w:spacing w:val="-1"/>
        </w:rPr>
        <w:t> </w:t>
      </w:r>
      <w:r>
        <w:rPr/>
        <w:t>terms”:</w:t>
      </w:r>
      <w:r>
        <w:rPr>
          <w:spacing w:val="-1"/>
        </w:rPr>
        <w:t> </w:t>
      </w:r>
      <w:r>
        <w:rPr/>
        <w:t>Consumer</w:t>
      </w:r>
      <w:r>
        <w:rPr>
          <w:spacing w:val="-1"/>
        </w:rPr>
        <w:t> </w:t>
      </w:r>
      <w:r>
        <w:rPr/>
        <w:t>Credit</w:t>
      </w:r>
      <w:r>
        <w:rPr>
          <w:spacing w:val="-1"/>
        </w:rPr>
        <w:t> </w:t>
      </w:r>
      <w:r>
        <w:rPr/>
        <w:t>(Agreements)</w:t>
      </w:r>
      <w:r>
        <w:rPr>
          <w:spacing w:val="-1"/>
        </w:rPr>
        <w:t> </w:t>
      </w:r>
      <w:r>
        <w:rPr/>
        <w:t>Regulations</w:t>
      </w:r>
      <w:r>
        <w:rPr>
          <w:spacing w:val="-1"/>
        </w:rPr>
        <w:t> </w:t>
      </w:r>
      <w:r>
        <w:rPr/>
        <w:t>1983</w:t>
      </w:r>
      <w:r>
        <w:rPr>
          <w:spacing w:val="-1"/>
        </w:rPr>
        <w:t> </w:t>
      </w:r>
      <w:r>
        <w:rPr/>
        <w:t>(SI</w:t>
      </w:r>
      <w:r>
        <w:rPr>
          <w:spacing w:val="-1"/>
        </w:rPr>
        <w:t> </w:t>
      </w:r>
      <w:r>
        <w:rPr/>
        <w:t>1983/1553),</w:t>
      </w:r>
      <w:r>
        <w:rPr>
          <w:spacing w:val="-1"/>
        </w:rPr>
        <w:t> </w:t>
      </w:r>
      <w:r>
        <w:rPr/>
        <w:t>as</w:t>
      </w:r>
      <w:r>
        <w:rPr>
          <w:spacing w:val="-1"/>
        </w:rPr>
        <w:t> </w:t>
      </w:r>
      <w:r>
        <w:rPr/>
        <w:t>amended</w:t>
      </w:r>
      <w:r>
        <w:rPr>
          <w:spacing w:val="-1"/>
        </w:rPr>
        <w:t> </w:t>
      </w:r>
      <w:r>
        <w:rPr/>
        <w:t>by Consumer Credit (Agreements) (Amendment) Regulations 2004 (SI 2004/1482) reg.2. For amendment of the definition of a “regulated” consumer credit agreement, see Consumer Credit Act 2006 s.2.</w:t>
      </w:r>
    </w:p>
    <w:p>
      <w:pPr>
        <w:pStyle w:val="BodyText"/>
        <w:spacing w:before="7"/>
      </w:pPr>
    </w:p>
    <w:p>
      <w:pPr>
        <w:spacing w:line="235" w:lineRule="auto" w:before="1"/>
        <w:ind w:left="705" w:right="167" w:hanging="541"/>
        <w:jc w:val="both"/>
        <w:rPr>
          <w:sz w:val="20"/>
        </w:rPr>
      </w:pPr>
      <w:bookmarkStart w:name="_bookmark1774" w:id="1776"/>
      <w:bookmarkEnd w:id="1776"/>
      <w:r>
        <w:rPr/>
      </w:r>
      <w:hyperlink w:history="true" w:anchor="_bookmark1697">
        <w:r>
          <w:rPr>
            <w:color w:val="005DA1"/>
            <w:position w:val="5"/>
            <w:sz w:val="14"/>
            <w:u w:val="single" w:color="005DA1"/>
          </w:rPr>
          <w:t>893</w:t>
        </w:r>
      </w:hyperlink>
      <w:r>
        <w:rPr>
          <w:position w:val="5"/>
          <w:sz w:val="14"/>
        </w:rPr>
        <w:t>.</w:t>
      </w:r>
      <w:r>
        <w:rPr>
          <w:spacing w:val="80"/>
          <w:w w:val="150"/>
          <w:position w:val="5"/>
          <w:sz w:val="14"/>
        </w:rPr>
        <w:t> </w:t>
      </w:r>
      <w:r>
        <w:rPr>
          <w:rFonts w:ascii="Arial" w:hAnsi="Arial"/>
          <w:i/>
          <w:sz w:val="20"/>
        </w:rPr>
        <w:t>Edwards v Skyways Ltd [1964] 1 W.L.R. 349, 355</w:t>
      </w:r>
      <w:r>
        <w:rPr>
          <w:sz w:val="20"/>
        </w:rPr>
        <w:t>; </w:t>
      </w:r>
      <w:r>
        <w:rPr>
          <w:rFonts w:ascii="Arial" w:hAnsi="Arial"/>
          <w:i/>
          <w:sz w:val="20"/>
        </w:rPr>
        <w:t>Bahamas Oil Refining Co v Kristiansands Tankrederei A/S (The Polyduke) [1978] 1 Lloyd’s Rep. 211</w:t>
      </w:r>
      <w:r>
        <w:rPr>
          <w:sz w:val="20"/>
        </w:rPr>
        <w:t>; </w:t>
      </w:r>
      <w:r>
        <w:rPr>
          <w:rFonts w:ascii="Arial" w:hAnsi="Arial"/>
          <w:i/>
          <w:sz w:val="20"/>
        </w:rPr>
        <w:t>Financial Techniques </w:t>
      </w:r>
      <w:r>
        <w:rPr>
          <w:rFonts w:ascii="Arial" w:hAnsi="Arial"/>
          <w:i/>
          <w:sz w:val="20"/>
        </w:rPr>
        <w:t>(Planning Services) Ltd v Hughes [1981] I.R.L.R. 32</w:t>
      </w:r>
      <w:r>
        <w:rPr>
          <w:sz w:val="20"/>
        </w:rPr>
        <w:t>; </w:t>
      </w:r>
      <w:r>
        <w:rPr>
          <w:rFonts w:ascii="Arial" w:hAnsi="Arial"/>
          <w:i/>
          <w:sz w:val="20"/>
        </w:rPr>
        <w:t>G.A.F.L.A.C. v Tanter (The Zephyr) [1985] 2 Lloyd’s Rep. 529, 537 </w:t>
      </w:r>
      <w:r>
        <w:rPr>
          <w:sz w:val="20"/>
        </w:rPr>
        <w:t>(disapproving </w:t>
      </w:r>
      <w:r>
        <w:rPr>
          <w:rFonts w:ascii="Arial" w:hAnsi="Arial"/>
          <w:i/>
          <w:sz w:val="20"/>
        </w:rPr>
        <w:t>[1984] 1 Lloyd’s Rep. 58, 63–64</w:t>
      </w:r>
      <w:r>
        <w:rPr>
          <w:sz w:val="20"/>
        </w:rPr>
        <w:t>); </w:t>
      </w:r>
      <w:r>
        <w:rPr>
          <w:rFonts w:ascii="Arial" w:hAnsi="Arial"/>
          <w:i/>
          <w:sz w:val="20"/>
        </w:rPr>
        <w:t>Yani Haryanto v E.D. &amp; F. Man (Sugar) Ltd [1986] 2 Lloyd’s Rep. 44</w:t>
      </w:r>
      <w:r>
        <w:rPr>
          <w:sz w:val="20"/>
        </w:rPr>
        <w:t>; </w:t>
      </w:r>
      <w:r>
        <w:rPr>
          <w:rFonts w:ascii="Arial" w:hAnsi="Arial"/>
          <w:i/>
          <w:sz w:val="20"/>
        </w:rPr>
        <w:t>Orion Insurance Plc v Sphere Drake Insurance Plc [1992] 1 Lloyd’s Rep. 239 </w:t>
      </w:r>
      <w:r>
        <w:rPr>
          <w:sz w:val="20"/>
        </w:rPr>
        <w:t>at 263, where the burden was discharged; </w:t>
      </w:r>
      <w:r>
        <w:rPr>
          <w:rFonts w:ascii="Arial" w:hAnsi="Arial"/>
          <w:i/>
          <w:sz w:val="20"/>
        </w:rPr>
        <w:t>Mamidoil-Jetoil Greek Petroleum Co SA v Okta Crude Oil Refinery AD [2003] 1 Lloyd’s Rep. 1 </w:t>
      </w:r>
      <w:r>
        <w:rPr>
          <w:sz w:val="20"/>
        </w:rPr>
        <w:t>at [159]; cf. </w:t>
      </w:r>
      <w:r>
        <w:rPr>
          <w:rFonts w:ascii="Arial" w:hAnsi="Arial"/>
          <w:i/>
          <w:sz w:val="20"/>
        </w:rPr>
        <w:t>Coastal Bermuda Petroleum Ltd v VTT Vulcan Petroleum SA (The Marine Star) (No.2) [1994] 2 Lloyd’s Rep. 629, 632, reversed on other grounds [1996] 2 Lloyd’s Rep. 383</w:t>
      </w:r>
      <w:r>
        <w:rPr>
          <w:sz w:val="20"/>
        </w:rPr>
        <w:t>. See also </w:t>
      </w:r>
      <w:r>
        <w:rPr>
          <w:rFonts w:ascii="Arial" w:hAnsi="Arial"/>
          <w:i/>
          <w:sz w:val="20"/>
        </w:rPr>
        <w:t>Attrill v Dresdner Kleinwort Ltd [2013] EWCA Civ 394 </w:t>
      </w:r>
      <w:r>
        <w:rPr>
          <w:sz w:val="20"/>
        </w:rPr>
        <w:t>at [79], indicating that this rule applies both where the alleged contract</w:t>
      </w:r>
      <w:r>
        <w:rPr>
          <w:spacing w:val="-2"/>
          <w:sz w:val="20"/>
        </w:rPr>
        <w:t> </w:t>
      </w:r>
      <w:r>
        <w:rPr>
          <w:sz w:val="20"/>
        </w:rPr>
        <w:t>is</w:t>
      </w:r>
      <w:r>
        <w:rPr>
          <w:spacing w:val="-2"/>
          <w:sz w:val="20"/>
        </w:rPr>
        <w:t> </w:t>
      </w:r>
      <w:r>
        <w:rPr>
          <w:sz w:val="20"/>
        </w:rPr>
        <w:t>a</w:t>
      </w:r>
      <w:r>
        <w:rPr>
          <w:spacing w:val="-2"/>
          <w:sz w:val="20"/>
        </w:rPr>
        <w:t> </w:t>
      </w:r>
      <w:r>
        <w:rPr>
          <w:sz w:val="20"/>
        </w:rPr>
        <w:t>bilateral</w:t>
      </w:r>
      <w:r>
        <w:rPr>
          <w:spacing w:val="-2"/>
          <w:sz w:val="20"/>
        </w:rPr>
        <w:t> </w:t>
      </w:r>
      <w:r>
        <w:rPr>
          <w:sz w:val="20"/>
        </w:rPr>
        <w:t>one,</w:t>
      </w:r>
      <w:r>
        <w:rPr>
          <w:spacing w:val="-2"/>
          <w:sz w:val="20"/>
        </w:rPr>
        <w:t> </w:t>
      </w:r>
      <w:r>
        <w:rPr>
          <w:sz w:val="20"/>
        </w:rPr>
        <w:t>and</w:t>
      </w:r>
      <w:r>
        <w:rPr>
          <w:spacing w:val="-2"/>
          <w:sz w:val="20"/>
        </w:rPr>
        <w:t> </w:t>
      </w:r>
      <w:r>
        <w:rPr>
          <w:sz w:val="20"/>
        </w:rPr>
        <w:t>where</w:t>
      </w:r>
      <w:r>
        <w:rPr>
          <w:spacing w:val="-2"/>
          <w:sz w:val="20"/>
        </w:rPr>
        <w:t> </w:t>
      </w:r>
      <w:r>
        <w:rPr>
          <w:sz w:val="20"/>
        </w:rPr>
        <w:t>it</w:t>
      </w:r>
      <w:r>
        <w:rPr>
          <w:spacing w:val="-2"/>
          <w:sz w:val="20"/>
        </w:rPr>
        <w:t> </w:t>
      </w:r>
      <w:r>
        <w:rPr>
          <w:sz w:val="20"/>
        </w:rPr>
        <w:t>is</w:t>
      </w:r>
      <w:r>
        <w:rPr>
          <w:spacing w:val="-2"/>
          <w:sz w:val="20"/>
        </w:rPr>
        <w:t> </w:t>
      </w:r>
      <w:r>
        <w:rPr>
          <w:sz w:val="20"/>
        </w:rPr>
        <w:t>a</w:t>
      </w:r>
      <w:r>
        <w:rPr>
          <w:spacing w:val="-2"/>
          <w:sz w:val="20"/>
        </w:rPr>
        <w:t> </w:t>
      </w:r>
      <w:r>
        <w:rPr>
          <w:sz w:val="20"/>
        </w:rPr>
        <w:t>unilateral</w:t>
      </w:r>
      <w:r>
        <w:rPr>
          <w:spacing w:val="-2"/>
          <w:sz w:val="20"/>
        </w:rPr>
        <w:t> </w:t>
      </w:r>
      <w:r>
        <w:rPr>
          <w:sz w:val="20"/>
        </w:rPr>
        <w:t>one</w:t>
      </w:r>
      <w:r>
        <w:rPr>
          <w:spacing w:val="-2"/>
          <w:sz w:val="20"/>
        </w:rPr>
        <w:t> </w:t>
      </w:r>
      <w:r>
        <w:rPr>
          <w:sz w:val="20"/>
        </w:rPr>
        <w:t>“at</w:t>
      </w:r>
      <w:r>
        <w:rPr>
          <w:spacing w:val="-2"/>
          <w:sz w:val="20"/>
        </w:rPr>
        <w:t> </w:t>
      </w:r>
      <w:r>
        <w:rPr>
          <w:sz w:val="20"/>
        </w:rPr>
        <w:t>least</w:t>
      </w:r>
      <w:r>
        <w:rPr>
          <w:spacing w:val="-2"/>
          <w:sz w:val="20"/>
        </w:rPr>
        <w:t> </w:t>
      </w:r>
      <w:r>
        <w:rPr>
          <w:sz w:val="20"/>
        </w:rPr>
        <w:t>where</w:t>
      </w:r>
      <w:r>
        <w:rPr>
          <w:spacing w:val="-2"/>
          <w:sz w:val="20"/>
        </w:rPr>
        <w:t> </w:t>
      </w:r>
      <w:r>
        <w:rPr>
          <w:sz w:val="20"/>
        </w:rPr>
        <w:t>the</w:t>
      </w:r>
      <w:r>
        <w:rPr>
          <w:spacing w:val="-2"/>
          <w:sz w:val="20"/>
        </w:rPr>
        <w:t> </w:t>
      </w:r>
      <w:r>
        <w:rPr>
          <w:sz w:val="20"/>
        </w:rPr>
        <w:t>parties</w:t>
      </w:r>
      <w:r>
        <w:rPr>
          <w:spacing w:val="-2"/>
          <w:sz w:val="20"/>
        </w:rPr>
        <w:t> </w:t>
      </w:r>
      <w:r>
        <w:rPr>
          <w:sz w:val="20"/>
        </w:rPr>
        <w:t>are</w:t>
      </w:r>
      <w:r>
        <w:rPr>
          <w:spacing w:val="-2"/>
          <w:sz w:val="20"/>
        </w:rPr>
        <w:t> </w:t>
      </w:r>
      <w:r>
        <w:rPr>
          <w:sz w:val="20"/>
        </w:rPr>
        <w:t>already in a contractual relationship when the unilateral promise is made” (at [80]).</w:t>
      </w:r>
    </w:p>
    <w:p>
      <w:pPr>
        <w:spacing w:after="0" w:line="235" w:lineRule="auto"/>
        <w:jc w:val="both"/>
        <w:rPr>
          <w:sz w:val="20"/>
        </w:rPr>
        <w:sectPr>
          <w:pgSz w:w="11900" w:h="16840"/>
          <w:pgMar w:header="971" w:footer="0" w:top="1300" w:bottom="280" w:left="1275" w:right="1275"/>
        </w:sectPr>
      </w:pPr>
    </w:p>
    <w:p>
      <w:pPr>
        <w:spacing w:line="235" w:lineRule="auto" w:before="170"/>
        <w:ind w:left="705" w:right="167" w:hanging="541"/>
        <w:jc w:val="both"/>
        <w:rPr>
          <w:sz w:val="20"/>
        </w:rPr>
      </w:pPr>
      <w:hyperlink w:history="true" w:anchor="_bookmark1698">
        <w:r>
          <w:rPr>
            <w:color w:val="005DA1"/>
            <w:position w:val="5"/>
            <w:sz w:val="14"/>
            <w:u w:val="single" w:color="005DA1"/>
          </w:rPr>
          <w:t>894</w:t>
        </w:r>
      </w:hyperlink>
      <w:r>
        <w:rPr>
          <w:position w:val="5"/>
          <w:sz w:val="14"/>
        </w:rPr>
        <w:t>.</w:t>
      </w:r>
      <w:r>
        <w:rPr>
          <w:spacing w:val="40"/>
          <w:position w:val="5"/>
          <w:sz w:val="14"/>
        </w:rPr>
        <w:t>  </w:t>
      </w:r>
      <w:r>
        <w:rPr>
          <w:sz w:val="20"/>
        </w:rPr>
        <w:t>cf. above, para.2-148; </w:t>
      </w:r>
      <w:r>
        <w:rPr>
          <w:rFonts w:ascii="Arial" w:hAnsi="Arial"/>
          <w:i/>
          <w:sz w:val="20"/>
        </w:rPr>
        <w:t>Kingswood Estate Co v Anderson [1963] 2 Q.B. 169</w:t>
      </w:r>
      <w:r>
        <w:rPr>
          <w:sz w:val="20"/>
        </w:rPr>
        <w:t>; </w:t>
      </w:r>
      <w:r>
        <w:rPr>
          <w:rFonts w:ascii="Arial" w:hAnsi="Arial"/>
          <w:i/>
          <w:sz w:val="20"/>
        </w:rPr>
        <w:t>South West Water Authority v Palmer (1982) 263 E.G. 438</w:t>
      </w:r>
      <w:r>
        <w:rPr>
          <w:sz w:val="20"/>
        </w:rPr>
        <w:t>; </w:t>
      </w:r>
      <w:r>
        <w:rPr>
          <w:rFonts w:ascii="Arial" w:hAnsi="Arial"/>
          <w:i/>
          <w:sz w:val="20"/>
        </w:rPr>
        <w:t>Benourad v Compass Group Plc [2010] EWHC </w:t>
      </w:r>
      <w:r>
        <w:rPr>
          <w:rFonts w:ascii="Arial" w:hAnsi="Arial"/>
          <w:i/>
          <w:sz w:val="20"/>
        </w:rPr>
        <w:t>1882 (QB) </w:t>
      </w:r>
      <w:r>
        <w:rPr>
          <w:sz w:val="20"/>
        </w:rPr>
        <w:t>at [106(d)]; </w:t>
      </w:r>
      <w:r>
        <w:rPr>
          <w:rFonts w:ascii="Arial" w:hAnsi="Arial"/>
          <w:i/>
          <w:sz w:val="20"/>
        </w:rPr>
        <w:t>Maple Leaf Volatility Master Fund v Rouvroy [2009] EWCA Civ 1334, [2010] 2 All E.R. (Comm) 788 </w:t>
      </w:r>
      <w:r>
        <w:rPr>
          <w:sz w:val="20"/>
        </w:rPr>
        <w:t>at [21], citing </w:t>
      </w:r>
      <w:r>
        <w:rPr>
          <w:rFonts w:ascii="Arial" w:hAnsi="Arial"/>
          <w:i/>
          <w:sz w:val="20"/>
        </w:rPr>
        <w:t>Trentham v Archital Luxfer Ltd [1993] 1 Lloyd’s Rep. 25, 27</w:t>
      </w:r>
      <w:r>
        <w:rPr>
          <w:sz w:val="20"/>
        </w:rPr>
        <w:t>.</w:t>
      </w:r>
    </w:p>
    <w:p>
      <w:pPr>
        <w:pStyle w:val="BodyText"/>
        <w:spacing w:before="9"/>
      </w:pPr>
    </w:p>
    <w:p>
      <w:pPr>
        <w:pStyle w:val="BodyText"/>
        <w:spacing w:line="235" w:lineRule="auto"/>
        <w:ind w:left="705" w:right="167" w:hanging="541"/>
        <w:jc w:val="both"/>
      </w:pPr>
      <w:bookmarkStart w:name="_bookmark1775" w:id="1777"/>
      <w:bookmarkEnd w:id="1777"/>
      <w:r>
        <w:rPr/>
      </w:r>
      <w:hyperlink w:history="true" w:anchor="_bookmark1699">
        <w:r>
          <w:rPr>
            <w:color w:val="005DA1"/>
            <w:position w:val="5"/>
            <w:sz w:val="14"/>
            <w:u w:val="single" w:color="005DA1"/>
          </w:rPr>
          <w:t>895</w:t>
        </w:r>
      </w:hyperlink>
      <w:r>
        <w:rPr>
          <w:position w:val="5"/>
          <w:sz w:val="14"/>
        </w:rPr>
        <w:t>.</w:t>
      </w:r>
      <w:r>
        <w:rPr>
          <w:spacing w:val="80"/>
          <w:w w:val="150"/>
          <w:position w:val="5"/>
          <w:sz w:val="14"/>
        </w:rPr>
        <w:t> </w:t>
      </w:r>
      <w:r>
        <w:rPr>
          <w:rFonts w:ascii="Arial" w:hAnsi="Arial"/>
          <w:i/>
        </w:rPr>
        <w:t>Bottrill v Harling [2015] EWCA Civ 564 </w:t>
      </w:r>
      <w:r>
        <w:rPr/>
        <w:t>at [14]–[16], [19]–[21], the Court of Appeal held that </w:t>
      </w:r>
      <w:r>
        <w:rPr/>
        <w:t>in deciding whether an oral agreement was made it is entirely acceptable to consider how the parties conducted themselves.</w:t>
      </w:r>
    </w:p>
    <w:p>
      <w:pPr>
        <w:pStyle w:val="BodyText"/>
        <w:spacing w:before="8"/>
      </w:pPr>
    </w:p>
    <w:p>
      <w:pPr>
        <w:spacing w:line="235" w:lineRule="auto" w:before="1"/>
        <w:ind w:left="705" w:right="167" w:hanging="541"/>
        <w:jc w:val="both"/>
        <w:rPr>
          <w:sz w:val="20"/>
        </w:rPr>
      </w:pPr>
      <w:bookmarkStart w:name="_bookmark1776" w:id="1778"/>
      <w:bookmarkEnd w:id="1778"/>
      <w:r>
        <w:rPr/>
      </w:r>
      <w:hyperlink w:history="true" w:anchor="_bookmark1700">
        <w:r>
          <w:rPr>
            <w:color w:val="005DA1"/>
            <w:position w:val="5"/>
            <w:sz w:val="14"/>
            <w:u w:val="single" w:color="005DA1"/>
          </w:rPr>
          <w:t>896</w:t>
        </w:r>
      </w:hyperlink>
      <w:r>
        <w:rPr>
          <w:position w:val="5"/>
          <w:sz w:val="14"/>
        </w:rPr>
        <w:t>.</w:t>
      </w:r>
      <w:r>
        <w:rPr>
          <w:spacing w:val="80"/>
          <w:w w:val="150"/>
          <w:position w:val="5"/>
          <w:sz w:val="14"/>
        </w:rPr>
        <w:t> </w:t>
      </w:r>
      <w:r>
        <w:rPr>
          <w:rFonts w:ascii="Arial" w:hAnsi="Arial"/>
          <w:i/>
          <w:sz w:val="20"/>
        </w:rPr>
        <w:t>Hispanica de Petroleos SA v Vencedora Oceana Navegaceon SA (The Kapetan Markos </w:t>
      </w:r>
      <w:r>
        <w:rPr>
          <w:rFonts w:ascii="Arial" w:hAnsi="Arial"/>
          <w:i/>
          <w:sz w:val="20"/>
        </w:rPr>
        <w:t>N.L.) (No.2) [1987] 2 Lloyd’s Rep. 323</w:t>
      </w:r>
      <w:r>
        <w:rPr>
          <w:sz w:val="20"/>
        </w:rPr>
        <w:t>; </w:t>
      </w:r>
      <w:r>
        <w:rPr>
          <w:rFonts w:ascii="Arial" w:hAnsi="Arial"/>
          <w:i/>
          <w:sz w:val="20"/>
        </w:rPr>
        <w:t>The Aramis [1989] 1 Lloyd’s Rep. 213</w:t>
      </w:r>
      <w:r>
        <w:rPr>
          <w:sz w:val="20"/>
        </w:rPr>
        <w:t>; </w:t>
      </w:r>
      <w:r>
        <w:rPr>
          <w:rFonts w:ascii="Arial" w:hAnsi="Arial"/>
          <w:i/>
          <w:sz w:val="20"/>
        </w:rPr>
        <w:t>Mitsui &amp; Co Ltd v Novorossiysk Shipping Co (The Gudermes) [1993] 1 Lloyd’s Rep. 311</w:t>
      </w:r>
      <w:r>
        <w:rPr>
          <w:sz w:val="20"/>
        </w:rPr>
        <w:t>; in some of these cases rights and liabilities under the shipping documents would now arise by virtue of Carriage of Goods by Sea Act 1992 ss.2 and 3. Part of the ground covered by these sections of the 1992 Act will, if the Rotterdam Rules (below, para.18-036) are given the force of law in the United Kingdom, be covered by arts 57 and 58 of those Rules, so that it is likely that the 1992 Act will, in that event, have to be amended. The scope of arts 57 and 58 is significantly narrower than that of ss.2 and 3 of the 1992 Act: see, for example, para.18-054 below.</w:t>
      </w:r>
    </w:p>
    <w:p>
      <w:pPr>
        <w:pStyle w:val="BodyText"/>
        <w:spacing w:before="6"/>
      </w:pPr>
    </w:p>
    <w:p>
      <w:pPr>
        <w:spacing w:line="235" w:lineRule="auto" w:before="0"/>
        <w:ind w:left="705" w:right="167" w:hanging="541"/>
        <w:jc w:val="both"/>
        <w:rPr>
          <w:rFonts w:ascii="Arial" w:hAnsi="Arial"/>
          <w:i/>
          <w:sz w:val="20"/>
        </w:rPr>
      </w:pPr>
      <w:bookmarkStart w:name="_bookmark1777" w:id="1779"/>
      <w:bookmarkEnd w:id="1779"/>
      <w:r>
        <w:rPr/>
      </w:r>
      <w:hyperlink w:history="true" w:anchor="_bookmark1701">
        <w:r>
          <w:rPr>
            <w:color w:val="005DA1"/>
            <w:position w:val="5"/>
            <w:sz w:val="14"/>
            <w:u w:val="single" w:color="005DA1"/>
          </w:rPr>
          <w:t>897</w:t>
        </w:r>
      </w:hyperlink>
      <w:r>
        <w:rPr>
          <w:position w:val="5"/>
          <w:sz w:val="14"/>
        </w:rPr>
        <w:t>.</w:t>
      </w:r>
      <w:r>
        <w:rPr>
          <w:spacing w:val="80"/>
          <w:w w:val="150"/>
          <w:position w:val="5"/>
          <w:sz w:val="14"/>
        </w:rPr>
        <w:t> </w:t>
      </w:r>
      <w:r>
        <w:rPr>
          <w:rFonts w:ascii="Arial" w:hAnsi="Arial"/>
          <w:i/>
          <w:sz w:val="20"/>
        </w:rPr>
        <w:t>Blackpool and Fylde Aero Club v Blackpool BC [1990] 1 W.L.R. 1195, 1202</w:t>
      </w:r>
      <w:r>
        <w:rPr>
          <w:sz w:val="20"/>
        </w:rPr>
        <w:t>; cf. </w:t>
      </w:r>
      <w:r>
        <w:rPr>
          <w:rFonts w:ascii="Arial" w:hAnsi="Arial"/>
          <w:i/>
          <w:sz w:val="20"/>
        </w:rPr>
        <w:t>Baird Textile Holdings Ltd v Marks &amp; Spencer Plc [2001] EWCA Civ 274, [2002] 1 All E.R. (Comm) 737 </w:t>
      </w:r>
      <w:r>
        <w:rPr>
          <w:sz w:val="20"/>
        </w:rPr>
        <w:t>at [20], [21], [30], [62] where the argument that there was an implied contract was rejected for the reasons given in para.2-172 below. The argument was likewise rejected in </w:t>
      </w:r>
      <w:r>
        <w:rPr>
          <w:rFonts w:ascii="Arial" w:hAnsi="Arial"/>
          <w:i/>
          <w:sz w:val="20"/>
        </w:rPr>
        <w:t>West Bromwich Albion Football Club v El Safty [2006] EWCA Civ 1299, (2006) 92 B.M.L.R. 179 </w:t>
      </w:r>
      <w:r>
        <w:rPr>
          <w:sz w:val="20"/>
        </w:rPr>
        <w:t>at [43], [48] (below, para.18-004) and </w:t>
      </w:r>
      <w:r>
        <w:rPr>
          <w:rFonts w:ascii="Arial" w:hAnsi="Arial"/>
          <w:i/>
          <w:sz w:val="20"/>
        </w:rPr>
        <w:t>Cairns v Visteon UK Ltd [2007] I.R.L.R. 175 </w:t>
      </w:r>
      <w:r>
        <w:rPr>
          <w:sz w:val="20"/>
        </w:rPr>
        <w:t>at [18], [23] on the</w:t>
      </w:r>
      <w:r>
        <w:rPr>
          <w:spacing w:val="40"/>
          <w:sz w:val="20"/>
        </w:rPr>
        <w:t> </w:t>
      </w:r>
      <w:r>
        <w:rPr>
          <w:sz w:val="20"/>
        </w:rPr>
        <w:t>ground that in these two cases there was no “necessity” for any such implication; and see below, para.18-005. For other cases in which it was held that it was not “necessary” to imply a contract, see </w:t>
      </w:r>
      <w:r>
        <w:rPr>
          <w:rFonts w:ascii="Arial" w:hAnsi="Arial"/>
          <w:i/>
          <w:sz w:val="20"/>
        </w:rPr>
        <w:t>Whittle Movers Ltd v Hollywood Express Ltd [2009] EWCA Civ 1189 </w:t>
      </w:r>
      <w:r>
        <w:rPr>
          <w:sz w:val="20"/>
        </w:rPr>
        <w:t>at [17]; </w:t>
      </w:r>
      <w:r>
        <w:rPr>
          <w:rFonts w:ascii="Arial" w:hAnsi="Arial"/>
          <w:i/>
          <w:sz w:val="20"/>
        </w:rPr>
        <w:t>Commissioners for Her Majesty’s Revenue and Customs v Benchdollar Ltd [2009] EWHC 1310 (Ch) </w:t>
      </w:r>
      <w:r>
        <w:rPr>
          <w:sz w:val="20"/>
        </w:rPr>
        <w:t>at [38], where there was no such “necessity” because both parties believed (though mistakenly: see below, para.4-036 n.228) that their arrangement was binding as </w:t>
      </w:r>
      <w:r>
        <w:rPr>
          <w:sz w:val="20"/>
        </w:rPr>
        <w:t>an acknowledgement within Limitation Act 1980 s.29(5); </w:t>
      </w:r>
      <w:r>
        <w:rPr>
          <w:rFonts w:ascii="Arial" w:hAnsi="Arial"/>
          <w:i/>
          <w:sz w:val="20"/>
        </w:rPr>
        <w:t>Classic Maritime Inc v Lion Diversified Holdings</w:t>
      </w:r>
      <w:r>
        <w:rPr>
          <w:rFonts w:ascii="Arial" w:hAnsi="Arial"/>
          <w:i/>
          <w:spacing w:val="62"/>
          <w:sz w:val="20"/>
        </w:rPr>
        <w:t> </w:t>
      </w:r>
      <w:r>
        <w:rPr>
          <w:rFonts w:ascii="Arial" w:hAnsi="Arial"/>
          <w:i/>
          <w:sz w:val="20"/>
        </w:rPr>
        <w:t>Berhad</w:t>
      </w:r>
      <w:r>
        <w:rPr>
          <w:rFonts w:ascii="Arial" w:hAnsi="Arial"/>
          <w:i/>
          <w:spacing w:val="62"/>
          <w:sz w:val="20"/>
        </w:rPr>
        <w:t> </w:t>
      </w:r>
      <w:r>
        <w:rPr>
          <w:rFonts w:ascii="Arial" w:hAnsi="Arial"/>
          <w:i/>
          <w:sz w:val="20"/>
        </w:rPr>
        <w:t>[2009]</w:t>
      </w:r>
      <w:r>
        <w:rPr>
          <w:rFonts w:ascii="Arial" w:hAnsi="Arial"/>
          <w:i/>
          <w:spacing w:val="62"/>
          <w:sz w:val="20"/>
        </w:rPr>
        <w:t> </w:t>
      </w:r>
      <w:r>
        <w:rPr>
          <w:rFonts w:ascii="Arial" w:hAnsi="Arial"/>
          <w:i/>
          <w:sz w:val="20"/>
        </w:rPr>
        <w:t>EWHC</w:t>
      </w:r>
      <w:r>
        <w:rPr>
          <w:rFonts w:ascii="Arial" w:hAnsi="Arial"/>
          <w:i/>
          <w:spacing w:val="62"/>
          <w:sz w:val="20"/>
        </w:rPr>
        <w:t> </w:t>
      </w:r>
      <w:r>
        <w:rPr>
          <w:rFonts w:ascii="Arial" w:hAnsi="Arial"/>
          <w:i/>
          <w:sz w:val="20"/>
        </w:rPr>
        <w:t>1142</w:t>
      </w:r>
      <w:r>
        <w:rPr>
          <w:rFonts w:ascii="Arial" w:hAnsi="Arial"/>
          <w:i/>
          <w:spacing w:val="62"/>
          <w:sz w:val="20"/>
        </w:rPr>
        <w:t> </w:t>
      </w:r>
      <w:r>
        <w:rPr>
          <w:rFonts w:ascii="Arial" w:hAnsi="Arial"/>
          <w:i/>
          <w:sz w:val="20"/>
        </w:rPr>
        <w:t>(Comm),</w:t>
      </w:r>
      <w:r>
        <w:rPr>
          <w:rFonts w:ascii="Arial" w:hAnsi="Arial"/>
          <w:i/>
          <w:spacing w:val="62"/>
          <w:sz w:val="20"/>
        </w:rPr>
        <w:t> </w:t>
      </w:r>
      <w:r>
        <w:rPr>
          <w:rFonts w:ascii="Arial" w:hAnsi="Arial"/>
          <w:i/>
          <w:sz w:val="20"/>
        </w:rPr>
        <w:t>[2010]</w:t>
      </w:r>
      <w:r>
        <w:rPr>
          <w:rFonts w:ascii="Arial" w:hAnsi="Arial"/>
          <w:i/>
          <w:spacing w:val="62"/>
          <w:sz w:val="20"/>
        </w:rPr>
        <w:t> </w:t>
      </w:r>
      <w:r>
        <w:rPr>
          <w:rFonts w:ascii="Arial" w:hAnsi="Arial"/>
          <w:i/>
          <w:sz w:val="20"/>
        </w:rPr>
        <w:t>1</w:t>
      </w:r>
      <w:r>
        <w:rPr>
          <w:rFonts w:ascii="Arial" w:hAnsi="Arial"/>
          <w:i/>
          <w:spacing w:val="62"/>
          <w:sz w:val="20"/>
        </w:rPr>
        <w:t> </w:t>
      </w:r>
      <w:r>
        <w:rPr>
          <w:rFonts w:ascii="Arial" w:hAnsi="Arial"/>
          <w:i/>
          <w:sz w:val="20"/>
        </w:rPr>
        <w:t>Lloyd’s</w:t>
      </w:r>
      <w:r>
        <w:rPr>
          <w:rFonts w:ascii="Arial" w:hAnsi="Arial"/>
          <w:i/>
          <w:spacing w:val="62"/>
          <w:sz w:val="20"/>
        </w:rPr>
        <w:t> </w:t>
      </w:r>
      <w:r>
        <w:rPr>
          <w:rFonts w:ascii="Arial" w:hAnsi="Arial"/>
          <w:i/>
          <w:sz w:val="20"/>
        </w:rPr>
        <w:t>Rep.</w:t>
      </w:r>
      <w:r>
        <w:rPr>
          <w:rFonts w:ascii="Arial" w:hAnsi="Arial"/>
          <w:i/>
          <w:spacing w:val="62"/>
          <w:sz w:val="20"/>
        </w:rPr>
        <w:t> </w:t>
      </w:r>
      <w:r>
        <w:rPr>
          <w:rFonts w:ascii="Arial" w:hAnsi="Arial"/>
          <w:i/>
          <w:sz w:val="20"/>
        </w:rPr>
        <w:t>69</w:t>
      </w:r>
      <w:r>
        <w:rPr>
          <w:rFonts w:ascii="Arial" w:hAnsi="Arial"/>
          <w:i/>
          <w:spacing w:val="61"/>
          <w:sz w:val="20"/>
        </w:rPr>
        <w:t> </w:t>
      </w:r>
      <w:r>
        <w:rPr>
          <w:sz w:val="20"/>
        </w:rPr>
        <w:t>at</w:t>
      </w:r>
      <w:r>
        <w:rPr>
          <w:spacing w:val="62"/>
          <w:sz w:val="20"/>
        </w:rPr>
        <w:t> </w:t>
      </w:r>
      <w:r>
        <w:rPr>
          <w:sz w:val="20"/>
        </w:rPr>
        <w:t>[9];</w:t>
      </w:r>
      <w:r>
        <w:rPr>
          <w:spacing w:val="62"/>
          <w:sz w:val="20"/>
        </w:rPr>
        <w:t> </w:t>
      </w:r>
      <w:r>
        <w:rPr>
          <w:sz w:val="20"/>
        </w:rPr>
        <w:t>cf.</w:t>
      </w:r>
      <w:r>
        <w:rPr>
          <w:spacing w:val="62"/>
          <w:sz w:val="20"/>
        </w:rPr>
        <w:t> </w:t>
      </w:r>
      <w:r>
        <w:rPr>
          <w:rFonts w:ascii="Arial" w:hAnsi="Arial"/>
          <w:i/>
          <w:sz w:val="20"/>
        </w:rPr>
        <w:t>C</w:t>
      </w:r>
      <w:r>
        <w:rPr>
          <w:rFonts w:ascii="Arial" w:hAnsi="Arial"/>
          <w:i/>
          <w:spacing w:val="62"/>
          <w:sz w:val="20"/>
        </w:rPr>
        <w:t> </w:t>
      </w:r>
      <w:r>
        <w:rPr>
          <w:rFonts w:ascii="Arial" w:hAnsi="Arial"/>
          <w:i/>
          <w:spacing w:val="-10"/>
          <w:sz w:val="20"/>
        </w:rPr>
        <w:t>N</w:t>
      </w:r>
    </w:p>
    <w:p>
      <w:pPr>
        <w:spacing w:line="218" w:lineRule="exact" w:before="0"/>
        <w:ind w:left="705" w:right="0" w:firstLine="0"/>
        <w:jc w:val="left"/>
        <w:rPr>
          <w:rFonts w:ascii="Arial"/>
          <w:i/>
          <w:sz w:val="20"/>
        </w:rPr>
      </w:pPr>
      <w:r>
        <w:rPr>
          <w:rFonts w:ascii="Arial"/>
          <w:i/>
          <w:sz w:val="20"/>
        </w:rPr>
        <w:t>Associates</w:t>
      </w:r>
      <w:r>
        <w:rPr>
          <w:rFonts w:ascii="Arial"/>
          <w:i/>
          <w:spacing w:val="55"/>
          <w:sz w:val="20"/>
        </w:rPr>
        <w:t> </w:t>
      </w:r>
      <w:r>
        <w:rPr>
          <w:rFonts w:ascii="Arial"/>
          <w:i/>
          <w:sz w:val="20"/>
        </w:rPr>
        <w:t>v</w:t>
      </w:r>
      <w:r>
        <w:rPr>
          <w:rFonts w:ascii="Arial"/>
          <w:i/>
          <w:spacing w:val="56"/>
          <w:sz w:val="20"/>
        </w:rPr>
        <w:t> </w:t>
      </w:r>
      <w:r>
        <w:rPr>
          <w:rFonts w:ascii="Arial"/>
          <w:i/>
          <w:sz w:val="20"/>
        </w:rPr>
        <w:t>Holbeton</w:t>
      </w:r>
      <w:r>
        <w:rPr>
          <w:rFonts w:ascii="Arial"/>
          <w:i/>
          <w:spacing w:val="56"/>
          <w:sz w:val="20"/>
        </w:rPr>
        <w:t> </w:t>
      </w:r>
      <w:r>
        <w:rPr>
          <w:rFonts w:ascii="Arial"/>
          <w:i/>
          <w:sz w:val="20"/>
        </w:rPr>
        <w:t>Ltd</w:t>
      </w:r>
      <w:r>
        <w:rPr>
          <w:rFonts w:ascii="Arial"/>
          <w:i/>
          <w:spacing w:val="56"/>
          <w:sz w:val="20"/>
        </w:rPr>
        <w:t> </w:t>
      </w:r>
      <w:r>
        <w:rPr>
          <w:rFonts w:ascii="Arial"/>
          <w:i/>
          <w:sz w:val="20"/>
        </w:rPr>
        <w:t>[2011]</w:t>
      </w:r>
      <w:r>
        <w:rPr>
          <w:rFonts w:ascii="Arial"/>
          <w:i/>
          <w:spacing w:val="56"/>
          <w:sz w:val="20"/>
        </w:rPr>
        <w:t> </w:t>
      </w:r>
      <w:r>
        <w:rPr>
          <w:rFonts w:ascii="Arial"/>
          <w:i/>
          <w:sz w:val="20"/>
        </w:rPr>
        <w:t>EWHC</w:t>
      </w:r>
      <w:r>
        <w:rPr>
          <w:rFonts w:ascii="Arial"/>
          <w:i/>
          <w:spacing w:val="56"/>
          <w:sz w:val="20"/>
        </w:rPr>
        <w:t> </w:t>
      </w:r>
      <w:r>
        <w:rPr>
          <w:rFonts w:ascii="Arial"/>
          <w:i/>
          <w:sz w:val="20"/>
        </w:rPr>
        <w:t>43</w:t>
      </w:r>
      <w:r>
        <w:rPr>
          <w:rFonts w:ascii="Arial"/>
          <w:i/>
          <w:spacing w:val="56"/>
          <w:sz w:val="20"/>
        </w:rPr>
        <w:t> </w:t>
      </w:r>
      <w:r>
        <w:rPr>
          <w:rFonts w:ascii="Arial"/>
          <w:i/>
          <w:sz w:val="20"/>
        </w:rPr>
        <w:t>(TCC),</w:t>
      </w:r>
      <w:r>
        <w:rPr>
          <w:rFonts w:ascii="Arial"/>
          <w:i/>
          <w:spacing w:val="56"/>
          <w:sz w:val="20"/>
        </w:rPr>
        <w:t> </w:t>
      </w:r>
      <w:r>
        <w:rPr>
          <w:rFonts w:ascii="Arial"/>
          <w:i/>
          <w:sz w:val="20"/>
        </w:rPr>
        <w:t>[2011]</w:t>
      </w:r>
      <w:r>
        <w:rPr>
          <w:rFonts w:ascii="Arial"/>
          <w:i/>
          <w:spacing w:val="56"/>
          <w:sz w:val="20"/>
        </w:rPr>
        <w:t> </w:t>
      </w:r>
      <w:r>
        <w:rPr>
          <w:rFonts w:ascii="Arial"/>
          <w:i/>
          <w:sz w:val="20"/>
        </w:rPr>
        <w:t>B.L.R.</w:t>
      </w:r>
      <w:r>
        <w:rPr>
          <w:rFonts w:ascii="Arial"/>
          <w:i/>
          <w:spacing w:val="56"/>
          <w:sz w:val="20"/>
        </w:rPr>
        <w:t> </w:t>
      </w:r>
      <w:r>
        <w:rPr>
          <w:rFonts w:ascii="Arial"/>
          <w:i/>
          <w:sz w:val="20"/>
        </w:rPr>
        <w:t>261</w:t>
      </w:r>
      <w:r>
        <w:rPr>
          <w:sz w:val="20"/>
        </w:rPr>
        <w:t>.</w:t>
      </w:r>
      <w:r>
        <w:rPr>
          <w:spacing w:val="56"/>
          <w:sz w:val="20"/>
        </w:rPr>
        <w:t> </w:t>
      </w:r>
      <w:r>
        <w:rPr>
          <w:sz w:val="20"/>
        </w:rPr>
        <w:t>Contrast</w:t>
      </w:r>
      <w:r>
        <w:rPr>
          <w:spacing w:val="56"/>
          <w:sz w:val="20"/>
        </w:rPr>
        <w:t> </w:t>
      </w:r>
      <w:r>
        <w:rPr>
          <w:rFonts w:ascii="Arial"/>
          <w:i/>
          <w:spacing w:val="-2"/>
          <w:sz w:val="20"/>
        </w:rPr>
        <w:t>Goshaw</w:t>
      </w:r>
    </w:p>
    <w:p>
      <w:pPr>
        <w:spacing w:line="235" w:lineRule="auto" w:before="1"/>
        <w:ind w:left="705" w:right="0" w:firstLine="0"/>
        <w:jc w:val="left"/>
        <w:rPr>
          <w:sz w:val="20"/>
        </w:rPr>
      </w:pPr>
      <w:r>
        <w:rPr>
          <w:rFonts w:ascii="Arial"/>
          <w:i/>
          <w:sz w:val="20"/>
        </w:rPr>
        <w:t>Dedicated</w:t>
      </w:r>
      <w:r>
        <w:rPr>
          <w:rFonts w:ascii="Arial"/>
          <w:i/>
          <w:spacing w:val="21"/>
          <w:sz w:val="20"/>
        </w:rPr>
        <w:t> </w:t>
      </w:r>
      <w:r>
        <w:rPr>
          <w:rFonts w:ascii="Arial"/>
          <w:i/>
          <w:sz w:val="20"/>
        </w:rPr>
        <w:t>Ltd</w:t>
      </w:r>
      <w:r>
        <w:rPr>
          <w:rFonts w:ascii="Arial"/>
          <w:i/>
          <w:spacing w:val="21"/>
          <w:sz w:val="20"/>
        </w:rPr>
        <w:t> </w:t>
      </w:r>
      <w:r>
        <w:rPr>
          <w:rFonts w:ascii="Arial"/>
          <w:i/>
          <w:sz w:val="20"/>
        </w:rPr>
        <w:t>v</w:t>
      </w:r>
      <w:r>
        <w:rPr>
          <w:rFonts w:ascii="Arial"/>
          <w:i/>
          <w:spacing w:val="21"/>
          <w:sz w:val="20"/>
        </w:rPr>
        <w:t> </w:t>
      </w:r>
      <w:r>
        <w:rPr>
          <w:rFonts w:ascii="Arial"/>
          <w:i/>
          <w:sz w:val="20"/>
        </w:rPr>
        <w:t>Tyser</w:t>
      </w:r>
      <w:r>
        <w:rPr>
          <w:rFonts w:ascii="Arial"/>
          <w:i/>
          <w:spacing w:val="21"/>
          <w:sz w:val="20"/>
        </w:rPr>
        <w:t> </w:t>
      </w:r>
      <w:r>
        <w:rPr>
          <w:rFonts w:ascii="Arial"/>
          <w:i/>
          <w:sz w:val="20"/>
        </w:rPr>
        <w:t>&amp;</w:t>
      </w:r>
      <w:r>
        <w:rPr>
          <w:rFonts w:ascii="Arial"/>
          <w:i/>
          <w:spacing w:val="21"/>
          <w:sz w:val="20"/>
        </w:rPr>
        <w:t> </w:t>
      </w:r>
      <w:r>
        <w:rPr>
          <w:rFonts w:ascii="Arial"/>
          <w:i/>
          <w:sz w:val="20"/>
        </w:rPr>
        <w:t>Co</w:t>
      </w:r>
      <w:r>
        <w:rPr>
          <w:rFonts w:ascii="Arial"/>
          <w:i/>
          <w:spacing w:val="21"/>
          <w:sz w:val="20"/>
        </w:rPr>
        <w:t> </w:t>
      </w:r>
      <w:r>
        <w:rPr>
          <w:rFonts w:ascii="Arial"/>
          <w:i/>
          <w:sz w:val="20"/>
        </w:rPr>
        <w:t>Ltd</w:t>
      </w:r>
      <w:r>
        <w:rPr>
          <w:rFonts w:ascii="Arial"/>
          <w:i/>
          <w:spacing w:val="21"/>
          <w:sz w:val="20"/>
        </w:rPr>
        <w:t> </w:t>
      </w:r>
      <w:r>
        <w:rPr>
          <w:rFonts w:ascii="Arial"/>
          <w:i/>
          <w:sz w:val="20"/>
        </w:rPr>
        <w:t>[2006]</w:t>
      </w:r>
      <w:r>
        <w:rPr>
          <w:rFonts w:ascii="Arial"/>
          <w:i/>
          <w:spacing w:val="21"/>
          <w:sz w:val="20"/>
        </w:rPr>
        <w:t> </w:t>
      </w:r>
      <w:r>
        <w:rPr>
          <w:rFonts w:ascii="Arial"/>
          <w:i/>
          <w:sz w:val="20"/>
        </w:rPr>
        <w:t>EWCA</w:t>
      </w:r>
      <w:r>
        <w:rPr>
          <w:rFonts w:ascii="Arial"/>
          <w:i/>
          <w:spacing w:val="21"/>
          <w:sz w:val="20"/>
        </w:rPr>
        <w:t> </w:t>
      </w:r>
      <w:r>
        <w:rPr>
          <w:rFonts w:ascii="Arial"/>
          <w:i/>
          <w:sz w:val="20"/>
        </w:rPr>
        <w:t>Civ</w:t>
      </w:r>
      <w:r>
        <w:rPr>
          <w:rFonts w:ascii="Arial"/>
          <w:i/>
          <w:spacing w:val="21"/>
          <w:sz w:val="20"/>
        </w:rPr>
        <w:t> </w:t>
      </w:r>
      <w:r>
        <w:rPr>
          <w:rFonts w:ascii="Arial"/>
          <w:i/>
          <w:sz w:val="20"/>
        </w:rPr>
        <w:t>54,</w:t>
      </w:r>
      <w:r>
        <w:rPr>
          <w:rFonts w:ascii="Arial"/>
          <w:i/>
          <w:spacing w:val="21"/>
          <w:sz w:val="20"/>
        </w:rPr>
        <w:t> </w:t>
      </w:r>
      <w:r>
        <w:rPr>
          <w:rFonts w:ascii="Arial"/>
          <w:i/>
          <w:sz w:val="20"/>
        </w:rPr>
        <w:t>[2006]</w:t>
      </w:r>
      <w:r>
        <w:rPr>
          <w:rFonts w:ascii="Arial"/>
          <w:i/>
          <w:spacing w:val="21"/>
          <w:sz w:val="20"/>
        </w:rPr>
        <w:t> </w:t>
      </w:r>
      <w:r>
        <w:rPr>
          <w:rFonts w:ascii="Arial"/>
          <w:i/>
          <w:sz w:val="20"/>
        </w:rPr>
        <w:t>1</w:t>
      </w:r>
      <w:r>
        <w:rPr>
          <w:rFonts w:ascii="Arial"/>
          <w:i/>
          <w:spacing w:val="21"/>
          <w:sz w:val="20"/>
        </w:rPr>
        <w:t> </w:t>
      </w:r>
      <w:r>
        <w:rPr>
          <w:rFonts w:ascii="Arial"/>
          <w:i/>
          <w:sz w:val="20"/>
        </w:rPr>
        <w:t>All</w:t>
      </w:r>
      <w:r>
        <w:rPr>
          <w:rFonts w:ascii="Arial"/>
          <w:i/>
          <w:spacing w:val="21"/>
          <w:sz w:val="20"/>
        </w:rPr>
        <w:t> </w:t>
      </w:r>
      <w:r>
        <w:rPr>
          <w:rFonts w:ascii="Arial"/>
          <w:i/>
          <w:sz w:val="20"/>
        </w:rPr>
        <w:t>E.R.</w:t>
      </w:r>
      <w:r>
        <w:rPr>
          <w:rFonts w:ascii="Arial"/>
          <w:i/>
          <w:spacing w:val="21"/>
          <w:sz w:val="20"/>
        </w:rPr>
        <w:t> </w:t>
      </w:r>
      <w:r>
        <w:rPr>
          <w:rFonts w:ascii="Arial"/>
          <w:i/>
          <w:sz w:val="20"/>
        </w:rPr>
        <w:t>(Comm)</w:t>
      </w:r>
      <w:r>
        <w:rPr>
          <w:rFonts w:ascii="Arial"/>
          <w:i/>
          <w:spacing w:val="21"/>
          <w:sz w:val="20"/>
        </w:rPr>
        <w:t> </w:t>
      </w:r>
      <w:r>
        <w:rPr>
          <w:rFonts w:ascii="Arial"/>
          <w:i/>
          <w:sz w:val="20"/>
        </w:rPr>
        <w:t>501</w:t>
      </w:r>
      <w:r>
        <w:rPr>
          <w:rFonts w:ascii="Arial"/>
          <w:i/>
          <w:spacing w:val="20"/>
          <w:sz w:val="20"/>
        </w:rPr>
        <w:t> </w:t>
      </w:r>
      <w:r>
        <w:rPr>
          <w:sz w:val="20"/>
        </w:rPr>
        <w:t>at</w:t>
      </w:r>
      <w:r>
        <w:rPr>
          <w:spacing w:val="21"/>
          <w:sz w:val="20"/>
        </w:rPr>
        <w:t> </w:t>
      </w:r>
      <w:r>
        <w:rPr>
          <w:sz w:val="20"/>
        </w:rPr>
        <w:t>[66], apparently rejecting the argument that there was no implied contract.</w:t>
      </w:r>
    </w:p>
    <w:p>
      <w:pPr>
        <w:pStyle w:val="BodyText"/>
        <w:spacing w:before="10"/>
      </w:pPr>
    </w:p>
    <w:p>
      <w:pPr>
        <w:spacing w:line="235" w:lineRule="auto" w:before="0"/>
        <w:ind w:left="705" w:right="167" w:hanging="541"/>
        <w:jc w:val="both"/>
        <w:rPr>
          <w:rFonts w:ascii="Arial"/>
          <w:i/>
          <w:sz w:val="20"/>
        </w:rPr>
      </w:pPr>
      <w:bookmarkStart w:name="_bookmark1778" w:id="1780"/>
      <w:bookmarkEnd w:id="1780"/>
      <w:r>
        <w:rPr/>
      </w:r>
      <w:hyperlink w:history="true" w:anchor="_bookmark1702">
        <w:r>
          <w:rPr>
            <w:color w:val="005DA1"/>
            <w:position w:val="5"/>
            <w:sz w:val="14"/>
            <w:u w:val="single" w:color="005DA1"/>
          </w:rPr>
          <w:t>898</w:t>
        </w:r>
      </w:hyperlink>
      <w:r>
        <w:rPr>
          <w:position w:val="5"/>
          <w:sz w:val="14"/>
        </w:rPr>
        <w:t>.</w:t>
      </w:r>
      <w:r>
        <w:rPr>
          <w:spacing w:val="80"/>
          <w:position w:val="5"/>
          <w:sz w:val="14"/>
        </w:rPr>
        <w:t>  </w:t>
      </w:r>
      <w:r>
        <w:rPr>
          <w:rFonts w:ascii="Arial"/>
          <w:i/>
          <w:sz w:val="20"/>
        </w:rPr>
        <w:t>[2001] EWCA Civ 1447, [2002] 1 W.L.R. 1192</w:t>
      </w:r>
      <w:r>
        <w:rPr>
          <w:sz w:val="20"/>
        </w:rPr>
        <w:t>; cf. recognition of the distinction, for the purpose of burden of proof, between express and implied agreements, drawn in paras 2-168 and 2-169 above,</w:t>
      </w:r>
      <w:r>
        <w:rPr>
          <w:spacing w:val="6"/>
          <w:sz w:val="20"/>
        </w:rPr>
        <w:t> </w:t>
      </w:r>
      <w:r>
        <w:rPr>
          <w:sz w:val="20"/>
        </w:rPr>
        <w:t>in</w:t>
      </w:r>
      <w:r>
        <w:rPr>
          <w:spacing w:val="7"/>
          <w:sz w:val="20"/>
        </w:rPr>
        <w:t> </w:t>
      </w:r>
      <w:r>
        <w:rPr>
          <w:rFonts w:ascii="Arial"/>
          <w:i/>
          <w:sz w:val="20"/>
        </w:rPr>
        <w:t>Baird</w:t>
      </w:r>
      <w:r>
        <w:rPr>
          <w:rFonts w:ascii="Arial"/>
          <w:i/>
          <w:spacing w:val="8"/>
          <w:sz w:val="20"/>
        </w:rPr>
        <w:t> </w:t>
      </w:r>
      <w:r>
        <w:rPr>
          <w:rFonts w:ascii="Arial"/>
          <w:i/>
          <w:sz w:val="20"/>
        </w:rPr>
        <w:t>Textile</w:t>
      </w:r>
      <w:r>
        <w:rPr>
          <w:rFonts w:ascii="Arial"/>
          <w:i/>
          <w:spacing w:val="8"/>
          <w:sz w:val="20"/>
        </w:rPr>
        <w:t> </w:t>
      </w:r>
      <w:r>
        <w:rPr>
          <w:rFonts w:ascii="Arial"/>
          <w:i/>
          <w:sz w:val="20"/>
        </w:rPr>
        <w:t>Holdings</w:t>
      </w:r>
      <w:r>
        <w:rPr>
          <w:rFonts w:ascii="Arial"/>
          <w:i/>
          <w:spacing w:val="8"/>
          <w:sz w:val="20"/>
        </w:rPr>
        <w:t> </w:t>
      </w:r>
      <w:r>
        <w:rPr>
          <w:rFonts w:ascii="Arial"/>
          <w:i/>
          <w:sz w:val="20"/>
        </w:rPr>
        <w:t>Ltd</w:t>
      </w:r>
      <w:r>
        <w:rPr>
          <w:rFonts w:ascii="Arial"/>
          <w:i/>
          <w:spacing w:val="8"/>
          <w:sz w:val="20"/>
        </w:rPr>
        <w:t> </w:t>
      </w:r>
      <w:r>
        <w:rPr>
          <w:rFonts w:ascii="Arial"/>
          <w:i/>
          <w:sz w:val="20"/>
        </w:rPr>
        <w:t>v</w:t>
      </w:r>
      <w:r>
        <w:rPr>
          <w:rFonts w:ascii="Arial"/>
          <w:i/>
          <w:spacing w:val="8"/>
          <w:sz w:val="20"/>
        </w:rPr>
        <w:t> </w:t>
      </w:r>
      <w:r>
        <w:rPr>
          <w:rFonts w:ascii="Arial"/>
          <w:i/>
          <w:sz w:val="20"/>
        </w:rPr>
        <w:t>Marks</w:t>
      </w:r>
      <w:r>
        <w:rPr>
          <w:rFonts w:ascii="Arial"/>
          <w:i/>
          <w:spacing w:val="8"/>
          <w:sz w:val="20"/>
        </w:rPr>
        <w:t> </w:t>
      </w:r>
      <w:r>
        <w:rPr>
          <w:rFonts w:ascii="Arial"/>
          <w:i/>
          <w:sz w:val="20"/>
        </w:rPr>
        <w:t>&amp;</w:t>
      </w:r>
      <w:r>
        <w:rPr>
          <w:rFonts w:ascii="Arial"/>
          <w:i/>
          <w:spacing w:val="8"/>
          <w:sz w:val="20"/>
        </w:rPr>
        <w:t> </w:t>
      </w:r>
      <w:r>
        <w:rPr>
          <w:rFonts w:ascii="Arial"/>
          <w:i/>
          <w:sz w:val="20"/>
        </w:rPr>
        <w:t>Spencer</w:t>
      </w:r>
      <w:r>
        <w:rPr>
          <w:rFonts w:ascii="Arial"/>
          <w:i/>
          <w:spacing w:val="8"/>
          <w:sz w:val="20"/>
        </w:rPr>
        <w:t> </w:t>
      </w:r>
      <w:r>
        <w:rPr>
          <w:rFonts w:ascii="Arial"/>
          <w:i/>
          <w:sz w:val="20"/>
        </w:rPr>
        <w:t>Plc</w:t>
      </w:r>
      <w:r>
        <w:rPr>
          <w:rFonts w:ascii="Arial"/>
          <w:i/>
          <w:spacing w:val="8"/>
          <w:sz w:val="20"/>
        </w:rPr>
        <w:t> </w:t>
      </w:r>
      <w:r>
        <w:rPr>
          <w:rFonts w:ascii="Arial"/>
          <w:i/>
          <w:sz w:val="20"/>
        </w:rPr>
        <w:t>[2001]</w:t>
      </w:r>
      <w:r>
        <w:rPr>
          <w:rFonts w:ascii="Arial"/>
          <w:i/>
          <w:spacing w:val="8"/>
          <w:sz w:val="20"/>
        </w:rPr>
        <w:t> </w:t>
      </w:r>
      <w:r>
        <w:rPr>
          <w:rFonts w:ascii="Arial"/>
          <w:i/>
          <w:sz w:val="20"/>
        </w:rPr>
        <w:t>EWCA</w:t>
      </w:r>
      <w:r>
        <w:rPr>
          <w:rFonts w:ascii="Arial"/>
          <w:i/>
          <w:spacing w:val="8"/>
          <w:sz w:val="20"/>
        </w:rPr>
        <w:t> </w:t>
      </w:r>
      <w:r>
        <w:rPr>
          <w:rFonts w:ascii="Arial"/>
          <w:i/>
          <w:sz w:val="20"/>
        </w:rPr>
        <w:t>Civ</w:t>
      </w:r>
      <w:r>
        <w:rPr>
          <w:rFonts w:ascii="Arial"/>
          <w:i/>
          <w:spacing w:val="8"/>
          <w:sz w:val="20"/>
        </w:rPr>
        <w:t> </w:t>
      </w:r>
      <w:r>
        <w:rPr>
          <w:rFonts w:ascii="Arial"/>
          <w:i/>
          <w:sz w:val="20"/>
        </w:rPr>
        <w:t>274,</w:t>
      </w:r>
      <w:r>
        <w:rPr>
          <w:rFonts w:ascii="Arial"/>
          <w:i/>
          <w:spacing w:val="8"/>
          <w:sz w:val="20"/>
        </w:rPr>
        <w:t> </w:t>
      </w:r>
      <w:r>
        <w:rPr>
          <w:rFonts w:ascii="Arial"/>
          <w:i/>
          <w:sz w:val="20"/>
        </w:rPr>
        <w:t>[2002]</w:t>
      </w:r>
      <w:r>
        <w:rPr>
          <w:rFonts w:ascii="Arial"/>
          <w:i/>
          <w:spacing w:val="8"/>
          <w:sz w:val="20"/>
        </w:rPr>
        <w:t> </w:t>
      </w:r>
      <w:r>
        <w:rPr>
          <w:rFonts w:ascii="Arial"/>
          <w:i/>
          <w:sz w:val="20"/>
        </w:rPr>
        <w:t>1</w:t>
      </w:r>
      <w:r>
        <w:rPr>
          <w:rFonts w:ascii="Arial"/>
          <w:i/>
          <w:spacing w:val="8"/>
          <w:sz w:val="20"/>
        </w:rPr>
        <w:t> </w:t>
      </w:r>
      <w:r>
        <w:rPr>
          <w:rFonts w:ascii="Arial"/>
          <w:i/>
          <w:spacing w:val="-5"/>
          <w:sz w:val="20"/>
        </w:rPr>
        <w:t>All</w:t>
      </w:r>
    </w:p>
    <w:p>
      <w:pPr>
        <w:spacing w:line="235" w:lineRule="auto" w:before="0"/>
        <w:ind w:left="705" w:right="167" w:firstLine="0"/>
        <w:jc w:val="both"/>
        <w:rPr>
          <w:sz w:val="20"/>
        </w:rPr>
      </w:pPr>
      <w:r>
        <w:rPr>
          <w:rFonts w:ascii="Arial" w:hAnsi="Arial"/>
          <w:i/>
          <w:sz w:val="20"/>
        </w:rPr>
        <w:t>E.R. (Comm) 737 </w:t>
      </w:r>
      <w:r>
        <w:rPr>
          <w:sz w:val="20"/>
        </w:rPr>
        <w:t>at [61]; and </w:t>
      </w:r>
      <w:r>
        <w:rPr>
          <w:rFonts w:ascii="Arial" w:hAnsi="Arial"/>
          <w:i/>
          <w:sz w:val="20"/>
        </w:rPr>
        <w:t>J D Cleverly Ltd v Family Finance Ltd [2010] EWCA Civ </w:t>
      </w:r>
      <w:r>
        <w:rPr>
          <w:rFonts w:ascii="Arial" w:hAnsi="Arial"/>
          <w:i/>
          <w:sz w:val="20"/>
        </w:rPr>
        <w:t>1477, [2011] R.T.R. 22 </w:t>
      </w:r>
      <w:r>
        <w:rPr>
          <w:sz w:val="20"/>
        </w:rPr>
        <w:t>at [28]–[32], where the proponent of the contract failed to discharge </w:t>
      </w:r>
      <w:r>
        <w:rPr>
          <w:sz w:val="20"/>
        </w:rPr>
        <w:t>the</w:t>
      </w:r>
      <w:r>
        <w:rPr>
          <w:spacing w:val="40"/>
          <w:sz w:val="20"/>
        </w:rPr>
        <w:t> </w:t>
      </w:r>
      <w:r>
        <w:rPr>
          <w:sz w:val="20"/>
        </w:rPr>
        <w:t>burden as the conduct in question was not “consistent only” (at [36]) with an intention to enter into contractual relations; see also the </w:t>
      </w:r>
      <w:r>
        <w:rPr>
          <w:rFonts w:ascii="Arial" w:hAnsi="Arial"/>
          <w:i/>
          <w:sz w:val="20"/>
        </w:rPr>
        <w:t>CN Associates </w:t>
      </w:r>
      <w:r>
        <w:rPr>
          <w:sz w:val="20"/>
        </w:rPr>
        <w:t>case, above n.877, at [36] and </w:t>
      </w:r>
      <w:r>
        <w:rPr>
          <w:sz w:val="20"/>
        </w:rPr>
        <w:t>the</w:t>
      </w:r>
      <w:r>
        <w:rPr>
          <w:spacing w:val="40"/>
          <w:sz w:val="20"/>
        </w:rPr>
        <w:t> </w:t>
      </w:r>
      <w:r>
        <w:rPr>
          <w:rFonts w:ascii="Arial" w:hAnsi="Arial"/>
          <w:i/>
          <w:sz w:val="20"/>
        </w:rPr>
        <w:t>Classic Maritime </w:t>
      </w:r>
      <w:r>
        <w:rPr>
          <w:sz w:val="20"/>
        </w:rPr>
        <w:t>case, above n.877, at [9] and [14]. And see </w:t>
      </w:r>
      <w:r>
        <w:rPr>
          <w:rFonts w:ascii="Arial" w:hAnsi="Arial"/>
          <w:i/>
          <w:sz w:val="20"/>
        </w:rPr>
        <w:t>Re MF Global UK Ltd (In Special Administration) [2015] EWHC 883 (Ch); [2015] Pens. L.R. 405 </w:t>
      </w:r>
      <w:r>
        <w:rPr>
          <w:sz w:val="20"/>
        </w:rPr>
        <w:t>at [56]–[58] where an implied contract was found between companies in a group; one employed staff and seconded them to another which paid the associated costs, notwithstanding the absence of any </w:t>
      </w:r>
      <w:r>
        <w:rPr>
          <w:sz w:val="20"/>
        </w:rPr>
        <w:t>express agreement between them as to the provision of staff.</w:t>
      </w:r>
    </w:p>
    <w:p>
      <w:pPr>
        <w:pStyle w:val="BodyText"/>
        <w:spacing w:before="5"/>
      </w:pPr>
    </w:p>
    <w:p>
      <w:pPr>
        <w:spacing w:line="235" w:lineRule="auto" w:before="0"/>
        <w:ind w:left="705" w:right="167" w:hanging="541"/>
        <w:jc w:val="both"/>
        <w:rPr>
          <w:sz w:val="20"/>
        </w:rPr>
      </w:pPr>
      <w:bookmarkStart w:name="_bookmark1779" w:id="1781"/>
      <w:bookmarkEnd w:id="1781"/>
      <w:r>
        <w:rPr/>
      </w:r>
      <w:hyperlink w:history="true" w:anchor="_bookmark1703">
        <w:r>
          <w:rPr>
            <w:color w:val="005DA1"/>
            <w:position w:val="5"/>
            <w:sz w:val="14"/>
            <w:u w:val="single" w:color="005DA1"/>
          </w:rPr>
          <w:t>899</w:t>
        </w:r>
      </w:hyperlink>
      <w:r>
        <w:rPr>
          <w:position w:val="5"/>
          <w:sz w:val="14"/>
        </w:rPr>
        <w:t>.</w:t>
      </w:r>
      <w:r>
        <w:rPr>
          <w:spacing w:val="80"/>
          <w:w w:val="150"/>
          <w:position w:val="5"/>
          <w:sz w:val="14"/>
        </w:rPr>
        <w:t> </w:t>
      </w:r>
      <w:r>
        <w:rPr>
          <w:rFonts w:ascii="Arial"/>
          <w:i/>
          <w:sz w:val="20"/>
        </w:rPr>
        <w:t>[2001] EWCA Civ 1447 </w:t>
      </w:r>
      <w:r>
        <w:rPr>
          <w:sz w:val="20"/>
        </w:rPr>
        <w:t>at [109], cf. at [52]. Jonathan Parker L.J. dissented on this point. For discussion of factors which led to the conclusion that the requirement of contractual </w:t>
      </w:r>
      <w:r>
        <w:rPr>
          <w:sz w:val="20"/>
        </w:rPr>
        <w:t>intention had</w:t>
      </w:r>
      <w:r>
        <w:rPr>
          <w:spacing w:val="21"/>
          <w:sz w:val="20"/>
        </w:rPr>
        <w:t> </w:t>
      </w:r>
      <w:r>
        <w:rPr>
          <w:sz w:val="20"/>
        </w:rPr>
        <w:t>been</w:t>
      </w:r>
      <w:r>
        <w:rPr>
          <w:spacing w:val="22"/>
          <w:sz w:val="20"/>
        </w:rPr>
        <w:t> </w:t>
      </w:r>
      <w:r>
        <w:rPr>
          <w:sz w:val="20"/>
        </w:rPr>
        <w:t>satisfied</w:t>
      </w:r>
      <w:r>
        <w:rPr>
          <w:spacing w:val="22"/>
          <w:sz w:val="20"/>
        </w:rPr>
        <w:t> </w:t>
      </w:r>
      <w:r>
        <w:rPr>
          <w:sz w:val="20"/>
        </w:rPr>
        <w:t>in</w:t>
      </w:r>
      <w:r>
        <w:rPr>
          <w:spacing w:val="22"/>
          <w:sz w:val="20"/>
        </w:rPr>
        <w:t> </w:t>
      </w:r>
      <w:r>
        <w:rPr>
          <w:rFonts w:ascii="Arial"/>
          <w:i/>
          <w:sz w:val="20"/>
        </w:rPr>
        <w:t>Attrill</w:t>
      </w:r>
      <w:r>
        <w:rPr>
          <w:rFonts w:ascii="Arial"/>
          <w:i/>
          <w:spacing w:val="22"/>
          <w:sz w:val="20"/>
        </w:rPr>
        <w:t> </w:t>
      </w:r>
      <w:r>
        <w:rPr>
          <w:rFonts w:ascii="Arial"/>
          <w:i/>
          <w:sz w:val="20"/>
        </w:rPr>
        <w:t>v</w:t>
      </w:r>
      <w:r>
        <w:rPr>
          <w:rFonts w:ascii="Arial"/>
          <w:i/>
          <w:spacing w:val="22"/>
          <w:sz w:val="20"/>
        </w:rPr>
        <w:t> </w:t>
      </w:r>
      <w:r>
        <w:rPr>
          <w:rFonts w:ascii="Arial"/>
          <w:i/>
          <w:sz w:val="20"/>
        </w:rPr>
        <w:t>Dresdner</w:t>
      </w:r>
      <w:r>
        <w:rPr>
          <w:rFonts w:ascii="Arial"/>
          <w:i/>
          <w:spacing w:val="22"/>
          <w:sz w:val="20"/>
        </w:rPr>
        <w:t> </w:t>
      </w:r>
      <w:r>
        <w:rPr>
          <w:rFonts w:ascii="Arial"/>
          <w:i/>
          <w:sz w:val="20"/>
        </w:rPr>
        <w:t>Kleinwort</w:t>
      </w:r>
      <w:r>
        <w:rPr>
          <w:rFonts w:ascii="Arial"/>
          <w:i/>
          <w:spacing w:val="22"/>
          <w:sz w:val="20"/>
        </w:rPr>
        <w:t> </w:t>
      </w:r>
      <w:r>
        <w:rPr>
          <w:rFonts w:ascii="Arial"/>
          <w:i/>
          <w:sz w:val="20"/>
        </w:rPr>
        <w:t>Ltd</w:t>
      </w:r>
      <w:r>
        <w:rPr>
          <w:rFonts w:ascii="Arial"/>
          <w:i/>
          <w:spacing w:val="22"/>
          <w:sz w:val="20"/>
        </w:rPr>
        <w:t> </w:t>
      </w:r>
      <w:r>
        <w:rPr>
          <w:rFonts w:ascii="Arial"/>
          <w:i/>
          <w:sz w:val="20"/>
        </w:rPr>
        <w:t>[2012]</w:t>
      </w:r>
      <w:r>
        <w:rPr>
          <w:rFonts w:ascii="Arial"/>
          <w:i/>
          <w:spacing w:val="22"/>
          <w:sz w:val="20"/>
        </w:rPr>
        <w:t> </w:t>
      </w:r>
      <w:r>
        <w:rPr>
          <w:rFonts w:ascii="Arial"/>
          <w:i/>
          <w:sz w:val="20"/>
        </w:rPr>
        <w:t>EWHC</w:t>
      </w:r>
      <w:r>
        <w:rPr>
          <w:rFonts w:ascii="Arial"/>
          <w:i/>
          <w:spacing w:val="22"/>
          <w:sz w:val="20"/>
        </w:rPr>
        <w:t> </w:t>
      </w:r>
      <w:r>
        <w:rPr>
          <w:rFonts w:ascii="Arial"/>
          <w:i/>
          <w:sz w:val="20"/>
        </w:rPr>
        <w:t>1189</w:t>
      </w:r>
      <w:r>
        <w:rPr>
          <w:rFonts w:ascii="Arial"/>
          <w:i/>
          <w:spacing w:val="22"/>
          <w:sz w:val="20"/>
        </w:rPr>
        <w:t> </w:t>
      </w:r>
      <w:r>
        <w:rPr>
          <w:rFonts w:ascii="Arial"/>
          <w:i/>
          <w:sz w:val="20"/>
        </w:rPr>
        <w:t>(QB)</w:t>
      </w:r>
      <w:r>
        <w:rPr>
          <w:sz w:val="20"/>
        </w:rPr>
        <w:t>,</w:t>
      </w:r>
      <w:r>
        <w:rPr>
          <w:spacing w:val="22"/>
          <w:sz w:val="20"/>
        </w:rPr>
        <w:t> </w:t>
      </w:r>
      <w:r>
        <w:rPr>
          <w:sz w:val="20"/>
        </w:rPr>
        <w:t>see</w:t>
      </w:r>
      <w:r>
        <w:rPr>
          <w:spacing w:val="22"/>
          <w:sz w:val="20"/>
        </w:rPr>
        <w:t> </w:t>
      </w:r>
      <w:r>
        <w:rPr>
          <w:sz w:val="20"/>
        </w:rPr>
        <w:t>that</w:t>
      </w:r>
      <w:r>
        <w:rPr>
          <w:spacing w:val="22"/>
          <w:sz w:val="20"/>
        </w:rPr>
        <w:t> </w:t>
      </w:r>
      <w:r>
        <w:rPr>
          <w:spacing w:val="-4"/>
          <w:sz w:val="20"/>
        </w:rPr>
        <w:t>case</w:t>
      </w:r>
    </w:p>
    <w:p>
      <w:pPr>
        <w:pStyle w:val="BodyText"/>
        <w:spacing w:line="235" w:lineRule="auto"/>
        <w:ind w:left="705" w:right="168"/>
        <w:jc w:val="both"/>
      </w:pPr>
      <w:r>
        <w:rPr/>
        <w:t>[134] et seq., </w:t>
      </w:r>
      <w:r>
        <w:rPr>
          <w:rFonts w:ascii="Arial"/>
          <w:i/>
        </w:rPr>
        <w:t>[2013] EWCA Civ 394 </w:t>
      </w:r>
      <w:r>
        <w:rPr/>
        <w:t>at [89], n.880. The case was one of express agreement,</w:t>
      </w:r>
      <w:r>
        <w:rPr>
          <w:spacing w:val="40"/>
        </w:rPr>
        <w:t> </w:t>
      </w:r>
      <w:r>
        <w:rPr/>
        <w:t>not one of agreement inferred from conduct.</w:t>
      </w:r>
    </w:p>
    <w:p>
      <w:pPr>
        <w:pStyle w:val="BodyText"/>
        <w:spacing w:before="8"/>
        <w:rPr>
          <w:sz w:val="12"/>
        </w:rPr>
      </w:pPr>
    </w:p>
    <w:p>
      <w:pPr>
        <w:pStyle w:val="BodyText"/>
        <w:spacing w:after="0"/>
        <w:rPr>
          <w:sz w:val="12"/>
        </w:rPr>
        <w:sectPr>
          <w:pgSz w:w="11900" w:h="16840"/>
          <w:pgMar w:header="971" w:footer="0" w:top="1300" w:bottom="280" w:left="1275" w:right="1275"/>
        </w:sectPr>
      </w:pPr>
    </w:p>
    <w:p>
      <w:pPr>
        <w:spacing w:before="96"/>
        <w:ind w:left="165" w:right="0" w:firstLine="0"/>
        <w:jc w:val="left"/>
        <w:rPr>
          <w:sz w:val="14"/>
        </w:rPr>
      </w:pPr>
      <w:bookmarkStart w:name="_bookmark1780" w:id="1782"/>
      <w:bookmarkEnd w:id="1782"/>
      <w:r>
        <w:rPr/>
      </w:r>
      <w:hyperlink w:history="true" w:anchor="_bookmark1704">
        <w:r>
          <w:rPr>
            <w:color w:val="005DA1"/>
            <w:spacing w:val="-4"/>
            <w:sz w:val="14"/>
            <w:u w:val="single" w:color="005DA1"/>
          </w:rPr>
          <w:t>900</w:t>
        </w:r>
      </w:hyperlink>
      <w:r>
        <w:rPr>
          <w:spacing w:val="-4"/>
          <w:sz w:val="14"/>
        </w:rPr>
        <w:t>.</w:t>
      </w:r>
    </w:p>
    <w:p>
      <w:pPr>
        <w:spacing w:before="209"/>
        <w:ind w:left="335" w:right="0" w:firstLine="0"/>
        <w:jc w:val="left"/>
        <w:rPr>
          <w:sz w:val="20"/>
        </w:rPr>
      </w:pPr>
      <w:r>
        <w:rPr/>
        <w:br w:type="column"/>
      </w:r>
      <w:r>
        <w:rPr>
          <w:rFonts w:ascii="Arial"/>
          <w:i/>
          <w:sz w:val="20"/>
        </w:rPr>
        <w:t>[2016]</w:t>
      </w:r>
      <w:r>
        <w:rPr>
          <w:rFonts w:ascii="Arial"/>
          <w:i/>
          <w:spacing w:val="-2"/>
          <w:sz w:val="20"/>
        </w:rPr>
        <w:t> </w:t>
      </w:r>
      <w:r>
        <w:rPr>
          <w:rFonts w:ascii="Arial"/>
          <w:i/>
          <w:sz w:val="20"/>
        </w:rPr>
        <w:t>EWCA Civ </w:t>
      </w:r>
      <w:r>
        <w:rPr>
          <w:rFonts w:ascii="Arial"/>
          <w:i/>
          <w:spacing w:val="-4"/>
          <w:sz w:val="20"/>
        </w:rPr>
        <w:t>569</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2432">
            <wp:simplePos x="0" y="0"/>
            <wp:positionH relativeFrom="page">
              <wp:posOffset>1257846</wp:posOffset>
            </wp:positionH>
            <wp:positionV relativeFrom="paragraph">
              <wp:posOffset>-210918</wp:posOffset>
            </wp:positionV>
            <wp:extent cx="107988" cy="107988"/>
            <wp:effectExtent l="0" t="0" r="0" b="0"/>
            <wp:wrapNone/>
            <wp:docPr id="139" name="Image 139"/>
            <wp:cNvGraphicFramePr>
              <a:graphicFrameLocks/>
            </wp:cNvGraphicFramePr>
            <a:graphic>
              <a:graphicData uri="http://schemas.openxmlformats.org/drawingml/2006/picture">
                <pic:pic>
                  <pic:nvPicPr>
                    <pic:cNvPr id="139" name="Image 139"/>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2944">
            <wp:simplePos x="0" y="0"/>
            <wp:positionH relativeFrom="page">
              <wp:posOffset>1257846</wp:posOffset>
            </wp:positionH>
            <wp:positionV relativeFrom="paragraph">
              <wp:posOffset>160556</wp:posOffset>
            </wp:positionV>
            <wp:extent cx="107988" cy="107988"/>
            <wp:effectExtent l="0" t="0" r="0" b="0"/>
            <wp:wrapNone/>
            <wp:docPr id="140" name="Image 140"/>
            <wp:cNvGraphicFramePr>
              <a:graphicFrameLocks/>
            </wp:cNvGraphicFramePr>
            <a:graphic>
              <a:graphicData uri="http://schemas.openxmlformats.org/drawingml/2006/picture">
                <pic:pic>
                  <pic:nvPicPr>
                    <pic:cNvPr id="140" name="Image 140"/>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781" w:id="1783"/>
      <w:bookmarkEnd w:id="1783"/>
      <w:r>
        <w:rPr/>
      </w:r>
      <w:hyperlink w:history="true" w:anchor="_bookmark1705">
        <w:r>
          <w:rPr>
            <w:color w:val="005DA1"/>
            <w:spacing w:val="-4"/>
            <w:sz w:val="14"/>
            <w:u w:val="single" w:color="005DA1"/>
          </w:rPr>
          <w:t>901</w:t>
        </w:r>
      </w:hyperlink>
      <w:r>
        <w:rPr>
          <w:spacing w:val="-4"/>
          <w:sz w:val="14"/>
        </w:rPr>
        <w:t>.</w:t>
      </w:r>
    </w:p>
    <w:p>
      <w:pPr>
        <w:spacing w:before="209"/>
        <w:ind w:left="335" w:right="0" w:firstLine="0"/>
        <w:jc w:val="left"/>
        <w:rPr>
          <w:sz w:val="20"/>
        </w:rPr>
      </w:pPr>
      <w:r>
        <w:rPr/>
        <w:br w:type="column"/>
      </w:r>
      <w:r>
        <w:rPr>
          <w:rFonts w:ascii="Arial"/>
          <w:i/>
          <w:sz w:val="20"/>
        </w:rPr>
        <w:t>[2014] EWHC 3369 </w:t>
      </w:r>
      <w:r>
        <w:rPr>
          <w:rFonts w:ascii="Arial"/>
          <w:i/>
          <w:spacing w:val="-2"/>
          <w:sz w:val="20"/>
        </w:rPr>
        <w:t>(Comm)</w:t>
      </w:r>
      <w:r>
        <w:rPr>
          <w:spacing w:val="-2"/>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12"/>
        <w:rPr>
          <w:sz w:val="14"/>
        </w:rPr>
      </w:pPr>
    </w:p>
    <w:p>
      <w:pPr>
        <w:spacing w:before="1"/>
        <w:ind w:left="165" w:right="0" w:firstLine="0"/>
        <w:jc w:val="left"/>
        <w:rPr>
          <w:sz w:val="14"/>
        </w:rPr>
      </w:pPr>
      <w:hyperlink w:history="true" w:anchor="_bookmark1706">
        <w:r>
          <w:rPr>
            <w:color w:val="005DA1"/>
            <w:spacing w:val="-4"/>
            <w:sz w:val="14"/>
            <w:u w:val="single" w:color="005DA1"/>
          </w:rPr>
          <w:t>902</w:t>
        </w:r>
      </w:hyperlink>
      <w:r>
        <w:rPr>
          <w:spacing w:val="-4"/>
          <w:sz w:val="14"/>
        </w:rPr>
        <w:t>.</w:t>
      </w:r>
    </w:p>
    <w:p>
      <w:pPr>
        <w:spacing w:line="240" w:lineRule="auto" w:before="56"/>
        <w:rPr>
          <w:sz w:val="20"/>
        </w:rPr>
      </w:pPr>
      <w:r>
        <w:rPr/>
        <w:br w:type="column"/>
      </w:r>
      <w:r>
        <w:rPr>
          <w:sz w:val="20"/>
        </w:rPr>
      </w:r>
    </w:p>
    <w:p>
      <w:pPr>
        <w:spacing w:before="0"/>
        <w:ind w:left="335" w:right="0" w:firstLine="0"/>
        <w:jc w:val="left"/>
        <w:rPr>
          <w:sz w:val="20"/>
        </w:rPr>
      </w:pPr>
      <w:r>
        <w:rPr>
          <w:sz w:val="20"/>
        </w:rPr>
        <w:drawing>
          <wp:anchor distT="0" distB="0" distL="0" distR="0" allowOverlap="1" layoutInCell="1" locked="0" behindDoc="0" simplePos="0" relativeHeight="15763456">
            <wp:simplePos x="0" y="0"/>
            <wp:positionH relativeFrom="page">
              <wp:posOffset>1257846</wp:posOffset>
            </wp:positionH>
            <wp:positionV relativeFrom="paragraph">
              <wp:posOffset>28443</wp:posOffset>
            </wp:positionV>
            <wp:extent cx="107988" cy="107988"/>
            <wp:effectExtent l="0" t="0" r="0" b="0"/>
            <wp:wrapNone/>
            <wp:docPr id="141" name="Image 141"/>
            <wp:cNvGraphicFramePr>
              <a:graphicFrameLocks/>
            </wp:cNvGraphicFramePr>
            <a:graphic>
              <a:graphicData uri="http://schemas.openxmlformats.org/drawingml/2006/picture">
                <pic:pic>
                  <pic:nvPicPr>
                    <pic:cNvPr id="141" name="Image 141"/>
                    <pic:cNvPicPr/>
                  </pic:nvPicPr>
                  <pic:blipFill>
                    <a:blip r:embed="rId7" cstate="print"/>
                    <a:stretch>
                      <a:fillRect/>
                    </a:stretch>
                  </pic:blipFill>
                  <pic:spPr>
                    <a:xfrm>
                      <a:off x="0" y="0"/>
                      <a:ext cx="107988" cy="107988"/>
                    </a:xfrm>
                    <a:prstGeom prst="rect">
                      <a:avLst/>
                    </a:prstGeom>
                  </pic:spPr>
                </pic:pic>
              </a:graphicData>
            </a:graphic>
          </wp:anchor>
        </w:drawing>
      </w:r>
      <w:r>
        <w:rPr>
          <w:rFonts w:ascii="Arial"/>
          <w:i/>
          <w:sz w:val="20"/>
        </w:rPr>
        <w:t>[2014] EWHC 3369</w:t>
      </w:r>
      <w:r>
        <w:rPr>
          <w:rFonts w:ascii="Arial"/>
          <w:i/>
          <w:spacing w:val="-1"/>
          <w:sz w:val="20"/>
        </w:rPr>
        <w:t> </w:t>
      </w:r>
      <w:r>
        <w:rPr>
          <w:sz w:val="20"/>
        </w:rPr>
        <w:t>at [102], [110], [114] and </w:t>
      </w:r>
      <w:r>
        <w:rPr>
          <w:spacing w:val="-2"/>
          <w:sz w:val="20"/>
        </w:rPr>
        <w:t>[123].</w:t>
      </w:r>
    </w:p>
    <w:p>
      <w:pPr>
        <w:spacing w:after="0"/>
        <w:jc w:val="left"/>
        <w:rPr>
          <w:sz w:val="20"/>
        </w:rPr>
        <w:sectPr>
          <w:pgSz w:w="11900" w:h="16840"/>
          <w:pgMar w:header="971" w:footer="0" w:top="1300" w:bottom="280" w:left="1275" w:right="1275"/>
          <w:cols w:num="2" w:equalWidth="0">
            <w:col w:w="478" w:space="63"/>
            <w:col w:w="8809"/>
          </w:cols>
        </w:sectPr>
      </w:pPr>
    </w:p>
    <w:p>
      <w:pPr>
        <w:pStyle w:val="BodyText"/>
        <w:spacing w:before="9"/>
      </w:pPr>
    </w:p>
    <w:p>
      <w:pPr>
        <w:spacing w:line="235" w:lineRule="auto" w:before="0"/>
        <w:ind w:left="705" w:right="167" w:hanging="541"/>
        <w:jc w:val="both"/>
        <w:rPr>
          <w:rFonts w:ascii="Arial" w:hAnsi="Arial"/>
          <w:i/>
          <w:sz w:val="20"/>
        </w:rPr>
      </w:pPr>
      <w:bookmarkStart w:name="_bookmark1782" w:id="1784"/>
      <w:bookmarkEnd w:id="1784"/>
      <w:r>
        <w:rPr/>
      </w:r>
      <w:hyperlink w:history="true" w:anchor="_bookmark1707">
        <w:r>
          <w:rPr>
            <w:color w:val="005DA1"/>
            <w:position w:val="5"/>
            <w:sz w:val="14"/>
            <w:u w:val="single" w:color="005DA1"/>
          </w:rPr>
          <w:t>903</w:t>
        </w:r>
      </w:hyperlink>
      <w:r>
        <w:rPr>
          <w:position w:val="5"/>
          <w:sz w:val="14"/>
        </w:rPr>
        <w:t>.</w:t>
      </w:r>
      <w:r>
        <w:rPr>
          <w:spacing w:val="80"/>
          <w:w w:val="150"/>
          <w:position w:val="5"/>
          <w:sz w:val="14"/>
        </w:rPr>
        <w:t> </w:t>
      </w:r>
      <w:r>
        <w:rPr>
          <w:sz w:val="20"/>
        </w:rPr>
        <w:t>See </w:t>
      </w:r>
      <w:r>
        <w:rPr>
          <w:rFonts w:ascii="Arial" w:hAnsi="Arial"/>
          <w:i/>
          <w:sz w:val="20"/>
        </w:rPr>
        <w:t>Carlill v Carbolic Smoke Ball Co [1893] 1 Q.B. 256</w:t>
      </w:r>
      <w:r>
        <w:rPr>
          <w:sz w:val="20"/>
        </w:rPr>
        <w:t>; </w:t>
      </w:r>
      <w:r>
        <w:rPr>
          <w:rFonts w:ascii="Arial" w:hAnsi="Arial"/>
          <w:i/>
          <w:sz w:val="20"/>
        </w:rPr>
        <w:t>Ignazio Messina &amp; Co v Polskie Linie Oceaniczne [1995] 2 Lloyd’s Rep. 566, 579</w:t>
      </w:r>
      <w:r>
        <w:rPr>
          <w:sz w:val="20"/>
        </w:rPr>
        <w:t>; </w:t>
      </w:r>
      <w:r>
        <w:rPr>
          <w:rFonts w:ascii="Arial" w:hAnsi="Arial"/>
          <w:i/>
          <w:sz w:val="20"/>
        </w:rPr>
        <w:t>Bowerman v Association of British Travel </w:t>
      </w:r>
      <w:r>
        <w:rPr>
          <w:rFonts w:ascii="Arial" w:hAnsi="Arial"/>
          <w:i/>
          <w:sz w:val="20"/>
        </w:rPr>
        <w:t>Agents [1995] N.L.J.</w:t>
      </w:r>
      <w:r>
        <w:rPr>
          <w:rFonts w:ascii="Arial" w:hAnsi="Arial"/>
          <w:i/>
          <w:spacing w:val="3"/>
          <w:sz w:val="20"/>
        </w:rPr>
        <w:t> </w:t>
      </w:r>
      <w:r>
        <w:rPr>
          <w:rFonts w:ascii="Arial" w:hAnsi="Arial"/>
          <w:i/>
          <w:sz w:val="20"/>
        </w:rPr>
        <w:t>1815</w:t>
      </w:r>
      <w:r>
        <w:rPr>
          <w:sz w:val="20"/>
        </w:rPr>
        <w:t>;</w:t>
      </w:r>
      <w:r>
        <w:rPr>
          <w:spacing w:val="3"/>
          <w:sz w:val="20"/>
        </w:rPr>
        <w:t> </w:t>
      </w:r>
      <w:r>
        <w:rPr>
          <w:rFonts w:ascii="Arial" w:hAnsi="Arial"/>
          <w:i/>
          <w:sz w:val="20"/>
        </w:rPr>
        <w:t>Manatee</w:t>
      </w:r>
      <w:r>
        <w:rPr>
          <w:rFonts w:ascii="Arial" w:hAnsi="Arial"/>
          <w:i/>
          <w:spacing w:val="3"/>
          <w:sz w:val="20"/>
        </w:rPr>
        <w:t> </w:t>
      </w:r>
      <w:r>
        <w:rPr>
          <w:rFonts w:ascii="Arial" w:hAnsi="Arial"/>
          <w:i/>
          <w:sz w:val="20"/>
        </w:rPr>
        <w:t>Towing</w:t>
      </w:r>
      <w:r>
        <w:rPr>
          <w:rFonts w:ascii="Arial" w:hAnsi="Arial"/>
          <w:i/>
          <w:spacing w:val="3"/>
          <w:sz w:val="20"/>
        </w:rPr>
        <w:t> </w:t>
      </w:r>
      <w:r>
        <w:rPr>
          <w:rFonts w:ascii="Arial" w:hAnsi="Arial"/>
          <w:i/>
          <w:sz w:val="20"/>
        </w:rPr>
        <w:t>Co</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Oceanbulk</w:t>
      </w:r>
      <w:r>
        <w:rPr>
          <w:rFonts w:ascii="Arial" w:hAnsi="Arial"/>
          <w:i/>
          <w:spacing w:val="3"/>
          <w:sz w:val="20"/>
        </w:rPr>
        <w:t> </w:t>
      </w:r>
      <w:r>
        <w:rPr>
          <w:rFonts w:ascii="Arial" w:hAnsi="Arial"/>
          <w:i/>
          <w:sz w:val="20"/>
        </w:rPr>
        <w:t>Maritime</w:t>
      </w:r>
      <w:r>
        <w:rPr>
          <w:rFonts w:ascii="Arial" w:hAnsi="Arial"/>
          <w:i/>
          <w:spacing w:val="3"/>
          <w:sz w:val="20"/>
        </w:rPr>
        <w:t> </w:t>
      </w:r>
      <w:r>
        <w:rPr>
          <w:rFonts w:ascii="Arial" w:hAnsi="Arial"/>
          <w:i/>
          <w:sz w:val="20"/>
        </w:rPr>
        <w:t>SA</w:t>
      </w:r>
      <w:r>
        <w:rPr>
          <w:rFonts w:ascii="Arial" w:hAnsi="Arial"/>
          <w:i/>
          <w:spacing w:val="3"/>
          <w:sz w:val="20"/>
        </w:rPr>
        <w:t> </w:t>
      </w:r>
      <w:r>
        <w:rPr>
          <w:rFonts w:ascii="Arial" w:hAnsi="Arial"/>
          <w:i/>
          <w:sz w:val="20"/>
        </w:rPr>
        <w:t>(The</w:t>
      </w:r>
      <w:r>
        <w:rPr>
          <w:rFonts w:ascii="Arial" w:hAnsi="Arial"/>
          <w:i/>
          <w:spacing w:val="3"/>
          <w:sz w:val="20"/>
        </w:rPr>
        <w:t> </w:t>
      </w:r>
      <w:r>
        <w:rPr>
          <w:rFonts w:ascii="Arial" w:hAnsi="Arial"/>
          <w:i/>
          <w:sz w:val="20"/>
        </w:rPr>
        <w:t>Bay</w:t>
      </w:r>
      <w:r>
        <w:rPr>
          <w:rFonts w:ascii="Arial" w:hAnsi="Arial"/>
          <w:i/>
          <w:spacing w:val="3"/>
          <w:sz w:val="20"/>
        </w:rPr>
        <w:t> </w:t>
      </w:r>
      <w:r>
        <w:rPr>
          <w:rFonts w:ascii="Arial" w:hAnsi="Arial"/>
          <w:i/>
          <w:sz w:val="20"/>
        </w:rPr>
        <w:t>Ridge)</w:t>
      </w:r>
      <w:r>
        <w:rPr>
          <w:rFonts w:ascii="Arial" w:hAnsi="Arial"/>
          <w:i/>
          <w:spacing w:val="3"/>
          <w:sz w:val="20"/>
        </w:rPr>
        <w:t> </w:t>
      </w:r>
      <w:r>
        <w:rPr>
          <w:rFonts w:ascii="Arial" w:hAnsi="Arial"/>
          <w:i/>
          <w:sz w:val="20"/>
        </w:rPr>
        <w:t>[1999]</w:t>
      </w:r>
      <w:r>
        <w:rPr>
          <w:rFonts w:ascii="Arial" w:hAnsi="Arial"/>
          <w:i/>
          <w:spacing w:val="3"/>
          <w:sz w:val="20"/>
        </w:rPr>
        <w:t> </w:t>
      </w:r>
      <w:r>
        <w:rPr>
          <w:rFonts w:ascii="Arial" w:hAnsi="Arial"/>
          <w:i/>
          <w:sz w:val="20"/>
        </w:rPr>
        <w:t>2</w:t>
      </w:r>
      <w:r>
        <w:rPr>
          <w:rFonts w:ascii="Arial" w:hAnsi="Arial"/>
          <w:i/>
          <w:spacing w:val="3"/>
          <w:sz w:val="20"/>
        </w:rPr>
        <w:t> </w:t>
      </w:r>
      <w:r>
        <w:rPr>
          <w:rFonts w:ascii="Arial" w:hAnsi="Arial"/>
          <w:i/>
          <w:spacing w:val="-5"/>
          <w:sz w:val="20"/>
        </w:rPr>
        <w:t>All</w:t>
      </w:r>
    </w:p>
    <w:p>
      <w:pPr>
        <w:spacing w:line="235" w:lineRule="auto" w:before="0"/>
        <w:ind w:left="705" w:right="168" w:firstLine="0"/>
        <w:jc w:val="both"/>
        <w:rPr>
          <w:sz w:val="20"/>
        </w:rPr>
      </w:pPr>
      <w:r>
        <w:rPr>
          <w:rFonts w:ascii="Arial" w:hAnsi="Arial"/>
          <w:i/>
          <w:sz w:val="20"/>
        </w:rPr>
        <w:t>E.R. (Comm) 306 </w:t>
      </w:r>
      <w:r>
        <w:rPr>
          <w:sz w:val="20"/>
        </w:rPr>
        <w:t>at 327; </w:t>
      </w:r>
      <w:r>
        <w:rPr>
          <w:rFonts w:ascii="Arial" w:hAnsi="Arial"/>
          <w:i/>
          <w:sz w:val="20"/>
        </w:rPr>
        <w:t>London Baggage (Charing Cross v Railtrack Plc) [2000] E.G.C.S. 57</w:t>
      </w:r>
      <w:r>
        <w:rPr>
          <w:sz w:val="20"/>
        </w:rPr>
        <w:t>; </w:t>
      </w:r>
      <w:r>
        <w:rPr>
          <w:rFonts w:ascii="Arial" w:hAnsi="Arial"/>
          <w:i/>
          <w:sz w:val="20"/>
        </w:rPr>
        <w:t>Baird Textile Holdings Ltd v Marks &amp; Spencer Plc [2001] EWCA Civ 274, [2002] 1 All </w:t>
      </w:r>
      <w:r>
        <w:rPr>
          <w:rFonts w:ascii="Arial" w:hAnsi="Arial"/>
          <w:i/>
          <w:sz w:val="20"/>
        </w:rPr>
        <w:t>E.R. (Comm) 737</w:t>
      </w:r>
      <w:r>
        <w:rPr>
          <w:sz w:val="20"/>
        </w:rPr>
        <w:t>; </w:t>
      </w:r>
      <w:r>
        <w:rPr>
          <w:rFonts w:ascii="Arial" w:hAnsi="Arial"/>
          <w:i/>
          <w:sz w:val="20"/>
        </w:rPr>
        <w:t>Maple Leaf Volatility Master Fund v Rouvroy [2009] EWHC 257 (Comm), </w:t>
      </w:r>
      <w:r>
        <w:rPr>
          <w:rFonts w:ascii="Arial" w:hAnsi="Arial"/>
          <w:i/>
          <w:sz w:val="20"/>
        </w:rPr>
        <w:t>1</w:t>
      </w:r>
      <w:r>
        <w:rPr>
          <w:rFonts w:ascii="Arial" w:hAnsi="Arial"/>
          <w:i/>
          <w:spacing w:val="40"/>
          <w:sz w:val="20"/>
        </w:rPr>
        <w:t> </w:t>
      </w:r>
      <w:r>
        <w:rPr>
          <w:rFonts w:ascii="Arial" w:hAnsi="Arial"/>
          <w:i/>
          <w:sz w:val="20"/>
        </w:rPr>
        <w:t>Lloyd’s</w:t>
      </w:r>
      <w:r>
        <w:rPr>
          <w:rFonts w:ascii="Arial" w:hAnsi="Arial"/>
          <w:i/>
          <w:spacing w:val="15"/>
          <w:sz w:val="20"/>
        </w:rPr>
        <w:t> </w:t>
      </w:r>
      <w:r>
        <w:rPr>
          <w:rFonts w:ascii="Arial" w:hAnsi="Arial"/>
          <w:i/>
          <w:sz w:val="20"/>
        </w:rPr>
        <w:t>Rep.</w:t>
      </w:r>
      <w:r>
        <w:rPr>
          <w:rFonts w:ascii="Arial" w:hAnsi="Arial"/>
          <w:i/>
          <w:spacing w:val="15"/>
          <w:sz w:val="20"/>
        </w:rPr>
        <w:t> </w:t>
      </w:r>
      <w:r>
        <w:rPr>
          <w:rFonts w:ascii="Arial" w:hAnsi="Arial"/>
          <w:i/>
          <w:sz w:val="20"/>
        </w:rPr>
        <w:t>475</w:t>
      </w:r>
      <w:r>
        <w:rPr>
          <w:rFonts w:ascii="Arial" w:hAnsi="Arial"/>
          <w:i/>
          <w:spacing w:val="14"/>
          <w:sz w:val="20"/>
        </w:rPr>
        <w:t> </w:t>
      </w:r>
      <w:r>
        <w:rPr>
          <w:sz w:val="20"/>
        </w:rPr>
        <w:t>at</w:t>
      </w:r>
      <w:r>
        <w:rPr>
          <w:spacing w:val="15"/>
          <w:sz w:val="20"/>
        </w:rPr>
        <w:t> </w:t>
      </w:r>
      <w:r>
        <w:rPr>
          <w:sz w:val="20"/>
        </w:rPr>
        <w:t>[223],</w:t>
      </w:r>
      <w:r>
        <w:rPr>
          <w:spacing w:val="15"/>
          <w:sz w:val="20"/>
        </w:rPr>
        <w:t> </w:t>
      </w:r>
      <w:r>
        <w:rPr>
          <w:sz w:val="20"/>
        </w:rPr>
        <w:t>[224]</w:t>
      </w:r>
      <w:r>
        <w:rPr>
          <w:spacing w:val="15"/>
          <w:sz w:val="20"/>
        </w:rPr>
        <w:t> </w:t>
      </w:r>
      <w:r>
        <w:rPr>
          <w:sz w:val="20"/>
        </w:rPr>
        <w:t>and</w:t>
      </w:r>
      <w:r>
        <w:rPr>
          <w:spacing w:val="15"/>
          <w:sz w:val="20"/>
        </w:rPr>
        <w:t> </w:t>
      </w:r>
      <w:r>
        <w:rPr>
          <w:rFonts w:ascii="Arial" w:hAnsi="Arial"/>
          <w:i/>
          <w:sz w:val="20"/>
        </w:rPr>
        <w:t>[2009]</w:t>
      </w:r>
      <w:r>
        <w:rPr>
          <w:rFonts w:ascii="Arial" w:hAnsi="Arial"/>
          <w:i/>
          <w:spacing w:val="15"/>
          <w:sz w:val="20"/>
        </w:rPr>
        <w:t> </w:t>
      </w:r>
      <w:r>
        <w:rPr>
          <w:rFonts w:ascii="Arial" w:hAnsi="Arial"/>
          <w:i/>
          <w:sz w:val="20"/>
        </w:rPr>
        <w:t>EWCA</w:t>
      </w:r>
      <w:r>
        <w:rPr>
          <w:rFonts w:ascii="Arial" w:hAnsi="Arial"/>
          <w:i/>
          <w:spacing w:val="15"/>
          <w:sz w:val="20"/>
        </w:rPr>
        <w:t> </w:t>
      </w:r>
      <w:r>
        <w:rPr>
          <w:rFonts w:ascii="Arial" w:hAnsi="Arial"/>
          <w:i/>
          <w:sz w:val="20"/>
        </w:rPr>
        <w:t>Civ</w:t>
      </w:r>
      <w:r>
        <w:rPr>
          <w:rFonts w:ascii="Arial" w:hAnsi="Arial"/>
          <w:i/>
          <w:spacing w:val="15"/>
          <w:sz w:val="20"/>
        </w:rPr>
        <w:t> </w:t>
      </w:r>
      <w:r>
        <w:rPr>
          <w:rFonts w:ascii="Arial" w:hAnsi="Arial"/>
          <w:i/>
          <w:sz w:val="20"/>
        </w:rPr>
        <w:t>1334,</w:t>
      </w:r>
      <w:r>
        <w:rPr>
          <w:rFonts w:ascii="Arial" w:hAnsi="Arial"/>
          <w:i/>
          <w:spacing w:val="15"/>
          <w:sz w:val="20"/>
        </w:rPr>
        <w:t> </w:t>
      </w:r>
      <w:r>
        <w:rPr>
          <w:rFonts w:ascii="Arial" w:hAnsi="Arial"/>
          <w:i/>
          <w:sz w:val="20"/>
        </w:rPr>
        <w:t>[2010]</w:t>
      </w:r>
      <w:r>
        <w:rPr>
          <w:rFonts w:ascii="Arial" w:hAnsi="Arial"/>
          <w:i/>
          <w:spacing w:val="15"/>
          <w:sz w:val="20"/>
        </w:rPr>
        <w:t> </w:t>
      </w:r>
      <w:r>
        <w:rPr>
          <w:rFonts w:ascii="Arial" w:hAnsi="Arial"/>
          <w:i/>
          <w:sz w:val="20"/>
        </w:rPr>
        <w:t>2</w:t>
      </w:r>
      <w:r>
        <w:rPr>
          <w:rFonts w:ascii="Arial" w:hAnsi="Arial"/>
          <w:i/>
          <w:spacing w:val="15"/>
          <w:sz w:val="20"/>
        </w:rPr>
        <w:t> </w:t>
      </w:r>
      <w:r>
        <w:rPr>
          <w:rFonts w:ascii="Arial" w:hAnsi="Arial"/>
          <w:i/>
          <w:sz w:val="20"/>
        </w:rPr>
        <w:t>All</w:t>
      </w:r>
      <w:r>
        <w:rPr>
          <w:rFonts w:ascii="Arial" w:hAnsi="Arial"/>
          <w:i/>
          <w:spacing w:val="15"/>
          <w:sz w:val="20"/>
        </w:rPr>
        <w:t> </w:t>
      </w:r>
      <w:r>
        <w:rPr>
          <w:rFonts w:ascii="Arial" w:hAnsi="Arial"/>
          <w:i/>
          <w:sz w:val="20"/>
        </w:rPr>
        <w:t>E.R.</w:t>
      </w:r>
      <w:r>
        <w:rPr>
          <w:rFonts w:ascii="Arial" w:hAnsi="Arial"/>
          <w:i/>
          <w:spacing w:val="15"/>
          <w:sz w:val="20"/>
        </w:rPr>
        <w:t> </w:t>
      </w:r>
      <w:r>
        <w:rPr>
          <w:rFonts w:ascii="Arial" w:hAnsi="Arial"/>
          <w:i/>
          <w:sz w:val="20"/>
        </w:rPr>
        <w:t>(Comm)</w:t>
      </w:r>
      <w:r>
        <w:rPr>
          <w:rFonts w:ascii="Arial" w:hAnsi="Arial"/>
          <w:i/>
          <w:spacing w:val="15"/>
          <w:sz w:val="20"/>
        </w:rPr>
        <w:t> </w:t>
      </w:r>
      <w:r>
        <w:rPr>
          <w:rFonts w:ascii="Arial" w:hAnsi="Arial"/>
          <w:i/>
          <w:sz w:val="20"/>
        </w:rPr>
        <w:t>788</w:t>
      </w:r>
      <w:r>
        <w:rPr>
          <w:rFonts w:ascii="Arial" w:hAnsi="Arial"/>
          <w:i/>
          <w:spacing w:val="14"/>
          <w:sz w:val="20"/>
        </w:rPr>
        <w:t> </w:t>
      </w:r>
      <w:r>
        <w:rPr>
          <w:spacing w:val="-5"/>
          <w:sz w:val="20"/>
        </w:rPr>
        <w:t>a</w:t>
      </w:r>
      <w:r>
        <w:rPr>
          <w:spacing w:val="-5"/>
          <w:sz w:val="20"/>
        </w:rPr>
        <w:t>t</w:t>
      </w:r>
    </w:p>
    <w:p>
      <w:pPr>
        <w:spacing w:line="235" w:lineRule="auto" w:before="0"/>
        <w:ind w:left="705" w:right="168" w:firstLine="0"/>
        <w:jc w:val="both"/>
        <w:rPr>
          <w:rFonts w:ascii="Arial" w:hAnsi="Arial"/>
          <w:i/>
          <w:sz w:val="20"/>
        </w:rPr>
      </w:pPr>
      <w:r>
        <w:rPr>
          <w:sz w:val="20"/>
        </w:rPr>
        <w:t>[17] (affirming the decision below); </w:t>
      </w:r>
      <w:r>
        <w:rPr>
          <w:rFonts w:ascii="Arial" w:hAnsi="Arial"/>
          <w:i/>
          <w:sz w:val="20"/>
        </w:rPr>
        <w:t>RTS Flexible Systems Ltd v Molkerei Alois Müller GmbH &amp; Co</w:t>
      </w:r>
      <w:r>
        <w:rPr>
          <w:rFonts w:ascii="Arial" w:hAnsi="Arial"/>
          <w:i/>
          <w:spacing w:val="53"/>
          <w:sz w:val="20"/>
        </w:rPr>
        <w:t> </w:t>
      </w:r>
      <w:r>
        <w:rPr>
          <w:rFonts w:ascii="Arial" w:hAnsi="Arial"/>
          <w:i/>
          <w:sz w:val="20"/>
        </w:rPr>
        <w:t>KG</w:t>
      </w:r>
      <w:r>
        <w:rPr>
          <w:rFonts w:ascii="Arial" w:hAnsi="Arial"/>
          <w:i/>
          <w:spacing w:val="53"/>
          <w:sz w:val="20"/>
        </w:rPr>
        <w:t> </w:t>
      </w:r>
      <w:r>
        <w:rPr>
          <w:rFonts w:ascii="Arial" w:hAnsi="Arial"/>
          <w:i/>
          <w:sz w:val="20"/>
        </w:rPr>
        <w:t>(UK</w:t>
      </w:r>
      <w:r>
        <w:rPr>
          <w:rFonts w:ascii="Arial" w:hAnsi="Arial"/>
          <w:i/>
          <w:spacing w:val="53"/>
          <w:sz w:val="20"/>
        </w:rPr>
        <w:t> </w:t>
      </w:r>
      <w:r>
        <w:rPr>
          <w:rFonts w:ascii="Arial" w:hAnsi="Arial"/>
          <w:i/>
          <w:sz w:val="20"/>
        </w:rPr>
        <w:t>Production)</w:t>
      </w:r>
      <w:r>
        <w:rPr>
          <w:rFonts w:ascii="Arial" w:hAnsi="Arial"/>
          <w:i/>
          <w:spacing w:val="53"/>
          <w:sz w:val="20"/>
        </w:rPr>
        <w:t> </w:t>
      </w:r>
      <w:r>
        <w:rPr>
          <w:rFonts w:ascii="Arial" w:hAnsi="Arial"/>
          <w:i/>
          <w:sz w:val="20"/>
        </w:rPr>
        <w:t>[2010]</w:t>
      </w:r>
      <w:r>
        <w:rPr>
          <w:rFonts w:ascii="Arial" w:hAnsi="Arial"/>
          <w:i/>
          <w:spacing w:val="53"/>
          <w:sz w:val="20"/>
        </w:rPr>
        <w:t> </w:t>
      </w:r>
      <w:r>
        <w:rPr>
          <w:rFonts w:ascii="Arial" w:hAnsi="Arial"/>
          <w:i/>
          <w:sz w:val="20"/>
        </w:rPr>
        <w:t>UKSC</w:t>
      </w:r>
      <w:r>
        <w:rPr>
          <w:rFonts w:ascii="Arial" w:hAnsi="Arial"/>
          <w:i/>
          <w:spacing w:val="53"/>
          <w:sz w:val="20"/>
        </w:rPr>
        <w:t> </w:t>
      </w:r>
      <w:r>
        <w:rPr>
          <w:rFonts w:ascii="Arial" w:hAnsi="Arial"/>
          <w:i/>
          <w:sz w:val="20"/>
        </w:rPr>
        <w:t>14,</w:t>
      </w:r>
      <w:r>
        <w:rPr>
          <w:rFonts w:ascii="Arial" w:hAnsi="Arial"/>
          <w:i/>
          <w:spacing w:val="53"/>
          <w:sz w:val="20"/>
        </w:rPr>
        <w:t> </w:t>
      </w:r>
      <w:r>
        <w:rPr>
          <w:rFonts w:ascii="Arial" w:hAnsi="Arial"/>
          <w:i/>
          <w:sz w:val="20"/>
        </w:rPr>
        <w:t>[2010]</w:t>
      </w:r>
      <w:r>
        <w:rPr>
          <w:rFonts w:ascii="Arial" w:hAnsi="Arial"/>
          <w:i/>
          <w:spacing w:val="53"/>
          <w:sz w:val="20"/>
        </w:rPr>
        <w:t> </w:t>
      </w:r>
      <w:r>
        <w:rPr>
          <w:rFonts w:ascii="Arial" w:hAnsi="Arial"/>
          <w:i/>
          <w:sz w:val="20"/>
        </w:rPr>
        <w:t>1</w:t>
      </w:r>
      <w:r>
        <w:rPr>
          <w:rFonts w:ascii="Arial" w:hAnsi="Arial"/>
          <w:i/>
          <w:spacing w:val="53"/>
          <w:sz w:val="20"/>
        </w:rPr>
        <w:t> </w:t>
      </w:r>
      <w:r>
        <w:rPr>
          <w:rFonts w:ascii="Arial" w:hAnsi="Arial"/>
          <w:i/>
          <w:sz w:val="20"/>
        </w:rPr>
        <w:t>W.L.R.</w:t>
      </w:r>
      <w:r>
        <w:rPr>
          <w:rFonts w:ascii="Arial" w:hAnsi="Arial"/>
          <w:i/>
          <w:spacing w:val="53"/>
          <w:sz w:val="20"/>
        </w:rPr>
        <w:t> </w:t>
      </w:r>
      <w:r>
        <w:rPr>
          <w:rFonts w:ascii="Arial" w:hAnsi="Arial"/>
          <w:i/>
          <w:sz w:val="20"/>
        </w:rPr>
        <w:t>753</w:t>
      </w:r>
      <w:r>
        <w:rPr>
          <w:rFonts w:ascii="Arial" w:hAnsi="Arial"/>
          <w:i/>
          <w:spacing w:val="53"/>
          <w:sz w:val="20"/>
        </w:rPr>
        <w:t> </w:t>
      </w:r>
      <w:r>
        <w:rPr>
          <w:sz w:val="20"/>
        </w:rPr>
        <w:t>at</w:t>
      </w:r>
      <w:r>
        <w:rPr>
          <w:spacing w:val="53"/>
          <w:sz w:val="20"/>
        </w:rPr>
        <w:t> </w:t>
      </w:r>
      <w:r>
        <w:rPr>
          <w:sz w:val="20"/>
        </w:rPr>
        <w:t>[45],</w:t>
      </w:r>
      <w:r>
        <w:rPr>
          <w:spacing w:val="53"/>
          <w:sz w:val="20"/>
        </w:rPr>
        <w:t> </w:t>
      </w:r>
      <w:r>
        <w:rPr>
          <w:sz w:val="20"/>
        </w:rPr>
        <w:t>[46];</w:t>
      </w:r>
      <w:r>
        <w:rPr>
          <w:spacing w:val="53"/>
          <w:sz w:val="20"/>
        </w:rPr>
        <w:t> </w:t>
      </w:r>
      <w:r>
        <w:rPr>
          <w:rFonts w:ascii="Arial" w:hAnsi="Arial"/>
          <w:i/>
          <w:sz w:val="20"/>
        </w:rPr>
        <w:t>Benourad</w:t>
      </w:r>
      <w:r>
        <w:rPr>
          <w:rFonts w:ascii="Arial" w:hAnsi="Arial"/>
          <w:i/>
          <w:spacing w:val="53"/>
          <w:sz w:val="20"/>
        </w:rPr>
        <w:t> </w:t>
      </w:r>
      <w:r>
        <w:rPr>
          <w:rFonts w:ascii="Arial" w:hAnsi="Arial"/>
          <w:i/>
          <w:spacing w:val="-10"/>
          <w:sz w:val="20"/>
        </w:rPr>
        <w:t>v</w:t>
      </w:r>
    </w:p>
    <w:p>
      <w:pPr>
        <w:spacing w:line="235" w:lineRule="auto" w:before="0"/>
        <w:ind w:left="705" w:right="168" w:firstLine="0"/>
        <w:jc w:val="both"/>
        <w:rPr>
          <w:rFonts w:ascii="Arial" w:hAnsi="Arial"/>
          <w:i/>
          <w:sz w:val="20"/>
        </w:rPr>
      </w:pPr>
      <w:r>
        <w:rPr>
          <w:rFonts w:ascii="Arial" w:hAnsi="Arial"/>
          <w:i/>
          <w:sz w:val="20"/>
        </w:rPr>
        <w:t>Compass Group Plc [2010] EWHC 1882 (QB) </w:t>
      </w:r>
      <w:r>
        <w:rPr>
          <w:sz w:val="20"/>
        </w:rPr>
        <w:t>at [106(b)]; </w:t>
      </w:r>
      <w:r>
        <w:rPr>
          <w:rFonts w:ascii="Arial" w:hAnsi="Arial"/>
          <w:i/>
          <w:sz w:val="20"/>
        </w:rPr>
        <w:t>Dhanani v Crasnianski [2011] </w:t>
      </w:r>
      <w:r>
        <w:rPr>
          <w:rFonts w:ascii="Arial" w:hAnsi="Arial"/>
          <w:i/>
          <w:sz w:val="20"/>
        </w:rPr>
        <w:t>EWHC 926</w:t>
      </w:r>
      <w:r>
        <w:rPr>
          <w:rFonts w:ascii="Arial" w:hAnsi="Arial"/>
          <w:i/>
          <w:spacing w:val="21"/>
          <w:sz w:val="20"/>
        </w:rPr>
        <w:t> </w:t>
      </w:r>
      <w:r>
        <w:rPr>
          <w:rFonts w:ascii="Arial" w:hAnsi="Arial"/>
          <w:i/>
          <w:sz w:val="20"/>
        </w:rPr>
        <w:t>(Comm),</w:t>
      </w:r>
      <w:r>
        <w:rPr>
          <w:rFonts w:ascii="Arial" w:hAnsi="Arial"/>
          <w:i/>
          <w:spacing w:val="21"/>
          <w:sz w:val="20"/>
        </w:rPr>
        <w:t> </w:t>
      </w:r>
      <w:r>
        <w:rPr>
          <w:rFonts w:ascii="Arial" w:hAnsi="Arial"/>
          <w:i/>
          <w:sz w:val="20"/>
        </w:rPr>
        <w:t>[2011]</w:t>
      </w:r>
      <w:r>
        <w:rPr>
          <w:rFonts w:ascii="Arial" w:hAnsi="Arial"/>
          <w:i/>
          <w:spacing w:val="21"/>
          <w:sz w:val="20"/>
        </w:rPr>
        <w:t> </w:t>
      </w:r>
      <w:r>
        <w:rPr>
          <w:rFonts w:ascii="Arial" w:hAnsi="Arial"/>
          <w:i/>
          <w:sz w:val="20"/>
        </w:rPr>
        <w:t>2</w:t>
      </w:r>
      <w:r>
        <w:rPr>
          <w:rFonts w:ascii="Arial" w:hAnsi="Arial"/>
          <w:i/>
          <w:spacing w:val="21"/>
          <w:sz w:val="20"/>
        </w:rPr>
        <w:t> </w:t>
      </w:r>
      <w:r>
        <w:rPr>
          <w:rFonts w:ascii="Arial" w:hAnsi="Arial"/>
          <w:i/>
          <w:sz w:val="20"/>
        </w:rPr>
        <w:t>All</w:t>
      </w:r>
      <w:r>
        <w:rPr>
          <w:rFonts w:ascii="Arial" w:hAnsi="Arial"/>
          <w:i/>
          <w:spacing w:val="21"/>
          <w:sz w:val="20"/>
        </w:rPr>
        <w:t> </w:t>
      </w:r>
      <w:r>
        <w:rPr>
          <w:rFonts w:ascii="Arial" w:hAnsi="Arial"/>
          <w:i/>
          <w:sz w:val="20"/>
        </w:rPr>
        <w:t>E.R.</w:t>
      </w:r>
      <w:r>
        <w:rPr>
          <w:rFonts w:ascii="Arial" w:hAnsi="Arial"/>
          <w:i/>
          <w:spacing w:val="21"/>
          <w:sz w:val="20"/>
        </w:rPr>
        <w:t> </w:t>
      </w:r>
      <w:r>
        <w:rPr>
          <w:rFonts w:ascii="Arial" w:hAnsi="Arial"/>
          <w:i/>
          <w:sz w:val="20"/>
        </w:rPr>
        <w:t>(Comm)</w:t>
      </w:r>
      <w:r>
        <w:rPr>
          <w:rFonts w:ascii="Arial" w:hAnsi="Arial"/>
          <w:i/>
          <w:spacing w:val="21"/>
          <w:sz w:val="20"/>
        </w:rPr>
        <w:t> </w:t>
      </w:r>
      <w:r>
        <w:rPr>
          <w:rFonts w:ascii="Arial" w:hAnsi="Arial"/>
          <w:i/>
          <w:sz w:val="20"/>
        </w:rPr>
        <w:t>799</w:t>
      </w:r>
      <w:r>
        <w:rPr>
          <w:rFonts w:ascii="Arial" w:hAnsi="Arial"/>
          <w:i/>
          <w:spacing w:val="21"/>
          <w:sz w:val="20"/>
        </w:rPr>
        <w:t> </w:t>
      </w:r>
      <w:r>
        <w:rPr>
          <w:sz w:val="20"/>
        </w:rPr>
        <w:t>at</w:t>
      </w:r>
      <w:r>
        <w:rPr>
          <w:spacing w:val="21"/>
          <w:sz w:val="20"/>
        </w:rPr>
        <w:t> </w:t>
      </w:r>
      <w:r>
        <w:rPr>
          <w:sz w:val="20"/>
        </w:rPr>
        <w:t>[80],</w:t>
      </w:r>
      <w:r>
        <w:rPr>
          <w:spacing w:val="21"/>
          <w:sz w:val="20"/>
        </w:rPr>
        <w:t> </w:t>
      </w:r>
      <w:r>
        <w:rPr>
          <w:sz w:val="20"/>
        </w:rPr>
        <w:t>[88]</w:t>
      </w:r>
      <w:r>
        <w:rPr>
          <w:spacing w:val="21"/>
          <w:sz w:val="20"/>
        </w:rPr>
        <w:t> </w:t>
      </w:r>
      <w:r>
        <w:rPr>
          <w:sz w:val="20"/>
        </w:rPr>
        <w:t>(“objectively</w:t>
      </w:r>
      <w:r>
        <w:rPr>
          <w:spacing w:val="21"/>
          <w:sz w:val="20"/>
        </w:rPr>
        <w:t> </w:t>
      </w:r>
      <w:r>
        <w:rPr>
          <w:sz w:val="20"/>
        </w:rPr>
        <w:t>assessed”);</w:t>
      </w:r>
      <w:r>
        <w:rPr>
          <w:spacing w:val="21"/>
          <w:sz w:val="20"/>
        </w:rPr>
        <w:t> </w:t>
      </w:r>
      <w:r>
        <w:rPr>
          <w:rFonts w:ascii="Arial" w:hAnsi="Arial"/>
          <w:i/>
          <w:sz w:val="20"/>
        </w:rPr>
        <w:t>Barbudev</w:t>
      </w:r>
      <w:r>
        <w:rPr>
          <w:rFonts w:ascii="Arial" w:hAnsi="Arial"/>
          <w:i/>
          <w:spacing w:val="21"/>
          <w:sz w:val="20"/>
        </w:rPr>
        <w:t> </w:t>
      </w:r>
      <w:r>
        <w:rPr>
          <w:rFonts w:ascii="Arial" w:hAnsi="Arial"/>
          <w:i/>
          <w:spacing w:val="-10"/>
          <w:sz w:val="20"/>
        </w:rPr>
        <w:t>v</w:t>
      </w:r>
    </w:p>
    <w:p>
      <w:pPr>
        <w:pStyle w:val="BodyText"/>
        <w:spacing w:line="235" w:lineRule="auto"/>
        <w:ind w:left="705" w:right="167"/>
        <w:jc w:val="both"/>
      </w:pPr>
      <w:r>
        <w:rPr>
          <w:rFonts w:ascii="Arial" w:hAnsi="Arial"/>
          <w:i/>
        </w:rPr>
        <w:t>Eurocom Cable Management Bulgaria EOOD [2011] EWHC 1560 (Comm), [2011] 2 All </w:t>
      </w:r>
      <w:r>
        <w:rPr>
          <w:rFonts w:ascii="Arial" w:hAnsi="Arial"/>
          <w:i/>
        </w:rPr>
        <w:t>E.R. (Comm) 951 at [92]–[94], affirmed [2012] EWCA Civ 548</w:t>
      </w:r>
      <w:r>
        <w:rPr/>
        <w:t>, where the objective test is stated at [30]. For a statement of the objective test of contractual intention, see also </w:t>
      </w:r>
      <w:r>
        <w:rPr>
          <w:rFonts w:ascii="Arial" w:hAnsi="Arial"/>
          <w:i/>
        </w:rPr>
        <w:t>Bear Stearns Bank Plc v Forum Global Equity Ltd [2007] EWHC 1576</w:t>
      </w:r>
      <w:r>
        <w:rPr/>
        <w:t>, above para.2-121, where an oral</w:t>
      </w:r>
      <w:r>
        <w:rPr>
          <w:spacing w:val="40"/>
        </w:rPr>
        <w:t> </w:t>
      </w:r>
      <w:r>
        <w:rPr/>
        <w:t>acceptance of a “firm” offer (also made orally) was held to give rise to a contract although at the stage</w:t>
      </w:r>
      <w:r>
        <w:rPr>
          <w:spacing w:val="-2"/>
        </w:rPr>
        <w:t> </w:t>
      </w:r>
      <w:r>
        <w:rPr/>
        <w:t>of</w:t>
      </w:r>
      <w:r>
        <w:rPr>
          <w:spacing w:val="-2"/>
        </w:rPr>
        <w:t> </w:t>
      </w:r>
      <w:r>
        <w:rPr/>
        <w:t>that</w:t>
      </w:r>
      <w:r>
        <w:rPr>
          <w:spacing w:val="-2"/>
        </w:rPr>
        <w:t> </w:t>
      </w:r>
      <w:r>
        <w:rPr/>
        <w:t>acceptance</w:t>
      </w:r>
      <w:r>
        <w:rPr>
          <w:spacing w:val="-2"/>
        </w:rPr>
        <w:t> </w:t>
      </w:r>
      <w:r>
        <w:rPr/>
        <w:t>many</w:t>
      </w:r>
      <w:r>
        <w:rPr>
          <w:spacing w:val="-2"/>
        </w:rPr>
        <w:t> </w:t>
      </w:r>
      <w:r>
        <w:rPr/>
        <w:t>important</w:t>
      </w:r>
      <w:r>
        <w:rPr>
          <w:spacing w:val="-2"/>
        </w:rPr>
        <w:t> </w:t>
      </w:r>
      <w:r>
        <w:rPr/>
        <w:t>points</w:t>
      </w:r>
      <w:r>
        <w:rPr>
          <w:spacing w:val="-2"/>
        </w:rPr>
        <w:t> </w:t>
      </w:r>
      <w:r>
        <w:rPr/>
        <w:t>remained</w:t>
      </w:r>
      <w:r>
        <w:rPr>
          <w:spacing w:val="-2"/>
        </w:rPr>
        <w:t> </w:t>
      </w:r>
      <w:r>
        <w:rPr/>
        <w:t>unresolved;</w:t>
      </w:r>
      <w:r>
        <w:rPr>
          <w:spacing w:val="-2"/>
        </w:rPr>
        <w:t> </w:t>
      </w:r>
      <w:r>
        <w:rPr/>
        <w:t>this</w:t>
      </w:r>
      <w:r>
        <w:rPr>
          <w:spacing w:val="-2"/>
        </w:rPr>
        <w:t> </w:t>
      </w:r>
      <w:r>
        <w:rPr/>
        <w:t>was</w:t>
      </w:r>
      <w:r>
        <w:rPr>
          <w:spacing w:val="-2"/>
        </w:rPr>
        <w:t> </w:t>
      </w:r>
      <w:r>
        <w:rPr/>
        <w:t>also</w:t>
      </w:r>
      <w:r>
        <w:rPr>
          <w:spacing w:val="-2"/>
        </w:rPr>
        <w:t> </w:t>
      </w:r>
      <w:r>
        <w:rPr/>
        <w:t>the</w:t>
      </w:r>
      <w:r>
        <w:rPr>
          <w:spacing w:val="-2"/>
        </w:rPr>
        <w:t> </w:t>
      </w:r>
      <w:r>
        <w:rPr/>
        <w:t>position in the </w:t>
      </w:r>
      <w:r>
        <w:rPr>
          <w:rFonts w:ascii="Arial" w:hAnsi="Arial"/>
          <w:i/>
        </w:rPr>
        <w:t>RTS </w:t>
      </w:r>
      <w:r>
        <w:rPr/>
        <w:t>case, above: see at [61]; cf. the </w:t>
      </w:r>
      <w:r>
        <w:rPr>
          <w:rFonts w:ascii="Arial" w:hAnsi="Arial"/>
          <w:i/>
        </w:rPr>
        <w:t>Benourad </w:t>
      </w:r>
      <w:r>
        <w:rPr/>
        <w:t>case above, at [106(f)] and above,</w:t>
      </w:r>
      <w:r>
        <w:rPr>
          <w:spacing w:val="40"/>
        </w:rPr>
        <w:t> </w:t>
      </w:r>
      <w:r>
        <w:rPr/>
        <w:t>para.2-121 at n.603. And see </w:t>
      </w:r>
      <w:r>
        <w:rPr>
          <w:rFonts w:ascii="Arial" w:hAnsi="Arial"/>
          <w:i/>
        </w:rPr>
        <w:t>Attrill v Dresdner Kleinwort Ltd [2013] EWCA Civ 394 </w:t>
      </w:r>
      <w:r>
        <w:rPr/>
        <w:t>at [61]: the Court of Appeal enforced the employer’s promise to their employees to maintain a “guaranteed minimum bonus pool” from which discretionary bonuses payable under the contracts of employment were to be distributed “no matter what” (at [22]). The Court relied, in particular, on the facts that it was made “in the context of a pre-existing legal relationship” (i.e. of employer and employee); that the promise was originally that of the employer’s Chief Executive Officer; that it was made as “part of a vitally important strategy to retain staff”; that it “related to pay, the most</w:t>
      </w:r>
      <w:r>
        <w:rPr>
          <w:spacing w:val="-2"/>
        </w:rPr>
        <w:t> </w:t>
      </w:r>
      <w:r>
        <w:rPr/>
        <w:t>fundamental</w:t>
      </w:r>
      <w:r>
        <w:rPr>
          <w:spacing w:val="-2"/>
        </w:rPr>
        <w:t> </w:t>
      </w:r>
      <w:r>
        <w:rPr/>
        <w:t>obligation</w:t>
      </w:r>
      <w:r>
        <w:rPr>
          <w:spacing w:val="-2"/>
        </w:rPr>
        <w:t> </w:t>
      </w:r>
      <w:r>
        <w:rPr/>
        <w:t>under</w:t>
      </w:r>
      <w:r>
        <w:rPr>
          <w:spacing w:val="-2"/>
        </w:rPr>
        <w:t> </w:t>
      </w:r>
      <w:r>
        <w:rPr/>
        <w:t>the</w:t>
      </w:r>
      <w:r>
        <w:rPr>
          <w:spacing w:val="-2"/>
        </w:rPr>
        <w:t> </w:t>
      </w:r>
      <w:r>
        <w:rPr/>
        <w:t>employment</w:t>
      </w:r>
      <w:r>
        <w:rPr>
          <w:spacing w:val="-2"/>
        </w:rPr>
        <w:t> </w:t>
      </w:r>
      <w:r>
        <w:rPr/>
        <w:t>contract”;</w:t>
      </w:r>
      <w:r>
        <w:rPr>
          <w:spacing w:val="-2"/>
        </w:rPr>
        <w:t> </w:t>
      </w:r>
      <w:r>
        <w:rPr/>
        <w:t>and</w:t>
      </w:r>
      <w:r>
        <w:rPr>
          <w:spacing w:val="-2"/>
        </w:rPr>
        <w:t> </w:t>
      </w:r>
      <w:r>
        <w:rPr/>
        <w:t>that</w:t>
      </w:r>
      <w:r>
        <w:rPr>
          <w:spacing w:val="-2"/>
        </w:rPr>
        <w:t> </w:t>
      </w:r>
      <w:r>
        <w:rPr/>
        <w:t>by</w:t>
      </w:r>
      <w:r>
        <w:rPr>
          <w:spacing w:val="-2"/>
        </w:rPr>
        <w:t> </w:t>
      </w:r>
      <w:r>
        <w:rPr/>
        <w:t>its</w:t>
      </w:r>
      <w:r>
        <w:rPr>
          <w:spacing w:val="-2"/>
        </w:rPr>
        <w:t> </w:t>
      </w:r>
      <w:r>
        <w:rPr/>
        <w:t>terms</w:t>
      </w:r>
      <w:r>
        <w:rPr>
          <w:spacing w:val="-2"/>
        </w:rPr>
        <w:t> </w:t>
      </w:r>
      <w:r>
        <w:rPr/>
        <w:t>“the</w:t>
      </w:r>
      <w:r>
        <w:rPr>
          <w:spacing w:val="-2"/>
        </w:rPr>
        <w:t> </w:t>
      </w:r>
      <w:r>
        <w:rPr/>
        <w:t>promise assured staff that the fund was guaranteed come what may” (at [89]). cf. </w:t>
      </w:r>
      <w:r>
        <w:rPr>
          <w:rFonts w:ascii="Arial" w:hAnsi="Arial"/>
          <w:i/>
        </w:rPr>
        <w:t>Crowden v Aldridge [1993]</w:t>
      </w:r>
      <w:r>
        <w:rPr>
          <w:rFonts w:ascii="Arial" w:hAnsi="Arial"/>
          <w:i/>
          <w:spacing w:val="-1"/>
        </w:rPr>
        <w:t> </w:t>
      </w:r>
      <w:r>
        <w:rPr>
          <w:rFonts w:ascii="Arial" w:hAnsi="Arial"/>
          <w:i/>
        </w:rPr>
        <w:t>1</w:t>
      </w:r>
      <w:r>
        <w:rPr>
          <w:rFonts w:ascii="Arial" w:hAnsi="Arial"/>
          <w:i/>
          <w:spacing w:val="-1"/>
        </w:rPr>
        <w:t> </w:t>
      </w:r>
      <w:r>
        <w:rPr>
          <w:rFonts w:ascii="Arial" w:hAnsi="Arial"/>
          <w:i/>
        </w:rPr>
        <w:t>W.L.R.</w:t>
      </w:r>
      <w:r>
        <w:rPr>
          <w:rFonts w:ascii="Arial" w:hAnsi="Arial"/>
          <w:i/>
          <w:spacing w:val="-1"/>
        </w:rPr>
        <w:t> </w:t>
      </w:r>
      <w:r>
        <w:rPr>
          <w:rFonts w:ascii="Arial" w:hAnsi="Arial"/>
          <w:i/>
        </w:rPr>
        <w:t>433</w:t>
      </w:r>
      <w:r>
        <w:rPr/>
        <w:t>,</w:t>
      </w:r>
      <w:r>
        <w:rPr>
          <w:spacing w:val="-1"/>
        </w:rPr>
        <w:t> </w:t>
      </w:r>
      <w:r>
        <w:rPr/>
        <w:t>applying</w:t>
      </w:r>
      <w:r>
        <w:rPr>
          <w:spacing w:val="-1"/>
        </w:rPr>
        <w:t> </w:t>
      </w:r>
      <w:r>
        <w:rPr/>
        <w:t>the</w:t>
      </w:r>
      <w:r>
        <w:rPr>
          <w:spacing w:val="-1"/>
        </w:rPr>
        <w:t> </w:t>
      </w:r>
      <w:r>
        <w:rPr/>
        <w:t>objective</w:t>
      </w:r>
      <w:r>
        <w:rPr>
          <w:spacing w:val="-1"/>
        </w:rPr>
        <w:t> </w:t>
      </w:r>
      <w:r>
        <w:rPr/>
        <w:t>test</w:t>
      </w:r>
      <w:r>
        <w:rPr>
          <w:spacing w:val="-1"/>
        </w:rPr>
        <w:t> </w:t>
      </w:r>
      <w:r>
        <w:rPr/>
        <w:t>of</w:t>
      </w:r>
      <w:r>
        <w:rPr>
          <w:spacing w:val="-1"/>
        </w:rPr>
        <w:t> </w:t>
      </w:r>
      <w:r>
        <w:rPr/>
        <w:t>intention</w:t>
      </w:r>
      <w:r>
        <w:rPr>
          <w:spacing w:val="-1"/>
        </w:rPr>
        <w:t> </w:t>
      </w:r>
      <w:r>
        <w:rPr/>
        <w:t>to</w:t>
      </w:r>
      <w:r>
        <w:rPr>
          <w:spacing w:val="-1"/>
        </w:rPr>
        <w:t> </w:t>
      </w:r>
      <w:r>
        <w:rPr/>
        <w:t>produce</w:t>
      </w:r>
      <w:r>
        <w:rPr>
          <w:spacing w:val="-1"/>
        </w:rPr>
        <w:t> </w:t>
      </w:r>
      <w:r>
        <w:rPr/>
        <w:t>legal</w:t>
      </w:r>
      <w:r>
        <w:rPr>
          <w:spacing w:val="-1"/>
        </w:rPr>
        <w:t> </w:t>
      </w:r>
      <w:r>
        <w:rPr/>
        <w:t>consequences</w:t>
      </w:r>
      <w:r>
        <w:rPr>
          <w:spacing w:val="-1"/>
        </w:rPr>
        <w:t> </w:t>
      </w:r>
      <w:r>
        <w:rPr/>
        <w:t>to</w:t>
      </w:r>
      <w:r>
        <w:rPr>
          <w:spacing w:val="-1"/>
        </w:rPr>
        <w:t> </w:t>
      </w:r>
      <w:r>
        <w:rPr/>
        <w:t>a noncontractual direction to executors in favour of a third party. Quaere whether, in the absence of reliance on the direction, the policy which justifies the objective test in a contractual context extends to the situation which arose in this case.</w:t>
      </w:r>
    </w:p>
    <w:p>
      <w:pPr>
        <w:tabs>
          <w:tab w:pos="705" w:val="left" w:leader="none"/>
        </w:tabs>
        <w:spacing w:before="225"/>
        <w:ind w:left="165" w:right="0" w:firstLine="0"/>
        <w:jc w:val="left"/>
        <w:rPr>
          <w:sz w:val="20"/>
        </w:rPr>
      </w:pPr>
      <w:bookmarkStart w:name="_bookmark1783" w:id="1785"/>
      <w:bookmarkEnd w:id="1785"/>
      <w:r>
        <w:rPr/>
      </w:r>
      <w:hyperlink w:history="true" w:anchor="_bookmark1708">
        <w:r>
          <w:rPr>
            <w:color w:val="005DA1"/>
            <w:spacing w:val="-4"/>
            <w:position w:val="5"/>
            <w:sz w:val="14"/>
            <w:u w:val="single" w:color="005DA1"/>
          </w:rPr>
          <w:t>904</w:t>
        </w:r>
      </w:hyperlink>
      <w:r>
        <w:rPr>
          <w:spacing w:val="-4"/>
          <w:position w:val="5"/>
          <w:sz w:val="14"/>
        </w:rPr>
        <w:t>.</w:t>
      </w:r>
      <w:r>
        <w:rPr>
          <w:position w:val="5"/>
          <w:sz w:val="14"/>
        </w:rPr>
        <w:tab/>
      </w:r>
      <w:r>
        <w:rPr>
          <w:sz w:val="20"/>
        </w:rPr>
        <w:t>Above, para.2-</w:t>
      </w:r>
      <w:r>
        <w:rPr>
          <w:spacing w:val="-4"/>
          <w:sz w:val="20"/>
        </w:rPr>
        <w:t>125.</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784" w:id="1786"/>
      <w:bookmarkEnd w:id="1786"/>
      <w:r>
        <w:rPr/>
      </w:r>
      <w:hyperlink w:history="true" w:anchor="_bookmark1709">
        <w:r>
          <w:rPr>
            <w:color w:val="005DA1"/>
            <w:spacing w:val="-4"/>
            <w:position w:val="5"/>
            <w:sz w:val="14"/>
            <w:u w:val="single" w:color="005DA1"/>
          </w:rPr>
          <w:t>905</w:t>
        </w:r>
      </w:hyperlink>
      <w:r>
        <w:rPr>
          <w:spacing w:val="-4"/>
          <w:position w:val="5"/>
          <w:sz w:val="14"/>
        </w:rPr>
        <w:t>.</w:t>
      </w:r>
      <w:r>
        <w:rPr>
          <w:position w:val="5"/>
          <w:sz w:val="14"/>
        </w:rPr>
        <w:tab/>
      </w:r>
      <w:r>
        <w:rPr>
          <w:rFonts w:ascii="Arial"/>
          <w:i/>
          <w:sz w:val="20"/>
        </w:rPr>
        <w:t>Tweddell</w:t>
      </w:r>
      <w:r>
        <w:rPr>
          <w:rFonts w:ascii="Arial"/>
          <w:i/>
          <w:spacing w:val="1"/>
          <w:sz w:val="20"/>
        </w:rPr>
        <w:t> </w:t>
      </w:r>
      <w:r>
        <w:rPr>
          <w:rFonts w:ascii="Arial"/>
          <w:i/>
          <w:sz w:val="20"/>
        </w:rPr>
        <w:t>v</w:t>
      </w:r>
      <w:r>
        <w:rPr>
          <w:rFonts w:ascii="Arial"/>
          <w:i/>
          <w:spacing w:val="4"/>
          <w:sz w:val="20"/>
        </w:rPr>
        <w:t> </w:t>
      </w:r>
      <w:r>
        <w:rPr>
          <w:rFonts w:ascii="Arial"/>
          <w:i/>
          <w:sz w:val="20"/>
        </w:rPr>
        <w:t>Henderson</w:t>
      </w:r>
      <w:r>
        <w:rPr>
          <w:rFonts w:ascii="Arial"/>
          <w:i/>
          <w:spacing w:val="4"/>
          <w:sz w:val="20"/>
        </w:rPr>
        <w:t> </w:t>
      </w:r>
      <w:r>
        <w:rPr>
          <w:rFonts w:ascii="Arial"/>
          <w:i/>
          <w:sz w:val="20"/>
        </w:rPr>
        <w:t>[1975]</w:t>
      </w:r>
      <w:r>
        <w:rPr>
          <w:rFonts w:ascii="Arial"/>
          <w:i/>
          <w:spacing w:val="4"/>
          <w:sz w:val="20"/>
        </w:rPr>
        <w:t> </w:t>
      </w:r>
      <w:r>
        <w:rPr>
          <w:rFonts w:ascii="Arial"/>
          <w:i/>
          <w:sz w:val="20"/>
        </w:rPr>
        <w:t>1</w:t>
      </w:r>
      <w:r>
        <w:rPr>
          <w:rFonts w:ascii="Arial"/>
          <w:i/>
          <w:spacing w:val="4"/>
          <w:sz w:val="20"/>
        </w:rPr>
        <w:t> </w:t>
      </w:r>
      <w:r>
        <w:rPr>
          <w:rFonts w:ascii="Arial"/>
          <w:i/>
          <w:sz w:val="20"/>
        </w:rPr>
        <w:t>W.L.R.</w:t>
      </w:r>
      <w:r>
        <w:rPr>
          <w:rFonts w:ascii="Arial"/>
          <w:i/>
          <w:spacing w:val="4"/>
          <w:sz w:val="20"/>
        </w:rPr>
        <w:t> </w:t>
      </w:r>
      <w:r>
        <w:rPr>
          <w:rFonts w:ascii="Arial"/>
          <w:i/>
          <w:sz w:val="20"/>
        </w:rPr>
        <w:t>1496</w:t>
      </w:r>
      <w:r>
        <w:rPr>
          <w:sz w:val="20"/>
        </w:rPr>
        <w:t>;</w:t>
      </w:r>
      <w:r>
        <w:rPr>
          <w:spacing w:val="4"/>
          <w:sz w:val="20"/>
        </w:rPr>
        <w:t> </w:t>
      </w:r>
      <w:r>
        <w:rPr>
          <w:rFonts w:ascii="Arial"/>
          <w:i/>
          <w:sz w:val="20"/>
        </w:rPr>
        <w:t>Storer</w:t>
      </w:r>
      <w:r>
        <w:rPr>
          <w:rFonts w:ascii="Arial"/>
          <w:i/>
          <w:spacing w:val="4"/>
          <w:sz w:val="20"/>
        </w:rPr>
        <w:t> </w:t>
      </w:r>
      <w:r>
        <w:rPr>
          <w:rFonts w:ascii="Arial"/>
          <w:i/>
          <w:sz w:val="20"/>
        </w:rPr>
        <w:t>v</w:t>
      </w:r>
      <w:r>
        <w:rPr>
          <w:rFonts w:ascii="Arial"/>
          <w:i/>
          <w:spacing w:val="4"/>
          <w:sz w:val="20"/>
        </w:rPr>
        <w:t> </w:t>
      </w:r>
      <w:r>
        <w:rPr>
          <w:rFonts w:ascii="Arial"/>
          <w:i/>
          <w:sz w:val="20"/>
        </w:rPr>
        <w:t>Manchester</w:t>
      </w:r>
      <w:r>
        <w:rPr>
          <w:rFonts w:ascii="Arial"/>
          <w:i/>
          <w:spacing w:val="4"/>
          <w:sz w:val="20"/>
        </w:rPr>
        <w:t> </w:t>
      </w:r>
      <w:r>
        <w:rPr>
          <w:rFonts w:ascii="Arial"/>
          <w:i/>
          <w:sz w:val="20"/>
        </w:rPr>
        <w:t>City</w:t>
      </w:r>
      <w:r>
        <w:rPr>
          <w:rFonts w:ascii="Arial"/>
          <w:i/>
          <w:spacing w:val="4"/>
          <w:sz w:val="20"/>
        </w:rPr>
        <w:t> </w:t>
      </w:r>
      <w:r>
        <w:rPr>
          <w:rFonts w:ascii="Arial"/>
          <w:i/>
          <w:sz w:val="20"/>
        </w:rPr>
        <w:t>Council</w:t>
      </w:r>
      <w:r>
        <w:rPr>
          <w:rFonts w:ascii="Arial"/>
          <w:i/>
          <w:spacing w:val="4"/>
          <w:sz w:val="20"/>
        </w:rPr>
        <w:t> </w:t>
      </w:r>
      <w:r>
        <w:rPr>
          <w:rFonts w:ascii="Arial"/>
          <w:i/>
          <w:sz w:val="20"/>
        </w:rPr>
        <w:t>[1974]</w:t>
      </w:r>
      <w:r>
        <w:rPr>
          <w:rFonts w:ascii="Arial"/>
          <w:i/>
          <w:spacing w:val="4"/>
          <w:sz w:val="20"/>
        </w:rPr>
        <w:t> </w:t>
      </w:r>
      <w:r>
        <w:rPr>
          <w:rFonts w:ascii="Arial"/>
          <w:i/>
          <w:sz w:val="20"/>
        </w:rPr>
        <w:t>1</w:t>
      </w:r>
      <w:r>
        <w:rPr>
          <w:rFonts w:ascii="Arial"/>
          <w:i/>
          <w:spacing w:val="4"/>
          <w:sz w:val="20"/>
        </w:rPr>
        <w:t> </w:t>
      </w:r>
      <w:r>
        <w:rPr>
          <w:rFonts w:ascii="Arial"/>
          <w:i/>
          <w:spacing w:val="-2"/>
          <w:sz w:val="20"/>
        </w:rPr>
        <w:t>W.L.R.</w:t>
      </w:r>
    </w:p>
    <w:p>
      <w:pPr>
        <w:spacing w:line="227" w:lineRule="exact" w:before="0"/>
        <w:ind w:left="705" w:right="0" w:firstLine="0"/>
        <w:jc w:val="left"/>
        <w:rPr>
          <w:sz w:val="20"/>
        </w:rPr>
      </w:pPr>
      <w:r>
        <w:rPr>
          <w:rFonts w:ascii="Arial"/>
          <w:i/>
          <w:sz w:val="20"/>
        </w:rPr>
        <w:t>1403, </w:t>
      </w:r>
      <w:r>
        <w:rPr>
          <w:rFonts w:ascii="Arial"/>
          <w:i/>
          <w:spacing w:val="-2"/>
          <w:sz w:val="20"/>
        </w:rPr>
        <w:t>1408</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785" w:id="1787"/>
      <w:bookmarkEnd w:id="1787"/>
      <w:r>
        <w:rPr/>
      </w:r>
      <w:hyperlink w:history="true" w:anchor="_bookmark1709">
        <w:r>
          <w:rPr>
            <w:color w:val="005DA1"/>
            <w:spacing w:val="-4"/>
            <w:position w:val="5"/>
            <w:sz w:val="14"/>
            <w:u w:val="single" w:color="005DA1"/>
          </w:rPr>
          <w:t>906</w:t>
        </w:r>
      </w:hyperlink>
      <w:r>
        <w:rPr>
          <w:spacing w:val="-4"/>
          <w:position w:val="5"/>
          <w:sz w:val="14"/>
        </w:rPr>
        <w:t>.</w:t>
      </w:r>
      <w:r>
        <w:rPr>
          <w:position w:val="5"/>
          <w:sz w:val="14"/>
        </w:rPr>
        <w:tab/>
      </w:r>
      <w:r>
        <w:rPr>
          <w:rFonts w:ascii="Arial"/>
          <w:i/>
          <w:sz w:val="20"/>
        </w:rPr>
        <w:t>[2000]</w:t>
      </w:r>
      <w:r>
        <w:rPr>
          <w:rFonts w:ascii="Arial"/>
          <w:i/>
          <w:spacing w:val="-2"/>
          <w:sz w:val="20"/>
        </w:rPr>
        <w:t> </w:t>
      </w:r>
      <w:r>
        <w:rPr>
          <w:rFonts w:ascii="Arial"/>
          <w:i/>
          <w:sz w:val="20"/>
        </w:rPr>
        <w:t>Q.B. </w:t>
      </w:r>
      <w:r>
        <w:rPr>
          <w:rFonts w:ascii="Arial"/>
          <w:i/>
          <w:spacing w:val="-4"/>
          <w:sz w:val="20"/>
        </w:rPr>
        <w:t>501</w:t>
      </w:r>
      <w:r>
        <w:rPr>
          <w:spacing w:val="-4"/>
          <w:sz w:val="20"/>
        </w:rPr>
        <w:t>.</w:t>
      </w:r>
    </w:p>
    <w:p>
      <w:pPr>
        <w:pStyle w:val="BodyText"/>
        <w:spacing w:before="5"/>
      </w:pPr>
    </w:p>
    <w:p>
      <w:pPr>
        <w:pStyle w:val="BodyText"/>
        <w:tabs>
          <w:tab w:pos="705" w:val="left" w:leader="none"/>
        </w:tabs>
        <w:ind w:left="165"/>
      </w:pPr>
      <w:bookmarkStart w:name="_bookmark1786" w:id="1788"/>
      <w:bookmarkEnd w:id="1788"/>
      <w:r>
        <w:rPr/>
      </w:r>
      <w:hyperlink w:history="true" w:anchor="_bookmark1710">
        <w:r>
          <w:rPr>
            <w:color w:val="005DA1"/>
            <w:spacing w:val="-4"/>
            <w:position w:val="5"/>
            <w:sz w:val="14"/>
            <w:u w:val="single" w:color="005DA1"/>
          </w:rPr>
          <w:t>907</w:t>
        </w:r>
      </w:hyperlink>
      <w:r>
        <w:rPr>
          <w:spacing w:val="-4"/>
          <w:position w:val="5"/>
          <w:sz w:val="14"/>
        </w:rPr>
        <w:t>.</w:t>
      </w:r>
      <w:r>
        <w:rPr>
          <w:position w:val="5"/>
          <w:sz w:val="14"/>
        </w:rPr>
        <w:tab/>
      </w:r>
      <w:r>
        <w:rPr/>
        <w:t>For the consideration moving from the pupil, see below, para.4-</w:t>
      </w:r>
      <w:r>
        <w:rPr>
          <w:spacing w:val="-4"/>
        </w:rPr>
        <w:t>039.</w:t>
      </w: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bookmarkStart w:name="_bookmark1787" w:id="1789"/>
      <w:bookmarkEnd w:id="1789"/>
      <w:r>
        <w:rPr/>
      </w:r>
      <w:hyperlink w:history="true" w:anchor="_bookmark1711">
        <w:r>
          <w:rPr>
            <w:color w:val="005DA1"/>
            <w:spacing w:val="-4"/>
            <w:sz w:val="14"/>
            <w:u w:val="single" w:color="005DA1"/>
          </w:rPr>
          <w:t>908</w:t>
        </w:r>
      </w:hyperlink>
      <w:r>
        <w:rPr>
          <w:spacing w:val="-4"/>
          <w:sz w:val="14"/>
        </w:rPr>
        <w:t>.</w:t>
      </w:r>
    </w:p>
    <w:p>
      <w:pPr>
        <w:spacing w:before="209"/>
        <w:ind w:left="335" w:right="0" w:firstLine="0"/>
        <w:jc w:val="left"/>
        <w:rPr>
          <w:sz w:val="20"/>
        </w:rPr>
      </w:pPr>
      <w:r>
        <w:rPr/>
        <w:br w:type="column"/>
      </w:r>
      <w:r>
        <w:rPr>
          <w:rFonts w:ascii="Arial"/>
          <w:i/>
          <w:sz w:val="20"/>
        </w:rPr>
        <w:t>[2016] EWHC 360 </w:t>
      </w:r>
      <w:r>
        <w:rPr>
          <w:rFonts w:ascii="Arial"/>
          <w:i/>
          <w:spacing w:val="-4"/>
          <w:sz w:val="20"/>
        </w:rPr>
        <w:t>(QB)</w:t>
      </w:r>
      <w:r>
        <w:rPr>
          <w:spacing w:val="-4"/>
          <w:sz w:val="20"/>
        </w:rPr>
        <w:t>.</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8"/>
        <w:rPr>
          <w:sz w:val="12"/>
        </w:rPr>
      </w:pPr>
    </w:p>
    <w:p>
      <w:pPr>
        <w:pStyle w:val="BodyText"/>
        <w:spacing w:after="0"/>
        <w:rPr>
          <w:sz w:val="12"/>
        </w:rPr>
        <w:sectPr>
          <w:type w:val="continuous"/>
          <w:pgSz w:w="11900" w:h="16840"/>
          <w:pgMar w:header="971" w:footer="0" w:top="1300" w:bottom="280" w:left="1275" w:right="1275"/>
        </w:sectPr>
      </w:pPr>
    </w:p>
    <w:p>
      <w:pPr>
        <w:spacing w:before="96"/>
        <w:ind w:left="165" w:right="0" w:firstLine="0"/>
        <w:jc w:val="left"/>
        <w:rPr>
          <w:sz w:val="14"/>
        </w:rPr>
      </w:pPr>
      <w:r>
        <w:rPr>
          <w:sz w:val="14"/>
        </w:rPr>
        <w:drawing>
          <wp:anchor distT="0" distB="0" distL="0" distR="0" allowOverlap="1" layoutInCell="1" locked="0" behindDoc="0" simplePos="0" relativeHeight="15763968">
            <wp:simplePos x="0" y="0"/>
            <wp:positionH relativeFrom="page">
              <wp:posOffset>1257846</wp:posOffset>
            </wp:positionH>
            <wp:positionV relativeFrom="paragraph">
              <wp:posOffset>-210690</wp:posOffset>
            </wp:positionV>
            <wp:extent cx="107988" cy="107988"/>
            <wp:effectExtent l="0" t="0" r="0" b="0"/>
            <wp:wrapNone/>
            <wp:docPr id="142" name="Image 142"/>
            <wp:cNvGraphicFramePr>
              <a:graphicFrameLocks/>
            </wp:cNvGraphicFramePr>
            <a:graphic>
              <a:graphicData uri="http://schemas.openxmlformats.org/drawingml/2006/picture">
                <pic:pic>
                  <pic:nvPicPr>
                    <pic:cNvPr id="142" name="Image 142"/>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788" w:id="1790"/>
      <w:bookmarkEnd w:id="1790"/>
      <w:r>
        <w:rPr/>
      </w:r>
      <w:hyperlink w:history="true" w:anchor="_bookmark1712">
        <w:r>
          <w:rPr>
            <w:color w:val="005DA1"/>
            <w:spacing w:val="-4"/>
            <w:sz w:val="14"/>
            <w:u w:val="single" w:color="005DA1"/>
          </w:rPr>
          <w:t>909</w:t>
        </w:r>
      </w:hyperlink>
      <w:r>
        <w:rPr>
          <w:spacing w:val="-4"/>
          <w:sz w:val="14"/>
        </w:rPr>
        <w:t>.</w:t>
      </w:r>
    </w:p>
    <w:p>
      <w:pPr>
        <w:spacing w:before="209"/>
        <w:ind w:left="335" w:right="0" w:firstLine="0"/>
        <w:jc w:val="left"/>
        <w:rPr>
          <w:sz w:val="20"/>
        </w:rPr>
      </w:pPr>
      <w:r>
        <w:rPr/>
        <w:br w:type="column"/>
      </w:r>
      <w:r>
        <w:rPr>
          <w:rFonts w:ascii="Arial"/>
          <w:i/>
          <w:sz w:val="20"/>
        </w:rPr>
        <w:t>Purton (t/a Richwood Interiors) v Kilker Projects Ltd [2015] EWHC 2624 (TCC)</w:t>
      </w:r>
      <w:r>
        <w:rPr>
          <w:rFonts w:ascii="Arial"/>
          <w:i/>
          <w:spacing w:val="-1"/>
          <w:sz w:val="20"/>
        </w:rPr>
        <w:t> </w:t>
      </w:r>
      <w:r>
        <w:rPr>
          <w:sz w:val="20"/>
        </w:rPr>
        <w:t>at </w:t>
      </w:r>
      <w:r>
        <w:rPr>
          <w:spacing w:val="-4"/>
          <w:sz w:val="20"/>
        </w:rPr>
        <w:t>[7].</w:t>
      </w:r>
    </w:p>
    <w:p>
      <w:pPr>
        <w:spacing w:after="0"/>
        <w:jc w:val="left"/>
        <w:rPr>
          <w:sz w:val="20"/>
        </w:rPr>
        <w:sectPr>
          <w:type w:val="continuous"/>
          <w:pgSz w:w="11900" w:h="16840"/>
          <w:pgMar w:header="971" w:footer="0" w:top="1300" w:bottom="280" w:left="1275" w:right="1275"/>
          <w:cols w:num="2" w:equalWidth="0">
            <w:col w:w="478" w:space="63"/>
            <w:col w:w="8809"/>
          </w:cols>
        </w:sectPr>
      </w:pPr>
    </w:p>
    <w:p>
      <w:pPr>
        <w:pStyle w:val="BodyText"/>
        <w:spacing w:before="9"/>
        <w:rPr>
          <w:sz w:val="12"/>
        </w:rPr>
      </w:pPr>
    </w:p>
    <w:p>
      <w:pPr>
        <w:pStyle w:val="BodyText"/>
        <w:spacing w:after="0"/>
        <w:rPr>
          <w:sz w:val="12"/>
        </w:rPr>
        <w:sectPr>
          <w:type w:val="continuous"/>
          <w:pgSz w:w="11900" w:h="16840"/>
          <w:pgMar w:header="971" w:footer="0" w:top="1300" w:bottom="280" w:left="1275" w:right="1275"/>
        </w:sectPr>
      </w:pPr>
    </w:p>
    <w:p>
      <w:pPr>
        <w:spacing w:before="95"/>
        <w:ind w:left="165" w:right="0" w:firstLine="0"/>
        <w:jc w:val="left"/>
        <w:rPr>
          <w:sz w:val="14"/>
        </w:rPr>
      </w:pPr>
      <w:r>
        <w:rPr>
          <w:sz w:val="14"/>
        </w:rPr>
        <w:drawing>
          <wp:anchor distT="0" distB="0" distL="0" distR="0" allowOverlap="1" layoutInCell="1" locked="0" behindDoc="0" simplePos="0" relativeHeight="15764480">
            <wp:simplePos x="0" y="0"/>
            <wp:positionH relativeFrom="page">
              <wp:posOffset>1257846</wp:posOffset>
            </wp:positionH>
            <wp:positionV relativeFrom="paragraph">
              <wp:posOffset>-211305</wp:posOffset>
            </wp:positionV>
            <wp:extent cx="107988" cy="107988"/>
            <wp:effectExtent l="0" t="0" r="0" b="0"/>
            <wp:wrapNone/>
            <wp:docPr id="143" name="Image 143"/>
            <wp:cNvGraphicFramePr>
              <a:graphicFrameLocks/>
            </wp:cNvGraphicFramePr>
            <a:graphic>
              <a:graphicData uri="http://schemas.openxmlformats.org/drawingml/2006/picture">
                <pic:pic>
                  <pic:nvPicPr>
                    <pic:cNvPr id="143" name="Image 143"/>
                    <pic:cNvPicPr/>
                  </pic:nvPicPr>
                  <pic:blipFill>
                    <a:blip r:embed="rId7" cstate="print"/>
                    <a:stretch>
                      <a:fillRect/>
                    </a:stretch>
                  </pic:blipFill>
                  <pic:spPr>
                    <a:xfrm>
                      <a:off x="0" y="0"/>
                      <a:ext cx="107988" cy="107988"/>
                    </a:xfrm>
                    <a:prstGeom prst="rect">
                      <a:avLst/>
                    </a:prstGeom>
                  </pic:spPr>
                </pic:pic>
              </a:graphicData>
            </a:graphic>
          </wp:anchor>
        </w:drawing>
      </w:r>
      <w:r>
        <w:rPr>
          <w:sz w:val="14"/>
        </w:rPr>
        <w:drawing>
          <wp:anchor distT="0" distB="0" distL="0" distR="0" allowOverlap="1" layoutInCell="1" locked="0" behindDoc="0" simplePos="0" relativeHeight="15764992">
            <wp:simplePos x="0" y="0"/>
            <wp:positionH relativeFrom="page">
              <wp:posOffset>1257846</wp:posOffset>
            </wp:positionH>
            <wp:positionV relativeFrom="paragraph">
              <wp:posOffset>160169</wp:posOffset>
            </wp:positionV>
            <wp:extent cx="107988" cy="107988"/>
            <wp:effectExtent l="0" t="0" r="0" b="0"/>
            <wp:wrapNone/>
            <wp:docPr id="144" name="Image 144"/>
            <wp:cNvGraphicFramePr>
              <a:graphicFrameLocks/>
            </wp:cNvGraphicFramePr>
            <a:graphic>
              <a:graphicData uri="http://schemas.openxmlformats.org/drawingml/2006/picture">
                <pic:pic>
                  <pic:nvPicPr>
                    <pic:cNvPr id="144" name="Image 144"/>
                    <pic:cNvPicPr/>
                  </pic:nvPicPr>
                  <pic:blipFill>
                    <a:blip r:embed="rId7" cstate="print"/>
                    <a:stretch>
                      <a:fillRect/>
                    </a:stretch>
                  </pic:blipFill>
                  <pic:spPr>
                    <a:xfrm>
                      <a:off x="0" y="0"/>
                      <a:ext cx="107988" cy="107988"/>
                    </a:xfrm>
                    <a:prstGeom prst="rect">
                      <a:avLst/>
                    </a:prstGeom>
                  </pic:spPr>
                </pic:pic>
              </a:graphicData>
            </a:graphic>
          </wp:anchor>
        </w:drawing>
      </w:r>
      <w:bookmarkStart w:name="_bookmark1789" w:id="1791"/>
      <w:bookmarkEnd w:id="1791"/>
      <w:r>
        <w:rPr/>
      </w:r>
      <w:hyperlink w:history="true" w:anchor="_bookmark1713">
        <w:r>
          <w:rPr>
            <w:color w:val="005DA1"/>
            <w:spacing w:val="-4"/>
            <w:sz w:val="14"/>
            <w:u w:val="single" w:color="005DA1"/>
          </w:rPr>
          <w:t>910</w:t>
        </w:r>
      </w:hyperlink>
      <w:r>
        <w:rPr>
          <w:spacing w:val="-4"/>
          <w:sz w:val="14"/>
        </w:rPr>
        <w:t>.</w:t>
      </w:r>
    </w:p>
    <w:p>
      <w:pPr>
        <w:pStyle w:val="BodyText"/>
        <w:spacing w:line="235" w:lineRule="auto" w:before="212"/>
        <w:ind w:left="165" w:right="167" w:firstLine="170"/>
        <w:jc w:val="both"/>
      </w:pPr>
      <w:r>
        <w:rPr/>
        <w:br w:type="column"/>
      </w:r>
      <w:r>
        <w:rPr/>
        <w:t>Above, para.2-004. In contrast, no intention to be bound was concluded in </w:t>
      </w:r>
      <w:r>
        <w:rPr>
          <w:rFonts w:ascii="Arial" w:hAnsi="Arial"/>
          <w:i/>
        </w:rPr>
        <w:t>Price v Euro </w:t>
      </w:r>
      <w:r>
        <w:rPr>
          <w:rFonts w:ascii="Arial" w:hAnsi="Arial"/>
          <w:i/>
        </w:rPr>
        <w:t>Car Parks Ltd [2015] EWHC 3253 (QB) </w:t>
      </w:r>
      <w:r>
        <w:rPr/>
        <w:t>where the claimant put a business proposal and sent an “In Principle Heads of Agreement” that neither signed, to the defendant. The defendant never accepted</w:t>
      </w:r>
      <w:r>
        <w:rPr>
          <w:spacing w:val="-3"/>
        </w:rPr>
        <w:t> </w:t>
      </w:r>
      <w:r>
        <w:rPr/>
        <w:t>any</w:t>
      </w:r>
      <w:r>
        <w:rPr>
          <w:spacing w:val="-3"/>
        </w:rPr>
        <w:t> </w:t>
      </w:r>
      <w:r>
        <w:rPr/>
        <w:t>offer</w:t>
      </w:r>
      <w:r>
        <w:rPr>
          <w:spacing w:val="-3"/>
        </w:rPr>
        <w:t> </w:t>
      </w:r>
      <w:r>
        <w:rPr/>
        <w:t>made</w:t>
      </w:r>
      <w:r>
        <w:rPr>
          <w:spacing w:val="-3"/>
        </w:rPr>
        <w:t> </w:t>
      </w:r>
      <w:r>
        <w:rPr/>
        <w:t>by</w:t>
      </w:r>
      <w:r>
        <w:rPr>
          <w:spacing w:val="-3"/>
        </w:rPr>
        <w:t> </w:t>
      </w:r>
      <w:r>
        <w:rPr/>
        <w:t>the</w:t>
      </w:r>
      <w:r>
        <w:rPr>
          <w:spacing w:val="-3"/>
        </w:rPr>
        <w:t> </w:t>
      </w:r>
      <w:r>
        <w:rPr/>
        <w:t>claimant;</w:t>
      </w:r>
      <w:r>
        <w:rPr>
          <w:spacing w:val="-3"/>
        </w:rPr>
        <w:t> </w:t>
      </w:r>
      <w:r>
        <w:rPr/>
        <w:t>it</w:t>
      </w:r>
      <w:r>
        <w:rPr>
          <w:spacing w:val="-3"/>
        </w:rPr>
        <w:t> </w:t>
      </w:r>
      <w:r>
        <w:rPr/>
        <w:t>merely</w:t>
      </w:r>
      <w:r>
        <w:rPr>
          <w:spacing w:val="-3"/>
        </w:rPr>
        <w:t> </w:t>
      </w:r>
      <w:r>
        <w:rPr/>
        <w:t>allowed</w:t>
      </w:r>
      <w:r>
        <w:rPr>
          <w:spacing w:val="-3"/>
        </w:rPr>
        <w:t> </w:t>
      </w:r>
      <w:r>
        <w:rPr/>
        <w:t>the</w:t>
      </w:r>
      <w:r>
        <w:rPr>
          <w:spacing w:val="-3"/>
        </w:rPr>
        <w:t> </w:t>
      </w:r>
      <w:r>
        <w:rPr/>
        <w:t>claimant</w:t>
      </w:r>
      <w:r>
        <w:rPr>
          <w:spacing w:val="-3"/>
        </w:rPr>
        <w:t> </w:t>
      </w:r>
      <w:r>
        <w:rPr/>
        <w:t>to</w:t>
      </w:r>
      <w:r>
        <w:rPr>
          <w:spacing w:val="-3"/>
        </w:rPr>
        <w:t> </w:t>
      </w:r>
      <w:r>
        <w:rPr/>
        <w:t>go</w:t>
      </w:r>
      <w:r>
        <w:rPr>
          <w:spacing w:val="-3"/>
        </w:rPr>
        <w:t> </w:t>
      </w:r>
      <w:r>
        <w:rPr/>
        <w:t>ahead</w:t>
      </w:r>
      <w:r>
        <w:rPr>
          <w:spacing w:val="-3"/>
        </w:rPr>
        <w:t> </w:t>
      </w:r>
      <w:r>
        <w:rPr/>
        <w:t>(at</w:t>
      </w:r>
      <w:r>
        <w:rPr>
          <w:spacing w:val="-3"/>
        </w:rPr>
        <w:t> </w:t>
      </w:r>
      <w:r>
        <w:rPr/>
        <w:t>his</w:t>
      </w:r>
      <w:r>
        <w:rPr>
          <w:spacing w:val="-3"/>
        </w:rPr>
        <w:t> </w:t>
      </w:r>
      <w:r>
        <w:rPr/>
        <w:t>own risk) to research his business proposal. Moreover, the “In Principle Heads of Agreement” was too indefinite. Nor was there intention to be bound in </w:t>
      </w:r>
      <w:r>
        <w:rPr>
          <w:rFonts w:ascii="Arial" w:hAnsi="Arial"/>
          <w:i/>
        </w:rPr>
        <w:t>Burgess v Lejonvarn [2016] EWHC 40 (TCC), [2016] T.C.L.R. 3 </w:t>
      </w:r>
      <w:r>
        <w:rPr/>
        <w:t>(affirmed </w:t>
      </w:r>
      <w:r>
        <w:rPr>
          <w:rFonts w:ascii="Arial" w:hAnsi="Arial"/>
          <w:i/>
        </w:rPr>
        <w:t>[2017] EWCA Civ 254</w:t>
      </w:r>
      <w:r>
        <w:rPr/>
        <w:t>: see below, para.4-199), where an architect, for no fee, had found a contractor to landscape her friends’ garden with a view to her providing subsequent design input for consideration. There was no contract to project manage the landscaping because the written discussions were simply too inchoate, there was no intention to be legally bound and there had been no consideration.</w:t>
      </w:r>
    </w:p>
    <w:p>
      <w:pPr>
        <w:pStyle w:val="BodyText"/>
        <w:spacing w:after="0" w:line="235" w:lineRule="auto"/>
        <w:jc w:val="both"/>
        <w:sectPr>
          <w:type w:val="continuous"/>
          <w:pgSz w:w="11900" w:h="16840"/>
          <w:pgMar w:header="971" w:footer="0" w:top="1300" w:bottom="280" w:left="1275" w:right="1275"/>
          <w:cols w:num="2" w:equalWidth="0">
            <w:col w:w="478" w:space="63"/>
            <w:col w:w="8809"/>
          </w:cols>
        </w:sectPr>
      </w:pPr>
    </w:p>
    <w:p>
      <w:pPr>
        <w:tabs>
          <w:tab w:pos="705" w:val="left" w:leader="none"/>
        </w:tabs>
        <w:spacing w:line="227" w:lineRule="exact" w:before="166"/>
        <w:ind w:left="165" w:right="0" w:firstLine="0"/>
        <w:jc w:val="left"/>
        <w:rPr>
          <w:sz w:val="20"/>
        </w:rPr>
      </w:pPr>
      <w:hyperlink w:history="true" w:anchor="_bookmark1714">
        <w:r>
          <w:rPr>
            <w:color w:val="005DA1"/>
            <w:spacing w:val="-4"/>
            <w:position w:val="5"/>
            <w:sz w:val="14"/>
            <w:u w:val="single" w:color="005DA1"/>
          </w:rPr>
          <w:t>911</w:t>
        </w:r>
      </w:hyperlink>
      <w:r>
        <w:rPr>
          <w:spacing w:val="-4"/>
          <w:position w:val="5"/>
          <w:sz w:val="14"/>
        </w:rPr>
        <w:t>.</w:t>
      </w:r>
      <w:r>
        <w:rPr>
          <w:position w:val="5"/>
          <w:sz w:val="14"/>
        </w:rPr>
        <w:tab/>
      </w:r>
      <w:r>
        <w:rPr>
          <w:rFonts w:ascii="Arial"/>
          <w:i/>
          <w:sz w:val="20"/>
        </w:rPr>
        <w:t>Pateman</w:t>
      </w:r>
      <w:r>
        <w:rPr>
          <w:rFonts w:ascii="Arial"/>
          <w:i/>
          <w:spacing w:val="13"/>
          <w:sz w:val="20"/>
        </w:rPr>
        <w:t> </w:t>
      </w:r>
      <w:r>
        <w:rPr>
          <w:rFonts w:ascii="Arial"/>
          <w:i/>
          <w:sz w:val="20"/>
        </w:rPr>
        <w:t>v</w:t>
      </w:r>
      <w:r>
        <w:rPr>
          <w:rFonts w:ascii="Arial"/>
          <w:i/>
          <w:spacing w:val="14"/>
          <w:sz w:val="20"/>
        </w:rPr>
        <w:t> </w:t>
      </w:r>
      <w:r>
        <w:rPr>
          <w:rFonts w:ascii="Arial"/>
          <w:i/>
          <w:sz w:val="20"/>
        </w:rPr>
        <w:t>Pay</w:t>
      </w:r>
      <w:r>
        <w:rPr>
          <w:rFonts w:ascii="Arial"/>
          <w:i/>
          <w:spacing w:val="14"/>
          <w:sz w:val="20"/>
        </w:rPr>
        <w:t> </w:t>
      </w:r>
      <w:r>
        <w:rPr>
          <w:rFonts w:ascii="Arial"/>
          <w:i/>
          <w:sz w:val="20"/>
        </w:rPr>
        <w:t>(1974)</w:t>
      </w:r>
      <w:r>
        <w:rPr>
          <w:rFonts w:ascii="Arial"/>
          <w:i/>
          <w:spacing w:val="14"/>
          <w:sz w:val="20"/>
        </w:rPr>
        <w:t> </w:t>
      </w:r>
      <w:r>
        <w:rPr>
          <w:rFonts w:ascii="Arial"/>
          <w:i/>
          <w:sz w:val="20"/>
        </w:rPr>
        <w:t>263</w:t>
      </w:r>
      <w:r>
        <w:rPr>
          <w:rFonts w:ascii="Arial"/>
          <w:i/>
          <w:spacing w:val="14"/>
          <w:sz w:val="20"/>
        </w:rPr>
        <w:t> </w:t>
      </w:r>
      <w:r>
        <w:rPr>
          <w:rFonts w:ascii="Arial"/>
          <w:i/>
          <w:sz w:val="20"/>
        </w:rPr>
        <w:t>E.G.</w:t>
      </w:r>
      <w:r>
        <w:rPr>
          <w:rFonts w:ascii="Arial"/>
          <w:i/>
          <w:spacing w:val="14"/>
          <w:sz w:val="20"/>
        </w:rPr>
        <w:t> </w:t>
      </w:r>
      <w:r>
        <w:rPr>
          <w:rFonts w:ascii="Arial"/>
          <w:i/>
          <w:sz w:val="20"/>
        </w:rPr>
        <w:t>467</w:t>
      </w:r>
      <w:r>
        <w:rPr>
          <w:sz w:val="20"/>
        </w:rPr>
        <w:t>;</w:t>
      </w:r>
      <w:r>
        <w:rPr>
          <w:spacing w:val="14"/>
          <w:sz w:val="20"/>
        </w:rPr>
        <w:t> </w:t>
      </w:r>
      <w:r>
        <w:rPr>
          <w:rFonts w:ascii="Arial"/>
          <w:i/>
          <w:sz w:val="20"/>
        </w:rPr>
        <w:t>Attrill</w:t>
      </w:r>
      <w:r>
        <w:rPr>
          <w:rFonts w:ascii="Arial"/>
          <w:i/>
          <w:spacing w:val="14"/>
          <w:sz w:val="20"/>
        </w:rPr>
        <w:t> </w:t>
      </w:r>
      <w:r>
        <w:rPr>
          <w:rFonts w:ascii="Arial"/>
          <w:i/>
          <w:sz w:val="20"/>
        </w:rPr>
        <w:t>v</w:t>
      </w:r>
      <w:r>
        <w:rPr>
          <w:rFonts w:ascii="Arial"/>
          <w:i/>
          <w:spacing w:val="14"/>
          <w:sz w:val="20"/>
        </w:rPr>
        <w:t> </w:t>
      </w:r>
      <w:r>
        <w:rPr>
          <w:rFonts w:ascii="Arial"/>
          <w:i/>
          <w:sz w:val="20"/>
        </w:rPr>
        <w:t>Dresdner</w:t>
      </w:r>
      <w:r>
        <w:rPr>
          <w:rFonts w:ascii="Arial"/>
          <w:i/>
          <w:spacing w:val="14"/>
          <w:sz w:val="20"/>
        </w:rPr>
        <w:t> </w:t>
      </w:r>
      <w:r>
        <w:rPr>
          <w:rFonts w:ascii="Arial"/>
          <w:i/>
          <w:sz w:val="20"/>
        </w:rPr>
        <w:t>Kleinwort</w:t>
      </w:r>
      <w:r>
        <w:rPr>
          <w:rFonts w:ascii="Arial"/>
          <w:i/>
          <w:spacing w:val="14"/>
          <w:sz w:val="20"/>
        </w:rPr>
        <w:t> </w:t>
      </w:r>
      <w:r>
        <w:rPr>
          <w:rFonts w:ascii="Arial"/>
          <w:i/>
          <w:sz w:val="20"/>
        </w:rPr>
        <w:t>Ltd</w:t>
      </w:r>
      <w:r>
        <w:rPr>
          <w:rFonts w:ascii="Arial"/>
          <w:i/>
          <w:spacing w:val="14"/>
          <w:sz w:val="20"/>
        </w:rPr>
        <w:t> </w:t>
      </w:r>
      <w:r>
        <w:rPr>
          <w:rFonts w:ascii="Arial"/>
          <w:i/>
          <w:sz w:val="20"/>
        </w:rPr>
        <w:t>[2013]</w:t>
      </w:r>
      <w:r>
        <w:rPr>
          <w:rFonts w:ascii="Arial"/>
          <w:i/>
          <w:spacing w:val="14"/>
          <w:sz w:val="20"/>
        </w:rPr>
        <w:t> </w:t>
      </w:r>
      <w:r>
        <w:rPr>
          <w:rFonts w:ascii="Arial"/>
          <w:i/>
          <w:sz w:val="20"/>
        </w:rPr>
        <w:t>EWCA</w:t>
      </w:r>
      <w:r>
        <w:rPr>
          <w:rFonts w:ascii="Arial"/>
          <w:i/>
          <w:spacing w:val="14"/>
          <w:sz w:val="20"/>
        </w:rPr>
        <w:t> </w:t>
      </w:r>
      <w:r>
        <w:rPr>
          <w:rFonts w:ascii="Arial"/>
          <w:i/>
          <w:sz w:val="20"/>
        </w:rPr>
        <w:t>Civ</w:t>
      </w:r>
      <w:r>
        <w:rPr>
          <w:rFonts w:ascii="Arial"/>
          <w:i/>
          <w:spacing w:val="14"/>
          <w:sz w:val="20"/>
        </w:rPr>
        <w:t> </w:t>
      </w:r>
      <w:r>
        <w:rPr>
          <w:rFonts w:ascii="Arial"/>
          <w:i/>
          <w:sz w:val="20"/>
        </w:rPr>
        <w:t>394</w:t>
      </w:r>
      <w:r>
        <w:rPr>
          <w:rFonts w:ascii="Arial"/>
          <w:i/>
          <w:spacing w:val="13"/>
          <w:sz w:val="20"/>
        </w:rPr>
        <w:t> </w:t>
      </w:r>
      <w:r>
        <w:rPr>
          <w:spacing w:val="-5"/>
          <w:sz w:val="20"/>
        </w:rPr>
        <w:t>at</w:t>
      </w:r>
    </w:p>
    <w:p>
      <w:pPr>
        <w:pStyle w:val="BodyText"/>
        <w:spacing w:line="227" w:lineRule="exact"/>
        <w:ind w:left="705"/>
      </w:pPr>
      <w:r>
        <w:rPr/>
        <w:t>[86] where the requirement of contractual intention was satisfied: see </w:t>
      </w:r>
      <w:r>
        <w:rPr>
          <w:spacing w:val="-2"/>
        </w:rPr>
        <w:t>n.879.</w:t>
      </w:r>
    </w:p>
    <w:p>
      <w:pPr>
        <w:pStyle w:val="BodyText"/>
        <w:spacing w:before="5"/>
      </w:pPr>
    </w:p>
    <w:p>
      <w:pPr>
        <w:tabs>
          <w:tab w:pos="705" w:val="left" w:leader="none"/>
        </w:tabs>
        <w:spacing w:before="1"/>
        <w:ind w:left="165" w:right="0" w:firstLine="0"/>
        <w:jc w:val="left"/>
        <w:rPr>
          <w:sz w:val="20"/>
        </w:rPr>
      </w:pPr>
      <w:bookmarkStart w:name="_bookmark1790" w:id="1792"/>
      <w:bookmarkEnd w:id="1792"/>
      <w:r>
        <w:rPr/>
      </w:r>
      <w:hyperlink w:history="true" w:anchor="_bookmark1715">
        <w:r>
          <w:rPr>
            <w:color w:val="005DA1"/>
            <w:spacing w:val="-4"/>
            <w:position w:val="5"/>
            <w:sz w:val="14"/>
            <w:u w:val="single" w:color="005DA1"/>
          </w:rPr>
          <w:t>912</w:t>
        </w:r>
      </w:hyperlink>
      <w:r>
        <w:rPr>
          <w:spacing w:val="-4"/>
          <w:position w:val="5"/>
          <w:sz w:val="14"/>
        </w:rPr>
        <w:t>.</w:t>
      </w:r>
      <w:r>
        <w:rPr>
          <w:position w:val="5"/>
          <w:sz w:val="14"/>
        </w:rPr>
        <w:tab/>
      </w:r>
      <w:r>
        <w:rPr>
          <w:rFonts w:ascii="Arial" w:hAnsi="Arial"/>
          <w:i/>
          <w:sz w:val="20"/>
        </w:rPr>
        <w:t>Lark v Outhwaite [1991] 2 Lloyd’s Rep. 132, </w:t>
      </w:r>
      <w:r>
        <w:rPr>
          <w:rFonts w:ascii="Arial" w:hAnsi="Arial"/>
          <w:i/>
          <w:spacing w:val="-4"/>
          <w:sz w:val="20"/>
        </w:rPr>
        <w:t>141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791" w:id="1793"/>
      <w:bookmarkEnd w:id="1793"/>
      <w:r>
        <w:rPr/>
      </w:r>
      <w:hyperlink w:history="true" w:anchor="_bookmark1716">
        <w:r>
          <w:rPr>
            <w:color w:val="005DA1"/>
            <w:spacing w:val="-4"/>
            <w:position w:val="5"/>
            <w:sz w:val="14"/>
            <w:u w:val="single" w:color="005DA1"/>
          </w:rPr>
          <w:t>913</w:t>
        </w:r>
      </w:hyperlink>
      <w:r>
        <w:rPr>
          <w:spacing w:val="-4"/>
          <w:position w:val="5"/>
          <w:sz w:val="14"/>
        </w:rPr>
        <w:t>.</w:t>
      </w:r>
      <w:r>
        <w:rPr>
          <w:position w:val="5"/>
          <w:sz w:val="14"/>
        </w:rPr>
        <w:tab/>
      </w:r>
      <w:r>
        <w:rPr>
          <w:rFonts w:ascii="Arial" w:hAnsi="Arial"/>
          <w:i/>
          <w:sz w:val="20"/>
        </w:rPr>
        <w:t>R. v Lord Chancellor’s Department Ex p. Nangle [1991] I.C.R. 743, </w:t>
      </w:r>
      <w:r>
        <w:rPr>
          <w:rFonts w:ascii="Arial" w:hAnsi="Arial"/>
          <w:i/>
          <w:spacing w:val="-4"/>
          <w:sz w:val="20"/>
        </w:rPr>
        <w:t>751</w:t>
      </w:r>
      <w:r>
        <w:rPr>
          <w:spacing w:val="-4"/>
          <w:sz w:val="20"/>
        </w:rPr>
        <w:t>.</w:t>
      </w:r>
    </w:p>
    <w:p>
      <w:pPr>
        <w:pStyle w:val="BodyText"/>
        <w:spacing w:before="4"/>
      </w:pPr>
    </w:p>
    <w:p>
      <w:pPr>
        <w:tabs>
          <w:tab w:pos="705" w:val="left" w:leader="none"/>
        </w:tabs>
        <w:spacing w:before="1"/>
        <w:ind w:left="165" w:right="0" w:firstLine="0"/>
        <w:jc w:val="left"/>
        <w:rPr>
          <w:sz w:val="20"/>
        </w:rPr>
      </w:pPr>
      <w:bookmarkStart w:name="_bookmark1792" w:id="1794"/>
      <w:bookmarkEnd w:id="1794"/>
      <w:r>
        <w:rPr/>
      </w:r>
      <w:hyperlink w:history="true" w:anchor="_bookmark1717">
        <w:r>
          <w:rPr>
            <w:color w:val="005DA1"/>
            <w:spacing w:val="-4"/>
            <w:position w:val="5"/>
            <w:sz w:val="14"/>
            <w:u w:val="single" w:color="005DA1"/>
          </w:rPr>
          <w:t>914</w:t>
        </w:r>
      </w:hyperlink>
      <w:r>
        <w:rPr>
          <w:spacing w:val="-4"/>
          <w:position w:val="5"/>
          <w:sz w:val="14"/>
        </w:rPr>
        <w:t>.</w:t>
      </w:r>
      <w:r>
        <w:rPr>
          <w:position w:val="5"/>
          <w:sz w:val="14"/>
        </w:rPr>
        <w:tab/>
      </w:r>
      <w:r>
        <w:rPr>
          <w:sz w:val="20"/>
        </w:rPr>
        <w:t>See</w:t>
      </w:r>
      <w:r>
        <w:rPr>
          <w:spacing w:val="-2"/>
          <w:sz w:val="20"/>
        </w:rPr>
        <w:t> </w:t>
      </w:r>
      <w:r>
        <w:rPr>
          <w:rFonts w:ascii="Arial" w:hAnsi="Arial"/>
          <w:i/>
          <w:sz w:val="20"/>
        </w:rPr>
        <w:t>L’Estrange v F Graucob Ltd [1934] 2 K.B. 394</w:t>
      </w:r>
      <w:r>
        <w:rPr>
          <w:sz w:val="20"/>
        </w:rPr>
        <w:t>; below, para.13-</w:t>
      </w:r>
      <w:r>
        <w:rPr>
          <w:spacing w:val="-4"/>
          <w:sz w:val="20"/>
        </w:rPr>
        <w:t>002.</w:t>
      </w:r>
    </w:p>
    <w:p>
      <w:pPr>
        <w:pStyle w:val="BodyText"/>
        <w:spacing w:before="8"/>
      </w:pPr>
    </w:p>
    <w:p>
      <w:pPr>
        <w:tabs>
          <w:tab w:pos="705" w:val="left" w:leader="none"/>
        </w:tabs>
        <w:spacing w:line="235" w:lineRule="auto" w:before="0"/>
        <w:ind w:left="705" w:right="168" w:hanging="541"/>
        <w:jc w:val="left"/>
        <w:rPr>
          <w:sz w:val="20"/>
        </w:rPr>
      </w:pPr>
      <w:bookmarkStart w:name="_bookmark1793" w:id="1795"/>
      <w:bookmarkEnd w:id="1795"/>
      <w:r>
        <w:rPr/>
      </w:r>
      <w:hyperlink w:history="true" w:anchor="_bookmark1718">
        <w:r>
          <w:rPr>
            <w:color w:val="005DA1"/>
            <w:spacing w:val="-4"/>
            <w:position w:val="5"/>
            <w:sz w:val="14"/>
            <w:u w:val="single" w:color="005DA1"/>
          </w:rPr>
          <w:t>915</w:t>
        </w:r>
      </w:hyperlink>
      <w:r>
        <w:rPr>
          <w:spacing w:val="-4"/>
          <w:position w:val="5"/>
          <w:sz w:val="14"/>
        </w:rPr>
        <w:t>.</w:t>
      </w:r>
      <w:r>
        <w:rPr>
          <w:position w:val="5"/>
          <w:sz w:val="14"/>
        </w:rPr>
        <w:tab/>
      </w:r>
      <w:r>
        <w:rPr>
          <w:sz w:val="20"/>
        </w:rPr>
        <w:t>For use of this expression in the present context, see </w:t>
      </w:r>
      <w:r>
        <w:rPr>
          <w:rFonts w:ascii="Arial"/>
          <w:i/>
          <w:sz w:val="20"/>
        </w:rPr>
        <w:t>Autoclenz Ltd v Belcher [2011] UKSC </w:t>
      </w:r>
      <w:r>
        <w:rPr>
          <w:rFonts w:ascii="Arial"/>
          <w:i/>
          <w:sz w:val="20"/>
        </w:rPr>
        <w:t>41, [2011] I.C.R. 1157 </w:t>
      </w:r>
      <w:r>
        <w:rPr>
          <w:sz w:val="20"/>
        </w:rPr>
        <w:t>at [23].</w:t>
      </w:r>
    </w:p>
    <w:p>
      <w:pPr>
        <w:pStyle w:val="BodyText"/>
        <w:spacing w:before="6"/>
      </w:pPr>
    </w:p>
    <w:p>
      <w:pPr>
        <w:tabs>
          <w:tab w:pos="705" w:val="left" w:leader="none"/>
        </w:tabs>
        <w:spacing w:before="0"/>
        <w:ind w:left="165" w:right="0" w:firstLine="0"/>
        <w:jc w:val="left"/>
        <w:rPr>
          <w:sz w:val="20"/>
        </w:rPr>
      </w:pPr>
      <w:bookmarkStart w:name="_bookmark1794" w:id="1796"/>
      <w:bookmarkEnd w:id="1796"/>
      <w:r>
        <w:rPr/>
      </w:r>
      <w:hyperlink w:history="true" w:anchor="_bookmark1719">
        <w:r>
          <w:rPr>
            <w:color w:val="005DA1"/>
            <w:spacing w:val="-4"/>
            <w:position w:val="5"/>
            <w:sz w:val="14"/>
            <w:u w:val="single" w:color="005DA1"/>
          </w:rPr>
          <w:t>916</w:t>
        </w:r>
      </w:hyperlink>
      <w:r>
        <w:rPr>
          <w:spacing w:val="-4"/>
          <w:position w:val="5"/>
          <w:sz w:val="14"/>
        </w:rPr>
        <w:t>.</w:t>
      </w:r>
      <w:r>
        <w:rPr>
          <w:position w:val="5"/>
          <w:sz w:val="14"/>
        </w:rPr>
        <w:tab/>
      </w:r>
      <w:r>
        <w:rPr>
          <w:rFonts w:ascii="Arial"/>
          <w:i/>
          <w:sz w:val="20"/>
        </w:rPr>
        <w:t>Street</w:t>
      </w:r>
      <w:r>
        <w:rPr>
          <w:rFonts w:ascii="Arial"/>
          <w:i/>
          <w:spacing w:val="-1"/>
          <w:sz w:val="20"/>
        </w:rPr>
        <w:t> </w:t>
      </w:r>
      <w:r>
        <w:rPr>
          <w:rFonts w:ascii="Arial"/>
          <w:i/>
          <w:sz w:val="20"/>
        </w:rPr>
        <w:t>v Mountford [1985] A.C. 809</w:t>
      </w:r>
      <w:r>
        <w:rPr>
          <w:sz w:val="20"/>
        </w:rPr>
        <w:t>; </w:t>
      </w:r>
      <w:r>
        <w:rPr>
          <w:rFonts w:ascii="Arial"/>
          <w:i/>
          <w:sz w:val="20"/>
        </w:rPr>
        <w:t>A. G. Securities v Vaughan [1990] 1 A.C. </w:t>
      </w:r>
      <w:r>
        <w:rPr>
          <w:rFonts w:ascii="Arial"/>
          <w:i/>
          <w:spacing w:val="-4"/>
          <w:sz w:val="20"/>
        </w:rPr>
        <w:t>417</w:t>
      </w:r>
      <w:r>
        <w:rPr>
          <w:spacing w:val="-4"/>
          <w:sz w:val="20"/>
        </w:rPr>
        <w:t>.</w:t>
      </w:r>
    </w:p>
    <w:p>
      <w:pPr>
        <w:pStyle w:val="BodyText"/>
        <w:spacing w:before="8"/>
      </w:pPr>
    </w:p>
    <w:p>
      <w:pPr>
        <w:pStyle w:val="BodyText"/>
        <w:tabs>
          <w:tab w:pos="705" w:val="left" w:leader="none"/>
        </w:tabs>
        <w:spacing w:line="235" w:lineRule="auto" w:before="1"/>
        <w:ind w:left="705" w:right="168" w:hanging="541"/>
      </w:pPr>
      <w:bookmarkStart w:name="_bookmark1795" w:id="1797"/>
      <w:bookmarkEnd w:id="1797"/>
      <w:r>
        <w:rPr/>
      </w:r>
      <w:hyperlink w:history="true" w:anchor="_bookmark1720">
        <w:r>
          <w:rPr>
            <w:color w:val="005DA1"/>
            <w:spacing w:val="-4"/>
            <w:position w:val="5"/>
            <w:sz w:val="14"/>
            <w:u w:val="single" w:color="005DA1"/>
          </w:rPr>
          <w:t>917</w:t>
        </w:r>
      </w:hyperlink>
      <w:r>
        <w:rPr>
          <w:spacing w:val="-4"/>
          <w:position w:val="5"/>
          <w:sz w:val="14"/>
        </w:rPr>
        <w:t>.</w:t>
      </w:r>
      <w:r>
        <w:rPr>
          <w:position w:val="5"/>
          <w:sz w:val="14"/>
        </w:rPr>
        <w:tab/>
      </w:r>
      <w:r>
        <w:rPr>
          <w:rFonts w:ascii="Arial"/>
          <w:i/>
        </w:rPr>
        <w:t>Autoclenz </w:t>
      </w:r>
      <w:r>
        <w:rPr/>
        <w:t>case, above n.890; and see Davies (2009) 38 I.L.J. 318, cited with approval in </w:t>
      </w:r>
      <w:r>
        <w:rPr/>
        <w:t>that</w:t>
      </w:r>
      <w:r>
        <w:rPr>
          <w:spacing w:val="40"/>
        </w:rPr>
        <w:t> </w:t>
      </w:r>
      <w:r>
        <w:rPr/>
        <w:t>case at [38].</w:t>
      </w:r>
    </w:p>
    <w:p>
      <w:pPr>
        <w:pStyle w:val="BodyText"/>
        <w:spacing w:before="9"/>
      </w:pPr>
    </w:p>
    <w:p>
      <w:pPr>
        <w:spacing w:line="235" w:lineRule="auto" w:before="0"/>
        <w:ind w:left="705" w:right="168" w:hanging="541"/>
        <w:jc w:val="both"/>
        <w:rPr>
          <w:sz w:val="20"/>
        </w:rPr>
      </w:pPr>
      <w:bookmarkStart w:name="_bookmark1796" w:id="1798"/>
      <w:bookmarkEnd w:id="1798"/>
      <w:r>
        <w:rPr/>
      </w:r>
      <w:hyperlink w:history="true" w:anchor="_bookmark1721">
        <w:r>
          <w:rPr>
            <w:color w:val="005DA1"/>
            <w:position w:val="5"/>
            <w:sz w:val="14"/>
            <w:u w:val="single" w:color="005DA1"/>
          </w:rPr>
          <w:t>918</w:t>
        </w:r>
      </w:hyperlink>
      <w:r>
        <w:rPr>
          <w:position w:val="5"/>
          <w:sz w:val="14"/>
        </w:rPr>
        <w:t>.</w:t>
      </w:r>
      <w:r>
        <w:rPr>
          <w:spacing w:val="80"/>
          <w:position w:val="5"/>
          <w:sz w:val="14"/>
        </w:rPr>
        <w:t>  </w:t>
      </w:r>
      <w:r>
        <w:rPr>
          <w:sz w:val="20"/>
        </w:rPr>
        <w:t>See</w:t>
      </w:r>
      <w:r>
        <w:rPr>
          <w:spacing w:val="-1"/>
          <w:sz w:val="20"/>
        </w:rPr>
        <w:t> </w:t>
      </w:r>
      <w:r>
        <w:rPr>
          <w:sz w:val="20"/>
        </w:rPr>
        <w:t>e.g.</w:t>
      </w:r>
      <w:r>
        <w:rPr>
          <w:spacing w:val="-1"/>
          <w:sz w:val="20"/>
        </w:rPr>
        <w:t> </w:t>
      </w:r>
      <w:r>
        <w:rPr>
          <w:rFonts w:ascii="Arial"/>
          <w:i/>
          <w:sz w:val="20"/>
        </w:rPr>
        <w:t>Ogwr</w:t>
      </w:r>
      <w:r>
        <w:rPr>
          <w:rFonts w:ascii="Arial"/>
          <w:i/>
          <w:spacing w:val="-1"/>
          <w:sz w:val="20"/>
        </w:rPr>
        <w:t> </w:t>
      </w:r>
      <w:r>
        <w:rPr>
          <w:rFonts w:ascii="Arial"/>
          <w:i/>
          <w:sz w:val="20"/>
        </w:rPr>
        <w:t>BC</w:t>
      </w:r>
      <w:r>
        <w:rPr>
          <w:rFonts w:ascii="Arial"/>
          <w:i/>
          <w:spacing w:val="-1"/>
          <w:sz w:val="20"/>
        </w:rPr>
        <w:t> </w:t>
      </w:r>
      <w:r>
        <w:rPr>
          <w:rFonts w:ascii="Arial"/>
          <w:i/>
          <w:sz w:val="20"/>
        </w:rPr>
        <w:t>v</w:t>
      </w:r>
      <w:r>
        <w:rPr>
          <w:rFonts w:ascii="Arial"/>
          <w:i/>
          <w:spacing w:val="-1"/>
          <w:sz w:val="20"/>
        </w:rPr>
        <w:t> </w:t>
      </w:r>
      <w:r>
        <w:rPr>
          <w:rFonts w:ascii="Arial"/>
          <w:i/>
          <w:sz w:val="20"/>
        </w:rPr>
        <w:t>Dykes</w:t>
      </w:r>
      <w:r>
        <w:rPr>
          <w:rFonts w:ascii="Arial"/>
          <w:i/>
          <w:spacing w:val="-1"/>
          <w:sz w:val="20"/>
        </w:rPr>
        <w:t> </w:t>
      </w:r>
      <w:r>
        <w:rPr>
          <w:rFonts w:ascii="Arial"/>
          <w:i/>
          <w:sz w:val="20"/>
        </w:rPr>
        <w:t>[1989]</w:t>
      </w:r>
      <w:r>
        <w:rPr>
          <w:rFonts w:ascii="Arial"/>
          <w:i/>
          <w:spacing w:val="-1"/>
          <w:sz w:val="20"/>
        </w:rPr>
        <w:t> </w:t>
      </w:r>
      <w:r>
        <w:rPr>
          <w:rFonts w:ascii="Arial"/>
          <w:i/>
          <w:sz w:val="20"/>
        </w:rPr>
        <w:t>1</w:t>
      </w:r>
      <w:r>
        <w:rPr>
          <w:rFonts w:ascii="Arial"/>
          <w:i/>
          <w:spacing w:val="-1"/>
          <w:sz w:val="20"/>
        </w:rPr>
        <w:t> </w:t>
      </w:r>
      <w:r>
        <w:rPr>
          <w:rFonts w:ascii="Arial"/>
          <w:i/>
          <w:sz w:val="20"/>
        </w:rPr>
        <w:t>W.L.R.</w:t>
      </w:r>
      <w:r>
        <w:rPr>
          <w:rFonts w:ascii="Arial"/>
          <w:i/>
          <w:spacing w:val="-1"/>
          <w:sz w:val="20"/>
        </w:rPr>
        <w:t> </w:t>
      </w:r>
      <w:r>
        <w:rPr>
          <w:rFonts w:ascii="Arial"/>
          <w:i/>
          <w:sz w:val="20"/>
        </w:rPr>
        <w:t>295</w:t>
      </w:r>
      <w:r>
        <w:rPr>
          <w:sz w:val="20"/>
        </w:rPr>
        <w:t>;</w:t>
      </w:r>
      <w:r>
        <w:rPr>
          <w:spacing w:val="-1"/>
          <w:sz w:val="20"/>
        </w:rPr>
        <w:t> </w:t>
      </w:r>
      <w:r>
        <w:rPr>
          <w:rFonts w:ascii="Arial"/>
          <w:i/>
          <w:sz w:val="20"/>
        </w:rPr>
        <w:t>Bruton</w:t>
      </w:r>
      <w:r>
        <w:rPr>
          <w:rFonts w:ascii="Arial"/>
          <w:i/>
          <w:spacing w:val="-1"/>
          <w:sz w:val="20"/>
        </w:rPr>
        <w:t> </w:t>
      </w:r>
      <w:r>
        <w:rPr>
          <w:rFonts w:ascii="Arial"/>
          <w:i/>
          <w:sz w:val="20"/>
        </w:rPr>
        <w:t>v</w:t>
      </w:r>
      <w:r>
        <w:rPr>
          <w:rFonts w:ascii="Arial"/>
          <w:i/>
          <w:spacing w:val="-1"/>
          <w:sz w:val="20"/>
        </w:rPr>
        <w:t> </w:t>
      </w:r>
      <w:r>
        <w:rPr>
          <w:rFonts w:ascii="Arial"/>
          <w:i/>
          <w:sz w:val="20"/>
        </w:rPr>
        <w:t>Quadrant</w:t>
      </w:r>
      <w:r>
        <w:rPr>
          <w:rFonts w:ascii="Arial"/>
          <w:i/>
          <w:spacing w:val="-1"/>
          <w:sz w:val="20"/>
        </w:rPr>
        <w:t> </w:t>
      </w:r>
      <w:r>
        <w:rPr>
          <w:rFonts w:ascii="Arial"/>
          <w:i/>
          <w:sz w:val="20"/>
        </w:rPr>
        <w:t>Housing</w:t>
      </w:r>
      <w:r>
        <w:rPr>
          <w:rFonts w:ascii="Arial"/>
          <w:i/>
          <w:spacing w:val="-1"/>
          <w:sz w:val="20"/>
        </w:rPr>
        <w:t> </w:t>
      </w:r>
      <w:r>
        <w:rPr>
          <w:rFonts w:ascii="Arial"/>
          <w:i/>
          <w:sz w:val="20"/>
        </w:rPr>
        <w:t>Trust</w:t>
      </w:r>
      <w:r>
        <w:rPr>
          <w:rFonts w:ascii="Arial"/>
          <w:i/>
          <w:spacing w:val="-1"/>
          <w:sz w:val="20"/>
        </w:rPr>
        <w:t> </w:t>
      </w:r>
      <w:r>
        <w:rPr>
          <w:rFonts w:ascii="Arial"/>
          <w:i/>
          <w:sz w:val="20"/>
        </w:rPr>
        <w:t>[1997]</w:t>
      </w:r>
      <w:r>
        <w:rPr>
          <w:rFonts w:ascii="Arial"/>
          <w:i/>
          <w:spacing w:val="-1"/>
          <w:sz w:val="20"/>
        </w:rPr>
        <w:t> </w:t>
      </w:r>
      <w:r>
        <w:rPr>
          <w:rFonts w:ascii="Arial"/>
          <w:i/>
          <w:sz w:val="20"/>
        </w:rPr>
        <w:t>N.L.J. 1385</w:t>
      </w:r>
      <w:r>
        <w:rPr>
          <w:sz w:val="20"/>
        </w:rPr>
        <w:t>. For the two-stage process used to decide questions of characterisation, see </w:t>
      </w:r>
      <w:r>
        <w:rPr>
          <w:rFonts w:ascii="Arial"/>
          <w:i/>
          <w:sz w:val="20"/>
        </w:rPr>
        <w:t>Agnew v Commissioners of Inland Revenue [2001] UKPC 28, [2001] A.C. 170 </w:t>
      </w:r>
      <w:r>
        <w:rPr>
          <w:sz w:val="20"/>
        </w:rPr>
        <w:t>at [32].</w:t>
      </w:r>
    </w:p>
    <w:p>
      <w:pPr>
        <w:pStyle w:val="BodyText"/>
        <w:spacing w:before="5"/>
      </w:pPr>
    </w:p>
    <w:p>
      <w:pPr>
        <w:tabs>
          <w:tab w:pos="705" w:val="left" w:leader="none"/>
        </w:tabs>
        <w:spacing w:before="0"/>
        <w:ind w:left="165" w:right="0" w:firstLine="0"/>
        <w:jc w:val="left"/>
        <w:rPr>
          <w:sz w:val="20"/>
        </w:rPr>
      </w:pPr>
      <w:bookmarkStart w:name="_bookmark1797" w:id="1799"/>
      <w:bookmarkEnd w:id="1799"/>
      <w:r>
        <w:rPr/>
      </w:r>
      <w:hyperlink w:history="true" w:anchor="_bookmark1722">
        <w:r>
          <w:rPr>
            <w:color w:val="005DA1"/>
            <w:spacing w:val="-4"/>
            <w:position w:val="5"/>
            <w:sz w:val="14"/>
            <w:u w:val="single" w:color="005DA1"/>
          </w:rPr>
          <w:t>919</w:t>
        </w:r>
      </w:hyperlink>
      <w:r>
        <w:rPr>
          <w:spacing w:val="-4"/>
          <w:position w:val="5"/>
          <w:sz w:val="14"/>
        </w:rPr>
        <w:t>.</w:t>
      </w:r>
      <w:r>
        <w:rPr>
          <w:position w:val="5"/>
          <w:sz w:val="14"/>
        </w:rPr>
        <w:tab/>
      </w:r>
      <w:r>
        <w:rPr>
          <w:rFonts w:ascii="Arial"/>
          <w:i/>
          <w:sz w:val="20"/>
        </w:rPr>
        <w:t>Mexfield</w:t>
      </w:r>
      <w:r>
        <w:rPr>
          <w:rFonts w:ascii="Arial"/>
          <w:i/>
          <w:spacing w:val="-2"/>
          <w:sz w:val="20"/>
        </w:rPr>
        <w:t> </w:t>
      </w:r>
      <w:r>
        <w:rPr>
          <w:rFonts w:ascii="Arial"/>
          <w:i/>
          <w:sz w:val="20"/>
        </w:rPr>
        <w:t>Housing Co-operative Ltd v Berisford [2011] UKSC 52, [2012] 1 All E.R. </w:t>
      </w:r>
      <w:r>
        <w:rPr>
          <w:rFonts w:ascii="Arial"/>
          <w:i/>
          <w:spacing w:val="-2"/>
          <w:sz w:val="20"/>
        </w:rPr>
        <w:t>1393</w:t>
      </w:r>
      <w:r>
        <w:rPr>
          <w:spacing w:val="-2"/>
          <w:sz w:val="20"/>
        </w:rPr>
        <w:t>.</w:t>
      </w:r>
    </w:p>
    <w:p>
      <w:pPr>
        <w:pStyle w:val="BodyText"/>
        <w:spacing w:before="9"/>
      </w:pPr>
    </w:p>
    <w:p>
      <w:pPr>
        <w:spacing w:line="235" w:lineRule="auto" w:before="0"/>
        <w:ind w:left="705" w:right="167" w:hanging="541"/>
        <w:jc w:val="both"/>
        <w:rPr>
          <w:sz w:val="20"/>
        </w:rPr>
      </w:pPr>
      <w:bookmarkStart w:name="_bookmark1798" w:id="1800"/>
      <w:bookmarkEnd w:id="1800"/>
      <w:r>
        <w:rPr/>
      </w:r>
      <w:hyperlink w:history="true" w:anchor="_bookmark1723">
        <w:r>
          <w:rPr>
            <w:color w:val="005DA1"/>
            <w:position w:val="5"/>
            <w:sz w:val="14"/>
            <w:u w:val="single" w:color="005DA1"/>
          </w:rPr>
          <w:t>920</w:t>
        </w:r>
      </w:hyperlink>
      <w:r>
        <w:rPr>
          <w:position w:val="5"/>
          <w:sz w:val="14"/>
        </w:rPr>
        <w:t>.</w:t>
      </w:r>
      <w:r>
        <w:rPr>
          <w:spacing w:val="80"/>
          <w:position w:val="5"/>
          <w:sz w:val="14"/>
        </w:rPr>
        <w:t>  </w:t>
      </w:r>
      <w:r>
        <w:rPr>
          <w:rFonts w:ascii="Arial"/>
          <w:i/>
          <w:sz w:val="20"/>
        </w:rPr>
        <w:t>Mexfield Housing Co-operative Ltd v Berisford [2011] UKSC 52 </w:t>
      </w:r>
      <w:r>
        <w:rPr>
          <w:sz w:val="20"/>
        </w:rPr>
        <w:t>at [62]. The actual decision in that case was that the agreement did give rise to a tenancy (though not on the terms agreed by the parties), so that it was not strictly necessary to decide the point made in the text </w:t>
      </w:r>
      <w:r>
        <w:rPr>
          <w:sz w:val="20"/>
        </w:rPr>
        <w:t>above: </w:t>
      </w:r>
      <w:r>
        <w:rPr>
          <w:rFonts w:ascii="Arial"/>
          <w:i/>
          <w:sz w:val="20"/>
        </w:rPr>
        <w:t>[2011] UKSC 52 </w:t>
      </w:r>
      <w:r>
        <w:rPr>
          <w:sz w:val="20"/>
        </w:rPr>
        <w:t>at [58].</w:t>
      </w:r>
    </w:p>
    <w:p>
      <w:pPr>
        <w:pStyle w:val="BodyText"/>
        <w:spacing w:before="4"/>
      </w:pPr>
    </w:p>
    <w:p>
      <w:pPr>
        <w:tabs>
          <w:tab w:pos="705" w:val="left" w:leader="none"/>
        </w:tabs>
        <w:spacing w:before="1"/>
        <w:ind w:left="165" w:right="0" w:firstLine="0"/>
        <w:jc w:val="left"/>
        <w:rPr>
          <w:sz w:val="20"/>
        </w:rPr>
      </w:pPr>
      <w:bookmarkStart w:name="_bookmark1799" w:id="1801"/>
      <w:bookmarkEnd w:id="1801"/>
      <w:r>
        <w:rPr/>
      </w:r>
      <w:hyperlink w:history="true" w:anchor="_bookmark1724">
        <w:r>
          <w:rPr>
            <w:color w:val="005DA1"/>
            <w:spacing w:val="-4"/>
            <w:position w:val="5"/>
            <w:sz w:val="14"/>
            <w:u w:val="single" w:color="005DA1"/>
          </w:rPr>
          <w:t>921</w:t>
        </w:r>
      </w:hyperlink>
      <w:r>
        <w:rPr>
          <w:spacing w:val="-4"/>
          <w:position w:val="5"/>
          <w:sz w:val="14"/>
        </w:rPr>
        <w:t>.</w:t>
      </w:r>
      <w:r>
        <w:rPr>
          <w:position w:val="5"/>
          <w:sz w:val="14"/>
        </w:rPr>
        <w:tab/>
      </w:r>
      <w:r>
        <w:rPr>
          <w:rFonts w:ascii="Arial"/>
          <w:i/>
          <w:sz w:val="20"/>
        </w:rPr>
        <w:t>Mexfield Housing Co-operative Ltd v Berisford [2011] UKSC 52</w:t>
      </w:r>
      <w:r>
        <w:rPr>
          <w:rFonts w:ascii="Arial"/>
          <w:i/>
          <w:spacing w:val="-1"/>
          <w:sz w:val="20"/>
        </w:rPr>
        <w:t> </w:t>
      </w:r>
      <w:r>
        <w:rPr>
          <w:sz w:val="20"/>
        </w:rPr>
        <w:t>at [63], [95], [102], [108], </w:t>
      </w:r>
      <w:r>
        <w:rPr>
          <w:spacing w:val="-2"/>
          <w:sz w:val="20"/>
        </w:rPr>
        <w:t>[120].</w:t>
      </w:r>
    </w:p>
    <w:p>
      <w:pPr>
        <w:pStyle w:val="BodyText"/>
        <w:spacing w:before="4"/>
      </w:pPr>
    </w:p>
    <w:p>
      <w:pPr>
        <w:tabs>
          <w:tab w:pos="705" w:val="left" w:leader="none"/>
        </w:tabs>
        <w:spacing w:before="1"/>
        <w:ind w:left="165" w:right="0" w:firstLine="0"/>
        <w:jc w:val="left"/>
        <w:rPr>
          <w:sz w:val="20"/>
        </w:rPr>
      </w:pPr>
      <w:bookmarkStart w:name="_bookmark1800" w:id="1802"/>
      <w:bookmarkEnd w:id="1802"/>
      <w:r>
        <w:rPr/>
      </w:r>
      <w:hyperlink w:history="true" w:anchor="_bookmark1725">
        <w:r>
          <w:rPr>
            <w:color w:val="005DA1"/>
            <w:spacing w:val="-4"/>
            <w:position w:val="5"/>
            <w:sz w:val="14"/>
            <w:u w:val="single" w:color="005DA1"/>
          </w:rPr>
          <w:t>922</w:t>
        </w:r>
      </w:hyperlink>
      <w:r>
        <w:rPr>
          <w:spacing w:val="-4"/>
          <w:position w:val="5"/>
          <w:sz w:val="14"/>
        </w:rPr>
        <w:t>.</w:t>
      </w:r>
      <w:r>
        <w:rPr>
          <w:position w:val="5"/>
          <w:sz w:val="14"/>
        </w:rPr>
        <w:tab/>
      </w:r>
      <w:r>
        <w:rPr>
          <w:rFonts w:ascii="Arial"/>
          <w:i/>
          <w:sz w:val="20"/>
        </w:rPr>
        <w:t>Mexfield Housing Co-operative Ltd v Berisford [2011] UKSC 52</w:t>
      </w:r>
      <w:r>
        <w:rPr>
          <w:rFonts w:ascii="Arial"/>
          <w:i/>
          <w:spacing w:val="-1"/>
          <w:sz w:val="20"/>
        </w:rPr>
        <w:t> </w:t>
      </w:r>
      <w:r>
        <w:rPr>
          <w:sz w:val="20"/>
        </w:rPr>
        <w:t>at </w:t>
      </w:r>
      <w:r>
        <w:rPr>
          <w:spacing w:val="-2"/>
          <w:sz w:val="20"/>
        </w:rPr>
        <w:t>[67].</w:t>
      </w:r>
    </w:p>
    <w:p>
      <w:pPr>
        <w:pStyle w:val="BodyText"/>
        <w:spacing w:before="4"/>
      </w:pPr>
    </w:p>
    <w:p>
      <w:pPr>
        <w:tabs>
          <w:tab w:pos="705" w:val="left" w:leader="none"/>
        </w:tabs>
        <w:spacing w:line="227" w:lineRule="exact" w:before="1"/>
        <w:ind w:left="165" w:right="0" w:firstLine="0"/>
        <w:jc w:val="left"/>
        <w:rPr>
          <w:rFonts w:ascii="Arial"/>
          <w:i/>
          <w:sz w:val="20"/>
        </w:rPr>
      </w:pPr>
      <w:bookmarkStart w:name="_bookmark1801" w:id="1803"/>
      <w:bookmarkEnd w:id="1803"/>
      <w:r>
        <w:rPr/>
      </w:r>
      <w:hyperlink w:history="true" w:anchor="_bookmark1726">
        <w:r>
          <w:rPr>
            <w:color w:val="005DA1"/>
            <w:spacing w:val="-4"/>
            <w:position w:val="5"/>
            <w:sz w:val="14"/>
            <w:u w:val="single" w:color="005DA1"/>
          </w:rPr>
          <w:t>923</w:t>
        </w:r>
      </w:hyperlink>
      <w:r>
        <w:rPr>
          <w:spacing w:val="-4"/>
          <w:position w:val="5"/>
          <w:sz w:val="14"/>
        </w:rPr>
        <w:t>.</w:t>
      </w:r>
      <w:r>
        <w:rPr>
          <w:position w:val="5"/>
          <w:sz w:val="14"/>
        </w:rPr>
        <w:tab/>
      </w:r>
      <w:r>
        <w:rPr>
          <w:sz w:val="20"/>
        </w:rPr>
        <w:t>e.g.</w:t>
      </w:r>
      <w:r>
        <w:rPr>
          <w:spacing w:val="52"/>
          <w:sz w:val="20"/>
        </w:rPr>
        <w:t> </w:t>
      </w:r>
      <w:r>
        <w:rPr>
          <w:rFonts w:ascii="Arial"/>
          <w:i/>
          <w:sz w:val="20"/>
        </w:rPr>
        <w:t>Broadwick</w:t>
      </w:r>
      <w:r>
        <w:rPr>
          <w:rFonts w:ascii="Arial"/>
          <w:i/>
          <w:spacing w:val="52"/>
          <w:sz w:val="20"/>
        </w:rPr>
        <w:t> </w:t>
      </w:r>
      <w:r>
        <w:rPr>
          <w:rFonts w:ascii="Arial"/>
          <w:i/>
          <w:sz w:val="20"/>
        </w:rPr>
        <w:t>Financial</w:t>
      </w:r>
      <w:r>
        <w:rPr>
          <w:rFonts w:ascii="Arial"/>
          <w:i/>
          <w:spacing w:val="52"/>
          <w:sz w:val="20"/>
        </w:rPr>
        <w:t> </w:t>
      </w:r>
      <w:r>
        <w:rPr>
          <w:rFonts w:ascii="Arial"/>
          <w:i/>
          <w:sz w:val="20"/>
        </w:rPr>
        <w:t>Services</w:t>
      </w:r>
      <w:r>
        <w:rPr>
          <w:rFonts w:ascii="Arial"/>
          <w:i/>
          <w:spacing w:val="52"/>
          <w:sz w:val="20"/>
        </w:rPr>
        <w:t> </w:t>
      </w:r>
      <w:r>
        <w:rPr>
          <w:rFonts w:ascii="Arial"/>
          <w:i/>
          <w:sz w:val="20"/>
        </w:rPr>
        <w:t>Ltd</w:t>
      </w:r>
      <w:r>
        <w:rPr>
          <w:rFonts w:ascii="Arial"/>
          <w:i/>
          <w:spacing w:val="52"/>
          <w:sz w:val="20"/>
        </w:rPr>
        <w:t> </w:t>
      </w:r>
      <w:r>
        <w:rPr>
          <w:rFonts w:ascii="Arial"/>
          <w:i/>
          <w:sz w:val="20"/>
        </w:rPr>
        <w:t>v</w:t>
      </w:r>
      <w:r>
        <w:rPr>
          <w:rFonts w:ascii="Arial"/>
          <w:i/>
          <w:spacing w:val="52"/>
          <w:sz w:val="20"/>
        </w:rPr>
        <w:t> </w:t>
      </w:r>
      <w:r>
        <w:rPr>
          <w:rFonts w:ascii="Arial"/>
          <w:i/>
          <w:sz w:val="20"/>
        </w:rPr>
        <w:t>Spencer</w:t>
      </w:r>
      <w:r>
        <w:rPr>
          <w:rFonts w:ascii="Arial"/>
          <w:i/>
          <w:spacing w:val="52"/>
          <w:sz w:val="20"/>
        </w:rPr>
        <w:t> </w:t>
      </w:r>
      <w:r>
        <w:rPr>
          <w:rFonts w:ascii="Arial"/>
          <w:i/>
          <w:sz w:val="20"/>
        </w:rPr>
        <w:t>[2002]</w:t>
      </w:r>
      <w:r>
        <w:rPr>
          <w:rFonts w:ascii="Arial"/>
          <w:i/>
          <w:spacing w:val="52"/>
          <w:sz w:val="20"/>
        </w:rPr>
        <w:t> </w:t>
      </w:r>
      <w:r>
        <w:rPr>
          <w:rFonts w:ascii="Arial"/>
          <w:i/>
          <w:sz w:val="20"/>
        </w:rPr>
        <w:t>EWCA</w:t>
      </w:r>
      <w:r>
        <w:rPr>
          <w:rFonts w:ascii="Arial"/>
          <w:i/>
          <w:spacing w:val="52"/>
          <w:sz w:val="20"/>
        </w:rPr>
        <w:t> </w:t>
      </w:r>
      <w:r>
        <w:rPr>
          <w:rFonts w:ascii="Arial"/>
          <w:i/>
          <w:sz w:val="20"/>
        </w:rPr>
        <w:t>Civ</w:t>
      </w:r>
      <w:r>
        <w:rPr>
          <w:rFonts w:ascii="Arial"/>
          <w:i/>
          <w:spacing w:val="52"/>
          <w:sz w:val="20"/>
        </w:rPr>
        <w:t> </w:t>
      </w:r>
      <w:r>
        <w:rPr>
          <w:rFonts w:ascii="Arial"/>
          <w:i/>
          <w:sz w:val="20"/>
        </w:rPr>
        <w:t>35,</w:t>
      </w:r>
      <w:r>
        <w:rPr>
          <w:rFonts w:ascii="Arial"/>
          <w:i/>
          <w:spacing w:val="52"/>
          <w:sz w:val="20"/>
        </w:rPr>
        <w:t> </w:t>
      </w:r>
      <w:r>
        <w:rPr>
          <w:rFonts w:ascii="Arial"/>
          <w:i/>
          <w:sz w:val="20"/>
        </w:rPr>
        <w:t>[2002]</w:t>
      </w:r>
      <w:r>
        <w:rPr>
          <w:rFonts w:ascii="Arial"/>
          <w:i/>
          <w:spacing w:val="52"/>
          <w:sz w:val="20"/>
        </w:rPr>
        <w:t> </w:t>
      </w:r>
      <w:r>
        <w:rPr>
          <w:rFonts w:ascii="Arial"/>
          <w:i/>
          <w:sz w:val="20"/>
        </w:rPr>
        <w:t>1</w:t>
      </w:r>
      <w:r>
        <w:rPr>
          <w:rFonts w:ascii="Arial"/>
          <w:i/>
          <w:spacing w:val="52"/>
          <w:sz w:val="20"/>
        </w:rPr>
        <w:t> </w:t>
      </w:r>
      <w:r>
        <w:rPr>
          <w:rFonts w:ascii="Arial"/>
          <w:i/>
          <w:sz w:val="20"/>
        </w:rPr>
        <w:t>All</w:t>
      </w:r>
      <w:r>
        <w:rPr>
          <w:rFonts w:ascii="Arial"/>
          <w:i/>
          <w:spacing w:val="52"/>
          <w:sz w:val="20"/>
        </w:rPr>
        <w:t> </w:t>
      </w:r>
      <w:r>
        <w:rPr>
          <w:rFonts w:ascii="Arial"/>
          <w:i/>
          <w:spacing w:val="-4"/>
          <w:sz w:val="20"/>
        </w:rPr>
        <w:t>E.R.</w:t>
      </w:r>
    </w:p>
    <w:p>
      <w:pPr>
        <w:spacing w:line="227" w:lineRule="exact" w:before="0"/>
        <w:ind w:left="705" w:right="0" w:firstLine="0"/>
        <w:jc w:val="left"/>
        <w:rPr>
          <w:sz w:val="20"/>
        </w:rPr>
      </w:pPr>
      <w:r>
        <w:rPr>
          <w:rFonts w:ascii="Arial"/>
          <w:i/>
          <w:sz w:val="20"/>
        </w:rPr>
        <w:t>(Comm) 446</w:t>
      </w:r>
      <w:r>
        <w:rPr>
          <w:rFonts w:ascii="Arial"/>
          <w:i/>
          <w:spacing w:val="-1"/>
          <w:sz w:val="20"/>
        </w:rPr>
        <w:t> </w:t>
      </w:r>
      <w:r>
        <w:rPr>
          <w:sz w:val="20"/>
        </w:rPr>
        <w:t>at </w:t>
      </w:r>
      <w:r>
        <w:rPr>
          <w:spacing w:val="-2"/>
          <w:sz w:val="20"/>
        </w:rPr>
        <w:t>[27].</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02" w:id="1804"/>
      <w:bookmarkEnd w:id="1804"/>
      <w:r>
        <w:rPr/>
      </w:r>
      <w:hyperlink w:history="true" w:anchor="_bookmark1727">
        <w:r>
          <w:rPr>
            <w:color w:val="005DA1"/>
            <w:spacing w:val="-4"/>
            <w:position w:val="5"/>
            <w:sz w:val="14"/>
            <w:u w:val="single" w:color="005DA1"/>
          </w:rPr>
          <w:t>924</w:t>
        </w:r>
      </w:hyperlink>
      <w:r>
        <w:rPr>
          <w:spacing w:val="-4"/>
          <w:position w:val="5"/>
          <w:sz w:val="14"/>
        </w:rPr>
        <w:t>.</w:t>
      </w:r>
      <w:r>
        <w:rPr>
          <w:position w:val="5"/>
          <w:sz w:val="14"/>
        </w:rPr>
        <w:tab/>
      </w:r>
      <w:r>
        <w:rPr>
          <w:rFonts w:ascii="Arial"/>
          <w:i/>
          <w:sz w:val="20"/>
        </w:rPr>
        <w:t>[1925]</w:t>
      </w:r>
      <w:r>
        <w:rPr>
          <w:rFonts w:ascii="Arial"/>
          <w:i/>
          <w:spacing w:val="14"/>
          <w:sz w:val="20"/>
        </w:rPr>
        <w:t> </w:t>
      </w:r>
      <w:r>
        <w:rPr>
          <w:rFonts w:ascii="Arial"/>
          <w:i/>
          <w:sz w:val="20"/>
        </w:rPr>
        <w:t>A.C.</w:t>
      </w:r>
      <w:r>
        <w:rPr>
          <w:rFonts w:ascii="Arial"/>
          <w:i/>
          <w:spacing w:val="15"/>
          <w:sz w:val="20"/>
        </w:rPr>
        <w:t> </w:t>
      </w:r>
      <w:r>
        <w:rPr>
          <w:rFonts w:ascii="Arial"/>
          <w:i/>
          <w:sz w:val="20"/>
        </w:rPr>
        <w:t>445;</w:t>
      </w:r>
      <w:r>
        <w:rPr>
          <w:rFonts w:ascii="Arial"/>
          <w:i/>
          <w:spacing w:val="15"/>
          <w:sz w:val="20"/>
        </w:rPr>
        <w:t> </w:t>
      </w:r>
      <w:r>
        <w:rPr>
          <w:rFonts w:ascii="Arial"/>
          <w:i/>
          <w:sz w:val="20"/>
        </w:rPr>
        <w:t>affirming</w:t>
      </w:r>
      <w:r>
        <w:rPr>
          <w:rFonts w:ascii="Arial"/>
          <w:i/>
          <w:spacing w:val="15"/>
          <w:sz w:val="20"/>
        </w:rPr>
        <w:t> </w:t>
      </w:r>
      <w:r>
        <w:rPr>
          <w:rFonts w:ascii="Arial"/>
          <w:i/>
          <w:sz w:val="20"/>
        </w:rPr>
        <w:t>[1923]</w:t>
      </w:r>
      <w:r>
        <w:rPr>
          <w:rFonts w:ascii="Arial"/>
          <w:i/>
          <w:spacing w:val="15"/>
          <w:sz w:val="20"/>
        </w:rPr>
        <w:t> </w:t>
      </w:r>
      <w:r>
        <w:rPr>
          <w:rFonts w:ascii="Arial"/>
          <w:i/>
          <w:sz w:val="20"/>
        </w:rPr>
        <w:t>2</w:t>
      </w:r>
      <w:r>
        <w:rPr>
          <w:rFonts w:ascii="Arial"/>
          <w:i/>
          <w:spacing w:val="15"/>
          <w:sz w:val="20"/>
        </w:rPr>
        <w:t> </w:t>
      </w:r>
      <w:r>
        <w:rPr>
          <w:rFonts w:ascii="Arial"/>
          <w:i/>
          <w:sz w:val="20"/>
        </w:rPr>
        <w:t>K.B.</w:t>
      </w:r>
      <w:r>
        <w:rPr>
          <w:rFonts w:ascii="Arial"/>
          <w:i/>
          <w:spacing w:val="15"/>
          <w:sz w:val="20"/>
        </w:rPr>
        <w:t> </w:t>
      </w:r>
      <w:r>
        <w:rPr>
          <w:rFonts w:ascii="Arial"/>
          <w:i/>
          <w:sz w:val="20"/>
        </w:rPr>
        <w:t>261</w:t>
      </w:r>
      <w:r>
        <w:rPr>
          <w:sz w:val="20"/>
        </w:rPr>
        <w:t>;</w:t>
      </w:r>
      <w:r>
        <w:rPr>
          <w:spacing w:val="15"/>
          <w:sz w:val="20"/>
        </w:rPr>
        <w:t> </w:t>
      </w:r>
      <w:r>
        <w:rPr>
          <w:rFonts w:ascii="Arial"/>
          <w:i/>
          <w:sz w:val="20"/>
        </w:rPr>
        <w:t>County</w:t>
      </w:r>
      <w:r>
        <w:rPr>
          <w:rFonts w:ascii="Arial"/>
          <w:i/>
          <w:spacing w:val="15"/>
          <w:sz w:val="20"/>
        </w:rPr>
        <w:t> </w:t>
      </w:r>
      <w:r>
        <w:rPr>
          <w:rFonts w:ascii="Arial"/>
          <w:i/>
          <w:sz w:val="20"/>
        </w:rPr>
        <w:t>Ltd</w:t>
      </w:r>
      <w:r>
        <w:rPr>
          <w:rFonts w:ascii="Arial"/>
          <w:i/>
          <w:spacing w:val="15"/>
          <w:sz w:val="20"/>
        </w:rPr>
        <w:t> </w:t>
      </w:r>
      <w:r>
        <w:rPr>
          <w:rFonts w:ascii="Arial"/>
          <w:i/>
          <w:sz w:val="20"/>
        </w:rPr>
        <w:t>v</w:t>
      </w:r>
      <w:r>
        <w:rPr>
          <w:rFonts w:ascii="Arial"/>
          <w:i/>
          <w:spacing w:val="15"/>
          <w:sz w:val="20"/>
        </w:rPr>
        <w:t> </w:t>
      </w:r>
      <w:r>
        <w:rPr>
          <w:rFonts w:ascii="Arial"/>
          <w:i/>
          <w:sz w:val="20"/>
        </w:rPr>
        <w:t>Girozentrale</w:t>
      </w:r>
      <w:r>
        <w:rPr>
          <w:rFonts w:ascii="Arial"/>
          <w:i/>
          <w:spacing w:val="15"/>
          <w:sz w:val="20"/>
        </w:rPr>
        <w:t> </w:t>
      </w:r>
      <w:r>
        <w:rPr>
          <w:rFonts w:ascii="Arial"/>
          <w:i/>
          <w:sz w:val="20"/>
        </w:rPr>
        <w:t>Securities</w:t>
      </w:r>
      <w:r>
        <w:rPr>
          <w:rFonts w:ascii="Arial"/>
          <w:i/>
          <w:spacing w:val="15"/>
          <w:sz w:val="20"/>
        </w:rPr>
        <w:t> </w:t>
      </w:r>
      <w:r>
        <w:rPr>
          <w:rFonts w:ascii="Arial"/>
          <w:i/>
          <w:sz w:val="20"/>
        </w:rPr>
        <w:t>[1996]</w:t>
      </w:r>
      <w:r>
        <w:rPr>
          <w:rFonts w:ascii="Arial"/>
          <w:i/>
          <w:spacing w:val="15"/>
          <w:sz w:val="20"/>
        </w:rPr>
        <w:t> </w:t>
      </w:r>
      <w:r>
        <w:rPr>
          <w:rFonts w:ascii="Arial"/>
          <w:i/>
          <w:sz w:val="20"/>
        </w:rPr>
        <w:t>3</w:t>
      </w:r>
      <w:r>
        <w:rPr>
          <w:rFonts w:ascii="Arial"/>
          <w:i/>
          <w:spacing w:val="15"/>
          <w:sz w:val="20"/>
        </w:rPr>
        <w:t> </w:t>
      </w:r>
      <w:r>
        <w:rPr>
          <w:rFonts w:ascii="Arial"/>
          <w:i/>
          <w:spacing w:val="-5"/>
          <w:sz w:val="20"/>
        </w:rPr>
        <w:t>All</w:t>
      </w:r>
    </w:p>
    <w:p>
      <w:pPr>
        <w:spacing w:line="227" w:lineRule="exact" w:before="0"/>
        <w:ind w:left="705" w:right="0" w:firstLine="0"/>
        <w:jc w:val="left"/>
        <w:rPr>
          <w:sz w:val="20"/>
        </w:rPr>
      </w:pPr>
      <w:r>
        <w:rPr>
          <w:rFonts w:ascii="Arial"/>
          <w:i/>
          <w:sz w:val="20"/>
        </w:rPr>
        <w:t>E.R.</w:t>
      </w:r>
      <w:r>
        <w:rPr>
          <w:rFonts w:ascii="Arial"/>
          <w:i/>
          <w:spacing w:val="-1"/>
          <w:sz w:val="20"/>
        </w:rPr>
        <w:t> </w:t>
      </w:r>
      <w:r>
        <w:rPr>
          <w:rFonts w:ascii="Arial"/>
          <w:i/>
          <w:sz w:val="20"/>
        </w:rPr>
        <w:t>834</w:t>
      </w:r>
      <w:r>
        <w:rPr>
          <w:sz w:val="20"/>
        </w:rPr>
        <w:t>; </w:t>
      </w:r>
      <w:r>
        <w:rPr>
          <w:rFonts w:ascii="Arial"/>
          <w:i/>
          <w:sz w:val="20"/>
        </w:rPr>
        <w:t>M&amp;P Steelcraft Ltd v</w:t>
      </w:r>
      <w:r>
        <w:rPr>
          <w:rFonts w:ascii="Arial"/>
          <w:i/>
          <w:spacing w:val="-1"/>
          <w:sz w:val="20"/>
        </w:rPr>
        <w:t> </w:t>
      </w:r>
      <w:r>
        <w:rPr>
          <w:rFonts w:ascii="Arial"/>
          <w:i/>
          <w:sz w:val="20"/>
        </w:rPr>
        <w:t>Ellis [2008] I.R.L.R. 355</w:t>
      </w:r>
      <w:r>
        <w:rPr>
          <w:sz w:val="20"/>
        </w:rPr>
        <w:t>, below, para.2-</w:t>
      </w:r>
      <w:r>
        <w:rPr>
          <w:spacing w:val="-4"/>
          <w:sz w:val="20"/>
        </w:rPr>
        <w:t>191.</w:t>
      </w:r>
    </w:p>
    <w:p>
      <w:pPr>
        <w:pStyle w:val="BodyText"/>
        <w:spacing w:before="8"/>
      </w:pPr>
    </w:p>
    <w:p>
      <w:pPr>
        <w:tabs>
          <w:tab w:pos="705" w:val="left" w:leader="none"/>
        </w:tabs>
        <w:spacing w:line="235" w:lineRule="auto" w:before="1"/>
        <w:ind w:left="705" w:right="168" w:hanging="541"/>
        <w:jc w:val="left"/>
        <w:rPr>
          <w:sz w:val="20"/>
        </w:rPr>
      </w:pPr>
      <w:bookmarkStart w:name="_bookmark1803" w:id="1805"/>
      <w:bookmarkEnd w:id="1805"/>
      <w:r>
        <w:rPr/>
      </w:r>
      <w:hyperlink w:history="true" w:anchor="_bookmark1728">
        <w:r>
          <w:rPr>
            <w:color w:val="005DA1"/>
            <w:spacing w:val="-4"/>
            <w:position w:val="5"/>
            <w:sz w:val="14"/>
            <w:u w:val="single" w:color="005DA1"/>
          </w:rPr>
          <w:t>925</w:t>
        </w:r>
      </w:hyperlink>
      <w:r>
        <w:rPr>
          <w:spacing w:val="-4"/>
          <w:position w:val="5"/>
          <w:sz w:val="14"/>
        </w:rPr>
        <w:t>.</w:t>
      </w:r>
      <w:r>
        <w:rPr>
          <w:position w:val="5"/>
          <w:sz w:val="14"/>
        </w:rPr>
        <w:tab/>
      </w:r>
      <w:r>
        <w:rPr>
          <w:sz w:val="20"/>
        </w:rPr>
        <w:t>They</w:t>
      </w:r>
      <w:r>
        <w:rPr>
          <w:spacing w:val="24"/>
          <w:sz w:val="20"/>
        </w:rPr>
        <w:t> </w:t>
      </w:r>
      <w:r>
        <w:rPr>
          <w:sz w:val="20"/>
        </w:rPr>
        <w:t>can</w:t>
      </w:r>
      <w:r>
        <w:rPr>
          <w:spacing w:val="24"/>
          <w:sz w:val="20"/>
        </w:rPr>
        <w:t> </w:t>
      </w:r>
      <w:r>
        <w:rPr>
          <w:sz w:val="20"/>
        </w:rPr>
        <w:t>have</w:t>
      </w:r>
      <w:r>
        <w:rPr>
          <w:spacing w:val="24"/>
          <w:sz w:val="20"/>
        </w:rPr>
        <w:t> </w:t>
      </w:r>
      <w:r>
        <w:rPr>
          <w:sz w:val="20"/>
        </w:rPr>
        <w:t>the</w:t>
      </w:r>
      <w:r>
        <w:rPr>
          <w:spacing w:val="24"/>
          <w:sz w:val="20"/>
        </w:rPr>
        <w:t> </w:t>
      </w:r>
      <w:r>
        <w:rPr>
          <w:sz w:val="20"/>
        </w:rPr>
        <w:t>same</w:t>
      </w:r>
      <w:r>
        <w:rPr>
          <w:spacing w:val="24"/>
          <w:sz w:val="20"/>
        </w:rPr>
        <w:t> </w:t>
      </w:r>
      <w:r>
        <w:rPr>
          <w:sz w:val="20"/>
        </w:rPr>
        <w:t>effect</w:t>
      </w:r>
      <w:r>
        <w:rPr>
          <w:spacing w:val="24"/>
          <w:sz w:val="20"/>
        </w:rPr>
        <w:t> </w:t>
      </w:r>
      <w:r>
        <w:rPr>
          <w:sz w:val="20"/>
        </w:rPr>
        <w:t>in</w:t>
      </w:r>
      <w:r>
        <w:rPr>
          <w:spacing w:val="24"/>
          <w:sz w:val="20"/>
        </w:rPr>
        <w:t> </w:t>
      </w:r>
      <w:r>
        <w:rPr>
          <w:sz w:val="20"/>
        </w:rPr>
        <w:t>other</w:t>
      </w:r>
      <w:r>
        <w:rPr>
          <w:spacing w:val="24"/>
          <w:sz w:val="20"/>
        </w:rPr>
        <w:t> </w:t>
      </w:r>
      <w:r>
        <w:rPr>
          <w:sz w:val="20"/>
        </w:rPr>
        <w:t>types</w:t>
      </w:r>
      <w:r>
        <w:rPr>
          <w:spacing w:val="24"/>
          <w:sz w:val="20"/>
        </w:rPr>
        <w:t> </w:t>
      </w:r>
      <w:r>
        <w:rPr>
          <w:sz w:val="20"/>
        </w:rPr>
        <w:t>of</w:t>
      </w:r>
      <w:r>
        <w:rPr>
          <w:spacing w:val="24"/>
          <w:sz w:val="20"/>
        </w:rPr>
        <w:t> </w:t>
      </w:r>
      <w:r>
        <w:rPr>
          <w:sz w:val="20"/>
        </w:rPr>
        <w:t>agreement:</w:t>
      </w:r>
      <w:r>
        <w:rPr>
          <w:spacing w:val="24"/>
          <w:sz w:val="20"/>
        </w:rPr>
        <w:t> </w:t>
      </w:r>
      <w:r>
        <w:rPr>
          <w:sz w:val="20"/>
        </w:rPr>
        <w:t>see</w:t>
      </w:r>
      <w:r>
        <w:rPr>
          <w:spacing w:val="24"/>
          <w:sz w:val="20"/>
        </w:rPr>
        <w:t> </w:t>
      </w:r>
      <w:r>
        <w:rPr>
          <w:rFonts w:ascii="Arial"/>
          <w:i/>
          <w:sz w:val="20"/>
        </w:rPr>
        <w:t>Confetti</w:t>
      </w:r>
      <w:r>
        <w:rPr>
          <w:rFonts w:ascii="Arial"/>
          <w:i/>
          <w:spacing w:val="24"/>
          <w:sz w:val="20"/>
        </w:rPr>
        <w:t> </w:t>
      </w:r>
      <w:r>
        <w:rPr>
          <w:rFonts w:ascii="Arial"/>
          <w:i/>
          <w:sz w:val="20"/>
        </w:rPr>
        <w:t>Records</w:t>
      </w:r>
      <w:r>
        <w:rPr>
          <w:rFonts w:ascii="Arial"/>
          <w:i/>
          <w:spacing w:val="24"/>
          <w:sz w:val="20"/>
        </w:rPr>
        <w:t> </w:t>
      </w:r>
      <w:r>
        <w:rPr>
          <w:rFonts w:ascii="Arial"/>
          <w:i/>
          <w:sz w:val="20"/>
        </w:rPr>
        <w:t>v</w:t>
      </w:r>
      <w:r>
        <w:rPr>
          <w:rFonts w:ascii="Arial"/>
          <w:i/>
          <w:spacing w:val="24"/>
          <w:sz w:val="20"/>
        </w:rPr>
        <w:t> </w:t>
      </w:r>
      <w:r>
        <w:rPr>
          <w:rFonts w:ascii="Arial"/>
          <w:i/>
          <w:sz w:val="20"/>
        </w:rPr>
        <w:t>Warner Music UK Ltd [2003] EWHC 1274, The Times, June 12, 2003</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804" w:id="1806"/>
      <w:bookmarkEnd w:id="1806"/>
      <w:r>
        <w:rPr/>
      </w:r>
      <w:hyperlink w:history="true" w:anchor="_bookmark1729">
        <w:r>
          <w:rPr>
            <w:color w:val="005DA1"/>
            <w:spacing w:val="-4"/>
            <w:position w:val="5"/>
            <w:sz w:val="14"/>
            <w:u w:val="single" w:color="005DA1"/>
          </w:rPr>
          <w:t>926</w:t>
        </w:r>
      </w:hyperlink>
      <w:r>
        <w:rPr>
          <w:spacing w:val="-4"/>
          <w:position w:val="5"/>
          <w:sz w:val="14"/>
        </w:rPr>
        <w:t>.</w:t>
      </w:r>
      <w:r>
        <w:rPr>
          <w:position w:val="5"/>
          <w:sz w:val="14"/>
        </w:rPr>
        <w:tab/>
      </w:r>
      <w:r>
        <w:rPr>
          <w:sz w:val="20"/>
        </w:rPr>
        <w:t>Above,</w:t>
      </w:r>
      <w:r>
        <w:rPr>
          <w:spacing w:val="16"/>
          <w:sz w:val="20"/>
        </w:rPr>
        <w:t> </w:t>
      </w:r>
      <w:r>
        <w:rPr>
          <w:sz w:val="20"/>
        </w:rPr>
        <w:t>paras</w:t>
      </w:r>
      <w:r>
        <w:rPr>
          <w:spacing w:val="16"/>
          <w:sz w:val="20"/>
        </w:rPr>
        <w:t> </w:t>
      </w:r>
      <w:r>
        <w:rPr>
          <w:sz w:val="20"/>
        </w:rPr>
        <w:t>2-125,</w:t>
      </w:r>
      <w:r>
        <w:rPr>
          <w:spacing w:val="16"/>
          <w:sz w:val="20"/>
        </w:rPr>
        <w:t> </w:t>
      </w:r>
      <w:r>
        <w:rPr>
          <w:sz w:val="20"/>
        </w:rPr>
        <w:t>2-126;</w:t>
      </w:r>
      <w:r>
        <w:rPr>
          <w:spacing w:val="16"/>
          <w:sz w:val="20"/>
        </w:rPr>
        <w:t> </w:t>
      </w:r>
      <w:r>
        <w:rPr>
          <w:rFonts w:ascii="Arial"/>
          <w:i/>
          <w:sz w:val="20"/>
        </w:rPr>
        <w:t>Rose</w:t>
      </w:r>
      <w:r>
        <w:rPr>
          <w:rFonts w:ascii="Arial"/>
          <w:i/>
          <w:spacing w:val="16"/>
          <w:sz w:val="20"/>
        </w:rPr>
        <w:t> </w:t>
      </w:r>
      <w:r>
        <w:rPr>
          <w:rFonts w:ascii="Arial"/>
          <w:i/>
          <w:sz w:val="20"/>
        </w:rPr>
        <w:t>&amp;</w:t>
      </w:r>
      <w:r>
        <w:rPr>
          <w:rFonts w:ascii="Arial"/>
          <w:i/>
          <w:spacing w:val="16"/>
          <w:sz w:val="20"/>
        </w:rPr>
        <w:t> </w:t>
      </w:r>
      <w:r>
        <w:rPr>
          <w:rFonts w:ascii="Arial"/>
          <w:i/>
          <w:sz w:val="20"/>
        </w:rPr>
        <w:t>Frank</w:t>
      </w:r>
      <w:r>
        <w:rPr>
          <w:rFonts w:ascii="Arial"/>
          <w:i/>
          <w:spacing w:val="16"/>
          <w:sz w:val="20"/>
        </w:rPr>
        <w:t> </w:t>
      </w:r>
      <w:r>
        <w:rPr>
          <w:rFonts w:ascii="Arial"/>
          <w:i/>
          <w:sz w:val="20"/>
        </w:rPr>
        <w:t>Co</w:t>
      </w:r>
      <w:r>
        <w:rPr>
          <w:rFonts w:ascii="Arial"/>
          <w:i/>
          <w:spacing w:val="16"/>
          <w:sz w:val="20"/>
        </w:rPr>
        <w:t> </w:t>
      </w:r>
      <w:r>
        <w:rPr>
          <w:rFonts w:ascii="Arial"/>
          <w:i/>
          <w:sz w:val="20"/>
        </w:rPr>
        <w:t>v</w:t>
      </w:r>
      <w:r>
        <w:rPr>
          <w:rFonts w:ascii="Arial"/>
          <w:i/>
          <w:spacing w:val="16"/>
          <w:sz w:val="20"/>
        </w:rPr>
        <w:t> </w:t>
      </w:r>
      <w:r>
        <w:rPr>
          <w:rFonts w:ascii="Arial"/>
          <w:i/>
          <w:sz w:val="20"/>
        </w:rPr>
        <w:t>J.R.</w:t>
      </w:r>
      <w:r>
        <w:rPr>
          <w:rFonts w:ascii="Arial"/>
          <w:i/>
          <w:spacing w:val="16"/>
          <w:sz w:val="20"/>
        </w:rPr>
        <w:t> </w:t>
      </w:r>
      <w:r>
        <w:rPr>
          <w:rFonts w:ascii="Arial"/>
          <w:i/>
          <w:sz w:val="20"/>
        </w:rPr>
        <w:t>Crompton</w:t>
      </w:r>
      <w:r>
        <w:rPr>
          <w:rFonts w:ascii="Arial"/>
          <w:i/>
          <w:spacing w:val="16"/>
          <w:sz w:val="20"/>
        </w:rPr>
        <w:t> </w:t>
      </w:r>
      <w:r>
        <w:rPr>
          <w:rFonts w:ascii="Arial"/>
          <w:i/>
          <w:sz w:val="20"/>
        </w:rPr>
        <w:t>&amp;</w:t>
      </w:r>
      <w:r>
        <w:rPr>
          <w:rFonts w:ascii="Arial"/>
          <w:i/>
          <w:spacing w:val="16"/>
          <w:sz w:val="20"/>
        </w:rPr>
        <w:t> </w:t>
      </w:r>
      <w:r>
        <w:rPr>
          <w:rFonts w:ascii="Arial"/>
          <w:i/>
          <w:sz w:val="20"/>
        </w:rPr>
        <w:t>Bros</w:t>
      </w:r>
      <w:r>
        <w:rPr>
          <w:rFonts w:ascii="Arial"/>
          <w:i/>
          <w:spacing w:val="16"/>
          <w:sz w:val="20"/>
        </w:rPr>
        <w:t> </w:t>
      </w:r>
      <w:r>
        <w:rPr>
          <w:rFonts w:ascii="Arial"/>
          <w:i/>
          <w:sz w:val="20"/>
        </w:rPr>
        <w:t>Ltd</w:t>
      </w:r>
      <w:r>
        <w:rPr>
          <w:rFonts w:ascii="Arial"/>
          <w:i/>
          <w:spacing w:val="16"/>
          <w:sz w:val="20"/>
        </w:rPr>
        <w:t> </w:t>
      </w:r>
      <w:r>
        <w:rPr>
          <w:rFonts w:ascii="Arial"/>
          <w:i/>
          <w:sz w:val="20"/>
        </w:rPr>
        <w:t>[1923]</w:t>
      </w:r>
      <w:r>
        <w:rPr>
          <w:rFonts w:ascii="Arial"/>
          <w:i/>
          <w:spacing w:val="16"/>
          <w:sz w:val="20"/>
        </w:rPr>
        <w:t> </w:t>
      </w:r>
      <w:r>
        <w:rPr>
          <w:rFonts w:ascii="Arial"/>
          <w:i/>
          <w:sz w:val="20"/>
        </w:rPr>
        <w:t>2</w:t>
      </w:r>
      <w:r>
        <w:rPr>
          <w:rFonts w:ascii="Arial"/>
          <w:i/>
          <w:spacing w:val="16"/>
          <w:sz w:val="20"/>
        </w:rPr>
        <w:t> </w:t>
      </w:r>
      <w:r>
        <w:rPr>
          <w:rFonts w:ascii="Arial"/>
          <w:i/>
          <w:sz w:val="20"/>
        </w:rPr>
        <w:t>K.B.</w:t>
      </w:r>
      <w:r>
        <w:rPr>
          <w:rFonts w:ascii="Arial"/>
          <w:i/>
          <w:spacing w:val="16"/>
          <w:sz w:val="20"/>
        </w:rPr>
        <w:t> </w:t>
      </w:r>
      <w:r>
        <w:rPr>
          <w:rFonts w:ascii="Arial"/>
          <w:i/>
          <w:sz w:val="20"/>
        </w:rPr>
        <w:t>261, 294</w:t>
      </w:r>
      <w:r>
        <w:rPr>
          <w:sz w:val="20"/>
        </w:rPr>
        <w:t>; </w:t>
      </w:r>
      <w:r>
        <w:rPr>
          <w:rFonts w:ascii="Arial"/>
          <w:i/>
          <w:sz w:val="20"/>
        </w:rPr>
        <w:t>Ali v Ahmed (1996) 71 P. &amp; C.R. D39</w:t>
      </w:r>
      <w:r>
        <w:rPr>
          <w:sz w:val="20"/>
        </w:rPr>
        <w:t>.</w:t>
      </w:r>
    </w:p>
    <w:p>
      <w:pPr>
        <w:pStyle w:val="BodyText"/>
        <w:spacing w:before="5"/>
      </w:pPr>
    </w:p>
    <w:p>
      <w:pPr>
        <w:tabs>
          <w:tab w:pos="705" w:val="left" w:leader="none"/>
        </w:tabs>
        <w:spacing w:before="0"/>
        <w:ind w:left="165" w:right="0" w:firstLine="0"/>
        <w:jc w:val="left"/>
        <w:rPr>
          <w:sz w:val="20"/>
        </w:rPr>
      </w:pPr>
      <w:bookmarkStart w:name="_bookmark1805" w:id="1807"/>
      <w:bookmarkEnd w:id="1807"/>
      <w:r>
        <w:rPr/>
      </w:r>
      <w:hyperlink w:history="true" w:anchor="_bookmark1730">
        <w:r>
          <w:rPr>
            <w:color w:val="005DA1"/>
            <w:spacing w:val="-4"/>
            <w:position w:val="5"/>
            <w:sz w:val="14"/>
            <w:u w:val="single" w:color="005DA1"/>
          </w:rPr>
          <w:t>927</w:t>
        </w:r>
      </w:hyperlink>
      <w:r>
        <w:rPr>
          <w:spacing w:val="-4"/>
          <w:position w:val="5"/>
          <w:sz w:val="14"/>
        </w:rPr>
        <w:t>.</w:t>
      </w:r>
      <w:r>
        <w:rPr>
          <w:position w:val="5"/>
          <w:sz w:val="14"/>
        </w:rPr>
        <w:tab/>
      </w:r>
      <w:r>
        <w:rPr>
          <w:rFonts w:ascii="Arial"/>
          <w:i/>
          <w:sz w:val="20"/>
        </w:rPr>
        <w:t>Commission for the New Towns v Cooper (G.B.) Ltd [1995] Ch. 259, </w:t>
      </w:r>
      <w:r>
        <w:rPr>
          <w:rFonts w:ascii="Arial"/>
          <w:i/>
          <w:spacing w:val="-4"/>
          <w:sz w:val="20"/>
        </w:rPr>
        <w:t>295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bookmarkStart w:name="_bookmark1806" w:id="1808"/>
      <w:bookmarkEnd w:id="1808"/>
      <w:r>
        <w:rPr/>
      </w:r>
      <w:hyperlink w:history="true" w:anchor="_bookmark1731">
        <w:r>
          <w:rPr>
            <w:color w:val="005DA1"/>
            <w:spacing w:val="-4"/>
            <w:position w:val="5"/>
            <w:sz w:val="14"/>
            <w:u w:val="single" w:color="005DA1"/>
          </w:rPr>
          <w:t>928</w:t>
        </w:r>
      </w:hyperlink>
      <w:r>
        <w:rPr>
          <w:spacing w:val="-4"/>
          <w:position w:val="5"/>
          <w:sz w:val="14"/>
        </w:rPr>
        <w:t>.</w:t>
      </w:r>
      <w:r>
        <w:rPr>
          <w:position w:val="5"/>
          <w:sz w:val="14"/>
        </w:rPr>
        <w:tab/>
      </w:r>
      <w:r>
        <w:rPr>
          <w:sz w:val="20"/>
        </w:rPr>
        <w:t>See</w:t>
      </w:r>
      <w:r>
        <w:rPr>
          <w:spacing w:val="19"/>
          <w:sz w:val="20"/>
        </w:rPr>
        <w:t> </w:t>
      </w:r>
      <w:r>
        <w:rPr>
          <w:rFonts w:ascii="Arial"/>
          <w:i/>
          <w:sz w:val="20"/>
        </w:rPr>
        <w:t>Jones</w:t>
      </w:r>
      <w:r>
        <w:rPr>
          <w:rFonts w:ascii="Arial"/>
          <w:i/>
          <w:spacing w:val="20"/>
          <w:sz w:val="20"/>
        </w:rPr>
        <w:t> </w:t>
      </w:r>
      <w:r>
        <w:rPr>
          <w:rFonts w:ascii="Arial"/>
          <w:i/>
          <w:sz w:val="20"/>
        </w:rPr>
        <w:t>v</w:t>
      </w:r>
      <w:r>
        <w:rPr>
          <w:rFonts w:ascii="Arial"/>
          <w:i/>
          <w:spacing w:val="20"/>
          <w:sz w:val="20"/>
        </w:rPr>
        <w:t> </w:t>
      </w:r>
      <w:r>
        <w:rPr>
          <w:rFonts w:ascii="Arial"/>
          <w:i/>
          <w:sz w:val="20"/>
        </w:rPr>
        <w:t>Vernons</w:t>
      </w:r>
      <w:r>
        <w:rPr>
          <w:rFonts w:ascii="Arial"/>
          <w:i/>
          <w:spacing w:val="20"/>
          <w:sz w:val="20"/>
        </w:rPr>
        <w:t> </w:t>
      </w:r>
      <w:r>
        <w:rPr>
          <w:rFonts w:ascii="Arial"/>
          <w:i/>
          <w:sz w:val="20"/>
        </w:rPr>
        <w:t>Pools</w:t>
      </w:r>
      <w:r>
        <w:rPr>
          <w:rFonts w:ascii="Arial"/>
          <w:i/>
          <w:spacing w:val="20"/>
          <w:sz w:val="20"/>
        </w:rPr>
        <w:t> </w:t>
      </w:r>
      <w:r>
        <w:rPr>
          <w:rFonts w:ascii="Arial"/>
          <w:i/>
          <w:sz w:val="20"/>
        </w:rPr>
        <w:t>Ltd</w:t>
      </w:r>
      <w:r>
        <w:rPr>
          <w:rFonts w:ascii="Arial"/>
          <w:i/>
          <w:spacing w:val="20"/>
          <w:sz w:val="20"/>
        </w:rPr>
        <w:t> </w:t>
      </w:r>
      <w:r>
        <w:rPr>
          <w:rFonts w:ascii="Arial"/>
          <w:i/>
          <w:sz w:val="20"/>
        </w:rPr>
        <w:t>[1938]</w:t>
      </w:r>
      <w:r>
        <w:rPr>
          <w:rFonts w:ascii="Arial"/>
          <w:i/>
          <w:spacing w:val="20"/>
          <w:sz w:val="20"/>
        </w:rPr>
        <w:t> </w:t>
      </w:r>
      <w:r>
        <w:rPr>
          <w:rFonts w:ascii="Arial"/>
          <w:i/>
          <w:sz w:val="20"/>
        </w:rPr>
        <w:t>2</w:t>
      </w:r>
      <w:r>
        <w:rPr>
          <w:rFonts w:ascii="Arial"/>
          <w:i/>
          <w:spacing w:val="20"/>
          <w:sz w:val="20"/>
        </w:rPr>
        <w:t> </w:t>
      </w:r>
      <w:r>
        <w:rPr>
          <w:rFonts w:ascii="Arial"/>
          <w:i/>
          <w:sz w:val="20"/>
        </w:rPr>
        <w:t>All</w:t>
      </w:r>
      <w:r>
        <w:rPr>
          <w:rFonts w:ascii="Arial"/>
          <w:i/>
          <w:spacing w:val="20"/>
          <w:sz w:val="20"/>
        </w:rPr>
        <w:t> </w:t>
      </w:r>
      <w:r>
        <w:rPr>
          <w:rFonts w:ascii="Arial"/>
          <w:i/>
          <w:sz w:val="20"/>
        </w:rPr>
        <w:t>E.R.</w:t>
      </w:r>
      <w:r>
        <w:rPr>
          <w:rFonts w:ascii="Arial"/>
          <w:i/>
          <w:spacing w:val="20"/>
          <w:sz w:val="20"/>
        </w:rPr>
        <w:t> </w:t>
      </w:r>
      <w:r>
        <w:rPr>
          <w:rFonts w:ascii="Arial"/>
          <w:i/>
          <w:sz w:val="20"/>
        </w:rPr>
        <w:t>626</w:t>
      </w:r>
      <w:r>
        <w:rPr>
          <w:sz w:val="20"/>
        </w:rPr>
        <w:t>;</w:t>
      </w:r>
      <w:r>
        <w:rPr>
          <w:spacing w:val="20"/>
          <w:sz w:val="20"/>
        </w:rPr>
        <w:t> </w:t>
      </w:r>
      <w:r>
        <w:rPr>
          <w:rFonts w:ascii="Arial"/>
          <w:i/>
          <w:sz w:val="20"/>
        </w:rPr>
        <w:t>Appleson</w:t>
      </w:r>
      <w:r>
        <w:rPr>
          <w:rFonts w:ascii="Arial"/>
          <w:i/>
          <w:spacing w:val="20"/>
          <w:sz w:val="20"/>
        </w:rPr>
        <w:t> </w:t>
      </w:r>
      <w:r>
        <w:rPr>
          <w:rFonts w:ascii="Arial"/>
          <w:i/>
          <w:sz w:val="20"/>
        </w:rPr>
        <w:t>v</w:t>
      </w:r>
      <w:r>
        <w:rPr>
          <w:rFonts w:ascii="Arial"/>
          <w:i/>
          <w:spacing w:val="20"/>
          <w:sz w:val="20"/>
        </w:rPr>
        <w:t> </w:t>
      </w:r>
      <w:r>
        <w:rPr>
          <w:rFonts w:ascii="Arial"/>
          <w:i/>
          <w:sz w:val="20"/>
        </w:rPr>
        <w:t>Littlewood</w:t>
      </w:r>
      <w:r>
        <w:rPr>
          <w:rFonts w:ascii="Arial"/>
          <w:i/>
          <w:spacing w:val="20"/>
          <w:sz w:val="20"/>
        </w:rPr>
        <w:t> </w:t>
      </w:r>
      <w:r>
        <w:rPr>
          <w:rFonts w:ascii="Arial"/>
          <w:i/>
          <w:sz w:val="20"/>
        </w:rPr>
        <w:t>Ltd</w:t>
      </w:r>
      <w:r>
        <w:rPr>
          <w:rFonts w:ascii="Arial"/>
          <w:i/>
          <w:spacing w:val="20"/>
          <w:sz w:val="20"/>
        </w:rPr>
        <w:t> </w:t>
      </w:r>
      <w:r>
        <w:rPr>
          <w:rFonts w:ascii="Arial"/>
          <w:i/>
          <w:sz w:val="20"/>
        </w:rPr>
        <w:t>[1939]</w:t>
      </w:r>
      <w:r>
        <w:rPr>
          <w:rFonts w:ascii="Arial"/>
          <w:i/>
          <w:spacing w:val="20"/>
          <w:sz w:val="20"/>
        </w:rPr>
        <w:t> </w:t>
      </w:r>
      <w:r>
        <w:rPr>
          <w:rFonts w:ascii="Arial"/>
          <w:i/>
          <w:sz w:val="20"/>
        </w:rPr>
        <w:t>1</w:t>
      </w:r>
      <w:r>
        <w:rPr>
          <w:rFonts w:ascii="Arial"/>
          <w:i/>
          <w:spacing w:val="20"/>
          <w:sz w:val="20"/>
        </w:rPr>
        <w:t> </w:t>
      </w:r>
      <w:r>
        <w:rPr>
          <w:rFonts w:ascii="Arial"/>
          <w:i/>
          <w:spacing w:val="-5"/>
          <w:sz w:val="20"/>
        </w:rPr>
        <w:t>All</w:t>
      </w:r>
    </w:p>
    <w:p>
      <w:pPr>
        <w:spacing w:line="235" w:lineRule="auto" w:before="2"/>
        <w:ind w:left="705" w:right="168" w:firstLine="0"/>
        <w:jc w:val="both"/>
        <w:rPr>
          <w:sz w:val="20"/>
        </w:rPr>
      </w:pPr>
      <w:r>
        <w:rPr>
          <w:rFonts w:ascii="Arial" w:hAnsi="Arial"/>
          <w:i/>
          <w:sz w:val="20"/>
        </w:rPr>
        <w:t>E.R. 464</w:t>
      </w:r>
      <w:r>
        <w:rPr>
          <w:sz w:val="20"/>
        </w:rPr>
        <w:t>; </w:t>
      </w:r>
      <w:r>
        <w:rPr>
          <w:rFonts w:ascii="Arial" w:hAnsi="Arial"/>
          <w:i/>
          <w:sz w:val="20"/>
        </w:rPr>
        <w:t>Guest v Empire Pools (1964) 108 S.J. 98</w:t>
      </w:r>
      <w:r>
        <w:rPr>
          <w:sz w:val="20"/>
        </w:rPr>
        <w:t>. In Scotland, it has been argued that such honour clauses in football coupons may be unreasonable and hence ineffective: </w:t>
      </w:r>
      <w:r>
        <w:rPr>
          <w:rFonts w:ascii="Arial" w:hAnsi="Arial"/>
          <w:i/>
          <w:sz w:val="20"/>
        </w:rPr>
        <w:t>Ferguson </w:t>
      </w:r>
      <w:r>
        <w:rPr>
          <w:rFonts w:ascii="Arial" w:hAnsi="Arial"/>
          <w:i/>
          <w:sz w:val="20"/>
        </w:rPr>
        <w:t>v Littlewoods Pools 1997 S.L.T. 309, 314–315</w:t>
      </w:r>
      <w:r>
        <w:rPr>
          <w:sz w:val="20"/>
        </w:rPr>
        <w:t>.</w:t>
      </w:r>
    </w:p>
    <w:p>
      <w:pPr>
        <w:pStyle w:val="BodyText"/>
        <w:spacing w:before="5"/>
      </w:pPr>
    </w:p>
    <w:p>
      <w:pPr>
        <w:tabs>
          <w:tab w:pos="705" w:val="left" w:leader="none"/>
        </w:tabs>
        <w:spacing w:before="0"/>
        <w:ind w:left="165" w:right="0" w:firstLine="0"/>
        <w:jc w:val="left"/>
        <w:rPr>
          <w:sz w:val="20"/>
        </w:rPr>
      </w:pPr>
      <w:bookmarkStart w:name="_bookmark1807" w:id="1809"/>
      <w:bookmarkEnd w:id="1809"/>
      <w:r>
        <w:rPr/>
      </w:r>
      <w:hyperlink w:history="true" w:anchor="_bookmark1732">
        <w:r>
          <w:rPr>
            <w:color w:val="005DA1"/>
            <w:spacing w:val="-4"/>
            <w:position w:val="5"/>
            <w:sz w:val="14"/>
            <w:u w:val="single" w:color="005DA1"/>
          </w:rPr>
          <w:t>929</w:t>
        </w:r>
      </w:hyperlink>
      <w:r>
        <w:rPr>
          <w:spacing w:val="-4"/>
          <w:position w:val="5"/>
          <w:sz w:val="14"/>
        </w:rPr>
        <w:t>.</w:t>
      </w:r>
      <w:r>
        <w:rPr>
          <w:position w:val="5"/>
          <w:sz w:val="14"/>
        </w:rPr>
        <w:tab/>
      </w:r>
      <w:r>
        <w:rPr>
          <w:rFonts w:ascii="Arial" w:hAnsi="Arial"/>
          <w:i/>
          <w:sz w:val="20"/>
        </w:rPr>
        <w:t>R.</w:t>
      </w:r>
      <w:r>
        <w:rPr>
          <w:rFonts w:ascii="Arial" w:hAnsi="Arial"/>
          <w:i/>
          <w:spacing w:val="-1"/>
          <w:sz w:val="20"/>
        </w:rPr>
        <w:t> </w:t>
      </w:r>
      <w:r>
        <w:rPr>
          <w:rFonts w:ascii="Arial" w:hAnsi="Arial"/>
          <w:i/>
          <w:sz w:val="20"/>
        </w:rPr>
        <w:t>v Lord Chancellor’s Department Ex p. Nangle [1991] I.C.R. 743</w:t>
      </w:r>
      <w:r>
        <w:rPr>
          <w:sz w:val="20"/>
        </w:rPr>
        <w:t>; above, para.2-</w:t>
      </w:r>
      <w:r>
        <w:rPr>
          <w:spacing w:val="-4"/>
          <w:sz w:val="20"/>
        </w:rPr>
        <w:t>170.</w:t>
      </w:r>
    </w:p>
    <w:p>
      <w:pPr>
        <w:pStyle w:val="BodyText"/>
        <w:spacing w:before="5"/>
      </w:pPr>
    </w:p>
    <w:p>
      <w:pPr>
        <w:tabs>
          <w:tab w:pos="705" w:val="left" w:leader="none"/>
        </w:tabs>
        <w:spacing w:before="0"/>
        <w:ind w:left="165" w:right="0" w:firstLine="0"/>
        <w:jc w:val="left"/>
        <w:rPr>
          <w:sz w:val="20"/>
        </w:rPr>
      </w:pPr>
      <w:bookmarkStart w:name="_bookmark1808" w:id="1810"/>
      <w:bookmarkEnd w:id="1810"/>
      <w:r>
        <w:rPr/>
      </w:r>
      <w:hyperlink w:history="true" w:anchor="_bookmark1733">
        <w:r>
          <w:rPr>
            <w:color w:val="005DA1"/>
            <w:spacing w:val="-4"/>
            <w:position w:val="5"/>
            <w:sz w:val="14"/>
            <w:u w:val="single" w:color="005DA1"/>
          </w:rPr>
          <w:t>930</w:t>
        </w:r>
      </w:hyperlink>
      <w:r>
        <w:rPr>
          <w:spacing w:val="-4"/>
          <w:position w:val="5"/>
          <w:sz w:val="14"/>
        </w:rPr>
        <w:t>.</w:t>
      </w:r>
      <w:r>
        <w:rPr>
          <w:position w:val="5"/>
          <w:sz w:val="14"/>
        </w:rPr>
        <w:tab/>
      </w:r>
      <w:r>
        <w:rPr>
          <w:rFonts w:ascii="Arial"/>
          <w:i/>
          <w:sz w:val="20"/>
        </w:rPr>
        <w:t>[1964]</w:t>
      </w:r>
      <w:r>
        <w:rPr>
          <w:rFonts w:ascii="Arial"/>
          <w:i/>
          <w:spacing w:val="-1"/>
          <w:sz w:val="20"/>
        </w:rPr>
        <w:t> </w:t>
      </w:r>
      <w:r>
        <w:rPr>
          <w:rFonts w:ascii="Arial"/>
          <w:i/>
          <w:sz w:val="20"/>
        </w:rPr>
        <w:t>1 W.L.R. 349</w:t>
      </w:r>
      <w:r>
        <w:rPr>
          <w:sz w:val="20"/>
        </w:rPr>
        <w:t>. It was admitted that there was consideration moving from the </w:t>
      </w:r>
      <w:r>
        <w:rPr>
          <w:spacing w:val="-2"/>
          <w:sz w:val="20"/>
        </w:rPr>
        <w:t>employee.</w:t>
      </w:r>
    </w:p>
    <w:p>
      <w:pPr>
        <w:pStyle w:val="BodyText"/>
        <w:spacing w:before="8"/>
      </w:pPr>
    </w:p>
    <w:p>
      <w:pPr>
        <w:spacing w:line="235" w:lineRule="auto" w:before="1"/>
        <w:ind w:left="705" w:right="167" w:hanging="541"/>
        <w:jc w:val="both"/>
        <w:rPr>
          <w:sz w:val="20"/>
        </w:rPr>
      </w:pPr>
      <w:bookmarkStart w:name="_bookmark1809" w:id="1811"/>
      <w:bookmarkEnd w:id="1811"/>
      <w:r>
        <w:rPr/>
      </w:r>
      <w:hyperlink w:history="true" w:anchor="_bookmark1734">
        <w:r>
          <w:rPr>
            <w:color w:val="005DA1"/>
            <w:position w:val="5"/>
            <w:sz w:val="14"/>
            <w:u w:val="single" w:color="005DA1"/>
          </w:rPr>
          <w:t>931</w:t>
        </w:r>
      </w:hyperlink>
      <w:r>
        <w:rPr>
          <w:position w:val="5"/>
          <w:sz w:val="14"/>
        </w:rPr>
        <w:t>.</w:t>
      </w:r>
      <w:r>
        <w:rPr>
          <w:spacing w:val="40"/>
          <w:position w:val="5"/>
          <w:sz w:val="14"/>
        </w:rPr>
        <w:t>  </w:t>
      </w:r>
      <w:r>
        <w:rPr>
          <w:sz w:val="20"/>
        </w:rPr>
        <w:t>cf. </w:t>
      </w:r>
      <w:r>
        <w:rPr>
          <w:rFonts w:ascii="Arial" w:hAnsi="Arial"/>
          <w:i/>
          <w:sz w:val="20"/>
        </w:rPr>
        <w:t>Glaxosmithkline UK Ltd v Department of Health [2007] EWHC 1470, [2007] 2 All </w:t>
      </w:r>
      <w:r>
        <w:rPr>
          <w:rFonts w:ascii="Arial" w:hAnsi="Arial"/>
          <w:i/>
          <w:sz w:val="20"/>
        </w:rPr>
        <w:t>E.R.</w:t>
      </w:r>
      <w:r>
        <w:rPr>
          <w:rFonts w:ascii="Arial" w:hAnsi="Arial"/>
          <w:i/>
          <w:spacing w:val="80"/>
          <w:sz w:val="20"/>
        </w:rPr>
        <w:t> </w:t>
      </w:r>
      <w:r>
        <w:rPr>
          <w:rFonts w:ascii="Arial" w:hAnsi="Arial"/>
          <w:i/>
          <w:sz w:val="20"/>
        </w:rPr>
        <w:t>(Comm) 1140</w:t>
      </w:r>
      <w:r>
        <w:rPr>
          <w:sz w:val="20"/>
        </w:rPr>
        <w:t>, where a “voluntary” scheme agreed between the Department and members of the pharmaceutical industry, containing “mandatory provisions” (at [13]), was held to have contractual force.</w:t>
      </w:r>
    </w:p>
    <w:p>
      <w:pPr>
        <w:spacing w:after="0" w:line="235" w:lineRule="auto"/>
        <w:jc w:val="both"/>
        <w:rPr>
          <w:sz w:val="20"/>
        </w:rPr>
        <w:sectPr>
          <w:pgSz w:w="11900" w:h="16840"/>
          <w:pgMar w:header="971" w:footer="0" w:top="1300" w:bottom="280" w:left="1275" w:right="1275"/>
        </w:sectPr>
      </w:pPr>
    </w:p>
    <w:p>
      <w:pPr>
        <w:tabs>
          <w:tab w:pos="705" w:val="left" w:leader="none"/>
        </w:tabs>
        <w:spacing w:line="235" w:lineRule="auto" w:before="170"/>
        <w:ind w:left="705" w:right="168" w:hanging="541"/>
        <w:jc w:val="left"/>
        <w:rPr>
          <w:sz w:val="20"/>
        </w:rPr>
      </w:pPr>
      <w:hyperlink w:history="true" w:anchor="_bookmark1735">
        <w:r>
          <w:rPr>
            <w:color w:val="005DA1"/>
            <w:spacing w:val="-4"/>
            <w:position w:val="5"/>
            <w:sz w:val="14"/>
            <w:u w:val="single" w:color="005DA1"/>
          </w:rPr>
          <w:t>932</w:t>
        </w:r>
      </w:hyperlink>
      <w:r>
        <w:rPr>
          <w:spacing w:val="-4"/>
          <w:position w:val="5"/>
          <w:sz w:val="14"/>
        </w:rPr>
        <w:t>.</w:t>
      </w:r>
      <w:r>
        <w:rPr>
          <w:position w:val="5"/>
          <w:sz w:val="14"/>
        </w:rPr>
        <w:tab/>
      </w:r>
      <w:r>
        <w:rPr>
          <w:rFonts w:ascii="Arial" w:hAnsi="Arial"/>
          <w:i/>
          <w:sz w:val="20"/>
        </w:rPr>
        <w:t>Home Insurance Co Ltd v Administratia Asigurarilor [1983] 2 Lloyd’s Rep. 674, 677</w:t>
      </w:r>
      <w:r>
        <w:rPr>
          <w:sz w:val="20"/>
        </w:rPr>
        <w:t>; </w:t>
      </w:r>
      <w:r>
        <w:rPr>
          <w:rFonts w:ascii="Arial" w:hAnsi="Arial"/>
          <w:i/>
          <w:sz w:val="20"/>
        </w:rPr>
        <w:t>Home </w:t>
      </w:r>
      <w:r>
        <w:rPr>
          <w:rFonts w:ascii="Arial" w:hAnsi="Arial"/>
          <w:i/>
          <w:sz w:val="20"/>
        </w:rPr>
        <w:t>and Overseas Insurance Co Ltd v Mentor Insurance Co (UK) Ltd [1989] 1 Lloyd’s Rep. 473</w:t>
      </w:r>
      <w:r>
        <w:rPr>
          <w:sz w:val="20"/>
        </w:rPr>
        <w:t>.</w:t>
      </w:r>
    </w:p>
    <w:p>
      <w:pPr>
        <w:pStyle w:val="BodyText"/>
        <w:spacing w:before="6"/>
      </w:pPr>
    </w:p>
    <w:p>
      <w:pPr>
        <w:tabs>
          <w:tab w:pos="705" w:val="left" w:leader="none"/>
        </w:tabs>
        <w:spacing w:line="227" w:lineRule="exact" w:before="0"/>
        <w:ind w:left="165" w:right="0" w:firstLine="0"/>
        <w:jc w:val="left"/>
        <w:rPr>
          <w:rFonts w:ascii="Arial" w:hAnsi="Arial"/>
          <w:i/>
          <w:sz w:val="20"/>
        </w:rPr>
      </w:pPr>
      <w:bookmarkStart w:name="_bookmark1810" w:id="1812"/>
      <w:bookmarkEnd w:id="1812"/>
      <w:r>
        <w:rPr/>
      </w:r>
      <w:hyperlink w:history="true" w:anchor="_bookmark1736">
        <w:r>
          <w:rPr>
            <w:color w:val="005DA1"/>
            <w:spacing w:val="-4"/>
            <w:position w:val="5"/>
            <w:sz w:val="14"/>
            <w:u w:val="single" w:color="005DA1"/>
          </w:rPr>
          <w:t>933</w:t>
        </w:r>
      </w:hyperlink>
      <w:r>
        <w:rPr>
          <w:spacing w:val="-4"/>
          <w:position w:val="5"/>
          <w:sz w:val="14"/>
        </w:rPr>
        <w:t>.</w:t>
      </w:r>
      <w:r>
        <w:rPr>
          <w:position w:val="5"/>
          <w:sz w:val="14"/>
        </w:rPr>
        <w:tab/>
      </w:r>
      <w:r>
        <w:rPr>
          <w:rFonts w:ascii="Arial" w:hAnsi="Arial"/>
          <w:i/>
          <w:sz w:val="20"/>
        </w:rPr>
        <w:t>Hanjin</w:t>
      </w:r>
      <w:r>
        <w:rPr>
          <w:rFonts w:ascii="Arial" w:hAnsi="Arial"/>
          <w:i/>
          <w:spacing w:val="12"/>
          <w:sz w:val="20"/>
        </w:rPr>
        <w:t> </w:t>
      </w:r>
      <w:r>
        <w:rPr>
          <w:rFonts w:ascii="Arial" w:hAnsi="Arial"/>
          <w:i/>
          <w:sz w:val="20"/>
        </w:rPr>
        <w:t>Shipping</w:t>
      </w:r>
      <w:r>
        <w:rPr>
          <w:rFonts w:ascii="Arial" w:hAnsi="Arial"/>
          <w:i/>
          <w:spacing w:val="12"/>
          <w:sz w:val="20"/>
        </w:rPr>
        <w:t> </w:t>
      </w:r>
      <w:r>
        <w:rPr>
          <w:rFonts w:ascii="Arial" w:hAnsi="Arial"/>
          <w:i/>
          <w:sz w:val="20"/>
        </w:rPr>
        <w:t>Co</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Zenith</w:t>
      </w:r>
      <w:r>
        <w:rPr>
          <w:rFonts w:ascii="Arial" w:hAnsi="Arial"/>
          <w:i/>
          <w:spacing w:val="12"/>
          <w:sz w:val="20"/>
        </w:rPr>
        <w:t> </w:t>
      </w:r>
      <w:r>
        <w:rPr>
          <w:rFonts w:ascii="Arial" w:hAnsi="Arial"/>
          <w:i/>
          <w:sz w:val="20"/>
        </w:rPr>
        <w:t>Chartering</w:t>
      </w:r>
      <w:r>
        <w:rPr>
          <w:rFonts w:ascii="Arial" w:hAnsi="Arial"/>
          <w:i/>
          <w:spacing w:val="12"/>
          <w:sz w:val="20"/>
        </w:rPr>
        <w:t> </w:t>
      </w:r>
      <w:r>
        <w:rPr>
          <w:rFonts w:ascii="Arial" w:hAnsi="Arial"/>
          <w:i/>
          <w:sz w:val="20"/>
        </w:rPr>
        <w:t>Corp</w:t>
      </w:r>
      <w:r>
        <w:rPr>
          <w:rFonts w:ascii="Arial" w:hAnsi="Arial"/>
          <w:i/>
          <w:spacing w:val="12"/>
          <w:sz w:val="20"/>
        </w:rPr>
        <w:t> </w:t>
      </w:r>
      <w:r>
        <w:rPr>
          <w:rFonts w:ascii="Arial" w:hAnsi="Arial"/>
          <w:i/>
          <w:sz w:val="20"/>
        </w:rPr>
        <w:t>(The</w:t>
      </w:r>
      <w:r>
        <w:rPr>
          <w:rFonts w:ascii="Arial" w:hAnsi="Arial"/>
          <w:i/>
          <w:spacing w:val="12"/>
          <w:sz w:val="20"/>
        </w:rPr>
        <w:t> </w:t>
      </w:r>
      <w:r>
        <w:rPr>
          <w:rFonts w:ascii="Arial" w:hAnsi="Arial"/>
          <w:i/>
          <w:sz w:val="20"/>
        </w:rPr>
        <w:t>Mercedes</w:t>
      </w:r>
      <w:r>
        <w:rPr>
          <w:rFonts w:ascii="Arial" w:hAnsi="Arial"/>
          <w:i/>
          <w:spacing w:val="12"/>
          <w:sz w:val="20"/>
        </w:rPr>
        <w:t> </w:t>
      </w:r>
      <w:r>
        <w:rPr>
          <w:rFonts w:ascii="Arial" w:hAnsi="Arial"/>
          <w:i/>
          <w:sz w:val="20"/>
        </w:rPr>
        <w:t>Envoy)</w:t>
      </w:r>
      <w:r>
        <w:rPr>
          <w:rFonts w:ascii="Arial" w:hAnsi="Arial"/>
          <w:i/>
          <w:spacing w:val="12"/>
          <w:sz w:val="20"/>
        </w:rPr>
        <w:t> </w:t>
      </w:r>
      <w:r>
        <w:rPr>
          <w:rFonts w:ascii="Arial" w:hAnsi="Arial"/>
          <w:i/>
          <w:sz w:val="20"/>
        </w:rPr>
        <w:t>[1995]</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pacing w:val="-4"/>
          <w:sz w:val="20"/>
        </w:rPr>
        <w:t>Rep.</w:t>
      </w:r>
    </w:p>
    <w:p>
      <w:pPr>
        <w:spacing w:line="227" w:lineRule="exact" w:before="0"/>
        <w:ind w:left="705" w:right="0" w:firstLine="0"/>
        <w:jc w:val="left"/>
        <w:rPr>
          <w:sz w:val="20"/>
        </w:rPr>
      </w:pPr>
      <w:r>
        <w:rPr>
          <w:rFonts w:ascii="Arial"/>
          <w:i/>
          <w:spacing w:val="-4"/>
          <w:sz w:val="20"/>
        </w:rPr>
        <w:t>559</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bookmarkStart w:name="_bookmark1811" w:id="1813"/>
      <w:bookmarkEnd w:id="1813"/>
      <w:r>
        <w:rPr/>
      </w:r>
      <w:hyperlink w:history="true" w:anchor="_bookmark1737">
        <w:r>
          <w:rPr>
            <w:color w:val="005DA1"/>
            <w:spacing w:val="-4"/>
            <w:position w:val="5"/>
            <w:sz w:val="14"/>
            <w:u w:val="single" w:color="005DA1"/>
          </w:rPr>
          <w:t>934</w:t>
        </w:r>
      </w:hyperlink>
      <w:r>
        <w:rPr>
          <w:spacing w:val="-4"/>
          <w:position w:val="5"/>
          <w:sz w:val="14"/>
        </w:rPr>
        <w:t>.</w:t>
      </w:r>
      <w:r>
        <w:rPr>
          <w:position w:val="5"/>
          <w:sz w:val="14"/>
        </w:rPr>
        <w:tab/>
      </w:r>
      <w:r>
        <w:rPr>
          <w:rFonts w:ascii="Arial" w:hAnsi="Arial"/>
          <w:i/>
          <w:sz w:val="20"/>
        </w:rPr>
        <w:t>Hanjin</w:t>
      </w:r>
      <w:r>
        <w:rPr>
          <w:rFonts w:ascii="Arial" w:hAnsi="Arial"/>
          <w:i/>
          <w:spacing w:val="12"/>
          <w:sz w:val="20"/>
        </w:rPr>
        <w:t> </w:t>
      </w:r>
      <w:r>
        <w:rPr>
          <w:rFonts w:ascii="Arial" w:hAnsi="Arial"/>
          <w:i/>
          <w:sz w:val="20"/>
        </w:rPr>
        <w:t>Shipping</w:t>
      </w:r>
      <w:r>
        <w:rPr>
          <w:rFonts w:ascii="Arial" w:hAnsi="Arial"/>
          <w:i/>
          <w:spacing w:val="12"/>
          <w:sz w:val="20"/>
        </w:rPr>
        <w:t> </w:t>
      </w:r>
      <w:r>
        <w:rPr>
          <w:rFonts w:ascii="Arial" w:hAnsi="Arial"/>
          <w:i/>
          <w:sz w:val="20"/>
        </w:rPr>
        <w:t>Co</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Zenith</w:t>
      </w:r>
      <w:r>
        <w:rPr>
          <w:rFonts w:ascii="Arial" w:hAnsi="Arial"/>
          <w:i/>
          <w:spacing w:val="12"/>
          <w:sz w:val="20"/>
        </w:rPr>
        <w:t> </w:t>
      </w:r>
      <w:r>
        <w:rPr>
          <w:rFonts w:ascii="Arial" w:hAnsi="Arial"/>
          <w:i/>
          <w:sz w:val="20"/>
        </w:rPr>
        <w:t>Chartering</w:t>
      </w:r>
      <w:r>
        <w:rPr>
          <w:rFonts w:ascii="Arial" w:hAnsi="Arial"/>
          <w:i/>
          <w:spacing w:val="12"/>
          <w:sz w:val="20"/>
        </w:rPr>
        <w:t> </w:t>
      </w:r>
      <w:r>
        <w:rPr>
          <w:rFonts w:ascii="Arial" w:hAnsi="Arial"/>
          <w:i/>
          <w:sz w:val="20"/>
        </w:rPr>
        <w:t>Corp</w:t>
      </w:r>
      <w:r>
        <w:rPr>
          <w:rFonts w:ascii="Arial" w:hAnsi="Arial"/>
          <w:i/>
          <w:spacing w:val="12"/>
          <w:sz w:val="20"/>
        </w:rPr>
        <w:t> </w:t>
      </w:r>
      <w:r>
        <w:rPr>
          <w:rFonts w:ascii="Arial" w:hAnsi="Arial"/>
          <w:i/>
          <w:sz w:val="20"/>
        </w:rPr>
        <w:t>(The</w:t>
      </w:r>
      <w:r>
        <w:rPr>
          <w:rFonts w:ascii="Arial" w:hAnsi="Arial"/>
          <w:i/>
          <w:spacing w:val="12"/>
          <w:sz w:val="20"/>
        </w:rPr>
        <w:t> </w:t>
      </w:r>
      <w:r>
        <w:rPr>
          <w:rFonts w:ascii="Arial" w:hAnsi="Arial"/>
          <w:i/>
          <w:sz w:val="20"/>
        </w:rPr>
        <w:t>Mercedes</w:t>
      </w:r>
      <w:r>
        <w:rPr>
          <w:rFonts w:ascii="Arial" w:hAnsi="Arial"/>
          <w:i/>
          <w:spacing w:val="12"/>
          <w:sz w:val="20"/>
        </w:rPr>
        <w:t> </w:t>
      </w:r>
      <w:r>
        <w:rPr>
          <w:rFonts w:ascii="Arial" w:hAnsi="Arial"/>
          <w:i/>
          <w:sz w:val="20"/>
        </w:rPr>
        <w:t>Envoy)</w:t>
      </w:r>
      <w:r>
        <w:rPr>
          <w:rFonts w:ascii="Arial" w:hAnsi="Arial"/>
          <w:i/>
          <w:spacing w:val="12"/>
          <w:sz w:val="20"/>
        </w:rPr>
        <w:t> </w:t>
      </w:r>
      <w:r>
        <w:rPr>
          <w:rFonts w:ascii="Arial" w:hAnsi="Arial"/>
          <w:i/>
          <w:sz w:val="20"/>
        </w:rPr>
        <w:t>[1995]</w:t>
      </w:r>
      <w:r>
        <w:rPr>
          <w:rFonts w:ascii="Arial" w:hAnsi="Arial"/>
          <w:i/>
          <w:spacing w:val="12"/>
          <w:sz w:val="20"/>
        </w:rPr>
        <w:t> </w:t>
      </w:r>
      <w:r>
        <w:rPr>
          <w:rFonts w:ascii="Arial" w:hAnsi="Arial"/>
          <w:i/>
          <w:sz w:val="20"/>
        </w:rPr>
        <w:t>2</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pacing w:val="-4"/>
          <w:sz w:val="20"/>
        </w:rPr>
        <w:t>Rep.</w:t>
      </w:r>
    </w:p>
    <w:p>
      <w:pPr>
        <w:spacing w:line="227" w:lineRule="exact" w:before="0"/>
        <w:ind w:left="705" w:right="0" w:firstLine="0"/>
        <w:jc w:val="left"/>
        <w:rPr>
          <w:sz w:val="20"/>
        </w:rPr>
      </w:pPr>
      <w:r>
        <w:rPr>
          <w:rFonts w:ascii="Arial"/>
          <w:i/>
          <w:sz w:val="20"/>
        </w:rPr>
        <w:t>559</w:t>
      </w:r>
      <w:r>
        <w:rPr>
          <w:rFonts w:ascii="Arial"/>
          <w:i/>
          <w:spacing w:val="-1"/>
          <w:sz w:val="20"/>
        </w:rPr>
        <w:t> </w:t>
      </w:r>
      <w:r>
        <w:rPr>
          <w:sz w:val="20"/>
        </w:rPr>
        <w:t>at </w:t>
      </w:r>
      <w:r>
        <w:rPr>
          <w:spacing w:val="-4"/>
          <w:sz w:val="20"/>
        </w:rPr>
        <w:t>564.</w:t>
      </w:r>
    </w:p>
    <w:p>
      <w:pPr>
        <w:pStyle w:val="BodyText"/>
        <w:spacing w:before="5"/>
      </w:pPr>
    </w:p>
    <w:p>
      <w:pPr>
        <w:tabs>
          <w:tab w:pos="705" w:val="left" w:leader="none"/>
        </w:tabs>
        <w:spacing w:before="0"/>
        <w:ind w:left="165" w:right="0" w:firstLine="0"/>
        <w:jc w:val="left"/>
        <w:rPr>
          <w:sz w:val="20"/>
        </w:rPr>
      </w:pPr>
      <w:bookmarkStart w:name="_bookmark1812" w:id="1814"/>
      <w:bookmarkEnd w:id="1814"/>
      <w:r>
        <w:rPr/>
      </w:r>
      <w:hyperlink w:history="true" w:anchor="_bookmark1738">
        <w:r>
          <w:rPr>
            <w:color w:val="005DA1"/>
            <w:spacing w:val="-4"/>
            <w:position w:val="5"/>
            <w:sz w:val="14"/>
            <w:u w:val="single" w:color="005DA1"/>
          </w:rPr>
          <w:t>935</w:t>
        </w:r>
      </w:hyperlink>
      <w:r>
        <w:rPr>
          <w:spacing w:val="-4"/>
          <w:position w:val="5"/>
          <w:sz w:val="14"/>
        </w:rPr>
        <w:t>.</w:t>
      </w:r>
      <w:r>
        <w:rPr>
          <w:position w:val="5"/>
          <w:sz w:val="14"/>
        </w:rPr>
        <w:tab/>
      </w:r>
      <w:r>
        <w:rPr>
          <w:rFonts w:ascii="Arial"/>
          <w:i/>
          <w:sz w:val="20"/>
        </w:rPr>
        <w:t>[2001] EWCA Civ 274, [2002] 1 All E.R. (Comm) </w:t>
      </w:r>
      <w:r>
        <w:rPr>
          <w:rFonts w:ascii="Arial"/>
          <w:i/>
          <w:spacing w:val="-4"/>
          <w:sz w:val="20"/>
        </w:rPr>
        <w:t>737</w:t>
      </w:r>
      <w:r>
        <w:rPr>
          <w:spacing w:val="-4"/>
          <w:sz w:val="20"/>
        </w:rPr>
        <w:t>.</w:t>
      </w:r>
    </w:p>
    <w:p>
      <w:pPr>
        <w:pStyle w:val="BodyText"/>
        <w:spacing w:before="5"/>
      </w:pPr>
    </w:p>
    <w:p>
      <w:pPr>
        <w:pStyle w:val="BodyText"/>
        <w:tabs>
          <w:tab w:pos="705" w:val="left" w:leader="none"/>
        </w:tabs>
        <w:ind w:left="165"/>
      </w:pPr>
      <w:bookmarkStart w:name="_bookmark1813" w:id="1815"/>
      <w:bookmarkEnd w:id="1815"/>
      <w:r>
        <w:rPr/>
      </w:r>
      <w:hyperlink w:history="true" w:anchor="_bookmark1739">
        <w:r>
          <w:rPr>
            <w:color w:val="005DA1"/>
            <w:spacing w:val="-4"/>
            <w:position w:val="5"/>
            <w:sz w:val="14"/>
            <w:u w:val="single" w:color="005DA1"/>
          </w:rPr>
          <w:t>936</w:t>
        </w:r>
      </w:hyperlink>
      <w:r>
        <w:rPr>
          <w:spacing w:val="-4"/>
          <w:position w:val="5"/>
          <w:sz w:val="14"/>
        </w:rPr>
        <w:t>.</w:t>
      </w:r>
      <w:r>
        <w:rPr>
          <w:position w:val="5"/>
          <w:sz w:val="14"/>
        </w:rPr>
        <w:tab/>
      </w:r>
      <w:r>
        <w:rPr/>
        <w:t>For the alternative basis of the claim on the ground of estoppel, see below, para.4-</w:t>
      </w:r>
      <w:r>
        <w:rPr>
          <w:spacing w:val="-4"/>
        </w:rPr>
        <w:t>099.</w:t>
      </w:r>
    </w:p>
    <w:p>
      <w:pPr>
        <w:pStyle w:val="BodyText"/>
        <w:spacing w:before="5"/>
      </w:pPr>
    </w:p>
    <w:p>
      <w:pPr>
        <w:tabs>
          <w:tab w:pos="705" w:val="left" w:leader="none"/>
        </w:tabs>
        <w:spacing w:before="0"/>
        <w:ind w:left="165" w:right="0" w:firstLine="0"/>
        <w:jc w:val="left"/>
        <w:rPr>
          <w:sz w:val="20"/>
        </w:rPr>
      </w:pPr>
      <w:bookmarkStart w:name="_bookmark1814" w:id="1816"/>
      <w:bookmarkEnd w:id="1816"/>
      <w:r>
        <w:rPr/>
      </w:r>
      <w:hyperlink w:history="true" w:anchor="_bookmark1740">
        <w:r>
          <w:rPr>
            <w:color w:val="005DA1"/>
            <w:spacing w:val="-4"/>
            <w:position w:val="5"/>
            <w:sz w:val="14"/>
            <w:u w:val="single" w:color="005DA1"/>
          </w:rPr>
          <w:t>937</w:t>
        </w:r>
      </w:hyperlink>
      <w:r>
        <w:rPr>
          <w:spacing w:val="-4"/>
          <w:position w:val="5"/>
          <w:sz w:val="14"/>
        </w:rPr>
        <w:t>.</w:t>
      </w:r>
      <w:r>
        <w:rPr>
          <w:position w:val="5"/>
          <w:sz w:val="14"/>
        </w:rPr>
        <w:tab/>
      </w:r>
      <w:r>
        <w:rPr>
          <w:rFonts w:ascii="Arial"/>
          <w:i/>
          <w:sz w:val="20"/>
        </w:rPr>
        <w:t>Baird</w:t>
      </w:r>
      <w:r>
        <w:rPr>
          <w:rFonts w:ascii="Arial"/>
          <w:i/>
          <w:spacing w:val="-1"/>
          <w:sz w:val="20"/>
        </w:rPr>
        <w:t> </w:t>
      </w:r>
      <w:r>
        <w:rPr>
          <w:sz w:val="20"/>
        </w:rPr>
        <w:t>case, above n.910, at [30], [47], </w:t>
      </w:r>
      <w:r>
        <w:rPr>
          <w:spacing w:val="-2"/>
          <w:sz w:val="20"/>
        </w:rPr>
        <w:t>[69].</w:t>
      </w:r>
    </w:p>
    <w:p>
      <w:pPr>
        <w:pStyle w:val="BodyText"/>
        <w:spacing w:before="5"/>
      </w:pPr>
    </w:p>
    <w:p>
      <w:pPr>
        <w:pStyle w:val="BodyText"/>
        <w:tabs>
          <w:tab w:pos="705" w:val="left" w:leader="none"/>
        </w:tabs>
        <w:ind w:left="165"/>
      </w:pPr>
      <w:bookmarkStart w:name="_bookmark1815" w:id="1817"/>
      <w:bookmarkEnd w:id="1817"/>
      <w:r>
        <w:rPr/>
      </w:r>
      <w:hyperlink w:history="true" w:anchor="_bookmark1740">
        <w:r>
          <w:rPr>
            <w:color w:val="005DA1"/>
            <w:spacing w:val="-4"/>
            <w:position w:val="5"/>
            <w:sz w:val="14"/>
            <w:u w:val="single" w:color="005DA1"/>
          </w:rPr>
          <w:t>938</w:t>
        </w:r>
      </w:hyperlink>
      <w:r>
        <w:rPr>
          <w:spacing w:val="-4"/>
          <w:position w:val="5"/>
          <w:sz w:val="14"/>
        </w:rPr>
        <w:t>.</w:t>
      </w:r>
      <w:r>
        <w:rPr>
          <w:position w:val="5"/>
          <w:sz w:val="14"/>
        </w:rPr>
        <w:tab/>
      </w:r>
      <w:r>
        <w:rPr/>
        <w:t>For another such factor, see below, para.2-</w:t>
      </w:r>
      <w:r>
        <w:rPr>
          <w:spacing w:val="-4"/>
        </w:rPr>
        <w:t>194.</w:t>
      </w:r>
    </w:p>
    <w:p>
      <w:pPr>
        <w:pStyle w:val="BodyText"/>
        <w:spacing w:before="5"/>
      </w:pPr>
    </w:p>
    <w:p>
      <w:pPr>
        <w:tabs>
          <w:tab w:pos="705" w:val="left" w:leader="none"/>
        </w:tabs>
        <w:spacing w:before="0"/>
        <w:ind w:left="165" w:right="0" w:firstLine="0"/>
        <w:jc w:val="left"/>
        <w:rPr>
          <w:sz w:val="20"/>
        </w:rPr>
      </w:pPr>
      <w:bookmarkStart w:name="_bookmark1816" w:id="1818"/>
      <w:bookmarkEnd w:id="1818"/>
      <w:r>
        <w:rPr/>
      </w:r>
      <w:hyperlink w:history="true" w:anchor="_bookmark1741">
        <w:r>
          <w:rPr>
            <w:color w:val="005DA1"/>
            <w:spacing w:val="-4"/>
            <w:position w:val="5"/>
            <w:sz w:val="14"/>
            <w:u w:val="single" w:color="005DA1"/>
          </w:rPr>
          <w:t>939</w:t>
        </w:r>
      </w:hyperlink>
      <w:r>
        <w:rPr>
          <w:spacing w:val="-4"/>
          <w:position w:val="5"/>
          <w:sz w:val="14"/>
        </w:rPr>
        <w:t>.</w:t>
      </w:r>
      <w:r>
        <w:rPr>
          <w:position w:val="5"/>
          <w:sz w:val="14"/>
        </w:rPr>
        <w:tab/>
      </w:r>
      <w:r>
        <w:rPr>
          <w:rFonts w:ascii="Arial"/>
          <w:i/>
          <w:sz w:val="20"/>
        </w:rPr>
        <w:t>Baird</w:t>
      </w:r>
      <w:r>
        <w:rPr>
          <w:rFonts w:ascii="Arial"/>
          <w:i/>
          <w:spacing w:val="-1"/>
          <w:sz w:val="20"/>
        </w:rPr>
        <w:t> </w:t>
      </w:r>
      <w:r>
        <w:rPr>
          <w:sz w:val="20"/>
        </w:rPr>
        <w:t>case, above n.910, at [10], [46], </w:t>
      </w:r>
      <w:r>
        <w:rPr>
          <w:spacing w:val="-2"/>
          <w:sz w:val="20"/>
        </w:rPr>
        <w:t>[73].</w:t>
      </w:r>
    </w:p>
    <w:p>
      <w:pPr>
        <w:pStyle w:val="BodyText"/>
        <w:spacing w:before="9"/>
      </w:pPr>
    </w:p>
    <w:p>
      <w:pPr>
        <w:spacing w:line="235" w:lineRule="auto" w:before="0"/>
        <w:ind w:left="705" w:right="167" w:hanging="541"/>
        <w:jc w:val="both"/>
        <w:rPr>
          <w:sz w:val="20"/>
        </w:rPr>
      </w:pPr>
      <w:bookmarkStart w:name="_bookmark1817" w:id="1819"/>
      <w:bookmarkEnd w:id="1819"/>
      <w:r>
        <w:rPr/>
      </w:r>
      <w:hyperlink w:history="true" w:anchor="_bookmark1742">
        <w:r>
          <w:rPr>
            <w:color w:val="005DA1"/>
            <w:position w:val="5"/>
            <w:sz w:val="14"/>
            <w:u w:val="single" w:color="005DA1"/>
          </w:rPr>
          <w:t>940</w:t>
        </w:r>
      </w:hyperlink>
      <w:r>
        <w:rPr>
          <w:position w:val="5"/>
          <w:sz w:val="14"/>
        </w:rPr>
        <w:t>.</w:t>
      </w:r>
      <w:r>
        <w:rPr>
          <w:spacing w:val="40"/>
          <w:position w:val="5"/>
          <w:sz w:val="14"/>
        </w:rPr>
        <w:t>  </w:t>
      </w:r>
      <w:r>
        <w:rPr>
          <w:rFonts w:ascii="Arial"/>
          <w:i/>
          <w:sz w:val="20"/>
        </w:rPr>
        <w:t>Baird </w:t>
      </w:r>
      <w:r>
        <w:rPr>
          <w:sz w:val="20"/>
        </w:rPr>
        <w:t>case, above n.910, at [30], [47], [73], [74]; cf. </w:t>
      </w:r>
      <w:r>
        <w:rPr>
          <w:rFonts w:ascii="Arial"/>
          <w:i/>
          <w:sz w:val="20"/>
        </w:rPr>
        <w:t>Alstom Transport v Tilson [2010] EWCA Civ 1308, [2010] I.R.L.R. 169 </w:t>
      </w:r>
      <w:r>
        <w:rPr>
          <w:sz w:val="20"/>
        </w:rPr>
        <w:t>at [50] (no implied contract where one party had actually refused to enter into an express contract with the other).</w:t>
      </w:r>
    </w:p>
    <w:p>
      <w:pPr>
        <w:pStyle w:val="BodyText"/>
        <w:spacing w:before="8"/>
      </w:pPr>
    </w:p>
    <w:p>
      <w:pPr>
        <w:spacing w:line="235" w:lineRule="auto" w:before="1"/>
        <w:ind w:left="705" w:right="167" w:hanging="541"/>
        <w:jc w:val="both"/>
        <w:rPr>
          <w:sz w:val="20"/>
        </w:rPr>
      </w:pPr>
      <w:bookmarkStart w:name="_bookmark1818" w:id="1820"/>
      <w:bookmarkEnd w:id="1820"/>
      <w:r>
        <w:rPr/>
      </w:r>
      <w:hyperlink w:history="true" w:anchor="_bookmark1743">
        <w:r>
          <w:rPr>
            <w:color w:val="005DA1"/>
            <w:position w:val="5"/>
            <w:sz w:val="14"/>
            <w:u w:val="single" w:color="005DA1"/>
          </w:rPr>
          <w:t>941</w:t>
        </w:r>
      </w:hyperlink>
      <w:r>
        <w:rPr>
          <w:position w:val="5"/>
          <w:sz w:val="14"/>
        </w:rPr>
        <w:t>.</w:t>
      </w:r>
      <w:r>
        <w:rPr>
          <w:spacing w:val="80"/>
          <w:position w:val="5"/>
          <w:sz w:val="14"/>
        </w:rPr>
        <w:t> </w:t>
      </w:r>
      <w:r>
        <w:rPr>
          <w:rFonts w:ascii="Arial" w:hAnsi="Arial"/>
          <w:i/>
          <w:sz w:val="20"/>
        </w:rPr>
        <w:t>Baird </w:t>
      </w:r>
      <w:r>
        <w:rPr>
          <w:sz w:val="20"/>
        </w:rPr>
        <w:t>case, above n.910 at [76]. For somewhat similar reasoning, see </w:t>
      </w:r>
      <w:r>
        <w:rPr>
          <w:rFonts w:ascii="Arial" w:hAnsi="Arial"/>
          <w:i/>
          <w:sz w:val="20"/>
        </w:rPr>
        <w:t>Raiffeisen Zentralbank Osterreich AG v Royal Bank of Scotland Plc [2010] EWHC 1392, [2011] 1 Lloyd’s Rep. 123</w:t>
      </w:r>
      <w:r>
        <w:rPr>
          <w:rFonts w:ascii="Arial" w:hAnsi="Arial"/>
          <w:i/>
          <w:spacing w:val="40"/>
          <w:sz w:val="20"/>
        </w:rPr>
        <w:t> </w:t>
      </w:r>
      <w:r>
        <w:rPr>
          <w:sz w:val="20"/>
        </w:rPr>
        <w:t>(oral assurances given by borrower to lender held not to be legally binding since to give </w:t>
      </w:r>
      <w:r>
        <w:rPr>
          <w:sz w:val="20"/>
        </w:rPr>
        <w:t>them contractual force would have defeated their commercial objective, which made it “important that they should </w:t>
      </w:r>
      <w:r>
        <w:rPr>
          <w:rFonts w:ascii="Arial" w:hAnsi="Arial"/>
          <w:i/>
          <w:sz w:val="20"/>
        </w:rPr>
        <w:t>not </w:t>
      </w:r>
      <w:r>
        <w:rPr>
          <w:sz w:val="20"/>
        </w:rPr>
        <w:t>have legal effect” (at [143])).</w:t>
      </w:r>
    </w:p>
    <w:p>
      <w:pPr>
        <w:pStyle w:val="BodyText"/>
        <w:spacing w:before="4"/>
      </w:pPr>
    </w:p>
    <w:p>
      <w:pPr>
        <w:tabs>
          <w:tab w:pos="705" w:val="left" w:leader="none"/>
        </w:tabs>
        <w:spacing w:before="0"/>
        <w:ind w:left="165" w:right="0" w:firstLine="0"/>
        <w:jc w:val="left"/>
        <w:rPr>
          <w:sz w:val="20"/>
        </w:rPr>
      </w:pPr>
      <w:bookmarkStart w:name="_bookmark1819" w:id="1821"/>
      <w:bookmarkEnd w:id="1821"/>
      <w:r>
        <w:rPr/>
      </w:r>
      <w:hyperlink w:history="true" w:anchor="_bookmark1744">
        <w:r>
          <w:rPr>
            <w:color w:val="005DA1"/>
            <w:spacing w:val="-4"/>
            <w:position w:val="5"/>
            <w:sz w:val="14"/>
            <w:u w:val="single" w:color="005DA1"/>
          </w:rPr>
          <w:t>942</w:t>
        </w:r>
      </w:hyperlink>
      <w:r>
        <w:rPr>
          <w:spacing w:val="-4"/>
          <w:position w:val="5"/>
          <w:sz w:val="14"/>
        </w:rPr>
        <w:t>.</w:t>
      </w:r>
      <w:r>
        <w:rPr>
          <w:position w:val="5"/>
          <w:sz w:val="14"/>
        </w:rPr>
        <w:tab/>
      </w:r>
      <w:r>
        <w:rPr>
          <w:rFonts w:ascii="Arial"/>
          <w:i/>
          <w:sz w:val="20"/>
        </w:rPr>
        <w:t>[2008] UKHL 55, [2008] 1 W.L.R. </w:t>
      </w:r>
      <w:r>
        <w:rPr>
          <w:rFonts w:ascii="Arial"/>
          <w:i/>
          <w:spacing w:val="-2"/>
          <w:sz w:val="20"/>
        </w:rPr>
        <w:t>1752</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820" w:id="1822"/>
      <w:bookmarkEnd w:id="1822"/>
      <w:r>
        <w:rPr/>
      </w:r>
      <w:hyperlink w:history="true" w:anchor="_bookmark1745">
        <w:r>
          <w:rPr>
            <w:color w:val="005DA1"/>
            <w:spacing w:val="-4"/>
            <w:position w:val="5"/>
            <w:sz w:val="14"/>
            <w:u w:val="single" w:color="005DA1"/>
          </w:rPr>
          <w:t>943</w:t>
        </w:r>
      </w:hyperlink>
      <w:r>
        <w:rPr>
          <w:spacing w:val="-4"/>
          <w:position w:val="5"/>
          <w:sz w:val="14"/>
        </w:rPr>
        <w:t>.</w:t>
      </w:r>
      <w:r>
        <w:rPr>
          <w:position w:val="5"/>
          <w:sz w:val="14"/>
        </w:rPr>
        <w:tab/>
      </w:r>
      <w:r>
        <w:rPr>
          <w:rFonts w:ascii="Arial"/>
          <w:i/>
          <w:sz w:val="20"/>
        </w:rPr>
        <w:t>[2008]</w:t>
      </w:r>
      <w:r>
        <w:rPr>
          <w:rFonts w:ascii="Arial"/>
          <w:i/>
          <w:spacing w:val="-2"/>
          <w:sz w:val="20"/>
        </w:rPr>
        <w:t> </w:t>
      </w:r>
      <w:r>
        <w:rPr>
          <w:rFonts w:ascii="Arial"/>
          <w:i/>
          <w:sz w:val="20"/>
        </w:rPr>
        <w:t>UKHL 55</w:t>
      </w:r>
      <w:r>
        <w:rPr>
          <w:rFonts w:ascii="Arial"/>
          <w:i/>
          <w:spacing w:val="-1"/>
          <w:sz w:val="20"/>
        </w:rPr>
        <w:t> </w:t>
      </w:r>
      <w:r>
        <w:rPr>
          <w:sz w:val="20"/>
        </w:rPr>
        <w:t>at [7], </w:t>
      </w:r>
      <w:r>
        <w:rPr>
          <w:spacing w:val="-2"/>
          <w:sz w:val="20"/>
        </w:rPr>
        <w:t>[71].</w:t>
      </w:r>
    </w:p>
    <w:p>
      <w:pPr>
        <w:pStyle w:val="BodyText"/>
        <w:spacing w:before="5"/>
      </w:pPr>
    </w:p>
    <w:p>
      <w:pPr>
        <w:tabs>
          <w:tab w:pos="705" w:val="left" w:leader="none"/>
        </w:tabs>
        <w:spacing w:before="0"/>
        <w:ind w:left="165" w:right="0" w:firstLine="0"/>
        <w:jc w:val="left"/>
        <w:rPr>
          <w:sz w:val="20"/>
        </w:rPr>
      </w:pPr>
      <w:bookmarkStart w:name="_bookmark1821" w:id="1823"/>
      <w:bookmarkEnd w:id="1823"/>
      <w:r>
        <w:rPr/>
      </w:r>
      <w:hyperlink w:history="true" w:anchor="_bookmark1746">
        <w:r>
          <w:rPr>
            <w:color w:val="005DA1"/>
            <w:spacing w:val="-4"/>
            <w:position w:val="5"/>
            <w:sz w:val="14"/>
            <w:u w:val="single" w:color="005DA1"/>
          </w:rPr>
          <w:t>944</w:t>
        </w:r>
      </w:hyperlink>
      <w:r>
        <w:rPr>
          <w:spacing w:val="-4"/>
          <w:position w:val="5"/>
          <w:sz w:val="14"/>
        </w:rPr>
        <w:t>.</w:t>
      </w:r>
      <w:r>
        <w:rPr>
          <w:position w:val="5"/>
          <w:sz w:val="14"/>
        </w:rPr>
        <w:tab/>
      </w:r>
      <w:r>
        <w:rPr>
          <w:rFonts w:ascii="Arial"/>
          <w:i/>
          <w:sz w:val="20"/>
        </w:rPr>
        <w:t>(1605)</w:t>
      </w:r>
      <w:r>
        <w:rPr>
          <w:rFonts w:ascii="Arial"/>
          <w:i/>
          <w:spacing w:val="-1"/>
          <w:sz w:val="20"/>
        </w:rPr>
        <w:t> </w:t>
      </w:r>
      <w:r>
        <w:rPr>
          <w:rFonts w:ascii="Arial"/>
          <w:i/>
          <w:sz w:val="20"/>
        </w:rPr>
        <w:t>Noy 11</w:t>
      </w:r>
      <w:r>
        <w:rPr>
          <w:sz w:val="20"/>
        </w:rPr>
        <w:t>; cf. </w:t>
      </w:r>
      <w:r>
        <w:rPr>
          <w:rFonts w:ascii="Arial"/>
          <w:i/>
          <w:sz w:val="20"/>
        </w:rPr>
        <w:t>Dalrymple v Dalrymple (1811) 2 Hag.Con. 54, </w:t>
      </w:r>
      <w:r>
        <w:rPr>
          <w:rFonts w:ascii="Arial"/>
          <w:i/>
          <w:spacing w:val="-4"/>
          <w:sz w:val="20"/>
        </w:rPr>
        <w:t>105</w:t>
      </w:r>
      <w:r>
        <w:rPr>
          <w:spacing w:val="-4"/>
          <w:sz w:val="20"/>
        </w:rPr>
        <w:t>.</w:t>
      </w:r>
    </w:p>
    <w:p>
      <w:pPr>
        <w:pStyle w:val="BodyText"/>
        <w:spacing w:before="9"/>
      </w:pPr>
    </w:p>
    <w:p>
      <w:pPr>
        <w:pStyle w:val="BodyText"/>
        <w:tabs>
          <w:tab w:pos="705" w:val="left" w:leader="none"/>
        </w:tabs>
        <w:spacing w:line="235" w:lineRule="auto"/>
        <w:ind w:left="705" w:right="168" w:hanging="541"/>
      </w:pPr>
      <w:bookmarkStart w:name="_bookmark1822" w:id="1824"/>
      <w:bookmarkEnd w:id="1824"/>
      <w:r>
        <w:rPr/>
      </w:r>
      <w:hyperlink w:history="true" w:anchor="_bookmark1747">
        <w:r>
          <w:rPr>
            <w:color w:val="005DA1"/>
            <w:spacing w:val="-4"/>
            <w:position w:val="5"/>
            <w:sz w:val="14"/>
            <w:u w:val="single" w:color="005DA1"/>
          </w:rPr>
          <w:t>945</w:t>
        </w:r>
      </w:hyperlink>
      <w:r>
        <w:rPr>
          <w:spacing w:val="-4"/>
          <w:position w:val="5"/>
          <w:sz w:val="14"/>
        </w:rPr>
        <w:t>.</w:t>
      </w:r>
      <w:r>
        <w:rPr>
          <w:position w:val="5"/>
          <w:sz w:val="14"/>
        </w:rPr>
        <w:tab/>
      </w:r>
      <w:r>
        <w:rPr>
          <w:rFonts w:ascii="Arial" w:hAnsi="Arial"/>
          <w:i/>
        </w:rPr>
        <w:t>[1982]</w:t>
      </w:r>
      <w:r>
        <w:rPr>
          <w:rFonts w:ascii="Arial" w:hAnsi="Arial"/>
          <w:i/>
          <w:spacing w:val="35"/>
        </w:rPr>
        <w:t> </w:t>
      </w:r>
      <w:r>
        <w:rPr>
          <w:rFonts w:ascii="Arial" w:hAnsi="Arial"/>
          <w:i/>
        </w:rPr>
        <w:t>A.C.</w:t>
      </w:r>
      <w:r>
        <w:rPr>
          <w:rFonts w:ascii="Arial" w:hAnsi="Arial"/>
          <w:i/>
          <w:spacing w:val="35"/>
        </w:rPr>
        <w:t> </w:t>
      </w:r>
      <w:r>
        <w:rPr>
          <w:rFonts w:ascii="Arial" w:hAnsi="Arial"/>
          <w:i/>
        </w:rPr>
        <w:t>225</w:t>
      </w:r>
      <w:r>
        <w:rPr>
          <w:rFonts w:ascii="Arial" w:hAnsi="Arial"/>
          <w:i/>
          <w:spacing w:val="35"/>
        </w:rPr>
        <w:t> </w:t>
      </w:r>
      <w:r>
        <w:rPr/>
        <w:t>affirmed</w:t>
      </w:r>
      <w:r>
        <w:rPr>
          <w:spacing w:val="35"/>
        </w:rPr>
        <w:t> </w:t>
      </w:r>
      <w:r>
        <w:rPr/>
        <w:t>so</w:t>
      </w:r>
      <w:r>
        <w:rPr>
          <w:spacing w:val="35"/>
        </w:rPr>
        <w:t> </w:t>
      </w:r>
      <w:r>
        <w:rPr/>
        <w:t>far</w:t>
      </w:r>
      <w:r>
        <w:rPr>
          <w:spacing w:val="35"/>
        </w:rPr>
        <w:t> </w:t>
      </w:r>
      <w:r>
        <w:rPr/>
        <w:t>as</w:t>
      </w:r>
      <w:r>
        <w:rPr>
          <w:spacing w:val="35"/>
        </w:rPr>
        <w:t> </w:t>
      </w:r>
      <w:r>
        <w:rPr/>
        <w:t>the</w:t>
      </w:r>
      <w:r>
        <w:rPr>
          <w:spacing w:val="35"/>
        </w:rPr>
        <w:t> </w:t>
      </w:r>
      <w:r>
        <w:rPr/>
        <w:t>manufacturer’s</w:t>
      </w:r>
      <w:r>
        <w:rPr>
          <w:spacing w:val="35"/>
        </w:rPr>
        <w:t> </w:t>
      </w:r>
      <w:r>
        <w:rPr/>
        <w:t>liability</w:t>
      </w:r>
      <w:r>
        <w:rPr>
          <w:spacing w:val="35"/>
        </w:rPr>
        <w:t> </w:t>
      </w:r>
      <w:r>
        <w:rPr/>
        <w:t>was</w:t>
      </w:r>
      <w:r>
        <w:rPr>
          <w:spacing w:val="35"/>
        </w:rPr>
        <w:t> </w:t>
      </w:r>
      <w:r>
        <w:rPr/>
        <w:t>concerned,</w:t>
      </w:r>
      <w:r>
        <w:rPr>
          <w:spacing w:val="35"/>
        </w:rPr>
        <w:t> </w:t>
      </w:r>
      <w:r>
        <w:rPr/>
        <w:t>but</w:t>
      </w:r>
      <w:r>
        <w:rPr>
          <w:spacing w:val="35"/>
        </w:rPr>
        <w:t> </w:t>
      </w:r>
      <w:r>
        <w:rPr/>
        <w:t>on</w:t>
      </w:r>
      <w:r>
        <w:rPr>
          <w:spacing w:val="35"/>
        </w:rPr>
        <w:t> </w:t>
      </w:r>
      <w:r>
        <w:rPr/>
        <w:t>other grounds at 271.</w:t>
      </w:r>
    </w:p>
    <w:p>
      <w:pPr>
        <w:pStyle w:val="BodyText"/>
        <w:spacing w:before="5"/>
      </w:pPr>
    </w:p>
    <w:p>
      <w:pPr>
        <w:tabs>
          <w:tab w:pos="705" w:val="left" w:leader="none"/>
        </w:tabs>
        <w:spacing w:line="227" w:lineRule="exact" w:before="0"/>
        <w:ind w:left="165" w:right="0" w:firstLine="0"/>
        <w:jc w:val="left"/>
        <w:rPr>
          <w:sz w:val="20"/>
        </w:rPr>
      </w:pPr>
      <w:bookmarkStart w:name="_bookmark1823" w:id="1825"/>
      <w:bookmarkEnd w:id="1825"/>
      <w:r>
        <w:rPr/>
      </w:r>
      <w:hyperlink w:history="true" w:anchor="_bookmark1748">
        <w:r>
          <w:rPr>
            <w:color w:val="005DA1"/>
            <w:spacing w:val="-4"/>
            <w:position w:val="5"/>
            <w:sz w:val="14"/>
            <w:u w:val="single" w:color="005DA1"/>
          </w:rPr>
          <w:t>946</w:t>
        </w:r>
      </w:hyperlink>
      <w:r>
        <w:rPr>
          <w:spacing w:val="-4"/>
          <w:position w:val="5"/>
          <w:sz w:val="14"/>
        </w:rPr>
        <w:t>.</w:t>
      </w:r>
      <w:r>
        <w:rPr>
          <w:position w:val="5"/>
          <w:sz w:val="14"/>
        </w:rPr>
        <w:tab/>
      </w:r>
      <w:r>
        <w:rPr>
          <w:rFonts w:ascii="Arial"/>
          <w:i/>
          <w:sz w:val="20"/>
        </w:rPr>
        <w:t>[1982]</w:t>
      </w:r>
      <w:r>
        <w:rPr>
          <w:rFonts w:ascii="Arial"/>
          <w:i/>
          <w:spacing w:val="35"/>
          <w:sz w:val="20"/>
        </w:rPr>
        <w:t> </w:t>
      </w:r>
      <w:r>
        <w:rPr>
          <w:rFonts w:ascii="Arial"/>
          <w:i/>
          <w:sz w:val="20"/>
        </w:rPr>
        <w:t>A.C.</w:t>
      </w:r>
      <w:r>
        <w:rPr>
          <w:rFonts w:ascii="Arial"/>
          <w:i/>
          <w:spacing w:val="36"/>
          <w:sz w:val="20"/>
        </w:rPr>
        <w:t> </w:t>
      </w:r>
      <w:r>
        <w:rPr>
          <w:rFonts w:ascii="Arial"/>
          <w:i/>
          <w:sz w:val="20"/>
        </w:rPr>
        <w:t>225,</w:t>
      </w:r>
      <w:r>
        <w:rPr>
          <w:rFonts w:ascii="Arial"/>
          <w:i/>
          <w:spacing w:val="36"/>
          <w:sz w:val="20"/>
        </w:rPr>
        <w:t> </w:t>
      </w:r>
      <w:r>
        <w:rPr>
          <w:rFonts w:ascii="Arial"/>
          <w:i/>
          <w:sz w:val="20"/>
        </w:rPr>
        <w:t>262</w:t>
      </w:r>
      <w:r>
        <w:rPr>
          <w:sz w:val="20"/>
        </w:rPr>
        <w:t>;</w:t>
      </w:r>
      <w:r>
        <w:rPr>
          <w:spacing w:val="36"/>
          <w:sz w:val="20"/>
        </w:rPr>
        <w:t> </w:t>
      </w:r>
      <w:r>
        <w:rPr>
          <w:sz w:val="20"/>
        </w:rPr>
        <w:t>contrast</w:t>
      </w:r>
      <w:r>
        <w:rPr>
          <w:spacing w:val="36"/>
          <w:sz w:val="20"/>
        </w:rPr>
        <w:t> </w:t>
      </w:r>
      <w:r>
        <w:rPr>
          <w:rFonts w:ascii="Arial"/>
          <w:i/>
          <w:sz w:val="20"/>
        </w:rPr>
        <w:t>Carlill</w:t>
      </w:r>
      <w:r>
        <w:rPr>
          <w:rFonts w:ascii="Arial"/>
          <w:i/>
          <w:spacing w:val="36"/>
          <w:sz w:val="20"/>
        </w:rPr>
        <w:t> </w:t>
      </w:r>
      <w:r>
        <w:rPr>
          <w:rFonts w:ascii="Arial"/>
          <w:i/>
          <w:sz w:val="20"/>
        </w:rPr>
        <w:t>v</w:t>
      </w:r>
      <w:r>
        <w:rPr>
          <w:rFonts w:ascii="Arial"/>
          <w:i/>
          <w:spacing w:val="36"/>
          <w:sz w:val="20"/>
        </w:rPr>
        <w:t> </w:t>
      </w:r>
      <w:r>
        <w:rPr>
          <w:rFonts w:ascii="Arial"/>
          <w:i/>
          <w:sz w:val="20"/>
        </w:rPr>
        <w:t>Carbolic</w:t>
      </w:r>
      <w:r>
        <w:rPr>
          <w:rFonts w:ascii="Arial"/>
          <w:i/>
          <w:spacing w:val="36"/>
          <w:sz w:val="20"/>
        </w:rPr>
        <w:t> </w:t>
      </w:r>
      <w:r>
        <w:rPr>
          <w:rFonts w:ascii="Arial"/>
          <w:i/>
          <w:sz w:val="20"/>
        </w:rPr>
        <w:t>Smoke</w:t>
      </w:r>
      <w:r>
        <w:rPr>
          <w:rFonts w:ascii="Arial"/>
          <w:i/>
          <w:spacing w:val="36"/>
          <w:sz w:val="20"/>
        </w:rPr>
        <w:t> </w:t>
      </w:r>
      <w:r>
        <w:rPr>
          <w:rFonts w:ascii="Arial"/>
          <w:i/>
          <w:sz w:val="20"/>
        </w:rPr>
        <w:t>Ball</w:t>
      </w:r>
      <w:r>
        <w:rPr>
          <w:rFonts w:ascii="Arial"/>
          <w:i/>
          <w:spacing w:val="36"/>
          <w:sz w:val="20"/>
        </w:rPr>
        <w:t> </w:t>
      </w:r>
      <w:r>
        <w:rPr>
          <w:rFonts w:ascii="Arial"/>
          <w:i/>
          <w:sz w:val="20"/>
        </w:rPr>
        <w:t>Co</w:t>
      </w:r>
      <w:r>
        <w:rPr>
          <w:rFonts w:ascii="Arial"/>
          <w:i/>
          <w:spacing w:val="36"/>
          <w:sz w:val="20"/>
        </w:rPr>
        <w:t> </w:t>
      </w:r>
      <w:r>
        <w:rPr>
          <w:rFonts w:ascii="Arial"/>
          <w:i/>
          <w:sz w:val="20"/>
        </w:rPr>
        <w:t>Ltd</w:t>
      </w:r>
      <w:r>
        <w:rPr>
          <w:rFonts w:ascii="Arial"/>
          <w:i/>
          <w:spacing w:val="36"/>
          <w:sz w:val="20"/>
        </w:rPr>
        <w:t> </w:t>
      </w:r>
      <w:r>
        <w:rPr>
          <w:rFonts w:ascii="Arial"/>
          <w:i/>
          <w:sz w:val="20"/>
        </w:rPr>
        <w:t>[1893]</w:t>
      </w:r>
      <w:r>
        <w:rPr>
          <w:rFonts w:ascii="Arial"/>
          <w:i/>
          <w:spacing w:val="36"/>
          <w:sz w:val="20"/>
        </w:rPr>
        <w:t> </w:t>
      </w:r>
      <w:r>
        <w:rPr>
          <w:rFonts w:ascii="Arial"/>
          <w:i/>
          <w:sz w:val="20"/>
        </w:rPr>
        <w:t>1</w:t>
      </w:r>
      <w:r>
        <w:rPr>
          <w:rFonts w:ascii="Arial"/>
          <w:i/>
          <w:spacing w:val="36"/>
          <w:sz w:val="20"/>
        </w:rPr>
        <w:t> </w:t>
      </w:r>
      <w:r>
        <w:rPr>
          <w:rFonts w:ascii="Arial"/>
          <w:i/>
          <w:sz w:val="20"/>
        </w:rPr>
        <w:t>Q.B.</w:t>
      </w:r>
      <w:r>
        <w:rPr>
          <w:rFonts w:ascii="Arial"/>
          <w:i/>
          <w:spacing w:val="36"/>
          <w:sz w:val="20"/>
        </w:rPr>
        <w:t> </w:t>
      </w:r>
      <w:r>
        <w:rPr>
          <w:rFonts w:ascii="Arial"/>
          <w:i/>
          <w:sz w:val="20"/>
        </w:rPr>
        <w:t>256</w:t>
      </w:r>
      <w:r>
        <w:rPr>
          <w:rFonts w:ascii="Arial"/>
          <w:i/>
          <w:spacing w:val="35"/>
          <w:sz w:val="20"/>
        </w:rPr>
        <w:t> </w:t>
      </w:r>
      <w:r>
        <w:rPr>
          <w:spacing w:val="-5"/>
          <w:sz w:val="20"/>
        </w:rPr>
        <w:t>and</w:t>
      </w:r>
    </w:p>
    <w:p>
      <w:pPr>
        <w:spacing w:line="227" w:lineRule="exact" w:before="0"/>
        <w:ind w:left="705" w:right="0" w:firstLine="0"/>
        <w:jc w:val="left"/>
        <w:rPr>
          <w:sz w:val="20"/>
        </w:rPr>
      </w:pPr>
      <w:r>
        <w:rPr>
          <w:rFonts w:ascii="Arial"/>
          <w:i/>
          <w:sz w:val="20"/>
        </w:rPr>
        <w:t>Bowerman</w:t>
      </w:r>
      <w:r>
        <w:rPr>
          <w:rFonts w:ascii="Arial"/>
          <w:i/>
          <w:spacing w:val="-1"/>
          <w:sz w:val="20"/>
        </w:rPr>
        <w:t> </w:t>
      </w:r>
      <w:r>
        <w:rPr>
          <w:rFonts w:ascii="Arial"/>
          <w:i/>
          <w:sz w:val="20"/>
        </w:rPr>
        <w:t>v Association of British Travel Agents [1995] N.L.J. 1815</w:t>
      </w:r>
      <w:r>
        <w:rPr>
          <w:sz w:val="20"/>
        </w:rPr>
        <w:t>, above, para.2-</w:t>
      </w:r>
      <w:r>
        <w:rPr>
          <w:spacing w:val="-4"/>
          <w:sz w:val="20"/>
        </w:rPr>
        <w:t>015.</w:t>
      </w:r>
    </w:p>
    <w:p>
      <w:pPr>
        <w:pStyle w:val="BodyText"/>
        <w:spacing w:before="9"/>
      </w:pPr>
    </w:p>
    <w:p>
      <w:pPr>
        <w:spacing w:line="235" w:lineRule="auto" w:before="0"/>
        <w:ind w:left="705" w:right="167" w:hanging="541"/>
        <w:jc w:val="both"/>
        <w:rPr>
          <w:sz w:val="20"/>
        </w:rPr>
      </w:pPr>
      <w:bookmarkStart w:name="_bookmark1824" w:id="1826"/>
      <w:bookmarkEnd w:id="1826"/>
      <w:r>
        <w:rPr/>
      </w:r>
      <w:hyperlink w:history="true" w:anchor="_bookmark1749">
        <w:r>
          <w:rPr>
            <w:color w:val="005DA1"/>
            <w:position w:val="5"/>
            <w:sz w:val="14"/>
            <w:u w:val="single" w:color="005DA1"/>
          </w:rPr>
          <w:t>947</w:t>
        </w:r>
      </w:hyperlink>
      <w:r>
        <w:rPr>
          <w:position w:val="5"/>
          <w:sz w:val="14"/>
        </w:rPr>
        <w:t>.</w:t>
      </w:r>
      <w:r>
        <w:rPr>
          <w:spacing w:val="40"/>
          <w:position w:val="5"/>
          <w:sz w:val="14"/>
        </w:rPr>
        <w:t>  </w:t>
      </w:r>
      <w:r>
        <w:rPr>
          <w:rFonts w:ascii="Arial" w:hAnsi="Arial"/>
          <w:i/>
          <w:sz w:val="20"/>
        </w:rPr>
        <w:t>[1913] A.C. 30 </w:t>
      </w:r>
      <w:r>
        <w:rPr>
          <w:sz w:val="20"/>
        </w:rPr>
        <w:t>criticised by Atiyah, </w:t>
      </w:r>
      <w:r>
        <w:rPr>
          <w:rFonts w:ascii="Arial" w:hAnsi="Arial"/>
          <w:i/>
          <w:sz w:val="20"/>
        </w:rPr>
        <w:t>The Rise and Fall of Freedom of Contract</w:t>
      </w:r>
      <w:r>
        <w:rPr>
          <w:sz w:val="20"/>
        </w:rPr>
        <w:t>, p.772; but</w:t>
      </w:r>
      <w:r>
        <w:rPr>
          <w:spacing w:val="80"/>
          <w:sz w:val="20"/>
        </w:rPr>
        <w:t> </w:t>
      </w:r>
      <w:r>
        <w:rPr>
          <w:sz w:val="20"/>
        </w:rPr>
        <w:t>followed by the House of Lords in </w:t>
      </w:r>
      <w:r>
        <w:rPr>
          <w:rFonts w:ascii="Arial" w:hAnsi="Arial"/>
          <w:i/>
          <w:sz w:val="20"/>
        </w:rPr>
        <w:t>IBA v EMI Electronics Ltd (1980) 14 Build. L.R. 1</w:t>
      </w:r>
      <w:r>
        <w:rPr>
          <w:sz w:val="20"/>
        </w:rPr>
        <w:t>; cf. </w:t>
      </w:r>
      <w:r>
        <w:rPr>
          <w:rFonts w:ascii="Arial" w:hAnsi="Arial"/>
          <w:i/>
          <w:sz w:val="20"/>
        </w:rPr>
        <w:t>Strover</w:t>
      </w:r>
      <w:r>
        <w:rPr>
          <w:rFonts w:ascii="Arial" w:hAnsi="Arial"/>
          <w:i/>
          <w:spacing w:val="40"/>
          <w:sz w:val="20"/>
        </w:rPr>
        <w:t> </w:t>
      </w:r>
      <w:r>
        <w:rPr>
          <w:rFonts w:ascii="Arial" w:hAnsi="Arial"/>
          <w:i/>
          <w:sz w:val="20"/>
        </w:rPr>
        <w:t>v Harrington [1988] Ch. 390, 410</w:t>
      </w:r>
      <w:r>
        <w:rPr>
          <w:sz w:val="20"/>
        </w:rPr>
        <w:t>; </w:t>
      </w:r>
      <w:r>
        <w:rPr>
          <w:rFonts w:ascii="Arial" w:hAnsi="Arial"/>
          <w:i/>
          <w:sz w:val="20"/>
        </w:rPr>
        <w:t>Ignazio Messina &amp; Co v Polskie Linie Oceaniczne [1995] 2 Lloyd’s Rep. 566, 581</w:t>
      </w:r>
      <w:r>
        <w:rPr>
          <w:sz w:val="20"/>
        </w:rPr>
        <w:t>. The Regulations referred to in para.2-176 below would not apply on</w:t>
      </w:r>
      <w:r>
        <w:rPr>
          <w:spacing w:val="40"/>
          <w:sz w:val="20"/>
        </w:rPr>
        <w:t> </w:t>
      </w:r>
      <w:r>
        <w:rPr>
          <w:sz w:val="20"/>
        </w:rPr>
        <w:t>facts such as those of any of the cases cited in this note.</w:t>
      </w:r>
    </w:p>
    <w:p>
      <w:pPr>
        <w:pStyle w:val="BodyText"/>
        <w:spacing w:before="8"/>
      </w:pPr>
    </w:p>
    <w:p>
      <w:pPr>
        <w:spacing w:line="235" w:lineRule="auto" w:before="0"/>
        <w:ind w:left="705" w:right="167" w:hanging="541"/>
        <w:jc w:val="both"/>
        <w:rPr>
          <w:sz w:val="20"/>
        </w:rPr>
      </w:pPr>
      <w:bookmarkStart w:name="_bookmark1825" w:id="1827"/>
      <w:bookmarkEnd w:id="1827"/>
      <w:r>
        <w:rPr/>
      </w:r>
      <w:hyperlink w:history="true" w:anchor="_bookmark1750">
        <w:r>
          <w:rPr>
            <w:color w:val="005DA1"/>
            <w:position w:val="5"/>
            <w:sz w:val="14"/>
            <w:u w:val="single" w:color="005DA1"/>
          </w:rPr>
          <w:t>948</w:t>
        </w:r>
      </w:hyperlink>
      <w:r>
        <w:rPr>
          <w:position w:val="5"/>
          <w:sz w:val="14"/>
        </w:rPr>
        <w:t>.</w:t>
      </w:r>
      <w:r>
        <w:rPr>
          <w:spacing w:val="80"/>
          <w:position w:val="5"/>
          <w:sz w:val="14"/>
        </w:rPr>
        <w:t>  </w:t>
      </w:r>
      <w:r>
        <w:rPr>
          <w:rFonts w:ascii="Arial" w:hAnsi="Arial"/>
          <w:i/>
          <w:sz w:val="20"/>
        </w:rPr>
        <w:t>[1913] A.C. 30, 47</w:t>
      </w:r>
      <w:r>
        <w:rPr>
          <w:sz w:val="20"/>
        </w:rPr>
        <w:t>; </w:t>
      </w:r>
      <w:r>
        <w:rPr>
          <w:rFonts w:ascii="Arial" w:hAnsi="Arial"/>
          <w:i/>
          <w:sz w:val="20"/>
        </w:rPr>
        <w:t>Unit Construction Co Ltd v Liverpool Corp (1972) 221 E.G. 459</w:t>
      </w:r>
      <w:r>
        <w:rPr>
          <w:sz w:val="20"/>
        </w:rPr>
        <w:t>; </w:t>
      </w:r>
      <w:r>
        <w:rPr>
          <w:rFonts w:ascii="Arial" w:hAnsi="Arial"/>
          <w:i/>
          <w:sz w:val="20"/>
        </w:rPr>
        <w:t>Hispanica de Petroleos SA v Vencedora Oceanica Navegacion SA (The Kapetan Markos NL) [1987] 2 Lloyd’s Rep. 323, 332</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826" w:id="1828"/>
      <w:bookmarkEnd w:id="1828"/>
      <w:r>
        <w:rPr/>
      </w:r>
      <w:hyperlink w:history="true" w:anchor="_bookmark1751">
        <w:r>
          <w:rPr>
            <w:color w:val="005DA1"/>
            <w:spacing w:val="-4"/>
            <w:position w:val="5"/>
            <w:sz w:val="14"/>
            <w:u w:val="single" w:color="005DA1"/>
          </w:rPr>
          <w:t>949</w:t>
        </w:r>
      </w:hyperlink>
      <w:r>
        <w:rPr>
          <w:spacing w:val="-4"/>
          <w:position w:val="5"/>
          <w:sz w:val="14"/>
        </w:rPr>
        <w:t>.</w:t>
      </w:r>
      <w:r>
        <w:rPr>
          <w:position w:val="5"/>
          <w:sz w:val="14"/>
        </w:rPr>
        <w:tab/>
      </w:r>
      <w:r>
        <w:rPr>
          <w:rFonts w:ascii="Arial" w:hAnsi="Arial"/>
          <w:i/>
          <w:sz w:val="20"/>
        </w:rPr>
        <w:t>Inntrepreneur</w:t>
      </w:r>
      <w:r>
        <w:rPr>
          <w:rFonts w:ascii="Arial" w:hAnsi="Arial"/>
          <w:i/>
          <w:spacing w:val="29"/>
          <w:sz w:val="20"/>
        </w:rPr>
        <w:t> </w:t>
      </w:r>
      <w:r>
        <w:rPr>
          <w:rFonts w:ascii="Arial" w:hAnsi="Arial"/>
          <w:i/>
          <w:sz w:val="20"/>
        </w:rPr>
        <w:t>Pub</w:t>
      </w:r>
      <w:r>
        <w:rPr>
          <w:rFonts w:ascii="Arial" w:hAnsi="Arial"/>
          <w:i/>
          <w:spacing w:val="29"/>
          <w:sz w:val="20"/>
        </w:rPr>
        <w:t> </w:t>
      </w:r>
      <w:r>
        <w:rPr>
          <w:rFonts w:ascii="Arial" w:hAnsi="Arial"/>
          <w:i/>
          <w:sz w:val="20"/>
        </w:rPr>
        <w:t>Co</w:t>
      </w:r>
      <w:r>
        <w:rPr>
          <w:rFonts w:ascii="Arial" w:hAnsi="Arial"/>
          <w:i/>
          <w:spacing w:val="29"/>
          <w:sz w:val="20"/>
        </w:rPr>
        <w:t> </w:t>
      </w:r>
      <w:r>
        <w:rPr>
          <w:rFonts w:ascii="Arial" w:hAnsi="Arial"/>
          <w:i/>
          <w:sz w:val="20"/>
        </w:rPr>
        <w:t>(GL)</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East</w:t>
      </w:r>
      <w:r>
        <w:rPr>
          <w:rFonts w:ascii="Arial" w:hAnsi="Arial"/>
          <w:i/>
          <w:spacing w:val="29"/>
          <w:sz w:val="20"/>
        </w:rPr>
        <w:t> </w:t>
      </w:r>
      <w:r>
        <w:rPr>
          <w:rFonts w:ascii="Arial" w:hAnsi="Arial"/>
          <w:i/>
          <w:sz w:val="20"/>
        </w:rPr>
        <w:t>Crown</w:t>
      </w:r>
      <w:r>
        <w:rPr>
          <w:rFonts w:ascii="Arial" w:hAnsi="Arial"/>
          <w:i/>
          <w:spacing w:val="29"/>
          <w:sz w:val="20"/>
        </w:rPr>
        <w:t> </w:t>
      </w:r>
      <w:r>
        <w:rPr>
          <w:rFonts w:ascii="Arial" w:hAnsi="Arial"/>
          <w:i/>
          <w:sz w:val="20"/>
        </w:rPr>
        <w:t>Ltd</w:t>
      </w:r>
      <w:r>
        <w:rPr>
          <w:rFonts w:ascii="Arial" w:hAnsi="Arial"/>
          <w:i/>
          <w:spacing w:val="29"/>
          <w:sz w:val="20"/>
        </w:rPr>
        <w:t> </w:t>
      </w:r>
      <w:r>
        <w:rPr>
          <w:rFonts w:ascii="Arial" w:hAnsi="Arial"/>
          <w:i/>
          <w:sz w:val="20"/>
        </w:rPr>
        <w:t>[2000]</w:t>
      </w:r>
      <w:r>
        <w:rPr>
          <w:rFonts w:ascii="Arial" w:hAnsi="Arial"/>
          <w:i/>
          <w:spacing w:val="29"/>
          <w:sz w:val="20"/>
        </w:rPr>
        <w:t> </w:t>
      </w:r>
      <w:r>
        <w:rPr>
          <w:rFonts w:ascii="Arial" w:hAnsi="Arial"/>
          <w:i/>
          <w:sz w:val="20"/>
        </w:rPr>
        <w:t>2</w:t>
      </w:r>
      <w:r>
        <w:rPr>
          <w:rFonts w:ascii="Arial" w:hAnsi="Arial"/>
          <w:i/>
          <w:spacing w:val="29"/>
          <w:sz w:val="20"/>
        </w:rPr>
        <w:t> </w:t>
      </w:r>
      <w:r>
        <w:rPr>
          <w:rFonts w:ascii="Arial" w:hAnsi="Arial"/>
          <w:i/>
          <w:sz w:val="20"/>
        </w:rPr>
        <w:t>Lloyd’s</w:t>
      </w:r>
      <w:r>
        <w:rPr>
          <w:rFonts w:ascii="Arial" w:hAnsi="Arial"/>
          <w:i/>
          <w:spacing w:val="29"/>
          <w:sz w:val="20"/>
        </w:rPr>
        <w:t> </w:t>
      </w:r>
      <w:r>
        <w:rPr>
          <w:rFonts w:ascii="Arial" w:hAnsi="Arial"/>
          <w:i/>
          <w:sz w:val="20"/>
        </w:rPr>
        <w:t>Rep.</w:t>
      </w:r>
      <w:r>
        <w:rPr>
          <w:rFonts w:ascii="Arial" w:hAnsi="Arial"/>
          <w:i/>
          <w:spacing w:val="29"/>
          <w:sz w:val="20"/>
        </w:rPr>
        <w:t> </w:t>
      </w:r>
      <w:r>
        <w:rPr>
          <w:rFonts w:ascii="Arial" w:hAnsi="Arial"/>
          <w:i/>
          <w:sz w:val="20"/>
        </w:rPr>
        <w:t>611</w:t>
      </w:r>
      <w:r>
        <w:rPr>
          <w:rFonts w:ascii="Arial" w:hAnsi="Arial"/>
          <w:i/>
          <w:spacing w:val="28"/>
          <w:sz w:val="20"/>
        </w:rPr>
        <w:t> </w:t>
      </w:r>
      <w:r>
        <w:rPr>
          <w:sz w:val="20"/>
        </w:rPr>
        <w:t>at</w:t>
      </w:r>
      <w:r>
        <w:rPr>
          <w:spacing w:val="29"/>
          <w:sz w:val="20"/>
        </w:rPr>
        <w:t> </w:t>
      </w:r>
      <w:r>
        <w:rPr>
          <w:sz w:val="20"/>
        </w:rPr>
        <w:t>614;</w:t>
      </w:r>
      <w:r>
        <w:rPr>
          <w:spacing w:val="29"/>
          <w:sz w:val="20"/>
        </w:rPr>
        <w:t> </w:t>
      </w:r>
      <w:r>
        <w:rPr>
          <w:sz w:val="20"/>
        </w:rPr>
        <w:t>cf.</w:t>
      </w:r>
      <w:r>
        <w:rPr>
          <w:spacing w:val="29"/>
          <w:sz w:val="20"/>
        </w:rPr>
        <w:t> </w:t>
      </w:r>
      <w:r>
        <w:rPr>
          <w:rFonts w:ascii="Arial" w:hAnsi="Arial"/>
          <w:i/>
          <w:sz w:val="20"/>
        </w:rPr>
        <w:t>White</w:t>
      </w:r>
      <w:r>
        <w:rPr>
          <w:rFonts w:ascii="Arial" w:hAnsi="Arial"/>
          <w:i/>
          <w:spacing w:val="29"/>
          <w:sz w:val="20"/>
        </w:rPr>
        <w:t> </w:t>
      </w:r>
      <w:r>
        <w:rPr>
          <w:rFonts w:ascii="Arial" w:hAnsi="Arial"/>
          <w:i/>
          <w:sz w:val="20"/>
        </w:rPr>
        <w:t>v Bristol Rugby Club Ltd [2002] I.R.L.R. 2004</w:t>
      </w:r>
      <w:r>
        <w:rPr>
          <w:sz w:val="20"/>
        </w:rPr>
        <w:t>.</w:t>
      </w:r>
    </w:p>
    <w:p>
      <w:pPr>
        <w:pStyle w:val="BodyText"/>
        <w:spacing w:before="9"/>
      </w:pPr>
    </w:p>
    <w:p>
      <w:pPr>
        <w:tabs>
          <w:tab w:pos="705" w:val="left" w:leader="none"/>
        </w:tabs>
        <w:spacing w:line="235" w:lineRule="auto" w:before="0"/>
        <w:ind w:left="705" w:right="168" w:hanging="541"/>
        <w:jc w:val="left"/>
        <w:rPr>
          <w:sz w:val="20"/>
        </w:rPr>
      </w:pPr>
      <w:bookmarkStart w:name="_bookmark1827" w:id="1829"/>
      <w:bookmarkEnd w:id="1829"/>
      <w:r>
        <w:rPr/>
      </w:r>
      <w:hyperlink w:history="true" w:anchor="_bookmark1752">
        <w:r>
          <w:rPr>
            <w:color w:val="005DA1"/>
            <w:spacing w:val="-4"/>
            <w:position w:val="5"/>
            <w:sz w:val="14"/>
            <w:u w:val="single" w:color="005DA1"/>
          </w:rPr>
          <w:t>950</w:t>
        </w:r>
      </w:hyperlink>
      <w:r>
        <w:rPr>
          <w:spacing w:val="-4"/>
          <w:position w:val="5"/>
          <w:sz w:val="14"/>
        </w:rPr>
        <w:t>.</w:t>
      </w:r>
      <w:r>
        <w:rPr>
          <w:position w:val="5"/>
          <w:sz w:val="14"/>
        </w:rPr>
        <w:tab/>
      </w:r>
      <w:r>
        <w:rPr>
          <w:rFonts w:ascii="Arial"/>
          <w:i/>
          <w:sz w:val="20"/>
        </w:rPr>
        <w:t>Business Environment Bow Lane Ltd v Deanwater Estates Ltd [2007] EWCA Civ 622, </w:t>
      </w:r>
      <w:r>
        <w:rPr>
          <w:rFonts w:ascii="Arial"/>
          <w:i/>
          <w:sz w:val="20"/>
        </w:rPr>
        <w:t>[2007]</w:t>
      </w:r>
      <w:r>
        <w:rPr>
          <w:rFonts w:ascii="Arial"/>
          <w:i/>
          <w:spacing w:val="80"/>
          <w:sz w:val="20"/>
        </w:rPr>
        <w:t> </w:t>
      </w:r>
      <w:r>
        <w:rPr>
          <w:rFonts w:ascii="Arial"/>
          <w:i/>
          <w:sz w:val="20"/>
        </w:rPr>
        <w:t>NLJ 1263</w:t>
      </w:r>
      <w:r>
        <w:rPr>
          <w:sz w:val="20"/>
        </w:rPr>
        <w:t>.</w:t>
      </w:r>
    </w:p>
    <w:p>
      <w:pPr>
        <w:pStyle w:val="BodyText"/>
        <w:spacing w:before="9"/>
      </w:pPr>
    </w:p>
    <w:p>
      <w:pPr>
        <w:pStyle w:val="BodyText"/>
        <w:spacing w:line="235" w:lineRule="auto" w:before="1"/>
        <w:ind w:left="705" w:right="167" w:hanging="541"/>
        <w:jc w:val="both"/>
      </w:pPr>
      <w:bookmarkStart w:name="_bookmark1828" w:id="1830"/>
      <w:bookmarkEnd w:id="1830"/>
      <w:r>
        <w:rPr/>
      </w:r>
      <w:hyperlink w:history="true" w:anchor="_bookmark1753">
        <w:r>
          <w:rPr>
            <w:color w:val="005DA1"/>
            <w:position w:val="5"/>
            <w:sz w:val="14"/>
            <w:u w:val="single" w:color="005DA1"/>
          </w:rPr>
          <w:t>951</w:t>
        </w:r>
      </w:hyperlink>
      <w:r>
        <w:rPr>
          <w:position w:val="5"/>
          <w:sz w:val="14"/>
        </w:rPr>
        <w:t>.</w:t>
      </w:r>
      <w:r>
        <w:rPr>
          <w:spacing w:val="40"/>
          <w:position w:val="5"/>
          <w:sz w:val="14"/>
        </w:rPr>
        <w:t>  </w:t>
      </w:r>
      <w:r>
        <w:rPr/>
        <w:t>Under s.14(2D) of the Sale of Goods Act 1979, as inserted by the Sale and Supply of Goods </w:t>
      </w:r>
      <w:r>
        <w:rPr/>
        <w:t>to Consumers Regulations 2002 (SI 2002/3045) reg.3, implementing Directive 1999/44/EC. Statements</w:t>
      </w:r>
      <w:r>
        <w:rPr>
          <w:spacing w:val="11"/>
        </w:rPr>
        <w:t> </w:t>
      </w:r>
      <w:r>
        <w:rPr/>
        <w:t>such</w:t>
      </w:r>
      <w:r>
        <w:rPr>
          <w:spacing w:val="12"/>
        </w:rPr>
        <w:t> </w:t>
      </w:r>
      <w:r>
        <w:rPr/>
        <w:t>as</w:t>
      </w:r>
      <w:r>
        <w:rPr>
          <w:spacing w:val="12"/>
        </w:rPr>
        <w:t> </w:t>
      </w:r>
      <w:r>
        <w:rPr/>
        <w:t>those</w:t>
      </w:r>
      <w:r>
        <w:rPr>
          <w:spacing w:val="12"/>
        </w:rPr>
        <w:t> </w:t>
      </w:r>
      <w:r>
        <w:rPr/>
        <w:t>made</w:t>
      </w:r>
      <w:r>
        <w:rPr>
          <w:spacing w:val="12"/>
        </w:rPr>
        <w:t> </w:t>
      </w:r>
      <w:r>
        <w:rPr/>
        <w:t>in</w:t>
      </w:r>
      <w:r>
        <w:rPr>
          <w:spacing w:val="12"/>
        </w:rPr>
        <w:t> </w:t>
      </w:r>
      <w:r>
        <w:rPr>
          <w:rFonts w:ascii="Arial"/>
          <w:i/>
        </w:rPr>
        <w:t>Lambert</w:t>
      </w:r>
      <w:r>
        <w:rPr>
          <w:rFonts w:ascii="Arial"/>
          <w:i/>
          <w:spacing w:val="12"/>
        </w:rPr>
        <w:t> </w:t>
      </w:r>
      <w:r>
        <w:rPr>
          <w:rFonts w:ascii="Arial"/>
          <w:i/>
        </w:rPr>
        <w:t>v</w:t>
      </w:r>
      <w:r>
        <w:rPr>
          <w:rFonts w:ascii="Arial"/>
          <w:i/>
          <w:spacing w:val="12"/>
        </w:rPr>
        <w:t> </w:t>
      </w:r>
      <w:r>
        <w:rPr>
          <w:rFonts w:ascii="Arial"/>
          <w:i/>
        </w:rPr>
        <w:t>Lewis</w:t>
      </w:r>
      <w:r>
        <w:rPr/>
        <w:t>,</w:t>
      </w:r>
      <w:r>
        <w:rPr>
          <w:spacing w:val="12"/>
        </w:rPr>
        <w:t> </w:t>
      </w:r>
      <w:r>
        <w:rPr/>
        <w:t>above,</w:t>
      </w:r>
      <w:r>
        <w:rPr>
          <w:spacing w:val="12"/>
        </w:rPr>
        <w:t> </w:t>
      </w:r>
      <w:r>
        <w:rPr/>
        <w:t>would</w:t>
      </w:r>
      <w:r>
        <w:rPr>
          <w:spacing w:val="12"/>
        </w:rPr>
        <w:t> </w:t>
      </w:r>
      <w:r>
        <w:rPr/>
        <w:t>probably</w:t>
      </w:r>
      <w:r>
        <w:rPr>
          <w:spacing w:val="12"/>
        </w:rPr>
        <w:t> </w:t>
      </w:r>
      <w:r>
        <w:rPr/>
        <w:t>not</w:t>
      </w:r>
      <w:r>
        <w:rPr>
          <w:spacing w:val="12"/>
        </w:rPr>
        <w:t> </w:t>
      </w:r>
      <w:r>
        <w:rPr/>
        <w:t>be</w:t>
      </w:r>
      <w:r>
        <w:rPr>
          <w:spacing w:val="12"/>
        </w:rPr>
        <w:t> </w:t>
      </w:r>
      <w:r>
        <w:rPr>
          <w:spacing w:val="-2"/>
        </w:rPr>
        <w:t>sufficiently</w:t>
      </w:r>
    </w:p>
    <w:p>
      <w:pPr>
        <w:pStyle w:val="BodyText"/>
        <w:spacing w:after="0" w:line="235" w:lineRule="auto"/>
        <w:jc w:val="both"/>
        <w:sectPr>
          <w:pgSz w:w="11900" w:h="16840"/>
          <w:pgMar w:header="971" w:footer="0" w:top="1300" w:bottom="280" w:left="1275" w:right="1275"/>
        </w:sectPr>
      </w:pPr>
    </w:p>
    <w:p>
      <w:pPr>
        <w:pStyle w:val="BodyText"/>
        <w:spacing w:before="106"/>
        <w:ind w:left="705"/>
      </w:pPr>
      <w:r>
        <w:rPr/>
        <w:t>“specific” for this purpose. See above, para.2-</w:t>
      </w:r>
      <w:r>
        <w:rPr>
          <w:spacing w:val="-4"/>
        </w:rPr>
        <w:t>017.</w:t>
      </w:r>
    </w:p>
    <w:p>
      <w:pPr>
        <w:pStyle w:val="BodyText"/>
        <w:spacing w:before="9"/>
      </w:pPr>
    </w:p>
    <w:p>
      <w:pPr>
        <w:pStyle w:val="BodyText"/>
        <w:spacing w:line="235" w:lineRule="auto"/>
        <w:ind w:left="705" w:right="167" w:hanging="541"/>
        <w:jc w:val="both"/>
      </w:pPr>
      <w:bookmarkStart w:name="_bookmark1829" w:id="1831"/>
      <w:bookmarkEnd w:id="1831"/>
      <w:r>
        <w:rPr/>
      </w:r>
      <w:hyperlink w:history="true" w:anchor="_bookmark1754">
        <w:r>
          <w:rPr>
            <w:color w:val="005DA1"/>
            <w:position w:val="5"/>
            <w:sz w:val="14"/>
            <w:u w:val="single" w:color="005DA1"/>
          </w:rPr>
          <w:t>952</w:t>
        </w:r>
      </w:hyperlink>
      <w:r>
        <w:rPr>
          <w:position w:val="5"/>
          <w:sz w:val="14"/>
        </w:rPr>
        <w:t>.</w:t>
      </w:r>
      <w:r>
        <w:rPr>
          <w:spacing w:val="80"/>
          <w:position w:val="5"/>
          <w:sz w:val="14"/>
        </w:rPr>
        <w:t>  </w:t>
      </w:r>
      <w:r>
        <w:rPr/>
        <w:t>See Supply of Goods and Services Act 1982 s.4(2B), as inserted by reg.7 of the Regulations cited above and Supply of Goods (Implied Terms) Act 1973 s.10(2D) as inserted by reg.13 </w:t>
      </w:r>
      <w:r>
        <w:rPr/>
        <w:t>of those Regulations.</w:t>
      </w:r>
    </w:p>
    <w:p>
      <w:pPr>
        <w:pStyle w:val="BodyText"/>
        <w:spacing w:before="9"/>
      </w:pPr>
    </w:p>
    <w:p>
      <w:pPr>
        <w:pStyle w:val="BodyText"/>
        <w:spacing w:line="235" w:lineRule="auto"/>
        <w:ind w:left="705" w:right="167" w:hanging="541"/>
        <w:jc w:val="both"/>
      </w:pPr>
      <w:bookmarkStart w:name="_bookmark1830" w:id="1832"/>
      <w:bookmarkEnd w:id="1832"/>
      <w:r>
        <w:rPr/>
      </w:r>
      <w:hyperlink w:history="true" w:anchor="_bookmark1755">
        <w:r>
          <w:rPr>
            <w:color w:val="005DA1"/>
            <w:position w:val="5"/>
            <w:sz w:val="14"/>
            <w:u w:val="single" w:color="005DA1"/>
          </w:rPr>
          <w:t>953</w:t>
        </w:r>
      </w:hyperlink>
      <w:r>
        <w:rPr>
          <w:position w:val="5"/>
          <w:sz w:val="14"/>
        </w:rPr>
        <w:t>.</w:t>
      </w:r>
      <w:r>
        <w:rPr>
          <w:spacing w:val="40"/>
          <w:position w:val="5"/>
          <w:sz w:val="14"/>
        </w:rPr>
        <w:t>  </w:t>
      </w:r>
      <w:r>
        <w:rPr/>
        <w:t>The 2015 Act applies to contracts made on or after October 1, 2015. The Sale and Supply of Goods to Consumers Regulation 2002 (SI 2002/3045) are revoked (2015 Act s.60 and Sch.1 para.53); Sale of Goods Act 1979 s.14(2D) is omitted (2015 Act s.60, Sch.1 para.27; s.14(2D)</w:t>
      </w:r>
      <w:r>
        <w:rPr>
          <w:spacing w:val="40"/>
        </w:rPr>
        <w:t> </w:t>
      </w:r>
      <w:r>
        <w:rPr/>
        <w:t>is comprised in Pt 5A of the 1979 Act); the Supply of Goods and Services Act 1982 s.4(2B) is omitted (2015 Act s.60 and Sch.1 para.40); (4) the Supply of Goods (Implied Terms) Act 1973 s.10(2D) is omitted (2015 Act s.60 and Sch.1 para.3(2)).</w:t>
      </w:r>
    </w:p>
    <w:p>
      <w:pPr>
        <w:pStyle w:val="BodyText"/>
        <w:spacing w:before="4"/>
      </w:pPr>
    </w:p>
    <w:p>
      <w:pPr>
        <w:pStyle w:val="BodyText"/>
        <w:tabs>
          <w:tab w:pos="705" w:val="left" w:leader="none"/>
        </w:tabs>
        <w:spacing w:line="227" w:lineRule="exact"/>
        <w:ind w:left="165"/>
      </w:pPr>
      <w:bookmarkStart w:name="_bookmark1831" w:id="1833"/>
      <w:bookmarkEnd w:id="1833"/>
      <w:r>
        <w:rPr/>
      </w:r>
      <w:hyperlink w:history="true" w:anchor="_bookmark1755">
        <w:r>
          <w:rPr>
            <w:color w:val="005DA1"/>
            <w:spacing w:val="-4"/>
            <w:position w:val="5"/>
            <w:sz w:val="14"/>
            <w:u w:val="single" w:color="005DA1"/>
          </w:rPr>
          <w:t>954</w:t>
        </w:r>
      </w:hyperlink>
      <w:r>
        <w:rPr>
          <w:spacing w:val="-4"/>
          <w:position w:val="5"/>
          <w:sz w:val="14"/>
        </w:rPr>
        <w:t>.</w:t>
      </w:r>
      <w:r>
        <w:rPr>
          <w:position w:val="5"/>
          <w:sz w:val="14"/>
        </w:rPr>
        <w:tab/>
      </w:r>
      <w:r>
        <w:rPr/>
        <w:t>See</w:t>
      </w:r>
      <w:r>
        <w:rPr>
          <w:spacing w:val="32"/>
        </w:rPr>
        <w:t> </w:t>
      </w:r>
      <w:r>
        <w:rPr/>
        <w:t>ss.9(5)</w:t>
      </w:r>
      <w:r>
        <w:rPr>
          <w:spacing w:val="32"/>
        </w:rPr>
        <w:t> </w:t>
      </w:r>
      <w:r>
        <w:rPr/>
        <w:t>and</w:t>
      </w:r>
      <w:r>
        <w:rPr>
          <w:spacing w:val="32"/>
        </w:rPr>
        <w:t> </w:t>
      </w:r>
      <w:r>
        <w:rPr/>
        <w:t>(6),</w:t>
      </w:r>
      <w:r>
        <w:rPr>
          <w:spacing w:val="32"/>
        </w:rPr>
        <w:t> </w:t>
      </w:r>
      <w:r>
        <w:rPr/>
        <w:t>11(4),</w:t>
      </w:r>
      <w:r>
        <w:rPr>
          <w:spacing w:val="32"/>
        </w:rPr>
        <w:t> </w:t>
      </w:r>
      <w:r>
        <w:rPr/>
        <w:t>12(2),</w:t>
      </w:r>
      <w:r>
        <w:rPr>
          <w:spacing w:val="32"/>
        </w:rPr>
        <w:t> </w:t>
      </w:r>
      <w:r>
        <w:rPr/>
        <w:t>34(5)</w:t>
      </w:r>
      <w:r>
        <w:rPr>
          <w:spacing w:val="32"/>
        </w:rPr>
        <w:t> </w:t>
      </w:r>
      <w:r>
        <w:rPr/>
        <w:t>and</w:t>
      </w:r>
      <w:r>
        <w:rPr>
          <w:spacing w:val="32"/>
        </w:rPr>
        <w:t> </w:t>
      </w:r>
      <w:r>
        <w:rPr/>
        <w:t>(6),</w:t>
      </w:r>
      <w:r>
        <w:rPr>
          <w:spacing w:val="32"/>
        </w:rPr>
        <w:t> </w:t>
      </w:r>
      <w:r>
        <w:rPr/>
        <w:t>37(2),</w:t>
      </w:r>
      <w:r>
        <w:rPr>
          <w:spacing w:val="32"/>
        </w:rPr>
        <w:t> </w:t>
      </w:r>
      <w:r>
        <w:rPr/>
        <w:t>50(1)(a)</w:t>
      </w:r>
      <w:r>
        <w:rPr>
          <w:spacing w:val="32"/>
        </w:rPr>
        <w:t> </w:t>
      </w:r>
      <w:r>
        <w:rPr/>
        <w:t>and</w:t>
      </w:r>
      <w:r>
        <w:rPr>
          <w:spacing w:val="32"/>
        </w:rPr>
        <w:t> </w:t>
      </w:r>
      <w:r>
        <w:rPr/>
        <w:t>50(3)</w:t>
      </w:r>
      <w:r>
        <w:rPr>
          <w:spacing w:val="32"/>
        </w:rPr>
        <w:t> </w:t>
      </w:r>
      <w:r>
        <w:rPr/>
        <w:t>of</w:t>
      </w:r>
      <w:r>
        <w:rPr>
          <w:spacing w:val="32"/>
        </w:rPr>
        <w:t> </w:t>
      </w:r>
      <w:r>
        <w:rPr/>
        <w:t>the</w:t>
      </w:r>
      <w:r>
        <w:rPr>
          <w:spacing w:val="32"/>
        </w:rPr>
        <w:t> </w:t>
      </w:r>
      <w:r>
        <w:rPr>
          <w:spacing w:val="-2"/>
        </w:rPr>
        <w:t>Consumer</w:t>
      </w:r>
    </w:p>
    <w:p>
      <w:pPr>
        <w:pStyle w:val="BodyText"/>
        <w:spacing w:line="227" w:lineRule="exact"/>
        <w:ind w:left="705"/>
      </w:pPr>
      <w:r>
        <w:rPr/>
        <w:t>Rights Act </w:t>
      </w:r>
      <w:r>
        <w:rPr>
          <w:spacing w:val="-2"/>
        </w:rPr>
        <w:t>2015.</w:t>
      </w:r>
    </w:p>
    <w:p>
      <w:pPr>
        <w:pStyle w:val="BodyText"/>
        <w:spacing w:before="9"/>
      </w:pPr>
    </w:p>
    <w:p>
      <w:pPr>
        <w:pStyle w:val="BodyText"/>
        <w:tabs>
          <w:tab w:pos="705" w:val="left" w:leader="none"/>
        </w:tabs>
        <w:spacing w:line="235" w:lineRule="auto"/>
        <w:ind w:left="705" w:right="168" w:hanging="541"/>
      </w:pPr>
      <w:bookmarkStart w:name="_bookmark1832" w:id="1834"/>
      <w:bookmarkEnd w:id="1834"/>
      <w:r>
        <w:rPr/>
      </w:r>
      <w:hyperlink w:history="true" w:anchor="_bookmark1756">
        <w:r>
          <w:rPr>
            <w:color w:val="005DA1"/>
            <w:spacing w:val="-4"/>
            <w:position w:val="5"/>
            <w:sz w:val="14"/>
            <w:u w:val="single" w:color="005DA1"/>
          </w:rPr>
          <w:t>955</w:t>
        </w:r>
      </w:hyperlink>
      <w:r>
        <w:rPr>
          <w:spacing w:val="-4"/>
          <w:position w:val="5"/>
          <w:sz w:val="14"/>
        </w:rPr>
        <w:t>.</w:t>
      </w:r>
      <w:r>
        <w:rPr>
          <w:position w:val="5"/>
          <w:sz w:val="14"/>
        </w:rPr>
        <w:tab/>
      </w:r>
      <w:r>
        <w:rPr/>
        <w:t>Consumer</w:t>
      </w:r>
      <w:r>
        <w:rPr>
          <w:spacing w:val="34"/>
        </w:rPr>
        <w:t> </w:t>
      </w:r>
      <w:r>
        <w:rPr/>
        <w:t>Rights</w:t>
      </w:r>
      <w:r>
        <w:rPr>
          <w:spacing w:val="34"/>
        </w:rPr>
        <w:t> </w:t>
      </w:r>
      <w:r>
        <w:rPr/>
        <w:t>Act</w:t>
      </w:r>
      <w:r>
        <w:rPr>
          <w:spacing w:val="34"/>
        </w:rPr>
        <w:t> </w:t>
      </w:r>
      <w:r>
        <w:rPr/>
        <w:t>2015</w:t>
      </w:r>
      <w:r>
        <w:rPr>
          <w:spacing w:val="34"/>
        </w:rPr>
        <w:t> </w:t>
      </w:r>
      <w:r>
        <w:rPr/>
        <w:t>ss.9(5)</w:t>
      </w:r>
      <w:r>
        <w:rPr>
          <w:spacing w:val="34"/>
        </w:rPr>
        <w:t> </w:t>
      </w:r>
      <w:r>
        <w:rPr/>
        <w:t>and</w:t>
      </w:r>
      <w:r>
        <w:rPr>
          <w:spacing w:val="34"/>
        </w:rPr>
        <w:t> </w:t>
      </w:r>
      <w:r>
        <w:rPr/>
        <w:t>34(5)</w:t>
      </w:r>
      <w:r>
        <w:rPr>
          <w:spacing w:val="34"/>
        </w:rPr>
        <w:t> </w:t>
      </w:r>
      <w:r>
        <w:rPr/>
        <w:t>resemble</w:t>
      </w:r>
      <w:r>
        <w:rPr>
          <w:spacing w:val="34"/>
        </w:rPr>
        <w:t> </w:t>
      </w:r>
      <w:r>
        <w:rPr/>
        <w:t>the</w:t>
      </w:r>
      <w:r>
        <w:rPr>
          <w:spacing w:val="34"/>
        </w:rPr>
        <w:t> </w:t>
      </w:r>
      <w:r>
        <w:rPr/>
        <w:t>present</w:t>
      </w:r>
      <w:r>
        <w:rPr>
          <w:spacing w:val="34"/>
        </w:rPr>
        <w:t> </w:t>
      </w:r>
      <w:r>
        <w:rPr/>
        <w:t>s.14(2D)</w:t>
      </w:r>
      <w:r>
        <w:rPr>
          <w:spacing w:val="34"/>
        </w:rPr>
        <w:t> </w:t>
      </w:r>
      <w:r>
        <w:rPr/>
        <w:t>of</w:t>
      </w:r>
      <w:r>
        <w:rPr>
          <w:spacing w:val="34"/>
        </w:rPr>
        <w:t> </w:t>
      </w:r>
      <w:r>
        <w:rPr/>
        <w:t>the</w:t>
      </w:r>
      <w:r>
        <w:rPr>
          <w:spacing w:val="34"/>
        </w:rPr>
        <w:t> </w:t>
      </w:r>
      <w:r>
        <w:rPr/>
        <w:t>Sale</w:t>
      </w:r>
      <w:r>
        <w:rPr>
          <w:spacing w:val="34"/>
        </w:rPr>
        <w:t> </w:t>
      </w:r>
      <w:r>
        <w:rPr/>
        <w:t>of Goods Act 1979.</w:t>
      </w:r>
    </w:p>
    <w:p>
      <w:pPr>
        <w:pStyle w:val="BodyText"/>
        <w:spacing w:before="5"/>
      </w:pPr>
    </w:p>
    <w:p>
      <w:pPr>
        <w:tabs>
          <w:tab w:pos="705" w:val="left" w:leader="none"/>
        </w:tabs>
        <w:spacing w:before="0"/>
        <w:ind w:left="165" w:right="0" w:firstLine="0"/>
        <w:jc w:val="left"/>
        <w:rPr>
          <w:sz w:val="20"/>
        </w:rPr>
      </w:pPr>
      <w:bookmarkStart w:name="_bookmark1833" w:id="1835"/>
      <w:bookmarkEnd w:id="1835"/>
      <w:r>
        <w:rPr/>
      </w:r>
      <w:hyperlink w:history="true" w:anchor="_bookmark1757">
        <w:r>
          <w:rPr>
            <w:color w:val="005DA1"/>
            <w:spacing w:val="-4"/>
            <w:position w:val="5"/>
            <w:sz w:val="14"/>
            <w:u w:val="single" w:color="005DA1"/>
          </w:rPr>
          <w:t>956</w:t>
        </w:r>
      </w:hyperlink>
      <w:r>
        <w:rPr>
          <w:spacing w:val="-4"/>
          <w:position w:val="5"/>
          <w:sz w:val="14"/>
        </w:rPr>
        <w:t>.</w:t>
      </w:r>
      <w:r>
        <w:rPr>
          <w:position w:val="5"/>
          <w:sz w:val="14"/>
        </w:rPr>
        <w:tab/>
      </w:r>
      <w:r>
        <w:rPr>
          <w:sz w:val="20"/>
        </w:rPr>
        <w:t>SI </w:t>
      </w:r>
      <w:r>
        <w:rPr>
          <w:spacing w:val="-2"/>
          <w:sz w:val="20"/>
        </w:rPr>
        <w:t>2002/3045.</w:t>
      </w:r>
    </w:p>
    <w:p>
      <w:pPr>
        <w:pStyle w:val="BodyText"/>
        <w:spacing w:before="9"/>
      </w:pPr>
    </w:p>
    <w:p>
      <w:pPr>
        <w:pStyle w:val="BodyText"/>
        <w:spacing w:line="235" w:lineRule="auto"/>
        <w:ind w:left="705" w:right="167" w:hanging="541"/>
        <w:jc w:val="both"/>
      </w:pPr>
      <w:bookmarkStart w:name="_bookmark1834" w:id="1836"/>
      <w:bookmarkEnd w:id="1836"/>
      <w:r>
        <w:rPr/>
      </w:r>
      <w:hyperlink w:history="true" w:anchor="_bookmark1758">
        <w:r>
          <w:rPr>
            <w:color w:val="005DA1"/>
            <w:position w:val="5"/>
            <w:sz w:val="14"/>
            <w:u w:val="single" w:color="005DA1"/>
          </w:rPr>
          <w:t>957</w:t>
        </w:r>
      </w:hyperlink>
      <w:r>
        <w:rPr>
          <w:position w:val="5"/>
          <w:sz w:val="14"/>
        </w:rPr>
        <w:t>.</w:t>
      </w:r>
      <w:r>
        <w:rPr>
          <w:spacing w:val="80"/>
          <w:position w:val="5"/>
          <w:sz w:val="14"/>
        </w:rPr>
        <w:t> </w:t>
      </w:r>
      <w:r>
        <w:rPr/>
        <w:t>SI 2002/3045 reg.15(1); for the definition of “consumer guarantee” see reg.2. In the </w:t>
      </w:r>
      <w:r>
        <w:rPr/>
        <w:t>present context,</w:t>
      </w:r>
      <w:r>
        <w:rPr>
          <w:spacing w:val="-1"/>
        </w:rPr>
        <w:t> </w:t>
      </w:r>
      <w:r>
        <w:rPr/>
        <w:t>it</w:t>
      </w:r>
      <w:r>
        <w:rPr>
          <w:spacing w:val="-1"/>
        </w:rPr>
        <w:t> </w:t>
      </w:r>
      <w:r>
        <w:rPr/>
        <w:t>is</w:t>
      </w:r>
      <w:r>
        <w:rPr>
          <w:spacing w:val="-1"/>
        </w:rPr>
        <w:t> </w:t>
      </w:r>
      <w:r>
        <w:rPr/>
        <w:t>significant</w:t>
      </w:r>
      <w:r>
        <w:rPr>
          <w:spacing w:val="-1"/>
        </w:rPr>
        <w:t> </w:t>
      </w:r>
      <w:r>
        <w:rPr/>
        <w:t>that</w:t>
      </w:r>
      <w:r>
        <w:rPr>
          <w:spacing w:val="-1"/>
        </w:rPr>
        <w:t> </w:t>
      </w:r>
      <w:r>
        <w:rPr/>
        <w:t>this</w:t>
      </w:r>
      <w:r>
        <w:rPr>
          <w:spacing w:val="-1"/>
        </w:rPr>
        <w:t> </w:t>
      </w:r>
      <w:r>
        <w:rPr/>
        <w:t>definition</w:t>
      </w:r>
      <w:r>
        <w:rPr>
          <w:spacing w:val="-1"/>
        </w:rPr>
        <w:t> </w:t>
      </w:r>
      <w:r>
        <w:rPr/>
        <w:t>refers</w:t>
      </w:r>
      <w:r>
        <w:rPr>
          <w:spacing w:val="-1"/>
        </w:rPr>
        <w:t> </w:t>
      </w:r>
      <w:r>
        <w:rPr/>
        <w:t>to</w:t>
      </w:r>
      <w:r>
        <w:rPr>
          <w:spacing w:val="-1"/>
        </w:rPr>
        <w:t> </w:t>
      </w:r>
      <w:r>
        <w:rPr/>
        <w:t>such</w:t>
      </w:r>
      <w:r>
        <w:rPr>
          <w:spacing w:val="-1"/>
        </w:rPr>
        <w:t> </w:t>
      </w:r>
      <w:r>
        <w:rPr/>
        <w:t>a</w:t>
      </w:r>
      <w:r>
        <w:rPr>
          <w:spacing w:val="-1"/>
        </w:rPr>
        <w:t> </w:t>
      </w:r>
      <w:r>
        <w:rPr/>
        <w:t>guarantee</w:t>
      </w:r>
      <w:r>
        <w:rPr>
          <w:spacing w:val="-1"/>
        </w:rPr>
        <w:t> </w:t>
      </w:r>
      <w:r>
        <w:rPr/>
        <w:t>as</w:t>
      </w:r>
      <w:r>
        <w:rPr>
          <w:spacing w:val="-1"/>
        </w:rPr>
        <w:t> </w:t>
      </w:r>
      <w:r>
        <w:rPr/>
        <w:t>an</w:t>
      </w:r>
      <w:r>
        <w:rPr>
          <w:spacing w:val="-1"/>
        </w:rPr>
        <w:t> </w:t>
      </w:r>
      <w:r>
        <w:rPr/>
        <w:t>“</w:t>
      </w:r>
      <w:r>
        <w:rPr>
          <w:rFonts w:ascii="Arial" w:hAnsi="Arial"/>
          <w:i/>
        </w:rPr>
        <w:t>undertaking</w:t>
      </w:r>
      <w:r>
        <w:rPr/>
        <w:t>”;</w:t>
      </w:r>
      <w:r>
        <w:rPr>
          <w:spacing w:val="-1"/>
        </w:rPr>
        <w:t> </w:t>
      </w:r>
      <w:r>
        <w:rPr/>
        <w:t>cf.</w:t>
      </w:r>
      <w:r>
        <w:rPr>
          <w:spacing w:val="-1"/>
        </w:rPr>
        <w:t> </w:t>
      </w:r>
      <w:r>
        <w:rPr/>
        <w:t>the reference, in the definition in reg.2 of “consumer” to “</w:t>
      </w:r>
      <w:r>
        <w:rPr>
          <w:rFonts w:ascii="Arial" w:hAnsi="Arial"/>
          <w:i/>
        </w:rPr>
        <w:t>contracts </w:t>
      </w:r>
      <w:r>
        <w:rPr/>
        <w:t>governed by these Regulations”.</w:t>
      </w:r>
    </w:p>
    <w:p>
      <w:pPr>
        <w:pStyle w:val="BodyText"/>
        <w:spacing w:before="9"/>
      </w:pPr>
    </w:p>
    <w:p>
      <w:pPr>
        <w:pStyle w:val="BodyText"/>
        <w:tabs>
          <w:tab w:pos="705" w:val="left" w:leader="none"/>
        </w:tabs>
        <w:spacing w:line="235" w:lineRule="auto"/>
        <w:ind w:left="705" w:right="168" w:hanging="541"/>
      </w:pPr>
      <w:bookmarkStart w:name="_bookmark1835" w:id="1837"/>
      <w:bookmarkEnd w:id="1837"/>
      <w:r>
        <w:rPr/>
      </w:r>
      <w:hyperlink w:history="true" w:anchor="_bookmark1759">
        <w:r>
          <w:rPr>
            <w:color w:val="005DA1"/>
            <w:spacing w:val="-4"/>
            <w:position w:val="5"/>
            <w:sz w:val="14"/>
            <w:u w:val="single" w:color="005DA1"/>
          </w:rPr>
          <w:t>958</w:t>
        </w:r>
      </w:hyperlink>
      <w:r>
        <w:rPr>
          <w:spacing w:val="-4"/>
          <w:position w:val="5"/>
          <w:sz w:val="14"/>
        </w:rPr>
        <w:t>.</w:t>
      </w:r>
      <w:r>
        <w:rPr>
          <w:position w:val="5"/>
          <w:sz w:val="14"/>
        </w:rPr>
        <w:tab/>
      </w:r>
      <w:r>
        <w:rPr/>
        <w:t>See s.60 and Sch.1 para.53 Consumer Rights Act 2015. The Act applies to contracts made </w:t>
      </w:r>
      <w:r>
        <w:rPr/>
        <w:t>on or after October 1, 2015.</w:t>
      </w:r>
    </w:p>
    <w:p>
      <w:pPr>
        <w:pStyle w:val="BodyText"/>
        <w:spacing w:before="5"/>
      </w:pPr>
    </w:p>
    <w:p>
      <w:pPr>
        <w:pStyle w:val="BodyText"/>
        <w:tabs>
          <w:tab w:pos="705" w:val="left" w:leader="none"/>
        </w:tabs>
        <w:spacing w:before="1"/>
        <w:ind w:left="165"/>
      </w:pPr>
      <w:bookmarkStart w:name="_bookmark1836" w:id="1838"/>
      <w:bookmarkEnd w:id="1838"/>
      <w:r>
        <w:rPr/>
      </w:r>
      <w:hyperlink w:history="true" w:anchor="_bookmark1760">
        <w:r>
          <w:rPr>
            <w:color w:val="005DA1"/>
            <w:spacing w:val="-4"/>
            <w:position w:val="5"/>
            <w:sz w:val="14"/>
            <w:u w:val="single" w:color="005DA1"/>
          </w:rPr>
          <w:t>959</w:t>
        </w:r>
      </w:hyperlink>
      <w:r>
        <w:rPr>
          <w:spacing w:val="-4"/>
          <w:position w:val="5"/>
          <w:sz w:val="14"/>
        </w:rPr>
        <w:t>.</w:t>
      </w:r>
      <w:r>
        <w:rPr>
          <w:position w:val="5"/>
          <w:sz w:val="14"/>
        </w:rPr>
        <w:tab/>
      </w:r>
      <w:r>
        <w:rPr/>
        <w:t>See s.30(1) Consumer Rights Act 2015; “guarantee” is defined in </w:t>
      </w:r>
      <w:r>
        <w:rPr>
          <w:spacing w:val="-2"/>
        </w:rPr>
        <w:t>s.30(2).</w:t>
      </w:r>
    </w:p>
    <w:p>
      <w:pPr>
        <w:pStyle w:val="BodyText"/>
        <w:spacing w:before="8"/>
      </w:pPr>
    </w:p>
    <w:p>
      <w:pPr>
        <w:pStyle w:val="BodyText"/>
        <w:spacing w:line="235" w:lineRule="auto"/>
        <w:ind w:left="705" w:right="167" w:hanging="541"/>
        <w:jc w:val="both"/>
      </w:pPr>
      <w:bookmarkStart w:name="_bookmark1837" w:id="1839"/>
      <w:bookmarkEnd w:id="1839"/>
      <w:r>
        <w:rPr/>
      </w:r>
      <w:hyperlink w:history="true" w:anchor="_bookmark1761">
        <w:r>
          <w:rPr>
            <w:color w:val="005DA1"/>
            <w:position w:val="5"/>
            <w:sz w:val="14"/>
            <w:u w:val="single" w:color="005DA1"/>
          </w:rPr>
          <w:t>960</w:t>
        </w:r>
      </w:hyperlink>
      <w:r>
        <w:rPr>
          <w:position w:val="5"/>
          <w:sz w:val="14"/>
        </w:rPr>
        <w:t>.</w:t>
      </w:r>
      <w:r>
        <w:rPr>
          <w:spacing w:val="80"/>
          <w:position w:val="5"/>
          <w:sz w:val="14"/>
        </w:rPr>
        <w:t> </w:t>
      </w:r>
      <w:r>
        <w:rPr/>
        <w:t>Consumer Rights Act 2015 s.30(3). And see above, para.2-017. In contrast, the Consumer Protection (Information, Cancellation and Additional Charges) Regulations 2013 </w:t>
      </w:r>
      <w:r>
        <w:rPr/>
        <w:t>(SI</w:t>
      </w:r>
      <w:r>
        <w:rPr>
          <w:spacing w:val="40"/>
        </w:rPr>
        <w:t> </w:t>
      </w:r>
      <w:r>
        <w:rPr/>
        <w:t>2013/3134), which include a “commercial guarantee” in the lists of information which the trader is required by reg.9(1) and Sch.1 para.(h) and regs 10(1) and 13(1) and Sch.2 para.(q) to make available to the consumer, contain no equivalent phrase stipulating that a commercial</w:t>
      </w:r>
      <w:r>
        <w:rPr>
          <w:spacing w:val="40"/>
        </w:rPr>
        <w:t> </w:t>
      </w:r>
      <w:r>
        <w:rPr/>
        <w:t>guarantee “takes effect as a contractual obligation owed by the guarantor”. This is because the 2013 Regulations are concerned with ensuring that the consumer is informed about any commercial guarantee and not with its enforceability. Therefore the 2013 Regulations do not attempt to provide a legal basis for the liability of the producer to the consumer. The 2015 Act also provides that, where the trader is required by the 2013 Regulations to provide information to the consumer, the information so provided “is to be treated as included as a term of the contract” (see Consumer Rights Act 2015 ss.12(2) (goods), 37(2) (digital content), 50(3) (services)). Where it is the trader itself that gives the guarantee, these provisions seem merely to make it quite clear that what is undertaken by the trader in the guarantee forms a term of the contract for supply or services with the consumer. Where the information given by the trader relates to a commercial guarantee offered by the producer, and the information given is incorrect, the consumer will have the more limited remedy of recovering from the trader the amount</w:t>
      </w:r>
      <w:r>
        <w:rPr>
          <w:spacing w:val="-2"/>
        </w:rPr>
        <w:t> </w:t>
      </w:r>
      <w:r>
        <w:rPr/>
        <w:t>of</w:t>
      </w:r>
      <w:r>
        <w:rPr>
          <w:spacing w:val="-2"/>
        </w:rPr>
        <w:t> </w:t>
      </w:r>
      <w:r>
        <w:rPr/>
        <w:t>any</w:t>
      </w:r>
      <w:r>
        <w:rPr>
          <w:spacing w:val="-2"/>
        </w:rPr>
        <w:t> </w:t>
      </w:r>
      <w:r>
        <w:rPr/>
        <w:t>costs</w:t>
      </w:r>
      <w:r>
        <w:rPr>
          <w:spacing w:val="-2"/>
        </w:rPr>
        <w:t> </w:t>
      </w:r>
      <w:r>
        <w:rPr/>
        <w:t>incurred</w:t>
      </w:r>
      <w:r>
        <w:rPr>
          <w:spacing w:val="-2"/>
        </w:rPr>
        <w:t> </w:t>
      </w:r>
      <w:r>
        <w:rPr/>
        <w:t>by</w:t>
      </w:r>
      <w:r>
        <w:rPr>
          <w:spacing w:val="-2"/>
        </w:rPr>
        <w:t> </w:t>
      </w:r>
      <w:r>
        <w:rPr/>
        <w:t>the</w:t>
      </w:r>
      <w:r>
        <w:rPr>
          <w:spacing w:val="-2"/>
        </w:rPr>
        <w:t> </w:t>
      </w:r>
      <w:r>
        <w:rPr/>
        <w:t>consumer</w:t>
      </w:r>
      <w:r>
        <w:rPr>
          <w:spacing w:val="-2"/>
        </w:rPr>
        <w:t> </w:t>
      </w:r>
      <w:r>
        <w:rPr/>
        <w:t>as</w:t>
      </w:r>
      <w:r>
        <w:rPr>
          <w:spacing w:val="-2"/>
        </w:rPr>
        <w:t> </w:t>
      </w:r>
      <w:r>
        <w:rPr/>
        <w:t>a</w:t>
      </w:r>
      <w:r>
        <w:rPr>
          <w:spacing w:val="-2"/>
        </w:rPr>
        <w:t> </w:t>
      </w:r>
      <w:r>
        <w:rPr/>
        <w:t>result</w:t>
      </w:r>
      <w:r>
        <w:rPr>
          <w:spacing w:val="-2"/>
        </w:rPr>
        <w:t> </w:t>
      </w:r>
      <w:r>
        <w:rPr/>
        <w:t>of</w:t>
      </w:r>
      <w:r>
        <w:rPr>
          <w:spacing w:val="-2"/>
        </w:rPr>
        <w:t> </w:t>
      </w:r>
      <w:r>
        <w:rPr/>
        <w:t>the</w:t>
      </w:r>
      <w:r>
        <w:rPr>
          <w:spacing w:val="-2"/>
        </w:rPr>
        <w:t> </w:t>
      </w:r>
      <w:r>
        <w:rPr/>
        <w:t>breach,</w:t>
      </w:r>
      <w:r>
        <w:rPr>
          <w:spacing w:val="-2"/>
        </w:rPr>
        <w:t> </w:t>
      </w:r>
      <w:r>
        <w:rPr/>
        <w:t>up</w:t>
      </w:r>
      <w:r>
        <w:rPr>
          <w:spacing w:val="-2"/>
        </w:rPr>
        <w:t> </w:t>
      </w:r>
      <w:r>
        <w:rPr/>
        <w:t>to</w:t>
      </w:r>
      <w:r>
        <w:rPr>
          <w:spacing w:val="-2"/>
        </w:rPr>
        <w:t> </w:t>
      </w:r>
      <w:r>
        <w:rPr/>
        <w:t>the</w:t>
      </w:r>
      <w:r>
        <w:rPr>
          <w:spacing w:val="-2"/>
        </w:rPr>
        <w:t> </w:t>
      </w:r>
      <w:r>
        <w:rPr/>
        <w:t>amount</w:t>
      </w:r>
      <w:r>
        <w:rPr>
          <w:spacing w:val="-2"/>
        </w:rPr>
        <w:t> </w:t>
      </w:r>
      <w:r>
        <w:rPr/>
        <w:t>of</w:t>
      </w:r>
      <w:r>
        <w:rPr>
          <w:spacing w:val="-2"/>
        </w:rPr>
        <w:t> </w:t>
      </w:r>
      <w:r>
        <w:rPr/>
        <w:t>the price paid or the value of other consideration given for the goods: ss.19(2), 42(4); or, in the cases</w:t>
      </w:r>
      <w:r>
        <w:rPr>
          <w:spacing w:val="80"/>
        </w:rPr>
        <w:t> </w:t>
      </w:r>
      <w:r>
        <w:rPr/>
        <w:t>of</w:t>
      </w:r>
      <w:r>
        <w:rPr>
          <w:spacing w:val="80"/>
        </w:rPr>
        <w:t> </w:t>
      </w:r>
      <w:r>
        <w:rPr/>
        <w:t>a</w:t>
      </w:r>
      <w:r>
        <w:rPr>
          <w:spacing w:val="80"/>
        </w:rPr>
        <w:t> </w:t>
      </w:r>
      <w:r>
        <w:rPr/>
        <w:t>services</w:t>
      </w:r>
      <w:r>
        <w:rPr>
          <w:spacing w:val="80"/>
        </w:rPr>
        <w:t> </w:t>
      </w:r>
      <w:r>
        <w:rPr/>
        <w:t>contract,</w:t>
      </w:r>
      <w:r>
        <w:rPr>
          <w:spacing w:val="80"/>
        </w:rPr>
        <w:t> </w:t>
      </w:r>
      <w:r>
        <w:rPr/>
        <w:t>a</w:t>
      </w:r>
      <w:r>
        <w:rPr>
          <w:spacing w:val="80"/>
        </w:rPr>
        <w:t> </w:t>
      </w:r>
      <w:r>
        <w:rPr/>
        <w:t>price</w:t>
      </w:r>
      <w:r>
        <w:rPr>
          <w:spacing w:val="80"/>
        </w:rPr>
        <w:t> </w:t>
      </w:r>
      <w:r>
        <w:rPr/>
        <w:t>reduction</w:t>
      </w:r>
      <w:r>
        <w:rPr>
          <w:spacing w:val="80"/>
        </w:rPr>
        <w:t> </w:t>
      </w:r>
      <w:r>
        <w:rPr/>
        <w:t>(s.54(4)).</w:t>
      </w:r>
      <w:r>
        <w:rPr>
          <w:spacing w:val="80"/>
        </w:rPr>
        <w:t> </w:t>
      </w:r>
      <w:r>
        <w:rPr/>
        <w:t>See</w:t>
      </w:r>
      <w:r>
        <w:rPr>
          <w:spacing w:val="80"/>
        </w:rPr>
        <w:t> </w:t>
      </w:r>
      <w:r>
        <w:rPr/>
        <w:t>further</w:t>
      </w:r>
      <w:r>
        <w:rPr>
          <w:spacing w:val="80"/>
        </w:rPr>
        <w:t> </w:t>
      </w:r>
      <w:r>
        <w:rPr/>
        <w:t>below,</w:t>
      </w:r>
      <w:r>
        <w:rPr>
          <w:spacing w:val="80"/>
        </w:rPr>
        <w:t> </w:t>
      </w:r>
      <w:r>
        <w:rPr/>
        <w:t>paras</w:t>
      </w:r>
      <w:r>
        <w:rPr>
          <w:spacing w:val="80"/>
        </w:rPr>
        <w:t> </w:t>
      </w:r>
      <w:r>
        <w:rPr/>
        <w:t>38-458—38-488, 38-504—38-523, 38-530—38-544.</w:t>
      </w:r>
    </w:p>
    <w:p>
      <w:pPr>
        <w:tabs>
          <w:tab w:pos="705" w:val="left" w:leader="none"/>
        </w:tabs>
        <w:spacing w:line="227" w:lineRule="exact" w:before="229"/>
        <w:ind w:left="165" w:right="0" w:firstLine="0"/>
        <w:jc w:val="left"/>
        <w:rPr>
          <w:rFonts w:ascii="Arial"/>
          <w:i/>
          <w:sz w:val="20"/>
        </w:rPr>
      </w:pPr>
      <w:bookmarkStart w:name="_bookmark1838" w:id="1840"/>
      <w:bookmarkEnd w:id="1840"/>
      <w:r>
        <w:rPr/>
      </w:r>
      <w:hyperlink w:history="true" w:anchor="_bookmark1762">
        <w:r>
          <w:rPr>
            <w:color w:val="005DA1"/>
            <w:spacing w:val="-4"/>
            <w:position w:val="5"/>
            <w:sz w:val="14"/>
            <w:u w:val="single" w:color="005DA1"/>
          </w:rPr>
          <w:t>961</w:t>
        </w:r>
      </w:hyperlink>
      <w:r>
        <w:rPr>
          <w:spacing w:val="-4"/>
          <w:position w:val="5"/>
          <w:sz w:val="14"/>
        </w:rPr>
        <w:t>.</w:t>
      </w:r>
      <w:r>
        <w:rPr>
          <w:position w:val="5"/>
          <w:sz w:val="14"/>
        </w:rPr>
        <w:tab/>
      </w:r>
      <w:r>
        <w:rPr>
          <w:rFonts w:ascii="Arial"/>
          <w:i/>
          <w:sz w:val="20"/>
        </w:rPr>
        <w:t>Balfour v</w:t>
      </w:r>
      <w:r>
        <w:rPr>
          <w:rFonts w:ascii="Arial"/>
          <w:i/>
          <w:spacing w:val="1"/>
          <w:sz w:val="20"/>
        </w:rPr>
        <w:t> </w:t>
      </w:r>
      <w:r>
        <w:rPr>
          <w:rFonts w:ascii="Arial"/>
          <w:i/>
          <w:sz w:val="20"/>
        </w:rPr>
        <w:t>Balfour</w:t>
      </w:r>
      <w:r>
        <w:rPr>
          <w:rFonts w:ascii="Arial"/>
          <w:i/>
          <w:spacing w:val="1"/>
          <w:sz w:val="20"/>
        </w:rPr>
        <w:t> </w:t>
      </w:r>
      <w:r>
        <w:rPr>
          <w:rFonts w:ascii="Arial"/>
          <w:i/>
          <w:sz w:val="20"/>
        </w:rPr>
        <w:t>[1919]</w:t>
      </w:r>
      <w:r>
        <w:rPr>
          <w:rFonts w:ascii="Arial"/>
          <w:i/>
          <w:spacing w:val="1"/>
          <w:sz w:val="20"/>
        </w:rPr>
        <w:t> </w:t>
      </w:r>
      <w:r>
        <w:rPr>
          <w:rFonts w:ascii="Arial"/>
          <w:i/>
          <w:sz w:val="20"/>
        </w:rPr>
        <w:t>2</w:t>
      </w:r>
      <w:r>
        <w:rPr>
          <w:rFonts w:ascii="Arial"/>
          <w:i/>
          <w:spacing w:val="1"/>
          <w:sz w:val="20"/>
        </w:rPr>
        <w:t> </w:t>
      </w:r>
      <w:r>
        <w:rPr>
          <w:rFonts w:ascii="Arial"/>
          <w:i/>
          <w:sz w:val="20"/>
        </w:rPr>
        <w:t>K.B.</w:t>
      </w:r>
      <w:r>
        <w:rPr>
          <w:rFonts w:ascii="Arial"/>
          <w:i/>
          <w:spacing w:val="1"/>
          <w:sz w:val="20"/>
        </w:rPr>
        <w:t> </w:t>
      </w:r>
      <w:r>
        <w:rPr>
          <w:rFonts w:ascii="Arial"/>
          <w:i/>
          <w:sz w:val="20"/>
        </w:rPr>
        <w:t>571,</w:t>
      </w:r>
      <w:r>
        <w:rPr>
          <w:rFonts w:ascii="Arial"/>
          <w:i/>
          <w:spacing w:val="1"/>
          <w:sz w:val="20"/>
        </w:rPr>
        <w:t> </w:t>
      </w:r>
      <w:r>
        <w:rPr>
          <w:rFonts w:ascii="Arial"/>
          <w:i/>
          <w:sz w:val="20"/>
        </w:rPr>
        <w:t>578</w:t>
      </w:r>
      <w:r>
        <w:rPr>
          <w:sz w:val="20"/>
        </w:rPr>
        <w:t>;</w:t>
      </w:r>
      <w:r>
        <w:rPr>
          <w:spacing w:val="1"/>
          <w:sz w:val="20"/>
        </w:rPr>
        <w:t> </w:t>
      </w:r>
      <w:r>
        <w:rPr>
          <w:rFonts w:ascii="Arial"/>
          <w:i/>
          <w:sz w:val="20"/>
        </w:rPr>
        <w:t>Rose</w:t>
      </w:r>
      <w:r>
        <w:rPr>
          <w:rFonts w:ascii="Arial"/>
          <w:i/>
          <w:spacing w:val="1"/>
          <w:sz w:val="20"/>
        </w:rPr>
        <w:t> </w:t>
      </w:r>
      <w:r>
        <w:rPr>
          <w:rFonts w:ascii="Arial"/>
          <w:i/>
          <w:sz w:val="20"/>
        </w:rPr>
        <w:t>&amp;</w:t>
      </w:r>
      <w:r>
        <w:rPr>
          <w:rFonts w:ascii="Arial"/>
          <w:i/>
          <w:spacing w:val="1"/>
          <w:sz w:val="20"/>
        </w:rPr>
        <w:t> </w:t>
      </w:r>
      <w:r>
        <w:rPr>
          <w:rFonts w:ascii="Arial"/>
          <w:i/>
          <w:sz w:val="20"/>
        </w:rPr>
        <w:t>Frank</w:t>
      </w:r>
      <w:r>
        <w:rPr>
          <w:rFonts w:ascii="Arial"/>
          <w:i/>
          <w:spacing w:val="1"/>
          <w:sz w:val="20"/>
        </w:rPr>
        <w:t> </w:t>
      </w:r>
      <w:r>
        <w:rPr>
          <w:rFonts w:ascii="Arial"/>
          <w:i/>
          <w:sz w:val="20"/>
        </w:rPr>
        <w:t>Co</w:t>
      </w:r>
      <w:r>
        <w:rPr>
          <w:rFonts w:ascii="Arial"/>
          <w:i/>
          <w:spacing w:val="1"/>
          <w:sz w:val="20"/>
        </w:rPr>
        <w:t> </w:t>
      </w:r>
      <w:r>
        <w:rPr>
          <w:rFonts w:ascii="Arial"/>
          <w:i/>
          <w:sz w:val="20"/>
        </w:rPr>
        <w:t>v</w:t>
      </w:r>
      <w:r>
        <w:rPr>
          <w:rFonts w:ascii="Arial"/>
          <w:i/>
          <w:spacing w:val="1"/>
          <w:sz w:val="20"/>
        </w:rPr>
        <w:t> </w:t>
      </w:r>
      <w:r>
        <w:rPr>
          <w:rFonts w:ascii="Arial"/>
          <w:i/>
          <w:sz w:val="20"/>
        </w:rPr>
        <w:t>J.R.</w:t>
      </w:r>
      <w:r>
        <w:rPr>
          <w:rFonts w:ascii="Arial"/>
          <w:i/>
          <w:spacing w:val="1"/>
          <w:sz w:val="20"/>
        </w:rPr>
        <w:t> </w:t>
      </w:r>
      <w:r>
        <w:rPr>
          <w:rFonts w:ascii="Arial"/>
          <w:i/>
          <w:sz w:val="20"/>
        </w:rPr>
        <w:t>Crompton</w:t>
      </w:r>
      <w:r>
        <w:rPr>
          <w:rFonts w:ascii="Arial"/>
          <w:i/>
          <w:spacing w:val="1"/>
          <w:sz w:val="20"/>
        </w:rPr>
        <w:t> </w:t>
      </w:r>
      <w:r>
        <w:rPr>
          <w:rFonts w:ascii="Arial"/>
          <w:i/>
          <w:sz w:val="20"/>
        </w:rPr>
        <w:t>&amp;</w:t>
      </w:r>
      <w:r>
        <w:rPr>
          <w:rFonts w:ascii="Arial"/>
          <w:i/>
          <w:spacing w:val="1"/>
          <w:sz w:val="20"/>
        </w:rPr>
        <w:t> </w:t>
      </w:r>
      <w:r>
        <w:rPr>
          <w:rFonts w:ascii="Arial"/>
          <w:i/>
          <w:sz w:val="20"/>
        </w:rPr>
        <w:t>Bros</w:t>
      </w:r>
      <w:r>
        <w:rPr>
          <w:rFonts w:ascii="Arial"/>
          <w:i/>
          <w:spacing w:val="1"/>
          <w:sz w:val="20"/>
        </w:rPr>
        <w:t> </w:t>
      </w:r>
      <w:r>
        <w:rPr>
          <w:rFonts w:ascii="Arial"/>
          <w:i/>
          <w:sz w:val="20"/>
        </w:rPr>
        <w:t>Ltd</w:t>
      </w:r>
      <w:r>
        <w:rPr>
          <w:rFonts w:ascii="Arial"/>
          <w:i/>
          <w:spacing w:val="1"/>
          <w:sz w:val="20"/>
        </w:rPr>
        <w:t> </w:t>
      </w:r>
      <w:r>
        <w:rPr>
          <w:rFonts w:ascii="Arial"/>
          <w:i/>
          <w:sz w:val="20"/>
        </w:rPr>
        <w:t>[1923]</w:t>
      </w:r>
      <w:r>
        <w:rPr>
          <w:rFonts w:ascii="Arial"/>
          <w:i/>
          <w:spacing w:val="1"/>
          <w:sz w:val="20"/>
        </w:rPr>
        <w:t> </w:t>
      </w:r>
      <w:r>
        <w:rPr>
          <w:rFonts w:ascii="Arial"/>
          <w:i/>
          <w:spacing w:val="-10"/>
          <w:sz w:val="20"/>
        </w:rPr>
        <w:t>2</w:t>
      </w:r>
    </w:p>
    <w:p>
      <w:pPr>
        <w:spacing w:line="227" w:lineRule="exact" w:before="0"/>
        <w:ind w:left="705" w:right="0" w:firstLine="0"/>
        <w:jc w:val="left"/>
        <w:rPr>
          <w:sz w:val="20"/>
        </w:rPr>
      </w:pPr>
      <w:r>
        <w:rPr>
          <w:rFonts w:ascii="Arial"/>
          <w:i/>
          <w:sz w:val="20"/>
        </w:rPr>
        <w:t>K.B.</w:t>
      </w:r>
      <w:r>
        <w:rPr>
          <w:rFonts w:ascii="Arial"/>
          <w:i/>
          <w:spacing w:val="-1"/>
          <w:sz w:val="20"/>
        </w:rPr>
        <w:t> </w:t>
      </w:r>
      <w:r>
        <w:rPr>
          <w:rFonts w:ascii="Arial"/>
          <w:i/>
          <w:sz w:val="20"/>
        </w:rPr>
        <w:t>261, 293</w:t>
      </w:r>
      <w:r>
        <w:rPr>
          <w:sz w:val="20"/>
        </w:rPr>
        <w:t>; </w:t>
      </w:r>
      <w:r>
        <w:rPr>
          <w:rFonts w:ascii="Arial"/>
          <w:i/>
          <w:sz w:val="20"/>
        </w:rPr>
        <w:t>Wyatt v Kreglinger &amp; Fernau [1933] 1 K.B. 793, </w:t>
      </w:r>
      <w:r>
        <w:rPr>
          <w:rFonts w:ascii="Arial"/>
          <w:i/>
          <w:spacing w:val="-4"/>
          <w:sz w:val="20"/>
        </w:rPr>
        <w:t>806</w:t>
      </w:r>
      <w:r>
        <w:rPr>
          <w:spacing w:val="-4"/>
          <w:sz w:val="20"/>
        </w:rPr>
        <w:t>.</w:t>
      </w:r>
    </w:p>
    <w:p>
      <w:pPr>
        <w:pStyle w:val="BodyText"/>
        <w:spacing w:before="8"/>
      </w:pPr>
    </w:p>
    <w:p>
      <w:pPr>
        <w:tabs>
          <w:tab w:pos="705" w:val="left" w:leader="none"/>
        </w:tabs>
        <w:spacing w:line="235" w:lineRule="auto" w:before="0"/>
        <w:ind w:left="705" w:right="168" w:hanging="541"/>
        <w:jc w:val="left"/>
        <w:rPr>
          <w:sz w:val="20"/>
        </w:rPr>
      </w:pPr>
      <w:bookmarkStart w:name="_bookmark1839" w:id="1841"/>
      <w:bookmarkEnd w:id="1841"/>
      <w:r>
        <w:rPr/>
      </w:r>
      <w:hyperlink w:history="true" w:anchor="_bookmark1763">
        <w:r>
          <w:rPr>
            <w:color w:val="005DA1"/>
            <w:spacing w:val="-4"/>
            <w:position w:val="5"/>
            <w:sz w:val="14"/>
            <w:u w:val="single" w:color="005DA1"/>
          </w:rPr>
          <w:t>962</w:t>
        </w:r>
      </w:hyperlink>
      <w:r>
        <w:rPr>
          <w:spacing w:val="-4"/>
          <w:position w:val="5"/>
          <w:sz w:val="14"/>
        </w:rPr>
        <w:t>.</w:t>
      </w:r>
      <w:r>
        <w:rPr>
          <w:position w:val="5"/>
          <w:sz w:val="14"/>
        </w:rPr>
        <w:tab/>
      </w:r>
      <w:r>
        <w:rPr>
          <w:rFonts w:ascii="Arial" w:hAnsi="Arial"/>
          <w:i/>
          <w:sz w:val="20"/>
        </w:rPr>
        <w:t>Lens</w:t>
      </w:r>
      <w:r>
        <w:rPr>
          <w:rFonts w:ascii="Arial" w:hAnsi="Arial"/>
          <w:i/>
          <w:spacing w:val="29"/>
          <w:sz w:val="20"/>
        </w:rPr>
        <w:t> </w:t>
      </w:r>
      <w:r>
        <w:rPr>
          <w:rFonts w:ascii="Arial" w:hAnsi="Arial"/>
          <w:i/>
          <w:sz w:val="20"/>
        </w:rPr>
        <w:t>v</w:t>
      </w:r>
      <w:r>
        <w:rPr>
          <w:rFonts w:ascii="Arial" w:hAnsi="Arial"/>
          <w:i/>
          <w:spacing w:val="29"/>
          <w:sz w:val="20"/>
        </w:rPr>
        <w:t> </w:t>
      </w:r>
      <w:r>
        <w:rPr>
          <w:rFonts w:ascii="Arial" w:hAnsi="Arial"/>
          <w:i/>
          <w:sz w:val="20"/>
        </w:rPr>
        <w:t>Devonshire</w:t>
      </w:r>
      <w:r>
        <w:rPr>
          <w:rFonts w:ascii="Arial" w:hAnsi="Arial"/>
          <w:i/>
          <w:spacing w:val="29"/>
          <w:sz w:val="20"/>
        </w:rPr>
        <w:t> </w:t>
      </w:r>
      <w:r>
        <w:rPr>
          <w:rFonts w:ascii="Arial" w:hAnsi="Arial"/>
          <w:i/>
          <w:sz w:val="20"/>
        </w:rPr>
        <w:t>Club,</w:t>
      </w:r>
      <w:r>
        <w:rPr>
          <w:rFonts w:ascii="Arial" w:hAnsi="Arial"/>
          <w:i/>
          <w:spacing w:val="29"/>
          <w:sz w:val="20"/>
        </w:rPr>
        <w:t> </w:t>
      </w:r>
      <w:r>
        <w:rPr>
          <w:rFonts w:ascii="Arial" w:hAnsi="Arial"/>
          <w:i/>
          <w:sz w:val="20"/>
        </w:rPr>
        <w:t>The</w:t>
      </w:r>
      <w:r>
        <w:rPr>
          <w:rFonts w:ascii="Arial" w:hAnsi="Arial"/>
          <w:i/>
          <w:spacing w:val="29"/>
          <w:sz w:val="20"/>
        </w:rPr>
        <w:t> </w:t>
      </w:r>
      <w:r>
        <w:rPr>
          <w:rFonts w:ascii="Arial" w:hAnsi="Arial"/>
          <w:i/>
          <w:sz w:val="20"/>
        </w:rPr>
        <w:t>Times,</w:t>
      </w:r>
      <w:r>
        <w:rPr>
          <w:rFonts w:ascii="Arial" w:hAnsi="Arial"/>
          <w:i/>
          <w:spacing w:val="29"/>
          <w:sz w:val="20"/>
        </w:rPr>
        <w:t> </w:t>
      </w:r>
      <w:r>
        <w:rPr>
          <w:rFonts w:ascii="Arial" w:hAnsi="Arial"/>
          <w:i/>
          <w:sz w:val="20"/>
        </w:rPr>
        <w:t>December</w:t>
      </w:r>
      <w:r>
        <w:rPr>
          <w:rFonts w:ascii="Arial" w:hAnsi="Arial"/>
          <w:i/>
          <w:spacing w:val="29"/>
          <w:sz w:val="20"/>
        </w:rPr>
        <w:t> </w:t>
      </w:r>
      <w:r>
        <w:rPr>
          <w:rFonts w:ascii="Arial" w:hAnsi="Arial"/>
          <w:i/>
          <w:sz w:val="20"/>
        </w:rPr>
        <w:t>4,</w:t>
      </w:r>
      <w:r>
        <w:rPr>
          <w:rFonts w:ascii="Arial" w:hAnsi="Arial"/>
          <w:i/>
          <w:spacing w:val="29"/>
          <w:sz w:val="20"/>
        </w:rPr>
        <w:t> </w:t>
      </w:r>
      <w:r>
        <w:rPr>
          <w:rFonts w:ascii="Arial" w:hAnsi="Arial"/>
          <w:i/>
          <w:sz w:val="20"/>
        </w:rPr>
        <w:t>1914</w:t>
      </w:r>
      <w:r>
        <w:rPr>
          <w:sz w:val="20"/>
        </w:rPr>
        <w:t>;</w:t>
      </w:r>
      <w:r>
        <w:rPr>
          <w:spacing w:val="29"/>
          <w:sz w:val="20"/>
        </w:rPr>
        <w:t> </w:t>
      </w:r>
      <w:r>
        <w:rPr>
          <w:sz w:val="20"/>
        </w:rPr>
        <w:t>referred</w:t>
      </w:r>
      <w:r>
        <w:rPr>
          <w:spacing w:val="29"/>
          <w:sz w:val="20"/>
        </w:rPr>
        <w:t> </w:t>
      </w:r>
      <w:r>
        <w:rPr>
          <w:sz w:val="20"/>
        </w:rPr>
        <w:t>to</w:t>
      </w:r>
      <w:r>
        <w:rPr>
          <w:spacing w:val="29"/>
          <w:sz w:val="20"/>
        </w:rPr>
        <w:t> </w:t>
      </w:r>
      <w:r>
        <w:rPr>
          <w:sz w:val="20"/>
        </w:rPr>
        <w:t>in</w:t>
      </w:r>
      <w:r>
        <w:rPr>
          <w:spacing w:val="29"/>
          <w:sz w:val="20"/>
        </w:rPr>
        <w:t> </w:t>
      </w:r>
      <w:r>
        <w:rPr>
          <w:rFonts w:ascii="Arial" w:hAnsi="Arial"/>
          <w:i/>
          <w:sz w:val="20"/>
        </w:rPr>
        <w:t>Wyatt’s</w:t>
      </w:r>
      <w:r>
        <w:rPr>
          <w:rFonts w:ascii="Arial" w:hAnsi="Arial"/>
          <w:i/>
          <w:spacing w:val="29"/>
          <w:sz w:val="20"/>
        </w:rPr>
        <w:t> </w:t>
      </w:r>
      <w:r>
        <w:rPr>
          <w:sz w:val="20"/>
        </w:rPr>
        <w:t>case,</w:t>
      </w:r>
      <w:r>
        <w:rPr>
          <w:spacing w:val="29"/>
          <w:sz w:val="20"/>
        </w:rPr>
        <w:t> </w:t>
      </w:r>
      <w:r>
        <w:rPr>
          <w:sz w:val="20"/>
        </w:rPr>
        <w:t>above n.936, from which the quotation in the text is taken.</w:t>
      </w:r>
    </w:p>
    <w:p>
      <w:pPr>
        <w:pStyle w:val="BodyText"/>
        <w:spacing w:before="6"/>
      </w:pPr>
    </w:p>
    <w:p>
      <w:pPr>
        <w:tabs>
          <w:tab w:pos="705" w:val="left" w:leader="none"/>
        </w:tabs>
        <w:spacing w:before="0"/>
        <w:ind w:left="165" w:right="0" w:firstLine="0"/>
        <w:jc w:val="left"/>
        <w:rPr>
          <w:sz w:val="20"/>
        </w:rPr>
      </w:pPr>
      <w:bookmarkStart w:name="_bookmark1840" w:id="1842"/>
      <w:bookmarkEnd w:id="1842"/>
      <w:r>
        <w:rPr/>
      </w:r>
      <w:hyperlink w:history="true" w:anchor="_bookmark1764">
        <w:r>
          <w:rPr>
            <w:color w:val="005DA1"/>
            <w:spacing w:val="-4"/>
            <w:position w:val="5"/>
            <w:sz w:val="14"/>
            <w:u w:val="single" w:color="005DA1"/>
          </w:rPr>
          <w:t>963</w:t>
        </w:r>
      </w:hyperlink>
      <w:r>
        <w:rPr>
          <w:spacing w:val="-4"/>
          <w:position w:val="5"/>
          <w:sz w:val="14"/>
        </w:rPr>
        <w:t>.</w:t>
      </w:r>
      <w:r>
        <w:rPr>
          <w:position w:val="5"/>
          <w:sz w:val="14"/>
        </w:rPr>
        <w:tab/>
      </w:r>
      <w:r>
        <w:rPr>
          <w:rFonts w:ascii="Arial"/>
          <w:i/>
          <w:sz w:val="20"/>
        </w:rPr>
        <w:t>White v Blackmore [1972] 2 Q.B. </w:t>
      </w:r>
      <w:r>
        <w:rPr>
          <w:rFonts w:ascii="Arial"/>
          <w:i/>
          <w:spacing w:val="-4"/>
          <w:sz w:val="20"/>
        </w:rPr>
        <w:t>651</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41" w:id="1843"/>
      <w:bookmarkEnd w:id="1843"/>
      <w:r>
        <w:rPr/>
      </w:r>
      <w:hyperlink w:history="true" w:anchor="_bookmark1765">
        <w:r>
          <w:rPr>
            <w:color w:val="005DA1"/>
            <w:spacing w:val="-4"/>
            <w:position w:val="5"/>
            <w:sz w:val="14"/>
            <w:u w:val="single" w:color="005DA1"/>
          </w:rPr>
          <w:t>964</w:t>
        </w:r>
      </w:hyperlink>
      <w:r>
        <w:rPr>
          <w:spacing w:val="-4"/>
          <w:position w:val="5"/>
          <w:sz w:val="14"/>
        </w:rPr>
        <w:t>.</w:t>
      </w:r>
      <w:r>
        <w:rPr>
          <w:position w:val="5"/>
          <w:sz w:val="14"/>
        </w:rPr>
        <w:tab/>
      </w:r>
      <w:r>
        <w:rPr>
          <w:rFonts w:ascii="Arial"/>
          <w:i/>
          <w:sz w:val="20"/>
        </w:rPr>
        <w:t>Coward</w:t>
      </w:r>
      <w:r>
        <w:rPr>
          <w:rFonts w:ascii="Arial"/>
          <w:i/>
          <w:spacing w:val="15"/>
          <w:sz w:val="20"/>
        </w:rPr>
        <w:t> </w:t>
      </w:r>
      <w:r>
        <w:rPr>
          <w:rFonts w:ascii="Arial"/>
          <w:i/>
          <w:sz w:val="20"/>
        </w:rPr>
        <w:t>v</w:t>
      </w:r>
      <w:r>
        <w:rPr>
          <w:rFonts w:ascii="Arial"/>
          <w:i/>
          <w:spacing w:val="18"/>
          <w:sz w:val="20"/>
        </w:rPr>
        <w:t> </w:t>
      </w:r>
      <w:r>
        <w:rPr>
          <w:rFonts w:ascii="Arial"/>
          <w:i/>
          <w:sz w:val="20"/>
        </w:rPr>
        <w:t>M.I.B.</w:t>
      </w:r>
      <w:r>
        <w:rPr>
          <w:rFonts w:ascii="Arial"/>
          <w:i/>
          <w:spacing w:val="18"/>
          <w:sz w:val="20"/>
        </w:rPr>
        <w:t> </w:t>
      </w:r>
      <w:r>
        <w:rPr>
          <w:rFonts w:ascii="Arial"/>
          <w:i/>
          <w:sz w:val="20"/>
        </w:rPr>
        <w:t>[1963]</w:t>
      </w:r>
      <w:r>
        <w:rPr>
          <w:rFonts w:ascii="Arial"/>
          <w:i/>
          <w:spacing w:val="18"/>
          <w:sz w:val="20"/>
        </w:rPr>
        <w:t> </w:t>
      </w:r>
      <w:r>
        <w:rPr>
          <w:rFonts w:ascii="Arial"/>
          <w:i/>
          <w:sz w:val="20"/>
        </w:rPr>
        <w:t>1</w:t>
      </w:r>
      <w:r>
        <w:rPr>
          <w:rFonts w:ascii="Arial"/>
          <w:i/>
          <w:spacing w:val="18"/>
          <w:sz w:val="20"/>
        </w:rPr>
        <w:t> </w:t>
      </w:r>
      <w:r>
        <w:rPr>
          <w:rFonts w:ascii="Arial"/>
          <w:i/>
          <w:sz w:val="20"/>
        </w:rPr>
        <w:t>Q.B.</w:t>
      </w:r>
      <w:r>
        <w:rPr>
          <w:rFonts w:ascii="Arial"/>
          <w:i/>
          <w:spacing w:val="18"/>
          <w:sz w:val="20"/>
        </w:rPr>
        <w:t> </w:t>
      </w:r>
      <w:r>
        <w:rPr>
          <w:rFonts w:ascii="Arial"/>
          <w:i/>
          <w:sz w:val="20"/>
        </w:rPr>
        <w:t>259</w:t>
      </w:r>
      <w:r>
        <w:rPr>
          <w:sz w:val="20"/>
        </w:rPr>
        <w:t>;</w:t>
      </w:r>
      <w:r>
        <w:rPr>
          <w:spacing w:val="18"/>
          <w:sz w:val="20"/>
        </w:rPr>
        <w:t> </w:t>
      </w:r>
      <w:r>
        <w:rPr>
          <w:sz w:val="20"/>
        </w:rPr>
        <w:t>overruled,</w:t>
      </w:r>
      <w:r>
        <w:rPr>
          <w:spacing w:val="18"/>
          <w:sz w:val="20"/>
        </w:rPr>
        <w:t> </w:t>
      </w:r>
      <w:r>
        <w:rPr>
          <w:sz w:val="20"/>
        </w:rPr>
        <w:t>but</w:t>
      </w:r>
      <w:r>
        <w:rPr>
          <w:spacing w:val="18"/>
          <w:sz w:val="20"/>
        </w:rPr>
        <w:t> </w:t>
      </w:r>
      <w:r>
        <w:rPr>
          <w:sz w:val="20"/>
        </w:rPr>
        <w:t>not</w:t>
      </w:r>
      <w:r>
        <w:rPr>
          <w:spacing w:val="18"/>
          <w:sz w:val="20"/>
        </w:rPr>
        <w:t> </w:t>
      </w:r>
      <w:r>
        <w:rPr>
          <w:sz w:val="20"/>
        </w:rPr>
        <w:t>on</w:t>
      </w:r>
      <w:r>
        <w:rPr>
          <w:spacing w:val="18"/>
          <w:sz w:val="20"/>
        </w:rPr>
        <w:t> </w:t>
      </w:r>
      <w:r>
        <w:rPr>
          <w:sz w:val="20"/>
        </w:rPr>
        <w:t>the</w:t>
      </w:r>
      <w:r>
        <w:rPr>
          <w:spacing w:val="18"/>
          <w:sz w:val="20"/>
        </w:rPr>
        <w:t> </w:t>
      </w:r>
      <w:r>
        <w:rPr>
          <w:sz w:val="20"/>
        </w:rPr>
        <w:t>issue</w:t>
      </w:r>
      <w:r>
        <w:rPr>
          <w:spacing w:val="18"/>
          <w:sz w:val="20"/>
        </w:rPr>
        <w:t> </w:t>
      </w:r>
      <w:r>
        <w:rPr>
          <w:sz w:val="20"/>
        </w:rPr>
        <w:t>of</w:t>
      </w:r>
      <w:r>
        <w:rPr>
          <w:spacing w:val="18"/>
          <w:sz w:val="20"/>
        </w:rPr>
        <w:t> </w:t>
      </w:r>
      <w:r>
        <w:rPr>
          <w:sz w:val="20"/>
        </w:rPr>
        <w:t>contractual</w:t>
      </w:r>
      <w:r>
        <w:rPr>
          <w:spacing w:val="18"/>
          <w:sz w:val="20"/>
        </w:rPr>
        <w:t> </w:t>
      </w:r>
      <w:r>
        <w:rPr>
          <w:sz w:val="20"/>
        </w:rPr>
        <w:t>intention,</w:t>
      </w:r>
      <w:r>
        <w:rPr>
          <w:spacing w:val="18"/>
          <w:sz w:val="20"/>
        </w:rPr>
        <w:t> </w:t>
      </w:r>
      <w:r>
        <w:rPr>
          <w:spacing w:val="-5"/>
          <w:sz w:val="20"/>
        </w:rPr>
        <w:t>in</w:t>
      </w:r>
    </w:p>
    <w:p>
      <w:pPr>
        <w:spacing w:after="0"/>
        <w:jc w:val="left"/>
        <w:rPr>
          <w:sz w:val="20"/>
        </w:rPr>
        <w:sectPr>
          <w:pgSz w:w="11900" w:h="16840"/>
          <w:pgMar w:header="971" w:footer="0" w:top="1300" w:bottom="280" w:left="1275" w:right="1275"/>
        </w:sectPr>
      </w:pPr>
    </w:p>
    <w:p>
      <w:pPr>
        <w:spacing w:line="235" w:lineRule="auto" w:before="110"/>
        <w:ind w:left="705" w:right="167" w:firstLine="0"/>
        <w:jc w:val="both"/>
        <w:rPr>
          <w:sz w:val="20"/>
        </w:rPr>
      </w:pPr>
      <w:r>
        <w:rPr>
          <w:rFonts w:ascii="Arial"/>
          <w:i/>
          <w:sz w:val="20"/>
        </w:rPr>
        <w:t>Albert v M.I.B. [1972] A.C. 301</w:t>
      </w:r>
      <w:r>
        <w:rPr>
          <w:sz w:val="20"/>
        </w:rPr>
        <w:t>; </w:t>
      </w:r>
      <w:r>
        <w:rPr>
          <w:rFonts w:ascii="Arial"/>
          <w:i/>
          <w:sz w:val="20"/>
        </w:rPr>
        <w:t>Buckpitt v Oates [1968] 1 All E.R. 1145</w:t>
      </w:r>
      <w:r>
        <w:rPr>
          <w:sz w:val="20"/>
        </w:rPr>
        <w:t>, criticised on this point by Karsten (1969) 32 M.L.R. 88. The actual decisions are obsolete by reason of Road Traffic Act 1988 ss.145, 149; cf. also s.150; but an issue of contractual intention might still arise if </w:t>
      </w:r>
      <w:r>
        <w:rPr>
          <w:sz w:val="20"/>
        </w:rPr>
        <w:t>one party to such an arrangement simply failed to turn up at the agreed time. For another context in which sharing of expenses did not give rise to an inference of contractual intention, see </w:t>
      </w:r>
      <w:r>
        <w:rPr>
          <w:rFonts w:ascii="Arial"/>
          <w:i/>
          <w:sz w:val="20"/>
        </w:rPr>
        <w:t>Monmouth C. v Marlog, The Times, May 4, 1994</w:t>
      </w:r>
      <w:r>
        <w:rPr>
          <w:sz w:val="20"/>
        </w:rPr>
        <w:t>.</w:t>
      </w:r>
    </w:p>
    <w:p>
      <w:pPr>
        <w:pStyle w:val="BodyText"/>
        <w:spacing w:before="4"/>
      </w:pPr>
    </w:p>
    <w:p>
      <w:pPr>
        <w:tabs>
          <w:tab w:pos="705" w:val="left" w:leader="none"/>
        </w:tabs>
        <w:spacing w:before="0"/>
        <w:ind w:left="165" w:right="0" w:firstLine="0"/>
        <w:jc w:val="left"/>
        <w:rPr>
          <w:sz w:val="20"/>
        </w:rPr>
      </w:pPr>
      <w:bookmarkStart w:name="_bookmark1842" w:id="1844"/>
      <w:bookmarkEnd w:id="1844"/>
      <w:r>
        <w:rPr/>
      </w:r>
      <w:hyperlink w:history="true" w:anchor="_bookmark1766">
        <w:r>
          <w:rPr>
            <w:color w:val="005DA1"/>
            <w:spacing w:val="-4"/>
            <w:position w:val="5"/>
            <w:sz w:val="14"/>
            <w:u w:val="single" w:color="005DA1"/>
          </w:rPr>
          <w:t>965</w:t>
        </w:r>
      </w:hyperlink>
      <w:r>
        <w:rPr>
          <w:spacing w:val="-4"/>
          <w:position w:val="5"/>
          <w:sz w:val="14"/>
        </w:rPr>
        <w:t>.</w:t>
      </w:r>
      <w:r>
        <w:rPr>
          <w:position w:val="5"/>
          <w:sz w:val="14"/>
        </w:rPr>
        <w:tab/>
      </w:r>
      <w:r>
        <w:rPr>
          <w:rFonts w:ascii="Arial"/>
          <w:i/>
          <w:sz w:val="20"/>
        </w:rPr>
        <w:t>Hadley</w:t>
      </w:r>
      <w:r>
        <w:rPr>
          <w:rFonts w:ascii="Arial"/>
          <w:i/>
          <w:spacing w:val="-3"/>
          <w:sz w:val="20"/>
        </w:rPr>
        <w:t> </w:t>
      </w:r>
      <w:r>
        <w:rPr>
          <w:rFonts w:ascii="Arial"/>
          <w:i/>
          <w:sz w:val="20"/>
        </w:rPr>
        <w:t>v Kemp [1999] E.M.L.R. 589</w:t>
      </w:r>
      <w:r>
        <w:rPr>
          <w:sz w:val="20"/>
        </w:rPr>
        <w:t>; </w:t>
      </w:r>
      <w:r>
        <w:rPr>
          <w:rFonts w:ascii="Arial"/>
          <w:i/>
          <w:sz w:val="20"/>
        </w:rPr>
        <w:t>McPhail v Bourne [2008] EWHC </w:t>
      </w:r>
      <w:r>
        <w:rPr>
          <w:rFonts w:ascii="Arial"/>
          <w:i/>
          <w:spacing w:val="-2"/>
          <w:sz w:val="20"/>
        </w:rPr>
        <w:t>1235</w:t>
      </w:r>
      <w:r>
        <w:rPr>
          <w:spacing w:val="-2"/>
          <w:sz w:val="20"/>
        </w:rPr>
        <w:t>.</w:t>
      </w:r>
    </w:p>
    <w:p>
      <w:pPr>
        <w:pStyle w:val="BodyText"/>
        <w:spacing w:before="5"/>
      </w:pPr>
    </w:p>
    <w:p>
      <w:pPr>
        <w:tabs>
          <w:tab w:pos="705" w:val="left" w:leader="none"/>
        </w:tabs>
        <w:spacing w:before="0"/>
        <w:ind w:left="165" w:right="0" w:firstLine="0"/>
        <w:jc w:val="left"/>
        <w:rPr>
          <w:sz w:val="20"/>
        </w:rPr>
      </w:pPr>
      <w:bookmarkStart w:name="_bookmark1843" w:id="1845"/>
      <w:bookmarkEnd w:id="1845"/>
      <w:r>
        <w:rPr/>
      </w:r>
      <w:hyperlink w:history="true" w:anchor="_bookmark1767">
        <w:r>
          <w:rPr>
            <w:color w:val="005DA1"/>
            <w:spacing w:val="-4"/>
            <w:position w:val="5"/>
            <w:sz w:val="14"/>
            <w:u w:val="single" w:color="005DA1"/>
          </w:rPr>
          <w:t>966</w:t>
        </w:r>
      </w:hyperlink>
      <w:r>
        <w:rPr>
          <w:spacing w:val="-4"/>
          <w:position w:val="5"/>
          <w:sz w:val="14"/>
        </w:rPr>
        <w:t>.</w:t>
      </w:r>
      <w:r>
        <w:rPr>
          <w:position w:val="5"/>
          <w:sz w:val="14"/>
        </w:rPr>
        <w:tab/>
      </w:r>
      <w:r>
        <w:rPr>
          <w:rFonts w:ascii="Arial"/>
          <w:i/>
          <w:sz w:val="20"/>
        </w:rPr>
        <w:t>Heslop</w:t>
      </w:r>
      <w:r>
        <w:rPr>
          <w:rFonts w:ascii="Arial"/>
          <w:i/>
          <w:spacing w:val="-1"/>
          <w:sz w:val="20"/>
        </w:rPr>
        <w:t> </w:t>
      </w:r>
      <w:r>
        <w:rPr>
          <w:rFonts w:ascii="Arial"/>
          <w:i/>
          <w:sz w:val="20"/>
        </w:rPr>
        <w:t>v Burns [1974] 1 W.L.R. 1241</w:t>
      </w:r>
      <w:r>
        <w:rPr>
          <w:sz w:val="20"/>
        </w:rPr>
        <w:t>; cf. </w:t>
      </w:r>
      <w:r>
        <w:rPr>
          <w:rFonts w:ascii="Arial"/>
          <w:i/>
          <w:sz w:val="20"/>
        </w:rPr>
        <w:t>Horrocks v Forray [1976] 1 W.L.R. </w:t>
      </w:r>
      <w:r>
        <w:rPr>
          <w:rFonts w:ascii="Arial"/>
          <w:i/>
          <w:spacing w:val="-4"/>
          <w:sz w:val="20"/>
        </w:rPr>
        <w:t>230</w:t>
      </w:r>
      <w:r>
        <w:rPr>
          <w:spacing w:val="-4"/>
          <w:sz w:val="20"/>
        </w:rPr>
        <w:t>.</w:t>
      </w:r>
    </w:p>
    <w:p>
      <w:pPr>
        <w:pStyle w:val="BodyText"/>
        <w:spacing w:before="5"/>
      </w:pPr>
    </w:p>
    <w:p>
      <w:pPr>
        <w:tabs>
          <w:tab w:pos="705" w:val="left" w:leader="none"/>
        </w:tabs>
        <w:spacing w:before="0"/>
        <w:ind w:left="165" w:right="0" w:firstLine="0"/>
        <w:jc w:val="left"/>
        <w:rPr>
          <w:sz w:val="20"/>
        </w:rPr>
      </w:pPr>
      <w:bookmarkStart w:name="_bookmark1844" w:id="1846"/>
      <w:bookmarkEnd w:id="1846"/>
      <w:r>
        <w:rPr/>
      </w:r>
      <w:hyperlink w:history="true" w:anchor="_bookmark1768">
        <w:r>
          <w:rPr>
            <w:color w:val="005DA1"/>
            <w:spacing w:val="-4"/>
            <w:position w:val="5"/>
            <w:sz w:val="14"/>
            <w:u w:val="single" w:color="005DA1"/>
          </w:rPr>
          <w:t>967</w:t>
        </w:r>
      </w:hyperlink>
      <w:r>
        <w:rPr>
          <w:spacing w:val="-4"/>
          <w:position w:val="5"/>
          <w:sz w:val="14"/>
        </w:rPr>
        <w:t>.</w:t>
      </w:r>
      <w:r>
        <w:rPr>
          <w:position w:val="5"/>
          <w:sz w:val="14"/>
        </w:rPr>
        <w:tab/>
      </w:r>
      <w:r>
        <w:rPr>
          <w:rFonts w:ascii="Arial"/>
          <w:i/>
          <w:sz w:val="20"/>
        </w:rPr>
        <w:t>Kucukkoylu v Ozcan [2014] EWHC </w:t>
      </w:r>
      <w:r>
        <w:rPr>
          <w:rFonts w:ascii="Arial"/>
          <w:i/>
          <w:spacing w:val="-2"/>
          <w:sz w:val="20"/>
        </w:rPr>
        <w:t>1972</w:t>
      </w:r>
      <w:r>
        <w:rPr>
          <w:spacing w:val="-2"/>
          <w:sz w:val="20"/>
        </w:rPr>
        <w:t>.</w:t>
      </w:r>
    </w:p>
    <w:p>
      <w:pPr>
        <w:pStyle w:val="BodyText"/>
        <w:spacing w:before="9"/>
      </w:pPr>
    </w:p>
    <w:p>
      <w:pPr>
        <w:pStyle w:val="BodyText"/>
        <w:spacing w:line="235" w:lineRule="auto"/>
        <w:ind w:left="705" w:right="167" w:hanging="541"/>
        <w:jc w:val="both"/>
      </w:pPr>
      <w:bookmarkStart w:name="_bookmark1845" w:id="1847"/>
      <w:bookmarkEnd w:id="1847"/>
      <w:r>
        <w:rPr/>
      </w:r>
      <w:hyperlink w:history="true" w:anchor="_bookmark1769">
        <w:r>
          <w:rPr>
            <w:color w:val="005DA1"/>
            <w:position w:val="5"/>
            <w:sz w:val="14"/>
            <w:u w:val="single" w:color="005DA1"/>
          </w:rPr>
          <w:t>968</w:t>
        </w:r>
      </w:hyperlink>
      <w:r>
        <w:rPr>
          <w:position w:val="5"/>
          <w:sz w:val="14"/>
        </w:rPr>
        <w:t>.</w:t>
      </w:r>
      <w:r>
        <w:rPr>
          <w:spacing w:val="80"/>
          <w:position w:val="5"/>
          <w:sz w:val="14"/>
        </w:rPr>
        <w:t>  </w:t>
      </w:r>
      <w:r>
        <w:rPr>
          <w:rFonts w:ascii="Arial" w:hAnsi="Arial"/>
          <w:i/>
        </w:rPr>
        <w:t>[1919] 2 K.B. 571</w:t>
      </w:r>
      <w:r>
        <w:rPr/>
        <w:t>. cf. </w:t>
      </w:r>
      <w:r>
        <w:rPr>
          <w:rFonts w:ascii="Arial" w:hAnsi="Arial"/>
          <w:i/>
        </w:rPr>
        <w:t>Gould v Gould [1970] 1 Q.B. 275</w:t>
      </w:r>
      <w:r>
        <w:rPr/>
        <w:t>, where there was a division of opinion</w:t>
      </w:r>
      <w:r>
        <w:rPr>
          <w:spacing w:val="80"/>
        </w:rPr>
        <w:t> </w:t>
      </w:r>
      <w:r>
        <w:rPr/>
        <w:t>on</w:t>
      </w:r>
      <w:r>
        <w:rPr>
          <w:spacing w:val="-3"/>
        </w:rPr>
        <w:t> </w:t>
      </w:r>
      <w:r>
        <w:rPr/>
        <w:t>the</w:t>
      </w:r>
      <w:r>
        <w:rPr>
          <w:spacing w:val="-3"/>
        </w:rPr>
        <w:t> </w:t>
      </w:r>
      <w:r>
        <w:rPr/>
        <w:t>issue</w:t>
      </w:r>
      <w:r>
        <w:rPr>
          <w:spacing w:val="-3"/>
        </w:rPr>
        <w:t> </w:t>
      </w:r>
      <w:r>
        <w:rPr/>
        <w:t>of</w:t>
      </w:r>
      <w:r>
        <w:rPr>
          <w:spacing w:val="-3"/>
        </w:rPr>
        <w:t> </w:t>
      </w:r>
      <w:r>
        <w:rPr/>
        <w:t>contractual</w:t>
      </w:r>
      <w:r>
        <w:rPr>
          <w:spacing w:val="-3"/>
        </w:rPr>
        <w:t> </w:t>
      </w:r>
      <w:r>
        <w:rPr/>
        <w:t>intention,</w:t>
      </w:r>
      <w:r>
        <w:rPr>
          <w:spacing w:val="-3"/>
        </w:rPr>
        <w:t> </w:t>
      </w:r>
      <w:r>
        <w:rPr/>
        <w:t>the</w:t>
      </w:r>
      <w:r>
        <w:rPr>
          <w:spacing w:val="-3"/>
        </w:rPr>
        <w:t> </w:t>
      </w:r>
      <w:r>
        <w:rPr/>
        <w:t>majority</w:t>
      </w:r>
      <w:r>
        <w:rPr>
          <w:spacing w:val="-3"/>
        </w:rPr>
        <w:t> </w:t>
      </w:r>
      <w:r>
        <w:rPr/>
        <w:t>holding</w:t>
      </w:r>
      <w:r>
        <w:rPr>
          <w:spacing w:val="-3"/>
        </w:rPr>
        <w:t> </w:t>
      </w:r>
      <w:r>
        <w:rPr/>
        <w:t>that</w:t>
      </w:r>
      <w:r>
        <w:rPr>
          <w:spacing w:val="-3"/>
        </w:rPr>
        <w:t> </w:t>
      </w:r>
      <w:r>
        <w:rPr/>
        <w:t>there</w:t>
      </w:r>
      <w:r>
        <w:rPr>
          <w:spacing w:val="-3"/>
        </w:rPr>
        <w:t> </w:t>
      </w:r>
      <w:r>
        <w:rPr/>
        <w:t>was</w:t>
      </w:r>
      <w:r>
        <w:rPr>
          <w:spacing w:val="-3"/>
        </w:rPr>
        <w:t> </w:t>
      </w:r>
      <w:r>
        <w:rPr/>
        <w:t>no</w:t>
      </w:r>
      <w:r>
        <w:rPr>
          <w:spacing w:val="-3"/>
        </w:rPr>
        <w:t> </w:t>
      </w:r>
      <w:r>
        <w:rPr/>
        <w:t>such</w:t>
      </w:r>
      <w:r>
        <w:rPr>
          <w:spacing w:val="-3"/>
        </w:rPr>
        <w:t> </w:t>
      </w:r>
      <w:r>
        <w:rPr/>
        <w:t>intention</w:t>
      </w:r>
      <w:r>
        <w:rPr>
          <w:spacing w:val="-3"/>
        </w:rPr>
        <w:t> </w:t>
      </w:r>
      <w:r>
        <w:rPr/>
        <w:t>where a</w:t>
      </w:r>
      <w:r>
        <w:rPr>
          <w:spacing w:val="-2"/>
        </w:rPr>
        <w:t> </w:t>
      </w:r>
      <w:r>
        <w:rPr/>
        <w:t>husband</w:t>
      </w:r>
      <w:r>
        <w:rPr>
          <w:spacing w:val="-2"/>
        </w:rPr>
        <w:t> </w:t>
      </w:r>
      <w:r>
        <w:rPr/>
        <w:t>on</w:t>
      </w:r>
      <w:r>
        <w:rPr>
          <w:spacing w:val="-2"/>
        </w:rPr>
        <w:t> </w:t>
      </w:r>
      <w:r>
        <w:rPr/>
        <w:t>leaving</w:t>
      </w:r>
      <w:r>
        <w:rPr>
          <w:spacing w:val="-2"/>
        </w:rPr>
        <w:t> </w:t>
      </w:r>
      <w:r>
        <w:rPr/>
        <w:t>his</w:t>
      </w:r>
      <w:r>
        <w:rPr>
          <w:spacing w:val="-2"/>
        </w:rPr>
        <w:t> </w:t>
      </w:r>
      <w:r>
        <w:rPr/>
        <w:t>wife</w:t>
      </w:r>
      <w:r>
        <w:rPr>
          <w:spacing w:val="-2"/>
        </w:rPr>
        <w:t> </w:t>
      </w:r>
      <w:r>
        <w:rPr/>
        <w:t>promised</w:t>
      </w:r>
      <w:r>
        <w:rPr>
          <w:spacing w:val="-2"/>
        </w:rPr>
        <w:t> </w:t>
      </w:r>
      <w:r>
        <w:rPr/>
        <w:t>to</w:t>
      </w:r>
      <w:r>
        <w:rPr>
          <w:spacing w:val="-2"/>
        </w:rPr>
        <w:t> </w:t>
      </w:r>
      <w:r>
        <w:rPr/>
        <w:t>pay</w:t>
      </w:r>
      <w:r>
        <w:rPr>
          <w:spacing w:val="-2"/>
        </w:rPr>
        <w:t> </w:t>
      </w:r>
      <w:r>
        <w:rPr/>
        <w:t>her</w:t>
      </w:r>
      <w:r>
        <w:rPr>
          <w:spacing w:val="-2"/>
        </w:rPr>
        <w:t> </w:t>
      </w:r>
      <w:r>
        <w:rPr/>
        <w:t>£15</w:t>
      </w:r>
      <w:r>
        <w:rPr>
          <w:spacing w:val="-2"/>
        </w:rPr>
        <w:t> </w:t>
      </w:r>
      <w:r>
        <w:rPr/>
        <w:t>per</w:t>
      </w:r>
      <w:r>
        <w:rPr>
          <w:spacing w:val="-2"/>
        </w:rPr>
        <w:t> </w:t>
      </w:r>
      <w:r>
        <w:rPr/>
        <w:t>week</w:t>
      </w:r>
      <w:r>
        <w:rPr>
          <w:spacing w:val="-2"/>
        </w:rPr>
        <w:t> </w:t>
      </w:r>
      <w:r>
        <w:rPr/>
        <w:t>so</w:t>
      </w:r>
      <w:r>
        <w:rPr>
          <w:spacing w:val="-2"/>
        </w:rPr>
        <w:t> </w:t>
      </w:r>
      <w:r>
        <w:rPr/>
        <w:t>long</w:t>
      </w:r>
      <w:r>
        <w:rPr>
          <w:spacing w:val="-2"/>
        </w:rPr>
        <w:t> </w:t>
      </w:r>
      <w:r>
        <w:rPr/>
        <w:t>as</w:t>
      </w:r>
      <w:r>
        <w:rPr>
          <w:spacing w:val="-2"/>
        </w:rPr>
        <w:t> </w:t>
      </w:r>
      <w:r>
        <w:rPr/>
        <w:t>he</w:t>
      </w:r>
      <w:r>
        <w:rPr>
          <w:spacing w:val="-2"/>
        </w:rPr>
        <w:t> </w:t>
      </w:r>
      <w:r>
        <w:rPr/>
        <w:t>could</w:t>
      </w:r>
      <w:r>
        <w:rPr>
          <w:spacing w:val="-2"/>
        </w:rPr>
        <w:t> </w:t>
      </w:r>
      <w:r>
        <w:rPr/>
        <w:t>manage</w:t>
      </w:r>
      <w:r>
        <w:rPr>
          <w:spacing w:val="-2"/>
        </w:rPr>
        <w:t> </w:t>
      </w:r>
      <w:r>
        <w:rPr/>
        <w:t>it. And see generally Ingman [1970] J.B.L. 109.</w:t>
      </w:r>
    </w:p>
    <w:p>
      <w:pPr>
        <w:pStyle w:val="BodyText"/>
        <w:spacing w:before="8"/>
      </w:pPr>
    </w:p>
    <w:p>
      <w:pPr>
        <w:pStyle w:val="BodyText"/>
        <w:spacing w:line="235" w:lineRule="auto" w:before="1"/>
        <w:ind w:left="705" w:right="167" w:hanging="541"/>
        <w:jc w:val="both"/>
      </w:pPr>
      <w:r>
        <w:rPr>
          <w:color w:val="005DA1"/>
          <w:position w:val="5"/>
          <w:sz w:val="14"/>
          <w:u w:val="single" w:color="005DA1"/>
        </w:rPr>
        <w:t>969</w:t>
      </w:r>
      <w:r>
        <w:rPr>
          <w:position w:val="5"/>
          <w:sz w:val="14"/>
        </w:rPr>
        <w:t>.</w:t>
      </w:r>
      <w:r>
        <w:rPr>
          <w:spacing w:val="80"/>
          <w:position w:val="5"/>
          <w:sz w:val="14"/>
        </w:rPr>
        <w:t> </w:t>
      </w:r>
      <w:r>
        <w:rPr>
          <w:rFonts w:ascii="Arial"/>
          <w:i/>
        </w:rPr>
        <w:t>Balfour v Balfour</w:t>
      </w:r>
      <w:r>
        <w:rPr/>
        <w:t>, above n.943 at 578: it would clearly be undesirable to enforce such</w:t>
      </w:r>
      <w:r>
        <w:rPr>
          <w:spacing w:val="80"/>
        </w:rPr>
        <w:t> </w:t>
      </w:r>
      <w:r>
        <w:rPr/>
        <w:t>agreements in accordance with their original terms, however much the position of the </w:t>
      </w:r>
      <w:r>
        <w:rPr/>
        <w:t>parties had changed.</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970</w:t>
      </w:r>
      <w:r>
        <w:rPr>
          <w:spacing w:val="-4"/>
          <w:position w:val="5"/>
          <w:sz w:val="14"/>
        </w:rPr>
        <w:t>.</w:t>
      </w:r>
      <w:r>
        <w:rPr>
          <w:position w:val="5"/>
          <w:sz w:val="14"/>
        </w:rPr>
        <w:tab/>
      </w:r>
      <w:r>
        <w:rPr>
          <w:rFonts w:ascii="Arial"/>
          <w:i/>
          <w:sz w:val="20"/>
        </w:rPr>
        <w:t>Pettitt v Pettitt [1970] A.C. 777, </w:t>
      </w:r>
      <w:r>
        <w:rPr>
          <w:rFonts w:ascii="Arial"/>
          <w:i/>
          <w:spacing w:val="-4"/>
          <w:sz w:val="20"/>
        </w:rPr>
        <w:t>816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r>
        <w:rPr>
          <w:color w:val="005DA1"/>
          <w:spacing w:val="-4"/>
          <w:position w:val="5"/>
          <w:sz w:val="14"/>
          <w:u w:val="single" w:color="005DA1"/>
        </w:rPr>
        <w:t>971</w:t>
      </w:r>
      <w:r>
        <w:rPr>
          <w:spacing w:val="-4"/>
          <w:position w:val="5"/>
          <w:sz w:val="14"/>
        </w:rPr>
        <w:t>.</w:t>
      </w:r>
      <w:r>
        <w:rPr>
          <w:position w:val="5"/>
          <w:sz w:val="14"/>
        </w:rPr>
        <w:tab/>
      </w:r>
      <w:r>
        <w:rPr>
          <w:sz w:val="20"/>
        </w:rPr>
        <w:t>e.g.</w:t>
      </w:r>
      <w:r>
        <w:rPr>
          <w:spacing w:val="55"/>
          <w:sz w:val="20"/>
        </w:rPr>
        <w:t> </w:t>
      </w:r>
      <w:r>
        <w:rPr>
          <w:rFonts w:ascii="Arial"/>
          <w:i/>
          <w:sz w:val="20"/>
        </w:rPr>
        <w:t>Gage</w:t>
      </w:r>
      <w:r>
        <w:rPr>
          <w:rFonts w:ascii="Arial"/>
          <w:i/>
          <w:spacing w:val="55"/>
          <w:sz w:val="20"/>
        </w:rPr>
        <w:t> </w:t>
      </w:r>
      <w:r>
        <w:rPr>
          <w:rFonts w:ascii="Arial"/>
          <w:i/>
          <w:sz w:val="20"/>
        </w:rPr>
        <w:t>v</w:t>
      </w:r>
      <w:r>
        <w:rPr>
          <w:rFonts w:ascii="Arial"/>
          <w:i/>
          <w:spacing w:val="56"/>
          <w:sz w:val="20"/>
        </w:rPr>
        <w:t> </w:t>
      </w:r>
      <w:r>
        <w:rPr>
          <w:rFonts w:ascii="Arial"/>
          <w:i/>
          <w:sz w:val="20"/>
        </w:rPr>
        <w:t>King</w:t>
      </w:r>
      <w:r>
        <w:rPr>
          <w:rFonts w:ascii="Arial"/>
          <w:i/>
          <w:spacing w:val="55"/>
          <w:sz w:val="20"/>
        </w:rPr>
        <w:t> </w:t>
      </w:r>
      <w:r>
        <w:rPr>
          <w:rFonts w:ascii="Arial"/>
          <w:i/>
          <w:sz w:val="20"/>
        </w:rPr>
        <w:t>[1961]</w:t>
      </w:r>
      <w:r>
        <w:rPr>
          <w:rFonts w:ascii="Arial"/>
          <w:i/>
          <w:spacing w:val="56"/>
          <w:sz w:val="20"/>
        </w:rPr>
        <w:t> </w:t>
      </w:r>
      <w:r>
        <w:rPr>
          <w:rFonts w:ascii="Arial"/>
          <w:i/>
          <w:sz w:val="20"/>
        </w:rPr>
        <w:t>1</w:t>
      </w:r>
      <w:r>
        <w:rPr>
          <w:rFonts w:ascii="Arial"/>
          <w:i/>
          <w:spacing w:val="55"/>
          <w:sz w:val="20"/>
        </w:rPr>
        <w:t> </w:t>
      </w:r>
      <w:r>
        <w:rPr>
          <w:rFonts w:ascii="Arial"/>
          <w:i/>
          <w:sz w:val="20"/>
        </w:rPr>
        <w:t>Q.B.</w:t>
      </w:r>
      <w:r>
        <w:rPr>
          <w:rFonts w:ascii="Arial"/>
          <w:i/>
          <w:spacing w:val="56"/>
          <w:sz w:val="20"/>
        </w:rPr>
        <w:t> </w:t>
      </w:r>
      <w:r>
        <w:rPr>
          <w:rFonts w:ascii="Arial"/>
          <w:i/>
          <w:sz w:val="20"/>
        </w:rPr>
        <w:t>188</w:t>
      </w:r>
      <w:r>
        <w:rPr>
          <w:sz w:val="20"/>
        </w:rPr>
        <w:t>;</w:t>
      </w:r>
      <w:r>
        <w:rPr>
          <w:spacing w:val="55"/>
          <w:sz w:val="20"/>
        </w:rPr>
        <w:t> </w:t>
      </w:r>
      <w:r>
        <w:rPr>
          <w:rFonts w:ascii="Arial"/>
          <w:i/>
          <w:sz w:val="20"/>
        </w:rPr>
        <w:t>Spellman</w:t>
      </w:r>
      <w:r>
        <w:rPr>
          <w:rFonts w:ascii="Arial"/>
          <w:i/>
          <w:spacing w:val="55"/>
          <w:sz w:val="20"/>
        </w:rPr>
        <w:t> </w:t>
      </w:r>
      <w:r>
        <w:rPr>
          <w:rFonts w:ascii="Arial"/>
          <w:i/>
          <w:sz w:val="20"/>
        </w:rPr>
        <w:t>v</w:t>
      </w:r>
      <w:r>
        <w:rPr>
          <w:rFonts w:ascii="Arial"/>
          <w:i/>
          <w:spacing w:val="56"/>
          <w:sz w:val="20"/>
        </w:rPr>
        <w:t> </w:t>
      </w:r>
      <w:r>
        <w:rPr>
          <w:rFonts w:ascii="Arial"/>
          <w:i/>
          <w:sz w:val="20"/>
        </w:rPr>
        <w:t>Spellman</w:t>
      </w:r>
      <w:r>
        <w:rPr>
          <w:rFonts w:ascii="Arial"/>
          <w:i/>
          <w:spacing w:val="55"/>
          <w:sz w:val="20"/>
        </w:rPr>
        <w:t> </w:t>
      </w:r>
      <w:r>
        <w:rPr>
          <w:rFonts w:ascii="Arial"/>
          <w:i/>
          <w:sz w:val="20"/>
        </w:rPr>
        <w:t>[1961]</w:t>
      </w:r>
      <w:r>
        <w:rPr>
          <w:rFonts w:ascii="Arial"/>
          <w:i/>
          <w:spacing w:val="56"/>
          <w:sz w:val="20"/>
        </w:rPr>
        <w:t> </w:t>
      </w:r>
      <w:r>
        <w:rPr>
          <w:rFonts w:ascii="Arial"/>
          <w:i/>
          <w:sz w:val="20"/>
        </w:rPr>
        <w:t>1</w:t>
      </w:r>
      <w:r>
        <w:rPr>
          <w:rFonts w:ascii="Arial"/>
          <w:i/>
          <w:spacing w:val="55"/>
          <w:sz w:val="20"/>
        </w:rPr>
        <w:t> </w:t>
      </w:r>
      <w:r>
        <w:rPr>
          <w:rFonts w:ascii="Arial"/>
          <w:i/>
          <w:sz w:val="20"/>
        </w:rPr>
        <w:t>W.L.R.</w:t>
      </w:r>
      <w:r>
        <w:rPr>
          <w:rFonts w:ascii="Arial"/>
          <w:i/>
          <w:spacing w:val="56"/>
          <w:sz w:val="20"/>
        </w:rPr>
        <w:t> </w:t>
      </w:r>
      <w:r>
        <w:rPr>
          <w:rFonts w:ascii="Arial"/>
          <w:i/>
          <w:sz w:val="20"/>
        </w:rPr>
        <w:t>921</w:t>
      </w:r>
      <w:r>
        <w:rPr>
          <w:sz w:val="20"/>
        </w:rPr>
        <w:t>;</w:t>
      </w:r>
      <w:r>
        <w:rPr>
          <w:spacing w:val="55"/>
          <w:sz w:val="20"/>
        </w:rPr>
        <w:t> </w:t>
      </w:r>
      <w:r>
        <w:rPr>
          <w:sz w:val="20"/>
        </w:rPr>
        <w:t>cf.</w:t>
      </w:r>
      <w:r>
        <w:rPr>
          <w:spacing w:val="56"/>
          <w:sz w:val="20"/>
        </w:rPr>
        <w:t> </w:t>
      </w:r>
      <w:r>
        <w:rPr>
          <w:rFonts w:ascii="Arial"/>
          <w:i/>
          <w:spacing w:val="-5"/>
          <w:sz w:val="20"/>
        </w:rPr>
        <w:t>Re</w:t>
      </w:r>
    </w:p>
    <w:p>
      <w:pPr>
        <w:spacing w:line="227" w:lineRule="exact" w:before="0"/>
        <w:ind w:left="705" w:right="0" w:firstLine="0"/>
        <w:jc w:val="left"/>
        <w:rPr>
          <w:sz w:val="20"/>
        </w:rPr>
      </w:pPr>
      <w:r>
        <w:rPr>
          <w:rFonts w:ascii="Arial" w:hAnsi="Arial"/>
          <w:i/>
          <w:sz w:val="20"/>
        </w:rPr>
        <w:t>Beaumont</w:t>
      </w:r>
      <w:r>
        <w:rPr>
          <w:rFonts w:ascii="Arial" w:hAnsi="Arial"/>
          <w:i/>
          <w:spacing w:val="-1"/>
          <w:sz w:val="20"/>
        </w:rPr>
        <w:t> </w:t>
      </w:r>
      <w:r>
        <w:rPr>
          <w:rFonts w:ascii="Arial" w:hAnsi="Arial"/>
          <w:i/>
          <w:sz w:val="20"/>
        </w:rPr>
        <w:t>(dec’d) [1980] Ch. 444, 453</w:t>
      </w:r>
      <w:r>
        <w:rPr>
          <w:sz w:val="20"/>
        </w:rPr>
        <w:t>; cf. </w:t>
      </w:r>
      <w:r>
        <w:rPr>
          <w:rFonts w:ascii="Arial" w:hAnsi="Arial"/>
          <w:i/>
          <w:sz w:val="20"/>
        </w:rPr>
        <w:t>Lloyds Bank Plc v Rosset [1991] A.C. </w:t>
      </w:r>
      <w:r>
        <w:rPr>
          <w:rFonts w:ascii="Arial" w:hAnsi="Arial"/>
          <w:i/>
          <w:spacing w:val="-4"/>
          <w:sz w:val="20"/>
        </w:rPr>
        <w:t>107</w:t>
      </w:r>
      <w:r>
        <w:rPr>
          <w:spacing w:val="-4"/>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972</w:t>
      </w:r>
      <w:r>
        <w:rPr>
          <w:spacing w:val="-4"/>
          <w:position w:val="5"/>
          <w:sz w:val="14"/>
        </w:rPr>
        <w:t>.</w:t>
      </w:r>
      <w:r>
        <w:rPr>
          <w:position w:val="5"/>
          <w:sz w:val="14"/>
        </w:rPr>
        <w:tab/>
      </w:r>
      <w:r>
        <w:rPr>
          <w:rFonts w:ascii="Arial"/>
          <w:i/>
          <w:sz w:val="20"/>
        </w:rPr>
        <w:t>Pearce</w:t>
      </w:r>
      <w:r>
        <w:rPr>
          <w:rFonts w:ascii="Arial"/>
          <w:i/>
          <w:spacing w:val="-1"/>
          <w:sz w:val="20"/>
        </w:rPr>
        <w:t> </w:t>
      </w:r>
      <w:r>
        <w:rPr>
          <w:rFonts w:ascii="Arial"/>
          <w:i/>
          <w:sz w:val="20"/>
        </w:rPr>
        <w:t>v Merriman [1904] 1 K.B. 80</w:t>
      </w:r>
      <w:r>
        <w:rPr>
          <w:sz w:val="20"/>
        </w:rPr>
        <w:t>; cf. </w:t>
      </w:r>
      <w:r>
        <w:rPr>
          <w:rFonts w:ascii="Arial"/>
          <w:i/>
          <w:sz w:val="20"/>
        </w:rPr>
        <w:t>Morris v Tarrant [1971] 2 Q.B. </w:t>
      </w:r>
      <w:r>
        <w:rPr>
          <w:rFonts w:ascii="Arial"/>
          <w:i/>
          <w:spacing w:val="-4"/>
          <w:sz w:val="20"/>
        </w:rPr>
        <w:t>143</w:t>
      </w:r>
      <w:r>
        <w:rPr>
          <w:spacing w:val="-4"/>
          <w:sz w:val="20"/>
        </w:rPr>
        <w:t>.</w:t>
      </w:r>
    </w:p>
    <w:p>
      <w:pPr>
        <w:pStyle w:val="BodyText"/>
        <w:spacing w:before="5"/>
      </w:pPr>
    </w:p>
    <w:p>
      <w:pPr>
        <w:tabs>
          <w:tab w:pos="540" w:val="left" w:leader="none"/>
        </w:tabs>
        <w:spacing w:line="227" w:lineRule="exact" w:before="0"/>
        <w:ind w:left="0" w:right="168" w:firstLine="0"/>
        <w:jc w:val="right"/>
        <w:rPr>
          <w:sz w:val="20"/>
        </w:rPr>
      </w:pPr>
      <w:r>
        <w:rPr>
          <w:color w:val="005DA1"/>
          <w:spacing w:val="-4"/>
          <w:position w:val="5"/>
          <w:sz w:val="14"/>
          <w:u w:val="single" w:color="005DA1"/>
        </w:rPr>
        <w:t>973</w:t>
      </w:r>
      <w:r>
        <w:rPr>
          <w:spacing w:val="-4"/>
          <w:position w:val="5"/>
          <w:sz w:val="14"/>
        </w:rPr>
        <w:t>.</w:t>
      </w:r>
      <w:r>
        <w:rPr>
          <w:position w:val="5"/>
          <w:sz w:val="14"/>
        </w:rPr>
        <w:tab/>
      </w:r>
      <w:r>
        <w:rPr>
          <w:sz w:val="20"/>
        </w:rPr>
        <w:t>e.g.</w:t>
      </w:r>
      <w:r>
        <w:rPr>
          <w:spacing w:val="43"/>
          <w:sz w:val="20"/>
        </w:rPr>
        <w:t> </w:t>
      </w:r>
      <w:r>
        <w:rPr>
          <w:rFonts w:ascii="Arial"/>
          <w:i/>
          <w:sz w:val="20"/>
        </w:rPr>
        <w:t>Merritt</w:t>
      </w:r>
      <w:r>
        <w:rPr>
          <w:rFonts w:ascii="Arial"/>
          <w:i/>
          <w:spacing w:val="44"/>
          <w:sz w:val="20"/>
        </w:rPr>
        <w:t> </w:t>
      </w:r>
      <w:r>
        <w:rPr>
          <w:rFonts w:ascii="Arial"/>
          <w:i/>
          <w:sz w:val="20"/>
        </w:rPr>
        <w:t>v</w:t>
      </w:r>
      <w:r>
        <w:rPr>
          <w:rFonts w:ascii="Arial"/>
          <w:i/>
          <w:spacing w:val="44"/>
          <w:sz w:val="20"/>
        </w:rPr>
        <w:t> </w:t>
      </w:r>
      <w:r>
        <w:rPr>
          <w:rFonts w:ascii="Arial"/>
          <w:i/>
          <w:sz w:val="20"/>
        </w:rPr>
        <w:t>Merritt</w:t>
      </w:r>
      <w:r>
        <w:rPr>
          <w:rFonts w:ascii="Arial"/>
          <w:i/>
          <w:spacing w:val="44"/>
          <w:sz w:val="20"/>
        </w:rPr>
        <w:t> </w:t>
      </w:r>
      <w:r>
        <w:rPr>
          <w:rFonts w:ascii="Arial"/>
          <w:i/>
          <w:sz w:val="20"/>
        </w:rPr>
        <w:t>[1970]</w:t>
      </w:r>
      <w:r>
        <w:rPr>
          <w:rFonts w:ascii="Arial"/>
          <w:i/>
          <w:spacing w:val="44"/>
          <w:sz w:val="20"/>
        </w:rPr>
        <w:t> </w:t>
      </w:r>
      <w:r>
        <w:rPr>
          <w:rFonts w:ascii="Arial"/>
          <w:i/>
          <w:sz w:val="20"/>
        </w:rPr>
        <w:t>1</w:t>
      </w:r>
      <w:r>
        <w:rPr>
          <w:rFonts w:ascii="Arial"/>
          <w:i/>
          <w:spacing w:val="44"/>
          <w:sz w:val="20"/>
        </w:rPr>
        <w:t> </w:t>
      </w:r>
      <w:r>
        <w:rPr>
          <w:rFonts w:ascii="Arial"/>
          <w:i/>
          <w:sz w:val="20"/>
        </w:rPr>
        <w:t>W.L.R.</w:t>
      </w:r>
      <w:r>
        <w:rPr>
          <w:rFonts w:ascii="Arial"/>
          <w:i/>
          <w:spacing w:val="44"/>
          <w:sz w:val="20"/>
        </w:rPr>
        <w:t> </w:t>
      </w:r>
      <w:r>
        <w:rPr>
          <w:rFonts w:ascii="Arial"/>
          <w:i/>
          <w:sz w:val="20"/>
        </w:rPr>
        <w:t>1211</w:t>
      </w:r>
      <w:r>
        <w:rPr>
          <w:sz w:val="20"/>
        </w:rPr>
        <w:t>;</w:t>
      </w:r>
      <w:r>
        <w:rPr>
          <w:spacing w:val="44"/>
          <w:sz w:val="20"/>
        </w:rPr>
        <w:t> </w:t>
      </w:r>
      <w:r>
        <w:rPr>
          <w:sz w:val="20"/>
        </w:rPr>
        <w:t>cf.</w:t>
      </w:r>
      <w:r>
        <w:rPr>
          <w:spacing w:val="44"/>
          <w:sz w:val="20"/>
        </w:rPr>
        <w:t> </w:t>
      </w:r>
      <w:r>
        <w:rPr>
          <w:rFonts w:ascii="Arial"/>
          <w:i/>
          <w:sz w:val="20"/>
        </w:rPr>
        <w:t>Tanner</w:t>
      </w:r>
      <w:r>
        <w:rPr>
          <w:rFonts w:ascii="Arial"/>
          <w:i/>
          <w:spacing w:val="44"/>
          <w:sz w:val="20"/>
        </w:rPr>
        <w:t> </w:t>
      </w:r>
      <w:r>
        <w:rPr>
          <w:rFonts w:ascii="Arial"/>
          <w:i/>
          <w:sz w:val="20"/>
        </w:rPr>
        <w:t>v</w:t>
      </w:r>
      <w:r>
        <w:rPr>
          <w:rFonts w:ascii="Arial"/>
          <w:i/>
          <w:spacing w:val="44"/>
          <w:sz w:val="20"/>
        </w:rPr>
        <w:t> </w:t>
      </w:r>
      <w:r>
        <w:rPr>
          <w:rFonts w:ascii="Arial"/>
          <w:i/>
          <w:sz w:val="20"/>
        </w:rPr>
        <w:t>Tanner</w:t>
      </w:r>
      <w:r>
        <w:rPr>
          <w:rFonts w:ascii="Arial"/>
          <w:i/>
          <w:spacing w:val="44"/>
          <w:sz w:val="20"/>
        </w:rPr>
        <w:t> </w:t>
      </w:r>
      <w:r>
        <w:rPr>
          <w:rFonts w:ascii="Arial"/>
          <w:i/>
          <w:sz w:val="20"/>
        </w:rPr>
        <w:t>[1975]</w:t>
      </w:r>
      <w:r>
        <w:rPr>
          <w:rFonts w:ascii="Arial"/>
          <w:i/>
          <w:spacing w:val="44"/>
          <w:sz w:val="20"/>
        </w:rPr>
        <w:t> </w:t>
      </w:r>
      <w:r>
        <w:rPr>
          <w:rFonts w:ascii="Arial"/>
          <w:i/>
          <w:sz w:val="20"/>
        </w:rPr>
        <w:t>1</w:t>
      </w:r>
      <w:r>
        <w:rPr>
          <w:rFonts w:ascii="Arial"/>
          <w:i/>
          <w:spacing w:val="44"/>
          <w:sz w:val="20"/>
        </w:rPr>
        <w:t> </w:t>
      </w:r>
      <w:r>
        <w:rPr>
          <w:rFonts w:ascii="Arial"/>
          <w:i/>
          <w:sz w:val="20"/>
        </w:rPr>
        <w:t>W.L.R.</w:t>
      </w:r>
      <w:r>
        <w:rPr>
          <w:rFonts w:ascii="Arial"/>
          <w:i/>
          <w:spacing w:val="44"/>
          <w:sz w:val="20"/>
        </w:rPr>
        <w:t> </w:t>
      </w:r>
      <w:r>
        <w:rPr>
          <w:rFonts w:ascii="Arial"/>
          <w:i/>
          <w:sz w:val="20"/>
        </w:rPr>
        <w:t>1346</w:t>
      </w:r>
      <w:r>
        <w:rPr>
          <w:rFonts w:ascii="Arial"/>
          <w:i/>
          <w:spacing w:val="44"/>
          <w:sz w:val="20"/>
        </w:rPr>
        <w:t> </w:t>
      </w:r>
      <w:r>
        <w:rPr>
          <w:spacing w:val="-5"/>
          <w:sz w:val="20"/>
        </w:rPr>
        <w:t>as</w:t>
      </w:r>
    </w:p>
    <w:p>
      <w:pPr>
        <w:spacing w:line="225" w:lineRule="exact" w:before="0"/>
        <w:ind w:left="0" w:right="168" w:firstLine="0"/>
        <w:jc w:val="right"/>
        <w:rPr>
          <w:sz w:val="20"/>
        </w:rPr>
      </w:pPr>
      <w:r>
        <w:rPr>
          <w:sz w:val="20"/>
        </w:rPr>
        <w:t>explained</w:t>
      </w:r>
      <w:r>
        <w:rPr>
          <w:spacing w:val="5"/>
          <w:sz w:val="20"/>
        </w:rPr>
        <w:t> </w:t>
      </w:r>
      <w:r>
        <w:rPr>
          <w:sz w:val="20"/>
        </w:rPr>
        <w:t>in</w:t>
      </w:r>
      <w:r>
        <w:rPr>
          <w:spacing w:val="6"/>
          <w:sz w:val="20"/>
        </w:rPr>
        <w:t> </w:t>
      </w:r>
      <w:r>
        <w:rPr>
          <w:rFonts w:ascii="Arial"/>
          <w:i/>
          <w:sz w:val="20"/>
        </w:rPr>
        <w:t>Horrocks</w:t>
      </w:r>
      <w:r>
        <w:rPr>
          <w:rFonts w:ascii="Arial"/>
          <w:i/>
          <w:spacing w:val="6"/>
          <w:sz w:val="20"/>
        </w:rPr>
        <w:t> </w:t>
      </w:r>
      <w:r>
        <w:rPr>
          <w:rFonts w:ascii="Arial"/>
          <w:i/>
          <w:sz w:val="20"/>
        </w:rPr>
        <w:t>v</w:t>
      </w:r>
      <w:r>
        <w:rPr>
          <w:rFonts w:ascii="Arial"/>
          <w:i/>
          <w:spacing w:val="6"/>
          <w:sz w:val="20"/>
        </w:rPr>
        <w:t> </w:t>
      </w:r>
      <w:r>
        <w:rPr>
          <w:rFonts w:ascii="Arial"/>
          <w:i/>
          <w:sz w:val="20"/>
        </w:rPr>
        <w:t>Forray</w:t>
      </w:r>
      <w:r>
        <w:rPr>
          <w:rFonts w:ascii="Arial"/>
          <w:i/>
          <w:spacing w:val="6"/>
          <w:sz w:val="20"/>
        </w:rPr>
        <w:t> </w:t>
      </w:r>
      <w:r>
        <w:rPr>
          <w:rFonts w:ascii="Arial"/>
          <w:i/>
          <w:sz w:val="20"/>
        </w:rPr>
        <w:t>[1976]</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230</w:t>
      </w:r>
      <w:r>
        <w:rPr>
          <w:sz w:val="20"/>
        </w:rPr>
        <w:t>;</w:t>
      </w:r>
      <w:r>
        <w:rPr>
          <w:spacing w:val="6"/>
          <w:sz w:val="20"/>
        </w:rPr>
        <w:t> </w:t>
      </w:r>
      <w:r>
        <w:rPr>
          <w:rFonts w:ascii="Arial"/>
          <w:i/>
          <w:sz w:val="20"/>
        </w:rPr>
        <w:t>Re</w:t>
      </w:r>
      <w:r>
        <w:rPr>
          <w:rFonts w:ascii="Arial"/>
          <w:i/>
          <w:spacing w:val="6"/>
          <w:sz w:val="20"/>
        </w:rPr>
        <w:t> </w:t>
      </w:r>
      <w:r>
        <w:rPr>
          <w:rFonts w:ascii="Arial"/>
          <w:i/>
          <w:sz w:val="20"/>
        </w:rPr>
        <w:t>Windle</w:t>
      </w:r>
      <w:r>
        <w:rPr>
          <w:rFonts w:ascii="Arial"/>
          <w:i/>
          <w:spacing w:val="6"/>
          <w:sz w:val="20"/>
        </w:rPr>
        <w:t> </w:t>
      </w:r>
      <w:r>
        <w:rPr>
          <w:rFonts w:ascii="Arial"/>
          <w:i/>
          <w:sz w:val="20"/>
        </w:rPr>
        <w:t>[1975]</w:t>
      </w:r>
      <w:r>
        <w:rPr>
          <w:rFonts w:ascii="Arial"/>
          <w:i/>
          <w:spacing w:val="6"/>
          <w:sz w:val="20"/>
        </w:rPr>
        <w:t> </w:t>
      </w:r>
      <w:r>
        <w:rPr>
          <w:rFonts w:ascii="Arial"/>
          <w:i/>
          <w:sz w:val="20"/>
        </w:rPr>
        <w:t>1</w:t>
      </w:r>
      <w:r>
        <w:rPr>
          <w:rFonts w:ascii="Arial"/>
          <w:i/>
          <w:spacing w:val="6"/>
          <w:sz w:val="20"/>
        </w:rPr>
        <w:t> </w:t>
      </w:r>
      <w:r>
        <w:rPr>
          <w:rFonts w:ascii="Arial"/>
          <w:i/>
          <w:sz w:val="20"/>
        </w:rPr>
        <w:t>W.L.R.</w:t>
      </w:r>
      <w:r>
        <w:rPr>
          <w:rFonts w:ascii="Arial"/>
          <w:i/>
          <w:spacing w:val="6"/>
          <w:sz w:val="20"/>
        </w:rPr>
        <w:t> </w:t>
      </w:r>
      <w:r>
        <w:rPr>
          <w:rFonts w:ascii="Arial"/>
          <w:i/>
          <w:sz w:val="20"/>
        </w:rPr>
        <w:t>1628</w:t>
      </w:r>
      <w:r>
        <w:rPr>
          <w:rFonts w:ascii="Arial"/>
          <w:i/>
          <w:spacing w:val="6"/>
          <w:sz w:val="20"/>
        </w:rPr>
        <w:t> </w:t>
      </w:r>
      <w:r>
        <w:rPr>
          <w:spacing w:val="-2"/>
          <w:sz w:val="20"/>
        </w:rPr>
        <w:t>(doubted</w:t>
      </w:r>
    </w:p>
    <w:p>
      <w:pPr>
        <w:spacing w:line="235" w:lineRule="auto" w:before="1"/>
        <w:ind w:left="705" w:right="168" w:firstLine="0"/>
        <w:jc w:val="left"/>
        <w:rPr>
          <w:sz w:val="20"/>
        </w:rPr>
      </w:pPr>
      <w:r>
        <w:rPr>
          <w:sz w:val="20"/>
        </w:rPr>
        <w:t>in</w:t>
      </w:r>
      <w:r>
        <w:rPr>
          <w:spacing w:val="27"/>
          <w:sz w:val="20"/>
        </w:rPr>
        <w:t> </w:t>
      </w:r>
      <w:r>
        <w:rPr>
          <w:rFonts w:ascii="Arial"/>
          <w:i/>
          <w:sz w:val="20"/>
        </w:rPr>
        <w:t>Re</w:t>
      </w:r>
      <w:r>
        <w:rPr>
          <w:rFonts w:ascii="Arial"/>
          <w:i/>
          <w:spacing w:val="27"/>
          <w:sz w:val="20"/>
        </w:rPr>
        <w:t> </w:t>
      </w:r>
      <w:r>
        <w:rPr>
          <w:rFonts w:ascii="Arial"/>
          <w:i/>
          <w:sz w:val="20"/>
        </w:rPr>
        <w:t>Kumar</w:t>
      </w:r>
      <w:r>
        <w:rPr>
          <w:rFonts w:ascii="Arial"/>
          <w:i/>
          <w:spacing w:val="27"/>
          <w:sz w:val="20"/>
        </w:rPr>
        <w:t> </w:t>
      </w:r>
      <w:r>
        <w:rPr>
          <w:rFonts w:ascii="Arial"/>
          <w:i/>
          <w:sz w:val="20"/>
        </w:rPr>
        <w:t>[1993]</w:t>
      </w:r>
      <w:r>
        <w:rPr>
          <w:rFonts w:ascii="Arial"/>
          <w:i/>
          <w:spacing w:val="27"/>
          <w:sz w:val="20"/>
        </w:rPr>
        <w:t> </w:t>
      </w:r>
      <w:r>
        <w:rPr>
          <w:rFonts w:ascii="Arial"/>
          <w:i/>
          <w:sz w:val="20"/>
        </w:rPr>
        <w:t>1</w:t>
      </w:r>
      <w:r>
        <w:rPr>
          <w:rFonts w:ascii="Arial"/>
          <w:i/>
          <w:spacing w:val="27"/>
          <w:sz w:val="20"/>
        </w:rPr>
        <w:t> </w:t>
      </w:r>
      <w:r>
        <w:rPr>
          <w:rFonts w:ascii="Arial"/>
          <w:i/>
          <w:sz w:val="20"/>
        </w:rPr>
        <w:t>W.L.R.</w:t>
      </w:r>
      <w:r>
        <w:rPr>
          <w:rFonts w:ascii="Arial"/>
          <w:i/>
          <w:spacing w:val="27"/>
          <w:sz w:val="20"/>
        </w:rPr>
        <w:t> </w:t>
      </w:r>
      <w:r>
        <w:rPr>
          <w:rFonts w:ascii="Arial"/>
          <w:i/>
          <w:sz w:val="20"/>
        </w:rPr>
        <w:t>224</w:t>
      </w:r>
      <w:r>
        <w:rPr>
          <w:sz w:val="20"/>
        </w:rPr>
        <w:t>);</w:t>
      </w:r>
      <w:r>
        <w:rPr>
          <w:spacing w:val="27"/>
          <w:sz w:val="20"/>
        </w:rPr>
        <w:t> </w:t>
      </w:r>
      <w:r>
        <w:rPr>
          <w:sz w:val="20"/>
        </w:rPr>
        <w:t>contrast</w:t>
      </w:r>
      <w:r>
        <w:rPr>
          <w:spacing w:val="27"/>
          <w:sz w:val="20"/>
        </w:rPr>
        <w:t> </w:t>
      </w:r>
      <w:r>
        <w:rPr>
          <w:rFonts w:ascii="Arial"/>
          <w:i/>
          <w:sz w:val="20"/>
        </w:rPr>
        <w:t>Vaughan</w:t>
      </w:r>
      <w:r>
        <w:rPr>
          <w:rFonts w:ascii="Arial"/>
          <w:i/>
          <w:spacing w:val="27"/>
          <w:sz w:val="20"/>
        </w:rPr>
        <w:t> </w:t>
      </w:r>
      <w:r>
        <w:rPr>
          <w:rFonts w:ascii="Arial"/>
          <w:i/>
          <w:sz w:val="20"/>
        </w:rPr>
        <w:t>v</w:t>
      </w:r>
      <w:r>
        <w:rPr>
          <w:rFonts w:ascii="Arial"/>
          <w:i/>
          <w:spacing w:val="27"/>
          <w:sz w:val="20"/>
        </w:rPr>
        <w:t> </w:t>
      </w:r>
      <w:r>
        <w:rPr>
          <w:rFonts w:ascii="Arial"/>
          <w:i/>
          <w:sz w:val="20"/>
        </w:rPr>
        <w:t>Vaughan</w:t>
      </w:r>
      <w:r>
        <w:rPr>
          <w:rFonts w:ascii="Arial"/>
          <w:i/>
          <w:spacing w:val="27"/>
          <w:sz w:val="20"/>
        </w:rPr>
        <w:t> </w:t>
      </w:r>
      <w:r>
        <w:rPr>
          <w:rFonts w:ascii="Arial"/>
          <w:i/>
          <w:sz w:val="20"/>
        </w:rPr>
        <w:t>[1953]</w:t>
      </w:r>
      <w:r>
        <w:rPr>
          <w:rFonts w:ascii="Arial"/>
          <w:i/>
          <w:spacing w:val="27"/>
          <w:sz w:val="20"/>
        </w:rPr>
        <w:t> </w:t>
      </w:r>
      <w:r>
        <w:rPr>
          <w:rFonts w:ascii="Arial"/>
          <w:i/>
          <w:sz w:val="20"/>
        </w:rPr>
        <w:t>1</w:t>
      </w:r>
      <w:r>
        <w:rPr>
          <w:rFonts w:ascii="Arial"/>
          <w:i/>
          <w:spacing w:val="27"/>
          <w:sz w:val="20"/>
        </w:rPr>
        <w:t> </w:t>
      </w:r>
      <w:r>
        <w:rPr>
          <w:rFonts w:ascii="Arial"/>
          <w:i/>
          <w:sz w:val="20"/>
        </w:rPr>
        <w:t>Q.B.</w:t>
      </w:r>
      <w:r>
        <w:rPr>
          <w:rFonts w:ascii="Arial"/>
          <w:i/>
          <w:spacing w:val="27"/>
          <w:sz w:val="20"/>
        </w:rPr>
        <w:t> </w:t>
      </w:r>
      <w:r>
        <w:rPr>
          <w:rFonts w:ascii="Arial"/>
          <w:i/>
          <w:sz w:val="20"/>
        </w:rPr>
        <w:t>762</w:t>
      </w:r>
      <w:r>
        <w:rPr>
          <w:rFonts w:ascii="Arial"/>
          <w:i/>
          <w:spacing w:val="26"/>
          <w:sz w:val="20"/>
        </w:rPr>
        <w:t> </w:t>
      </w:r>
      <w:r>
        <w:rPr>
          <w:sz w:val="20"/>
        </w:rPr>
        <w:t>(below, </w:t>
      </w:r>
      <w:r>
        <w:rPr>
          <w:spacing w:val="-2"/>
          <w:sz w:val="20"/>
        </w:rPr>
        <w:t>para.2-194).</w:t>
      </w:r>
    </w:p>
    <w:p>
      <w:pPr>
        <w:pStyle w:val="BodyText"/>
        <w:spacing w:before="9"/>
      </w:pPr>
    </w:p>
    <w:p>
      <w:pPr>
        <w:tabs>
          <w:tab w:pos="705" w:val="left" w:leader="none"/>
        </w:tabs>
        <w:spacing w:line="235" w:lineRule="auto" w:before="0"/>
        <w:ind w:left="705" w:right="168" w:hanging="541"/>
        <w:jc w:val="left"/>
        <w:rPr>
          <w:sz w:val="20"/>
        </w:rPr>
      </w:pPr>
      <w:r>
        <w:rPr>
          <w:color w:val="005DA1"/>
          <w:spacing w:val="-4"/>
          <w:position w:val="5"/>
          <w:sz w:val="14"/>
          <w:u w:val="single" w:color="005DA1"/>
        </w:rPr>
        <w:t>974</w:t>
      </w:r>
      <w:r>
        <w:rPr>
          <w:spacing w:val="-4"/>
          <w:position w:val="5"/>
          <w:sz w:val="14"/>
        </w:rPr>
        <w:t>.</w:t>
      </w:r>
      <w:r>
        <w:rPr>
          <w:position w:val="5"/>
          <w:sz w:val="14"/>
        </w:rPr>
        <w:tab/>
      </w:r>
      <w:r>
        <w:rPr>
          <w:rFonts w:ascii="Arial"/>
          <w:i/>
          <w:sz w:val="20"/>
        </w:rPr>
        <w:t>Synge</w:t>
      </w:r>
      <w:r>
        <w:rPr>
          <w:rFonts w:ascii="Arial"/>
          <w:i/>
          <w:spacing w:val="27"/>
          <w:sz w:val="20"/>
        </w:rPr>
        <w:t> </w:t>
      </w:r>
      <w:r>
        <w:rPr>
          <w:rFonts w:ascii="Arial"/>
          <w:i/>
          <w:sz w:val="20"/>
        </w:rPr>
        <w:t>v</w:t>
      </w:r>
      <w:r>
        <w:rPr>
          <w:rFonts w:ascii="Arial"/>
          <w:i/>
          <w:spacing w:val="27"/>
          <w:sz w:val="20"/>
        </w:rPr>
        <w:t> </w:t>
      </w:r>
      <w:r>
        <w:rPr>
          <w:rFonts w:ascii="Arial"/>
          <w:i/>
          <w:sz w:val="20"/>
        </w:rPr>
        <w:t>Synge</w:t>
      </w:r>
      <w:r>
        <w:rPr>
          <w:rFonts w:ascii="Arial"/>
          <w:i/>
          <w:spacing w:val="27"/>
          <w:sz w:val="20"/>
        </w:rPr>
        <w:t> </w:t>
      </w:r>
      <w:r>
        <w:rPr>
          <w:rFonts w:ascii="Arial"/>
          <w:i/>
          <w:sz w:val="20"/>
        </w:rPr>
        <w:t>[1894]</w:t>
      </w:r>
      <w:r>
        <w:rPr>
          <w:rFonts w:ascii="Arial"/>
          <w:i/>
          <w:spacing w:val="27"/>
          <w:sz w:val="20"/>
        </w:rPr>
        <w:t> </w:t>
      </w:r>
      <w:r>
        <w:rPr>
          <w:rFonts w:ascii="Arial"/>
          <w:i/>
          <w:sz w:val="20"/>
        </w:rPr>
        <w:t>1</w:t>
      </w:r>
      <w:r>
        <w:rPr>
          <w:rFonts w:ascii="Arial"/>
          <w:i/>
          <w:spacing w:val="27"/>
          <w:sz w:val="20"/>
        </w:rPr>
        <w:t> </w:t>
      </w:r>
      <w:r>
        <w:rPr>
          <w:rFonts w:ascii="Arial"/>
          <w:i/>
          <w:sz w:val="20"/>
        </w:rPr>
        <w:t>Q.B.</w:t>
      </w:r>
      <w:r>
        <w:rPr>
          <w:rFonts w:ascii="Arial"/>
          <w:i/>
          <w:spacing w:val="27"/>
          <w:sz w:val="20"/>
        </w:rPr>
        <w:t> </w:t>
      </w:r>
      <w:r>
        <w:rPr>
          <w:rFonts w:ascii="Arial"/>
          <w:i/>
          <w:sz w:val="20"/>
        </w:rPr>
        <w:t>466</w:t>
      </w:r>
      <w:r>
        <w:rPr>
          <w:sz w:val="20"/>
        </w:rPr>
        <w:t>,</w:t>
      </w:r>
      <w:r>
        <w:rPr>
          <w:spacing w:val="27"/>
          <w:sz w:val="20"/>
        </w:rPr>
        <w:t> </w:t>
      </w:r>
      <w:r>
        <w:rPr>
          <w:sz w:val="20"/>
        </w:rPr>
        <w:t>cf.</w:t>
      </w:r>
      <w:r>
        <w:rPr>
          <w:spacing w:val="27"/>
          <w:sz w:val="20"/>
        </w:rPr>
        <w:t> </w:t>
      </w:r>
      <w:r>
        <w:rPr>
          <w:rFonts w:ascii="Arial"/>
          <w:i/>
          <w:sz w:val="20"/>
        </w:rPr>
        <w:t>Jennings</w:t>
      </w:r>
      <w:r>
        <w:rPr>
          <w:rFonts w:ascii="Arial"/>
          <w:i/>
          <w:spacing w:val="27"/>
          <w:sz w:val="20"/>
        </w:rPr>
        <w:t> </w:t>
      </w:r>
      <w:r>
        <w:rPr>
          <w:rFonts w:ascii="Arial"/>
          <w:i/>
          <w:sz w:val="20"/>
        </w:rPr>
        <w:t>v</w:t>
      </w:r>
      <w:r>
        <w:rPr>
          <w:rFonts w:ascii="Arial"/>
          <w:i/>
          <w:spacing w:val="27"/>
          <w:sz w:val="20"/>
        </w:rPr>
        <w:t> </w:t>
      </w:r>
      <w:r>
        <w:rPr>
          <w:rFonts w:ascii="Arial"/>
          <w:i/>
          <w:sz w:val="20"/>
        </w:rPr>
        <w:t>Brown</w:t>
      </w:r>
      <w:r>
        <w:rPr>
          <w:rFonts w:ascii="Arial"/>
          <w:i/>
          <w:spacing w:val="27"/>
          <w:sz w:val="20"/>
        </w:rPr>
        <w:t> </w:t>
      </w:r>
      <w:r>
        <w:rPr>
          <w:rFonts w:ascii="Arial"/>
          <w:i/>
          <w:sz w:val="20"/>
        </w:rPr>
        <w:t>(1842)</w:t>
      </w:r>
      <w:r>
        <w:rPr>
          <w:rFonts w:ascii="Arial"/>
          <w:i/>
          <w:spacing w:val="27"/>
          <w:sz w:val="20"/>
        </w:rPr>
        <w:t> </w:t>
      </w:r>
      <w:r>
        <w:rPr>
          <w:rFonts w:ascii="Arial"/>
          <w:i/>
          <w:sz w:val="20"/>
        </w:rPr>
        <w:t>9</w:t>
      </w:r>
      <w:r>
        <w:rPr>
          <w:rFonts w:ascii="Arial"/>
          <w:i/>
          <w:spacing w:val="27"/>
          <w:sz w:val="20"/>
        </w:rPr>
        <w:t> </w:t>
      </w:r>
      <w:r>
        <w:rPr>
          <w:rFonts w:ascii="Arial"/>
          <w:i/>
          <w:sz w:val="20"/>
        </w:rPr>
        <w:t>M.</w:t>
      </w:r>
      <w:r>
        <w:rPr>
          <w:rFonts w:ascii="Arial"/>
          <w:i/>
          <w:spacing w:val="27"/>
          <w:sz w:val="20"/>
        </w:rPr>
        <w:t> </w:t>
      </w:r>
      <w:r>
        <w:rPr>
          <w:rFonts w:ascii="Arial"/>
          <w:i/>
          <w:sz w:val="20"/>
        </w:rPr>
        <w:t>&amp;</w:t>
      </w:r>
      <w:r>
        <w:rPr>
          <w:rFonts w:ascii="Arial"/>
          <w:i/>
          <w:spacing w:val="27"/>
          <w:sz w:val="20"/>
        </w:rPr>
        <w:t> </w:t>
      </w:r>
      <w:r>
        <w:rPr>
          <w:rFonts w:ascii="Arial"/>
          <w:i/>
          <w:sz w:val="20"/>
        </w:rPr>
        <w:t>W.</w:t>
      </w:r>
      <w:r>
        <w:rPr>
          <w:rFonts w:ascii="Arial"/>
          <w:i/>
          <w:spacing w:val="27"/>
          <w:sz w:val="20"/>
        </w:rPr>
        <w:t> </w:t>
      </w:r>
      <w:r>
        <w:rPr>
          <w:rFonts w:ascii="Arial"/>
          <w:i/>
          <w:sz w:val="20"/>
        </w:rPr>
        <w:t>496</w:t>
      </w:r>
      <w:r>
        <w:rPr>
          <w:rFonts w:ascii="Arial"/>
          <w:i/>
          <w:spacing w:val="26"/>
          <w:sz w:val="20"/>
        </w:rPr>
        <w:t> </w:t>
      </w:r>
      <w:r>
        <w:rPr>
          <w:sz w:val="20"/>
        </w:rPr>
        <w:t>(promise</w:t>
      </w:r>
      <w:r>
        <w:rPr>
          <w:spacing w:val="27"/>
          <w:sz w:val="20"/>
        </w:rPr>
        <w:t> </w:t>
      </w:r>
      <w:r>
        <w:rPr>
          <w:sz w:val="20"/>
        </w:rPr>
        <w:t>to discarded mistress).</w:t>
      </w:r>
    </w:p>
    <w:p>
      <w:pPr>
        <w:pStyle w:val="BodyText"/>
        <w:spacing w:before="6"/>
      </w:pPr>
    </w:p>
    <w:p>
      <w:pPr>
        <w:pStyle w:val="BodyText"/>
        <w:tabs>
          <w:tab w:pos="705" w:val="left" w:leader="none"/>
        </w:tabs>
        <w:ind w:left="165"/>
      </w:pPr>
      <w:r>
        <w:rPr>
          <w:color w:val="005DA1"/>
          <w:spacing w:val="-4"/>
          <w:position w:val="5"/>
          <w:sz w:val="14"/>
          <w:u w:val="single" w:color="005DA1"/>
        </w:rPr>
        <w:t>975</w:t>
      </w:r>
      <w:r>
        <w:rPr>
          <w:spacing w:val="-4"/>
          <w:position w:val="5"/>
          <w:sz w:val="14"/>
        </w:rPr>
        <w:t>.</w:t>
      </w:r>
      <w:r>
        <w:rPr>
          <w:position w:val="5"/>
          <w:sz w:val="14"/>
        </w:rPr>
        <w:tab/>
      </w:r>
      <w:r>
        <w:rPr/>
        <w:t>Civil Partnership Act 2004 </w:t>
      </w:r>
      <w:r>
        <w:rPr>
          <w:spacing w:val="-4"/>
        </w:rPr>
        <w:t>s.1.</w:t>
      </w:r>
    </w:p>
    <w:p>
      <w:pPr>
        <w:pStyle w:val="BodyText"/>
        <w:spacing w:before="5"/>
      </w:pPr>
    </w:p>
    <w:p>
      <w:pPr>
        <w:pStyle w:val="BodyText"/>
        <w:tabs>
          <w:tab w:pos="705" w:val="left" w:leader="none"/>
        </w:tabs>
        <w:ind w:left="165"/>
      </w:pPr>
      <w:r>
        <w:rPr>
          <w:color w:val="005DA1"/>
          <w:spacing w:val="-4"/>
          <w:position w:val="5"/>
          <w:sz w:val="14"/>
          <w:u w:val="single" w:color="005DA1"/>
        </w:rPr>
        <w:t>976</w:t>
      </w:r>
      <w:r>
        <w:rPr>
          <w:spacing w:val="-4"/>
          <w:position w:val="5"/>
          <w:sz w:val="14"/>
        </w:rPr>
        <w:t>.</w:t>
      </w:r>
      <w:r>
        <w:rPr>
          <w:position w:val="5"/>
          <w:sz w:val="14"/>
        </w:rPr>
        <w:tab/>
      </w:r>
      <w:r>
        <w:rPr/>
        <w:t>Civil Partnership Act 2004 ss.1, </w:t>
      </w:r>
      <w:r>
        <w:rPr>
          <w:spacing w:val="-5"/>
        </w:rPr>
        <w:t>73.</w:t>
      </w:r>
    </w:p>
    <w:p>
      <w:pPr>
        <w:pStyle w:val="BodyText"/>
        <w:spacing w:before="5"/>
      </w:pPr>
    </w:p>
    <w:p>
      <w:pPr>
        <w:pStyle w:val="BodyText"/>
        <w:tabs>
          <w:tab w:pos="705" w:val="left" w:leader="none"/>
        </w:tabs>
        <w:ind w:left="165"/>
      </w:pPr>
      <w:r>
        <w:rPr>
          <w:color w:val="005DA1"/>
          <w:spacing w:val="-4"/>
          <w:position w:val="5"/>
          <w:sz w:val="14"/>
          <w:u w:val="single" w:color="005DA1"/>
        </w:rPr>
        <w:t>977</w:t>
      </w:r>
      <w:r>
        <w:rPr>
          <w:spacing w:val="-4"/>
          <w:position w:val="5"/>
          <w:sz w:val="14"/>
        </w:rPr>
        <w:t>.</w:t>
      </w:r>
      <w:r>
        <w:rPr>
          <w:position w:val="5"/>
          <w:sz w:val="14"/>
        </w:rPr>
        <w:tab/>
      </w:r>
      <w:r>
        <w:rPr/>
        <w:t>Civil Partnership Act 2004 ss.1, </w:t>
      </w:r>
      <w:r>
        <w:rPr>
          <w:spacing w:val="-5"/>
        </w:rPr>
        <w:t>70.</w:t>
      </w:r>
    </w:p>
    <w:p>
      <w:pPr>
        <w:pStyle w:val="BodyText"/>
        <w:spacing w:before="9"/>
      </w:pPr>
    </w:p>
    <w:p>
      <w:pPr>
        <w:pStyle w:val="BodyText"/>
        <w:tabs>
          <w:tab w:pos="705" w:val="left" w:leader="none"/>
        </w:tabs>
        <w:spacing w:line="235" w:lineRule="auto"/>
        <w:ind w:left="705" w:right="168" w:hanging="541"/>
      </w:pPr>
      <w:r>
        <w:rPr>
          <w:color w:val="005DA1"/>
          <w:spacing w:val="-4"/>
          <w:position w:val="5"/>
          <w:sz w:val="14"/>
          <w:u w:val="single" w:color="005DA1"/>
        </w:rPr>
        <w:t>978</w:t>
      </w:r>
      <w:r>
        <w:rPr>
          <w:spacing w:val="-4"/>
          <w:position w:val="5"/>
          <w:sz w:val="14"/>
        </w:rPr>
        <w:t>.</w:t>
      </w:r>
      <w:r>
        <w:rPr>
          <w:position w:val="5"/>
          <w:sz w:val="14"/>
        </w:rPr>
        <w:tab/>
      </w:r>
      <w:r>
        <w:rPr/>
        <w:t>Either because they have chosen not to enter into such a partnership or because, not being of the same sex, they were not eligible to do so: see Civil Partnership Act 2004 s.1(1).</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979</w:t>
      </w:r>
      <w:r>
        <w:rPr>
          <w:spacing w:val="-4"/>
          <w:position w:val="5"/>
          <w:sz w:val="14"/>
        </w:rPr>
        <w:t>.</w:t>
      </w:r>
      <w:r>
        <w:rPr>
          <w:position w:val="5"/>
          <w:sz w:val="14"/>
        </w:rPr>
        <w:tab/>
      </w:r>
      <w:r>
        <w:rPr>
          <w:rFonts w:ascii="Arial"/>
          <w:i/>
          <w:sz w:val="20"/>
        </w:rPr>
        <w:t>Eves v Eves [1975] 1 W.L.R. 1338, </w:t>
      </w:r>
      <w:r>
        <w:rPr>
          <w:rFonts w:ascii="Arial"/>
          <w:i/>
          <w:spacing w:val="-2"/>
          <w:sz w:val="20"/>
        </w:rPr>
        <w:t>1345</w:t>
      </w:r>
      <w:r>
        <w:rPr>
          <w:spacing w:val="-2"/>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980</w:t>
      </w:r>
      <w:r>
        <w:rPr>
          <w:spacing w:val="-4"/>
          <w:position w:val="5"/>
          <w:sz w:val="14"/>
        </w:rPr>
        <w:t>.</w:t>
      </w:r>
      <w:r>
        <w:rPr>
          <w:position w:val="5"/>
          <w:sz w:val="14"/>
        </w:rPr>
        <w:tab/>
      </w:r>
      <w:r>
        <w:rPr>
          <w:rFonts w:ascii="Arial"/>
          <w:i/>
          <w:sz w:val="20"/>
        </w:rPr>
        <w:t>Eves</w:t>
      </w:r>
      <w:r>
        <w:rPr>
          <w:rFonts w:ascii="Arial"/>
          <w:i/>
          <w:spacing w:val="-1"/>
          <w:sz w:val="20"/>
        </w:rPr>
        <w:t> </w:t>
      </w:r>
      <w:r>
        <w:rPr>
          <w:rFonts w:ascii="Arial"/>
          <w:i/>
          <w:sz w:val="20"/>
        </w:rPr>
        <w:t>v Eves</w:t>
      </w:r>
      <w:r>
        <w:rPr>
          <w:sz w:val="20"/>
        </w:rPr>
        <w:t>, above n.954, per Browne L.J. and Brightman </w:t>
      </w:r>
      <w:r>
        <w:rPr>
          <w:spacing w:val="-5"/>
          <w:sz w:val="20"/>
        </w:rPr>
        <w:t>J.</w:t>
      </w:r>
    </w:p>
    <w:p>
      <w:pPr>
        <w:pStyle w:val="BodyText"/>
        <w:spacing w:before="9"/>
      </w:pPr>
    </w:p>
    <w:p>
      <w:pPr>
        <w:spacing w:line="235" w:lineRule="auto" w:before="0"/>
        <w:ind w:left="705" w:right="168" w:hanging="541"/>
        <w:jc w:val="both"/>
        <w:rPr>
          <w:sz w:val="20"/>
        </w:rPr>
      </w:pPr>
      <w:r>
        <w:rPr>
          <w:color w:val="005DA1"/>
          <w:position w:val="5"/>
          <w:sz w:val="14"/>
          <w:u w:val="single" w:color="005DA1"/>
        </w:rPr>
        <w:t>981</w:t>
      </w:r>
      <w:r>
        <w:rPr>
          <w:position w:val="5"/>
          <w:sz w:val="14"/>
        </w:rPr>
        <w:t>.</w:t>
      </w:r>
      <w:r>
        <w:rPr>
          <w:spacing w:val="80"/>
          <w:position w:val="5"/>
          <w:sz w:val="14"/>
        </w:rPr>
        <w:t>  </w:t>
      </w:r>
      <w:r>
        <w:rPr>
          <w:rFonts w:ascii="Arial"/>
          <w:i/>
          <w:sz w:val="20"/>
        </w:rPr>
        <w:t>Eves v Eves [1975] 1 W.L.R. 1338 </w:t>
      </w:r>
      <w:r>
        <w:rPr>
          <w:sz w:val="20"/>
        </w:rPr>
        <w:t>at 1342, per Lord Denning, M.R.; for this basis of liability,</w:t>
      </w:r>
      <w:r>
        <w:rPr>
          <w:spacing w:val="80"/>
          <w:sz w:val="20"/>
        </w:rPr>
        <w:t> </w:t>
      </w:r>
      <w:r>
        <w:rPr>
          <w:sz w:val="20"/>
        </w:rPr>
        <w:t>see </w:t>
      </w:r>
      <w:r>
        <w:rPr>
          <w:rFonts w:ascii="Arial"/>
          <w:i/>
          <w:sz w:val="20"/>
        </w:rPr>
        <w:t>Grant v Edwards [1986] Ch. 638</w:t>
      </w:r>
      <w:r>
        <w:rPr>
          <w:sz w:val="20"/>
        </w:rPr>
        <w:t>; cf. </w:t>
      </w:r>
      <w:r>
        <w:rPr>
          <w:rFonts w:ascii="Arial"/>
          <w:i/>
          <w:sz w:val="20"/>
        </w:rPr>
        <w:t>Lloyds Bank Plc v Rosset [1991] A.C. 107, 129</w:t>
      </w:r>
      <w:r>
        <w:rPr>
          <w:sz w:val="20"/>
        </w:rPr>
        <w:t>, </w:t>
      </w:r>
      <w:r>
        <w:rPr>
          <w:rFonts w:ascii="Arial"/>
          <w:i/>
          <w:sz w:val="20"/>
        </w:rPr>
        <w:t>Burns v Burns [1984] Ch. 317</w:t>
      </w:r>
      <w:r>
        <w:rPr>
          <w:sz w:val="20"/>
        </w:rPr>
        <w:t>; Lowe and Smith (1984) 47 M.L.R. 341; Dewar, 735.</w:t>
      </w:r>
    </w:p>
    <w:p>
      <w:pPr>
        <w:pStyle w:val="BodyText"/>
        <w:spacing w:before="5"/>
      </w:pPr>
    </w:p>
    <w:p>
      <w:pPr>
        <w:pStyle w:val="BodyText"/>
        <w:tabs>
          <w:tab w:pos="705" w:val="left" w:leader="none"/>
        </w:tabs>
        <w:ind w:left="165"/>
      </w:pPr>
      <w:r>
        <w:rPr>
          <w:color w:val="005DA1"/>
          <w:spacing w:val="-4"/>
          <w:position w:val="5"/>
          <w:sz w:val="14"/>
          <w:u w:val="single" w:color="005DA1"/>
        </w:rPr>
        <w:t>982</w:t>
      </w:r>
      <w:r>
        <w:rPr>
          <w:spacing w:val="-4"/>
          <w:position w:val="5"/>
          <w:sz w:val="14"/>
        </w:rPr>
        <w:t>.</w:t>
      </w:r>
      <w:r>
        <w:rPr>
          <w:position w:val="5"/>
          <w:sz w:val="14"/>
        </w:rPr>
        <w:tab/>
      </w:r>
      <w:r>
        <w:rPr/>
        <w:t>Law of Property (Miscellaneous Provisions) Act 1989 s.2; below, para.5-</w:t>
      </w:r>
      <w:r>
        <w:rPr>
          <w:spacing w:val="-4"/>
        </w:rPr>
        <w:t>011.</w:t>
      </w:r>
    </w:p>
    <w:p>
      <w:pPr>
        <w:pStyle w:val="BodyText"/>
        <w:spacing w:before="9"/>
      </w:pPr>
    </w:p>
    <w:p>
      <w:pPr>
        <w:spacing w:line="235" w:lineRule="auto" w:before="0"/>
        <w:ind w:left="705" w:right="167" w:hanging="541"/>
        <w:jc w:val="both"/>
        <w:rPr>
          <w:sz w:val="20"/>
        </w:rPr>
      </w:pPr>
      <w:r>
        <w:rPr>
          <w:color w:val="005DA1"/>
          <w:position w:val="5"/>
          <w:sz w:val="14"/>
          <w:u w:val="single" w:color="005DA1"/>
        </w:rPr>
        <w:t>983</w:t>
      </w:r>
      <w:r>
        <w:rPr>
          <w:position w:val="5"/>
          <w:sz w:val="14"/>
        </w:rPr>
        <w:t>.</w:t>
      </w:r>
      <w:r>
        <w:rPr>
          <w:spacing w:val="80"/>
          <w:position w:val="5"/>
          <w:sz w:val="14"/>
        </w:rPr>
        <w:t>  </w:t>
      </w:r>
      <w:r>
        <w:rPr>
          <w:sz w:val="20"/>
        </w:rPr>
        <w:t>cf. </w:t>
      </w:r>
      <w:r>
        <w:rPr>
          <w:rFonts w:ascii="Arial" w:hAnsi="Arial"/>
          <w:i/>
          <w:sz w:val="20"/>
        </w:rPr>
        <w:t>Taylor v Dickens [1998] F.L.R. 806, 819</w:t>
      </w:r>
      <w:r>
        <w:rPr>
          <w:sz w:val="20"/>
        </w:rPr>
        <w:t>; the reasoning of this case was doubted, but not </w:t>
      </w:r>
      <w:r>
        <w:rPr>
          <w:sz w:val="20"/>
        </w:rPr>
        <w:t>on the issue of contractual intention, in </w:t>
      </w:r>
      <w:r>
        <w:rPr>
          <w:rFonts w:ascii="Arial" w:hAnsi="Arial"/>
          <w:i/>
          <w:sz w:val="20"/>
        </w:rPr>
        <w:t>Gillett v Holt [2001] Ch. 210, 227</w:t>
      </w:r>
      <w:r>
        <w:rPr>
          <w:sz w:val="20"/>
        </w:rPr>
        <w:t>; s.2(1) of the 1989 Act (above, n.957) requires the contract to be made in writing incorporating all its “expressly</w:t>
      </w:r>
      <w:r>
        <w:rPr>
          <w:spacing w:val="40"/>
          <w:sz w:val="20"/>
        </w:rPr>
        <w:t> </w:t>
      </w:r>
      <w:r>
        <w:rPr>
          <w:sz w:val="20"/>
        </w:rPr>
        <w:t>agreed”</w:t>
      </w:r>
      <w:r>
        <w:rPr>
          <w:spacing w:val="51"/>
          <w:sz w:val="20"/>
        </w:rPr>
        <w:t> </w:t>
      </w:r>
      <w:r>
        <w:rPr>
          <w:sz w:val="20"/>
        </w:rPr>
        <w:t>terms</w:t>
      </w:r>
      <w:r>
        <w:rPr>
          <w:spacing w:val="51"/>
          <w:sz w:val="20"/>
        </w:rPr>
        <w:t> </w:t>
      </w:r>
      <w:r>
        <w:rPr>
          <w:sz w:val="20"/>
        </w:rPr>
        <w:t>in</w:t>
      </w:r>
      <w:r>
        <w:rPr>
          <w:spacing w:val="51"/>
          <w:sz w:val="20"/>
        </w:rPr>
        <w:t> </w:t>
      </w:r>
      <w:r>
        <w:rPr>
          <w:sz w:val="20"/>
        </w:rPr>
        <w:t>a</w:t>
      </w:r>
      <w:r>
        <w:rPr>
          <w:spacing w:val="51"/>
          <w:sz w:val="20"/>
        </w:rPr>
        <w:t> </w:t>
      </w:r>
      <w:r>
        <w:rPr>
          <w:sz w:val="20"/>
        </w:rPr>
        <w:t>document</w:t>
      </w:r>
      <w:r>
        <w:rPr>
          <w:spacing w:val="51"/>
          <w:sz w:val="20"/>
        </w:rPr>
        <w:t> </w:t>
      </w:r>
      <w:r>
        <w:rPr>
          <w:sz w:val="20"/>
        </w:rPr>
        <w:t>(or</w:t>
      </w:r>
      <w:r>
        <w:rPr>
          <w:spacing w:val="51"/>
          <w:sz w:val="20"/>
        </w:rPr>
        <w:t> </w:t>
      </w:r>
      <w:r>
        <w:rPr>
          <w:sz w:val="20"/>
        </w:rPr>
        <w:t>documents,</w:t>
      </w:r>
      <w:r>
        <w:rPr>
          <w:spacing w:val="51"/>
          <w:sz w:val="20"/>
        </w:rPr>
        <w:t> </w:t>
      </w:r>
      <w:r>
        <w:rPr>
          <w:sz w:val="20"/>
        </w:rPr>
        <w:t>where</w:t>
      </w:r>
      <w:r>
        <w:rPr>
          <w:spacing w:val="51"/>
          <w:sz w:val="20"/>
        </w:rPr>
        <w:t> </w:t>
      </w:r>
      <w:r>
        <w:rPr>
          <w:sz w:val="20"/>
        </w:rPr>
        <w:t>contracts</w:t>
      </w:r>
      <w:r>
        <w:rPr>
          <w:spacing w:val="51"/>
          <w:sz w:val="20"/>
        </w:rPr>
        <w:t> </w:t>
      </w:r>
      <w:r>
        <w:rPr>
          <w:sz w:val="20"/>
        </w:rPr>
        <w:t>are</w:t>
      </w:r>
      <w:r>
        <w:rPr>
          <w:spacing w:val="51"/>
          <w:sz w:val="20"/>
        </w:rPr>
        <w:t> </w:t>
      </w:r>
      <w:r>
        <w:rPr>
          <w:sz w:val="20"/>
        </w:rPr>
        <w:t>exchanged),</w:t>
      </w:r>
      <w:r>
        <w:rPr>
          <w:spacing w:val="51"/>
          <w:sz w:val="20"/>
        </w:rPr>
        <w:t> </w:t>
      </w:r>
      <w:r>
        <w:rPr>
          <w:sz w:val="20"/>
        </w:rPr>
        <w:t>and</w:t>
      </w:r>
      <w:r>
        <w:rPr>
          <w:spacing w:val="51"/>
          <w:sz w:val="20"/>
        </w:rPr>
        <w:t> </w:t>
      </w:r>
      <w:r>
        <w:rPr>
          <w:sz w:val="20"/>
        </w:rPr>
        <w:t>if</w:t>
      </w:r>
      <w:r>
        <w:rPr>
          <w:spacing w:val="51"/>
          <w:sz w:val="20"/>
        </w:rPr>
        <w:t> </w:t>
      </w:r>
      <w:r>
        <w:rPr>
          <w:spacing w:val="-5"/>
          <w:sz w:val="20"/>
        </w:rPr>
        <w:t>the</w:t>
      </w:r>
    </w:p>
    <w:p>
      <w:pPr>
        <w:spacing w:after="0" w:line="235" w:lineRule="auto"/>
        <w:jc w:val="both"/>
        <w:rPr>
          <w:sz w:val="20"/>
        </w:rPr>
        <w:sectPr>
          <w:pgSz w:w="11900" w:h="16840"/>
          <w:pgMar w:header="971" w:footer="0" w:top="1300" w:bottom="280" w:left="1275" w:right="1275"/>
        </w:sectPr>
      </w:pPr>
    </w:p>
    <w:p>
      <w:pPr>
        <w:pStyle w:val="BodyText"/>
        <w:spacing w:line="235" w:lineRule="auto" w:before="110"/>
        <w:ind w:left="705"/>
      </w:pPr>
      <w:bookmarkStart w:name="_bookmark1846" w:id="1848"/>
      <w:bookmarkEnd w:id="1848"/>
      <w:r>
        <w:rPr/>
      </w:r>
      <w:r>
        <w:rPr/>
        <w:t>promise</w:t>
      </w:r>
      <w:r>
        <w:rPr>
          <w:spacing w:val="27"/>
        </w:rPr>
        <w:t> </w:t>
      </w:r>
      <w:r>
        <w:rPr/>
        <w:t>in</w:t>
      </w:r>
      <w:r>
        <w:rPr>
          <w:spacing w:val="27"/>
        </w:rPr>
        <w:t> </w:t>
      </w:r>
      <w:r>
        <w:rPr>
          <w:rFonts w:ascii="Arial" w:hAnsi="Arial"/>
          <w:i/>
        </w:rPr>
        <w:t>Eves</w:t>
      </w:r>
      <w:r>
        <w:rPr>
          <w:rFonts w:ascii="Arial" w:hAnsi="Arial"/>
          <w:i/>
          <w:spacing w:val="27"/>
        </w:rPr>
        <w:t> </w:t>
      </w:r>
      <w:r>
        <w:rPr>
          <w:rFonts w:ascii="Arial" w:hAnsi="Arial"/>
          <w:i/>
        </w:rPr>
        <w:t>v</w:t>
      </w:r>
      <w:r>
        <w:rPr>
          <w:rFonts w:ascii="Arial" w:hAnsi="Arial"/>
          <w:i/>
          <w:spacing w:val="27"/>
        </w:rPr>
        <w:t> </w:t>
      </w:r>
      <w:r>
        <w:rPr>
          <w:rFonts w:ascii="Arial" w:hAnsi="Arial"/>
          <w:i/>
        </w:rPr>
        <w:t>Eves</w:t>
      </w:r>
      <w:r>
        <w:rPr>
          <w:rFonts w:ascii="Arial" w:hAnsi="Arial"/>
          <w:i/>
          <w:spacing w:val="27"/>
        </w:rPr>
        <w:t> </w:t>
      </w:r>
      <w:r>
        <w:rPr/>
        <w:t>(above,</w:t>
      </w:r>
      <w:r>
        <w:rPr>
          <w:spacing w:val="27"/>
        </w:rPr>
        <w:t> </w:t>
      </w:r>
      <w:r>
        <w:rPr/>
        <w:t>at</w:t>
      </w:r>
      <w:r>
        <w:rPr>
          <w:spacing w:val="27"/>
        </w:rPr>
        <w:t> </w:t>
      </w:r>
      <w:r>
        <w:rPr/>
        <w:t>n.954)</w:t>
      </w:r>
      <w:r>
        <w:rPr>
          <w:spacing w:val="27"/>
        </w:rPr>
        <w:t> </w:t>
      </w:r>
      <w:r>
        <w:rPr/>
        <w:t>was</w:t>
      </w:r>
      <w:r>
        <w:rPr>
          <w:spacing w:val="27"/>
        </w:rPr>
        <w:t> </w:t>
      </w:r>
      <w:r>
        <w:rPr/>
        <w:t>indeed</w:t>
      </w:r>
      <w:r>
        <w:rPr>
          <w:spacing w:val="27"/>
        </w:rPr>
        <w:t> </w:t>
      </w:r>
      <w:r>
        <w:rPr/>
        <w:t>implied,</w:t>
      </w:r>
      <w:r>
        <w:rPr>
          <w:spacing w:val="27"/>
        </w:rPr>
        <w:t> </w:t>
      </w:r>
      <w:r>
        <w:rPr/>
        <w:t>it</w:t>
      </w:r>
      <w:r>
        <w:rPr>
          <w:spacing w:val="27"/>
        </w:rPr>
        <w:t> </w:t>
      </w:r>
      <w:r>
        <w:rPr/>
        <w:t>could</w:t>
      </w:r>
      <w:r>
        <w:rPr>
          <w:spacing w:val="27"/>
        </w:rPr>
        <w:t> </w:t>
      </w:r>
      <w:r>
        <w:rPr/>
        <w:t>be</w:t>
      </w:r>
      <w:r>
        <w:rPr>
          <w:spacing w:val="27"/>
        </w:rPr>
        <w:t> </w:t>
      </w:r>
      <w:r>
        <w:rPr/>
        <w:t>argued</w:t>
      </w:r>
      <w:r>
        <w:rPr>
          <w:spacing w:val="27"/>
        </w:rPr>
        <w:t> </w:t>
      </w:r>
      <w:r>
        <w:rPr/>
        <w:t>that</w:t>
      </w:r>
      <w:r>
        <w:rPr>
          <w:spacing w:val="27"/>
        </w:rPr>
        <w:t> </w:t>
      </w:r>
      <w:r>
        <w:rPr/>
        <w:t>there were no “expressly agreed” terms.</w:t>
      </w:r>
    </w:p>
    <w:p>
      <w:pPr>
        <w:pStyle w:val="BodyText"/>
        <w:spacing w:before="9"/>
      </w:pPr>
    </w:p>
    <w:p>
      <w:pPr>
        <w:pStyle w:val="BodyText"/>
        <w:tabs>
          <w:tab w:pos="705" w:val="left" w:leader="none"/>
        </w:tabs>
        <w:spacing w:line="235" w:lineRule="auto"/>
        <w:ind w:left="705" w:right="168" w:hanging="541"/>
      </w:pPr>
      <w:r>
        <w:rPr>
          <w:color w:val="005DA1"/>
          <w:spacing w:val="-4"/>
          <w:position w:val="5"/>
          <w:sz w:val="14"/>
          <w:u w:val="single" w:color="005DA1"/>
        </w:rPr>
        <w:t>984</w:t>
      </w:r>
      <w:r>
        <w:rPr>
          <w:spacing w:val="-4"/>
          <w:position w:val="5"/>
          <w:sz w:val="14"/>
        </w:rPr>
        <w:t>.</w:t>
      </w:r>
      <w:r>
        <w:rPr>
          <w:position w:val="5"/>
          <w:sz w:val="14"/>
        </w:rPr>
        <w:tab/>
      </w:r>
      <w:r>
        <w:rPr/>
        <w:t>The formal requirements imposed by the 1989 Act (above n.957) do not apply to “the </w:t>
      </w:r>
      <w:r>
        <w:rPr/>
        <w:t>creation</w:t>
      </w:r>
      <w:r>
        <w:rPr>
          <w:spacing w:val="40"/>
        </w:rPr>
        <w:t> </w:t>
      </w:r>
      <w:r>
        <w:rPr/>
        <w:t>or operation of … constructive trusts”: s.2(5).</w:t>
      </w:r>
    </w:p>
    <w:p>
      <w:pPr>
        <w:pStyle w:val="BodyText"/>
        <w:spacing w:before="6"/>
      </w:pPr>
    </w:p>
    <w:p>
      <w:pPr>
        <w:pStyle w:val="BodyText"/>
        <w:tabs>
          <w:tab w:pos="705" w:val="left" w:leader="none"/>
        </w:tabs>
        <w:ind w:left="165"/>
      </w:pPr>
      <w:r>
        <w:rPr>
          <w:color w:val="005DA1"/>
          <w:spacing w:val="-4"/>
          <w:position w:val="5"/>
          <w:sz w:val="14"/>
          <w:u w:val="single" w:color="005DA1"/>
        </w:rPr>
        <w:t>985</w:t>
      </w:r>
      <w:r>
        <w:rPr>
          <w:spacing w:val="-4"/>
          <w:position w:val="5"/>
          <w:sz w:val="14"/>
        </w:rPr>
        <w:t>.</w:t>
      </w:r>
      <w:r>
        <w:rPr>
          <w:position w:val="5"/>
          <w:sz w:val="14"/>
        </w:rPr>
        <w:tab/>
      </w:r>
      <w:r>
        <w:rPr/>
        <w:t>See</w:t>
      </w:r>
      <w:r>
        <w:rPr>
          <w:spacing w:val="-2"/>
        </w:rPr>
        <w:t> </w:t>
      </w:r>
      <w:r>
        <w:rPr/>
        <w:t>below, para.4-</w:t>
      </w:r>
      <w:r>
        <w:rPr>
          <w:spacing w:val="-4"/>
        </w:rPr>
        <w:t>142.</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986</w:t>
      </w:r>
      <w:r>
        <w:rPr>
          <w:spacing w:val="-4"/>
          <w:position w:val="5"/>
          <w:sz w:val="14"/>
        </w:rPr>
        <w:t>.</w:t>
      </w:r>
      <w:r>
        <w:rPr>
          <w:position w:val="5"/>
          <w:sz w:val="14"/>
        </w:rPr>
        <w:tab/>
      </w:r>
      <w:r>
        <w:rPr>
          <w:rFonts w:ascii="Arial"/>
          <w:i/>
          <w:sz w:val="20"/>
        </w:rPr>
        <w:t>Tanner v Tanner [1975] 1 W.L.R. 1346, </w:t>
      </w:r>
      <w:r>
        <w:rPr>
          <w:rFonts w:ascii="Arial"/>
          <w:i/>
          <w:spacing w:val="-2"/>
          <w:sz w:val="20"/>
        </w:rPr>
        <w:t>1351</w:t>
      </w:r>
      <w:r>
        <w:rPr>
          <w:spacing w:val="-2"/>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987</w:t>
      </w:r>
      <w:r>
        <w:rPr>
          <w:spacing w:val="-4"/>
          <w:position w:val="5"/>
          <w:sz w:val="14"/>
        </w:rPr>
        <w:t>.</w:t>
      </w:r>
      <w:r>
        <w:rPr>
          <w:position w:val="5"/>
          <w:sz w:val="14"/>
        </w:rPr>
        <w:tab/>
      </w:r>
      <w:r>
        <w:rPr>
          <w:rFonts w:ascii="Arial"/>
          <w:i/>
          <w:sz w:val="20"/>
        </w:rPr>
        <w:t>Tanner</w:t>
      </w:r>
      <w:r>
        <w:rPr>
          <w:rFonts w:ascii="Arial"/>
          <w:i/>
          <w:spacing w:val="-1"/>
          <w:sz w:val="20"/>
        </w:rPr>
        <w:t> </w:t>
      </w:r>
      <w:r>
        <w:rPr>
          <w:rFonts w:ascii="Arial"/>
          <w:i/>
          <w:sz w:val="20"/>
        </w:rPr>
        <w:t>v Tanner</w:t>
      </w:r>
      <w:r>
        <w:rPr>
          <w:sz w:val="20"/>
        </w:rPr>
        <w:t>, </w:t>
      </w:r>
      <w:r>
        <w:rPr>
          <w:spacing w:val="-2"/>
          <w:sz w:val="20"/>
        </w:rPr>
        <w:t>above.</w:t>
      </w:r>
    </w:p>
    <w:p>
      <w:pPr>
        <w:pStyle w:val="BodyText"/>
        <w:spacing w:before="5"/>
      </w:pPr>
    </w:p>
    <w:p>
      <w:pPr>
        <w:tabs>
          <w:tab w:pos="705" w:val="left" w:leader="none"/>
        </w:tabs>
        <w:spacing w:line="227" w:lineRule="exact" w:before="0"/>
        <w:ind w:left="165" w:right="0" w:firstLine="0"/>
        <w:jc w:val="left"/>
        <w:rPr>
          <w:rFonts w:ascii="Arial"/>
          <w:i/>
          <w:sz w:val="20"/>
        </w:rPr>
      </w:pPr>
      <w:r>
        <w:rPr>
          <w:color w:val="005DA1"/>
          <w:spacing w:val="-4"/>
          <w:position w:val="5"/>
          <w:sz w:val="14"/>
          <w:u w:val="single" w:color="005DA1"/>
        </w:rPr>
        <w:t>988</w:t>
      </w:r>
      <w:r>
        <w:rPr>
          <w:spacing w:val="-4"/>
          <w:position w:val="5"/>
          <w:sz w:val="14"/>
        </w:rPr>
        <w:t>.</w:t>
      </w:r>
      <w:r>
        <w:rPr>
          <w:position w:val="5"/>
          <w:sz w:val="14"/>
        </w:rPr>
        <w:tab/>
      </w:r>
      <w:r>
        <w:rPr>
          <w:rFonts w:ascii="Arial"/>
          <w:i/>
          <w:sz w:val="20"/>
        </w:rPr>
        <w:t>Horrocks</w:t>
      </w:r>
      <w:r>
        <w:rPr>
          <w:rFonts w:ascii="Arial"/>
          <w:i/>
          <w:spacing w:val="11"/>
          <w:sz w:val="20"/>
        </w:rPr>
        <w:t> </w:t>
      </w:r>
      <w:r>
        <w:rPr>
          <w:rFonts w:ascii="Arial"/>
          <w:i/>
          <w:sz w:val="20"/>
        </w:rPr>
        <w:t>v</w:t>
      </w:r>
      <w:r>
        <w:rPr>
          <w:rFonts w:ascii="Arial"/>
          <w:i/>
          <w:spacing w:val="12"/>
          <w:sz w:val="20"/>
        </w:rPr>
        <w:t> </w:t>
      </w:r>
      <w:r>
        <w:rPr>
          <w:rFonts w:ascii="Arial"/>
          <w:i/>
          <w:sz w:val="20"/>
        </w:rPr>
        <w:t>Forray</w:t>
      </w:r>
      <w:r>
        <w:rPr>
          <w:rFonts w:ascii="Arial"/>
          <w:i/>
          <w:spacing w:val="12"/>
          <w:sz w:val="20"/>
        </w:rPr>
        <w:t> </w:t>
      </w:r>
      <w:r>
        <w:rPr>
          <w:rFonts w:ascii="Arial"/>
          <w:i/>
          <w:sz w:val="20"/>
        </w:rPr>
        <w:t>[1976]</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320</w:t>
      </w:r>
      <w:r>
        <w:rPr>
          <w:sz w:val="20"/>
        </w:rPr>
        <w:t>;</w:t>
      </w:r>
      <w:r>
        <w:rPr>
          <w:spacing w:val="12"/>
          <w:sz w:val="20"/>
        </w:rPr>
        <w:t> </w:t>
      </w:r>
      <w:r>
        <w:rPr>
          <w:sz w:val="20"/>
        </w:rPr>
        <w:t>cf.</w:t>
      </w:r>
      <w:r>
        <w:rPr>
          <w:spacing w:val="12"/>
          <w:sz w:val="20"/>
        </w:rPr>
        <w:t> </w:t>
      </w:r>
      <w:r>
        <w:rPr>
          <w:rFonts w:ascii="Arial"/>
          <w:i/>
          <w:sz w:val="20"/>
        </w:rPr>
        <w:t>Coombes</w:t>
      </w:r>
      <w:r>
        <w:rPr>
          <w:rFonts w:ascii="Arial"/>
          <w:i/>
          <w:spacing w:val="11"/>
          <w:sz w:val="20"/>
        </w:rPr>
        <w:t> </w:t>
      </w:r>
      <w:r>
        <w:rPr>
          <w:rFonts w:ascii="Arial"/>
          <w:i/>
          <w:sz w:val="20"/>
        </w:rPr>
        <w:t>v</w:t>
      </w:r>
      <w:r>
        <w:rPr>
          <w:rFonts w:ascii="Arial"/>
          <w:i/>
          <w:spacing w:val="12"/>
          <w:sz w:val="20"/>
        </w:rPr>
        <w:t> </w:t>
      </w:r>
      <w:r>
        <w:rPr>
          <w:rFonts w:ascii="Arial"/>
          <w:i/>
          <w:sz w:val="20"/>
        </w:rPr>
        <w:t>Smith</w:t>
      </w:r>
      <w:r>
        <w:rPr>
          <w:rFonts w:ascii="Arial"/>
          <w:i/>
          <w:spacing w:val="12"/>
          <w:sz w:val="20"/>
        </w:rPr>
        <w:t> </w:t>
      </w:r>
      <w:r>
        <w:rPr>
          <w:rFonts w:ascii="Arial"/>
          <w:i/>
          <w:sz w:val="20"/>
        </w:rPr>
        <w:t>[1986]</w:t>
      </w:r>
      <w:r>
        <w:rPr>
          <w:rFonts w:ascii="Arial"/>
          <w:i/>
          <w:spacing w:val="12"/>
          <w:sz w:val="20"/>
        </w:rPr>
        <w:t> </w:t>
      </w:r>
      <w:r>
        <w:rPr>
          <w:rFonts w:ascii="Arial"/>
          <w:i/>
          <w:sz w:val="20"/>
        </w:rPr>
        <w:t>1</w:t>
      </w:r>
      <w:r>
        <w:rPr>
          <w:rFonts w:ascii="Arial"/>
          <w:i/>
          <w:spacing w:val="12"/>
          <w:sz w:val="20"/>
        </w:rPr>
        <w:t> </w:t>
      </w:r>
      <w:r>
        <w:rPr>
          <w:rFonts w:ascii="Arial"/>
          <w:i/>
          <w:sz w:val="20"/>
        </w:rPr>
        <w:t>W.L.R.</w:t>
      </w:r>
      <w:r>
        <w:rPr>
          <w:rFonts w:ascii="Arial"/>
          <w:i/>
          <w:spacing w:val="12"/>
          <w:sz w:val="20"/>
        </w:rPr>
        <w:t> </w:t>
      </w:r>
      <w:r>
        <w:rPr>
          <w:rFonts w:ascii="Arial"/>
          <w:i/>
          <w:sz w:val="20"/>
        </w:rPr>
        <w:t>808</w:t>
      </w:r>
      <w:r>
        <w:rPr>
          <w:sz w:val="20"/>
        </w:rPr>
        <w:t>;</w:t>
      </w:r>
      <w:r>
        <w:rPr>
          <w:spacing w:val="12"/>
          <w:sz w:val="20"/>
        </w:rPr>
        <w:t> </w:t>
      </w:r>
      <w:r>
        <w:rPr>
          <w:rFonts w:ascii="Arial"/>
          <w:i/>
          <w:sz w:val="20"/>
        </w:rPr>
        <w:t>Windeler</w:t>
      </w:r>
      <w:r>
        <w:rPr>
          <w:rFonts w:ascii="Arial"/>
          <w:i/>
          <w:spacing w:val="12"/>
          <w:sz w:val="20"/>
        </w:rPr>
        <w:t> </w:t>
      </w:r>
      <w:r>
        <w:rPr>
          <w:rFonts w:ascii="Arial"/>
          <w:i/>
          <w:spacing w:val="-10"/>
          <w:sz w:val="20"/>
        </w:rPr>
        <w:t>v</w:t>
      </w:r>
    </w:p>
    <w:p>
      <w:pPr>
        <w:spacing w:line="227" w:lineRule="exact" w:before="0"/>
        <w:ind w:left="705" w:right="0" w:firstLine="0"/>
        <w:jc w:val="left"/>
        <w:rPr>
          <w:sz w:val="20"/>
        </w:rPr>
      </w:pPr>
      <w:r>
        <w:rPr>
          <w:rFonts w:ascii="Arial"/>
          <w:i/>
          <w:sz w:val="20"/>
        </w:rPr>
        <w:t>Whitehall [1990] 2 F.L.R. </w:t>
      </w:r>
      <w:r>
        <w:rPr>
          <w:rFonts w:ascii="Arial"/>
          <w:i/>
          <w:spacing w:val="-4"/>
          <w:sz w:val="20"/>
        </w:rPr>
        <w:t>505</w:t>
      </w:r>
      <w:r>
        <w:rPr>
          <w:spacing w:val="-4"/>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989</w:t>
      </w:r>
      <w:r>
        <w:rPr>
          <w:spacing w:val="-4"/>
          <w:position w:val="5"/>
          <w:sz w:val="14"/>
        </w:rPr>
        <w:t>.</w:t>
      </w:r>
      <w:r>
        <w:rPr>
          <w:position w:val="5"/>
          <w:sz w:val="14"/>
        </w:rPr>
        <w:tab/>
      </w:r>
      <w:r>
        <w:rPr>
          <w:rFonts w:ascii="Arial"/>
          <w:i/>
          <w:sz w:val="20"/>
        </w:rPr>
        <w:t>Cocksedge</w:t>
      </w:r>
      <w:r>
        <w:rPr>
          <w:rFonts w:ascii="Arial"/>
          <w:i/>
          <w:spacing w:val="-1"/>
          <w:sz w:val="20"/>
        </w:rPr>
        <w:t> </w:t>
      </w:r>
      <w:r>
        <w:rPr>
          <w:rFonts w:ascii="Arial"/>
          <w:i/>
          <w:sz w:val="20"/>
        </w:rPr>
        <w:t>v Cocksedge (1844) 14 Sim 244; 13 L.J. Ch. 384</w:t>
      </w:r>
      <w:r>
        <w:rPr>
          <w:sz w:val="20"/>
        </w:rPr>
        <w:t>; </w:t>
      </w:r>
      <w:r>
        <w:rPr>
          <w:rFonts w:ascii="Arial"/>
          <w:i/>
          <w:sz w:val="20"/>
        </w:rPr>
        <w:t>H v W (1857) 3 K &amp; J </w:t>
      </w:r>
      <w:r>
        <w:rPr>
          <w:rFonts w:ascii="Arial"/>
          <w:i/>
          <w:spacing w:val="-4"/>
          <w:sz w:val="20"/>
        </w:rPr>
        <w:t>382</w:t>
      </w:r>
      <w:r>
        <w:rPr>
          <w:spacing w:val="-4"/>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990</w:t>
      </w:r>
      <w:r>
        <w:rPr>
          <w:spacing w:val="-4"/>
          <w:position w:val="5"/>
          <w:sz w:val="14"/>
        </w:rPr>
        <w:t>.</w:t>
      </w:r>
      <w:r>
        <w:rPr>
          <w:position w:val="5"/>
          <w:sz w:val="14"/>
        </w:rPr>
        <w:tab/>
      </w:r>
      <w:r>
        <w:rPr>
          <w:rFonts w:ascii="Arial"/>
          <w:i/>
          <w:sz w:val="20"/>
        </w:rPr>
        <w:t>Radmacher v Granatino [2010] UKSC 42, [2011] 1 A.C. </w:t>
      </w:r>
      <w:r>
        <w:rPr>
          <w:rFonts w:ascii="Arial"/>
          <w:i/>
          <w:spacing w:val="-4"/>
          <w:sz w:val="20"/>
        </w:rPr>
        <w:t>534</w:t>
      </w:r>
      <w:r>
        <w:rPr>
          <w:spacing w:val="-4"/>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991</w:t>
      </w:r>
      <w:r>
        <w:rPr>
          <w:position w:val="5"/>
          <w:sz w:val="14"/>
        </w:rPr>
        <w:t>.</w:t>
      </w:r>
      <w:r>
        <w:rPr>
          <w:spacing w:val="40"/>
          <w:position w:val="5"/>
          <w:sz w:val="14"/>
        </w:rPr>
        <w:t>  </w:t>
      </w:r>
      <w:r>
        <w:rPr>
          <w:rFonts w:ascii="Arial"/>
          <w:i/>
        </w:rPr>
        <w:t>[2010] UKSC 42 </w:t>
      </w:r>
      <w:r>
        <w:rPr/>
        <w:t>at [75] per Lord Phillips of Worth Matravers PSC, Lord Hope of </w:t>
      </w:r>
      <w:r>
        <w:rPr/>
        <w:t>Craighead DPSC,</w:t>
      </w:r>
      <w:r>
        <w:rPr>
          <w:spacing w:val="80"/>
        </w:rPr>
        <w:t> </w:t>
      </w:r>
      <w:r>
        <w:rPr/>
        <w:t>Lord</w:t>
      </w:r>
      <w:r>
        <w:rPr>
          <w:spacing w:val="80"/>
        </w:rPr>
        <w:t> </w:t>
      </w:r>
      <w:r>
        <w:rPr/>
        <w:t>Rodger</w:t>
      </w:r>
      <w:r>
        <w:rPr>
          <w:spacing w:val="80"/>
        </w:rPr>
        <w:t> </w:t>
      </w:r>
      <w:r>
        <w:rPr/>
        <w:t>of</w:t>
      </w:r>
      <w:r>
        <w:rPr>
          <w:spacing w:val="80"/>
        </w:rPr>
        <w:t> </w:t>
      </w:r>
      <w:r>
        <w:rPr/>
        <w:t>Earlsferry,</w:t>
      </w:r>
      <w:r>
        <w:rPr>
          <w:spacing w:val="80"/>
        </w:rPr>
        <w:t> </w:t>
      </w:r>
      <w:r>
        <w:rPr/>
        <w:t>Lord</w:t>
      </w:r>
      <w:r>
        <w:rPr>
          <w:spacing w:val="80"/>
        </w:rPr>
        <w:t> </w:t>
      </w:r>
      <w:r>
        <w:rPr/>
        <w:t>Walker</w:t>
      </w:r>
      <w:r>
        <w:rPr>
          <w:spacing w:val="80"/>
        </w:rPr>
        <w:t> </w:t>
      </w:r>
      <w:r>
        <w:rPr/>
        <w:t>of</w:t>
      </w:r>
      <w:r>
        <w:rPr>
          <w:spacing w:val="80"/>
        </w:rPr>
        <w:t> </w:t>
      </w:r>
      <w:r>
        <w:rPr/>
        <w:t>Gestingthorpe,</w:t>
      </w:r>
      <w:r>
        <w:rPr>
          <w:spacing w:val="80"/>
        </w:rPr>
        <w:t> </w:t>
      </w:r>
      <w:r>
        <w:rPr/>
        <w:t>Lord</w:t>
      </w:r>
      <w:r>
        <w:rPr>
          <w:spacing w:val="80"/>
        </w:rPr>
        <w:t> </w:t>
      </w:r>
      <w:r>
        <w:rPr/>
        <w:t>Brown</w:t>
      </w:r>
      <w:r>
        <w:rPr>
          <w:spacing w:val="80"/>
        </w:rPr>
        <w:t> </w:t>
      </w:r>
      <w:r>
        <w:rPr/>
        <w:t>of</w:t>
      </w:r>
      <w:r>
        <w:rPr>
          <w:spacing w:val="40"/>
        </w:rPr>
        <w:t> </w:t>
      </w:r>
      <w:r>
        <w:rPr/>
        <w:t>Eaton-under-Heywood, Lord Collins of Mapesbury, Lord Kerr of Tonaghmore JJSC; Baroness Hale of Richmond dissenting. And see Law Commission report, Matrimonial Property Needs and Agreements (Law Com No.343) 2014.</w:t>
      </w:r>
    </w:p>
    <w:p>
      <w:pPr>
        <w:pStyle w:val="BodyText"/>
        <w:spacing w:before="4"/>
      </w:pPr>
    </w:p>
    <w:p>
      <w:pPr>
        <w:tabs>
          <w:tab w:pos="705" w:val="left" w:leader="none"/>
        </w:tabs>
        <w:spacing w:before="0"/>
        <w:ind w:left="165" w:right="0" w:firstLine="0"/>
        <w:jc w:val="left"/>
        <w:rPr>
          <w:sz w:val="20"/>
        </w:rPr>
      </w:pPr>
      <w:r>
        <w:rPr>
          <w:color w:val="005DA1"/>
          <w:spacing w:val="-4"/>
          <w:position w:val="5"/>
          <w:sz w:val="14"/>
          <w:u w:val="single" w:color="005DA1"/>
        </w:rPr>
        <w:t>992</w:t>
      </w:r>
      <w:r>
        <w:rPr>
          <w:spacing w:val="-4"/>
          <w:position w:val="5"/>
          <w:sz w:val="14"/>
        </w:rPr>
        <w:t>.</w:t>
      </w:r>
      <w:r>
        <w:rPr>
          <w:position w:val="5"/>
          <w:sz w:val="14"/>
        </w:rPr>
        <w:tab/>
      </w:r>
      <w:r>
        <w:rPr>
          <w:rFonts w:ascii="Arial"/>
          <w:i/>
          <w:sz w:val="20"/>
        </w:rPr>
        <w:t>[2010]</w:t>
      </w:r>
      <w:r>
        <w:rPr>
          <w:rFonts w:ascii="Arial"/>
          <w:i/>
          <w:spacing w:val="-2"/>
          <w:sz w:val="20"/>
        </w:rPr>
        <w:t> </w:t>
      </w:r>
      <w:r>
        <w:rPr>
          <w:rFonts w:ascii="Arial"/>
          <w:i/>
          <w:sz w:val="20"/>
        </w:rPr>
        <w:t>UKSC 42</w:t>
      </w:r>
      <w:r>
        <w:rPr>
          <w:rFonts w:ascii="Arial"/>
          <w:i/>
          <w:spacing w:val="-1"/>
          <w:sz w:val="20"/>
        </w:rPr>
        <w:t> </w:t>
      </w:r>
      <w:r>
        <w:rPr>
          <w:sz w:val="20"/>
        </w:rPr>
        <w:t>at </w:t>
      </w:r>
      <w:r>
        <w:rPr>
          <w:spacing w:val="-2"/>
          <w:sz w:val="20"/>
        </w:rPr>
        <w:t>[70].</w:t>
      </w:r>
    </w:p>
    <w:p>
      <w:pPr>
        <w:pStyle w:val="BodyText"/>
        <w:spacing w:before="5"/>
      </w:pPr>
    </w:p>
    <w:p>
      <w:pPr>
        <w:tabs>
          <w:tab w:pos="540" w:val="left" w:leader="none"/>
        </w:tabs>
        <w:spacing w:line="227" w:lineRule="exact" w:before="0"/>
        <w:ind w:left="0" w:right="168" w:firstLine="0"/>
        <w:jc w:val="right"/>
        <w:rPr>
          <w:sz w:val="20"/>
        </w:rPr>
      </w:pPr>
      <w:r>
        <w:rPr>
          <w:color w:val="005DA1"/>
          <w:spacing w:val="-4"/>
          <w:position w:val="5"/>
          <w:sz w:val="14"/>
          <w:u w:val="single" w:color="005DA1"/>
        </w:rPr>
        <w:t>993</w:t>
      </w:r>
      <w:r>
        <w:rPr>
          <w:spacing w:val="-4"/>
          <w:position w:val="5"/>
          <w:sz w:val="14"/>
        </w:rPr>
        <w:t>.</w:t>
      </w:r>
      <w:r>
        <w:rPr>
          <w:position w:val="5"/>
          <w:sz w:val="14"/>
        </w:rPr>
        <w:tab/>
      </w:r>
      <w:r>
        <w:rPr>
          <w:rFonts w:ascii="Arial"/>
          <w:i/>
          <w:sz w:val="20"/>
        </w:rPr>
        <w:t>Parker</w:t>
      </w:r>
      <w:r>
        <w:rPr>
          <w:rFonts w:ascii="Arial"/>
          <w:i/>
          <w:spacing w:val="11"/>
          <w:sz w:val="20"/>
        </w:rPr>
        <w:t> </w:t>
      </w:r>
      <w:r>
        <w:rPr>
          <w:rFonts w:ascii="Arial"/>
          <w:i/>
          <w:sz w:val="20"/>
        </w:rPr>
        <w:t>v</w:t>
      </w:r>
      <w:r>
        <w:rPr>
          <w:rFonts w:ascii="Arial"/>
          <w:i/>
          <w:spacing w:val="14"/>
          <w:sz w:val="20"/>
        </w:rPr>
        <w:t> </w:t>
      </w:r>
      <w:r>
        <w:rPr>
          <w:rFonts w:ascii="Arial"/>
          <w:i/>
          <w:sz w:val="20"/>
        </w:rPr>
        <w:t>Clark</w:t>
      </w:r>
      <w:r>
        <w:rPr>
          <w:rFonts w:ascii="Arial"/>
          <w:i/>
          <w:spacing w:val="14"/>
          <w:sz w:val="20"/>
        </w:rPr>
        <w:t> </w:t>
      </w:r>
      <w:r>
        <w:rPr>
          <w:rFonts w:ascii="Arial"/>
          <w:i/>
          <w:sz w:val="20"/>
        </w:rPr>
        <w:t>[1960]</w:t>
      </w:r>
      <w:r>
        <w:rPr>
          <w:rFonts w:ascii="Arial"/>
          <w:i/>
          <w:spacing w:val="14"/>
          <w:sz w:val="20"/>
        </w:rPr>
        <w:t> </w:t>
      </w:r>
      <w:r>
        <w:rPr>
          <w:rFonts w:ascii="Arial"/>
          <w:i/>
          <w:sz w:val="20"/>
        </w:rPr>
        <w:t>1</w:t>
      </w:r>
      <w:r>
        <w:rPr>
          <w:rFonts w:ascii="Arial"/>
          <w:i/>
          <w:spacing w:val="14"/>
          <w:sz w:val="20"/>
        </w:rPr>
        <w:t> </w:t>
      </w:r>
      <w:r>
        <w:rPr>
          <w:rFonts w:ascii="Arial"/>
          <w:i/>
          <w:sz w:val="20"/>
        </w:rPr>
        <w:t>W.L.R.</w:t>
      </w:r>
      <w:r>
        <w:rPr>
          <w:rFonts w:ascii="Arial"/>
          <w:i/>
          <w:spacing w:val="14"/>
          <w:sz w:val="20"/>
        </w:rPr>
        <w:t> </w:t>
      </w:r>
      <w:r>
        <w:rPr>
          <w:rFonts w:ascii="Arial"/>
          <w:i/>
          <w:sz w:val="20"/>
        </w:rPr>
        <w:t>286</w:t>
      </w:r>
      <w:r>
        <w:rPr>
          <w:sz w:val="20"/>
        </w:rPr>
        <w:t>;</w:t>
      </w:r>
      <w:r>
        <w:rPr>
          <w:spacing w:val="14"/>
          <w:sz w:val="20"/>
        </w:rPr>
        <w:t> </w:t>
      </w:r>
      <w:r>
        <w:rPr>
          <w:sz w:val="20"/>
        </w:rPr>
        <w:t>cf.</w:t>
      </w:r>
      <w:r>
        <w:rPr>
          <w:spacing w:val="14"/>
          <w:sz w:val="20"/>
        </w:rPr>
        <w:t> </w:t>
      </w:r>
      <w:r>
        <w:rPr>
          <w:rFonts w:ascii="Arial"/>
          <w:i/>
          <w:sz w:val="20"/>
        </w:rPr>
        <w:t>Schaefer</w:t>
      </w:r>
      <w:r>
        <w:rPr>
          <w:rFonts w:ascii="Arial"/>
          <w:i/>
          <w:spacing w:val="13"/>
          <w:sz w:val="20"/>
        </w:rPr>
        <w:t> </w:t>
      </w:r>
      <w:r>
        <w:rPr>
          <w:rFonts w:ascii="Arial"/>
          <w:i/>
          <w:sz w:val="20"/>
        </w:rPr>
        <w:t>v</w:t>
      </w:r>
      <w:r>
        <w:rPr>
          <w:rFonts w:ascii="Arial"/>
          <w:i/>
          <w:spacing w:val="14"/>
          <w:sz w:val="20"/>
        </w:rPr>
        <w:t> </w:t>
      </w:r>
      <w:r>
        <w:rPr>
          <w:rFonts w:ascii="Arial"/>
          <w:i/>
          <w:sz w:val="20"/>
        </w:rPr>
        <w:t>Schuhman</w:t>
      </w:r>
      <w:r>
        <w:rPr>
          <w:rFonts w:ascii="Arial"/>
          <w:i/>
          <w:spacing w:val="14"/>
          <w:sz w:val="20"/>
        </w:rPr>
        <w:t> </w:t>
      </w:r>
      <w:r>
        <w:rPr>
          <w:rFonts w:ascii="Arial"/>
          <w:i/>
          <w:sz w:val="20"/>
        </w:rPr>
        <w:t>[1972]</w:t>
      </w:r>
      <w:r>
        <w:rPr>
          <w:rFonts w:ascii="Arial"/>
          <w:i/>
          <w:spacing w:val="14"/>
          <w:sz w:val="20"/>
        </w:rPr>
        <w:t> </w:t>
      </w:r>
      <w:r>
        <w:rPr>
          <w:rFonts w:ascii="Arial"/>
          <w:i/>
          <w:sz w:val="20"/>
        </w:rPr>
        <w:t>A.C.</w:t>
      </w:r>
      <w:r>
        <w:rPr>
          <w:rFonts w:ascii="Arial"/>
          <w:i/>
          <w:spacing w:val="14"/>
          <w:sz w:val="20"/>
        </w:rPr>
        <w:t> </w:t>
      </w:r>
      <w:r>
        <w:rPr>
          <w:rFonts w:ascii="Arial"/>
          <w:i/>
          <w:sz w:val="20"/>
        </w:rPr>
        <w:t>572</w:t>
      </w:r>
      <w:r>
        <w:rPr>
          <w:sz w:val="20"/>
        </w:rPr>
        <w:t>;</w:t>
      </w:r>
      <w:r>
        <w:rPr>
          <w:spacing w:val="14"/>
          <w:sz w:val="20"/>
        </w:rPr>
        <w:t> </w:t>
      </w:r>
      <w:r>
        <w:rPr>
          <w:sz w:val="20"/>
        </w:rPr>
        <w:t>Lee</w:t>
      </w:r>
      <w:r>
        <w:rPr>
          <w:spacing w:val="14"/>
          <w:sz w:val="20"/>
        </w:rPr>
        <w:t> </w:t>
      </w:r>
      <w:r>
        <w:rPr>
          <w:sz w:val="20"/>
        </w:rPr>
        <w:t>(1972)</w:t>
      </w:r>
      <w:r>
        <w:rPr>
          <w:spacing w:val="14"/>
          <w:sz w:val="20"/>
        </w:rPr>
        <w:t> </w:t>
      </w:r>
      <w:r>
        <w:rPr>
          <w:spacing w:val="-5"/>
          <w:sz w:val="20"/>
        </w:rPr>
        <w:t>88</w:t>
      </w:r>
    </w:p>
    <w:p>
      <w:pPr>
        <w:spacing w:line="225" w:lineRule="exact" w:before="0"/>
        <w:ind w:left="0" w:right="168" w:firstLine="0"/>
        <w:jc w:val="right"/>
        <w:rPr>
          <w:rFonts w:ascii="Arial"/>
          <w:i/>
          <w:sz w:val="20"/>
        </w:rPr>
      </w:pPr>
      <w:r>
        <w:rPr>
          <w:sz w:val="20"/>
        </w:rPr>
        <w:t>L.Q.R.</w:t>
      </w:r>
      <w:r>
        <w:rPr>
          <w:spacing w:val="14"/>
          <w:sz w:val="20"/>
        </w:rPr>
        <w:t> </w:t>
      </w:r>
      <w:r>
        <w:rPr>
          <w:sz w:val="20"/>
        </w:rPr>
        <w:t>320;</w:t>
      </w:r>
      <w:r>
        <w:rPr>
          <w:spacing w:val="17"/>
          <w:sz w:val="20"/>
        </w:rPr>
        <w:t> </w:t>
      </w:r>
      <w:r>
        <w:rPr>
          <w:rFonts w:ascii="Arial"/>
          <w:i/>
          <w:sz w:val="20"/>
        </w:rPr>
        <w:t>Tanner</w:t>
      </w:r>
      <w:r>
        <w:rPr>
          <w:rFonts w:ascii="Arial"/>
          <w:i/>
          <w:spacing w:val="17"/>
          <w:sz w:val="20"/>
        </w:rPr>
        <w:t> </w:t>
      </w:r>
      <w:r>
        <w:rPr>
          <w:rFonts w:ascii="Arial"/>
          <w:i/>
          <w:sz w:val="20"/>
        </w:rPr>
        <w:t>v</w:t>
      </w:r>
      <w:r>
        <w:rPr>
          <w:rFonts w:ascii="Arial"/>
          <w:i/>
          <w:spacing w:val="17"/>
          <w:sz w:val="20"/>
        </w:rPr>
        <w:t> </w:t>
      </w:r>
      <w:r>
        <w:rPr>
          <w:rFonts w:ascii="Arial"/>
          <w:i/>
          <w:sz w:val="20"/>
        </w:rPr>
        <w:t>Tanner</w:t>
      </w:r>
      <w:r>
        <w:rPr>
          <w:rFonts w:ascii="Arial"/>
          <w:i/>
          <w:spacing w:val="17"/>
          <w:sz w:val="20"/>
        </w:rPr>
        <w:t> </w:t>
      </w:r>
      <w:r>
        <w:rPr>
          <w:rFonts w:ascii="Arial"/>
          <w:i/>
          <w:sz w:val="20"/>
        </w:rPr>
        <w:t>[1975]</w:t>
      </w:r>
      <w:r>
        <w:rPr>
          <w:rFonts w:ascii="Arial"/>
          <w:i/>
          <w:spacing w:val="17"/>
          <w:sz w:val="20"/>
        </w:rPr>
        <w:t> </w:t>
      </w:r>
      <w:r>
        <w:rPr>
          <w:rFonts w:ascii="Arial"/>
          <w:i/>
          <w:sz w:val="20"/>
        </w:rPr>
        <w:t>1</w:t>
      </w:r>
      <w:r>
        <w:rPr>
          <w:rFonts w:ascii="Arial"/>
          <w:i/>
          <w:spacing w:val="17"/>
          <w:sz w:val="20"/>
        </w:rPr>
        <w:t> </w:t>
      </w:r>
      <w:r>
        <w:rPr>
          <w:rFonts w:ascii="Arial"/>
          <w:i/>
          <w:sz w:val="20"/>
        </w:rPr>
        <w:t>W.L.R.</w:t>
      </w:r>
      <w:r>
        <w:rPr>
          <w:rFonts w:ascii="Arial"/>
          <w:i/>
          <w:spacing w:val="17"/>
          <w:sz w:val="20"/>
        </w:rPr>
        <w:t> </w:t>
      </w:r>
      <w:r>
        <w:rPr>
          <w:rFonts w:ascii="Arial"/>
          <w:i/>
          <w:sz w:val="20"/>
        </w:rPr>
        <w:t>1346</w:t>
      </w:r>
      <w:r>
        <w:rPr>
          <w:sz w:val="20"/>
        </w:rPr>
        <w:t>;</w:t>
      </w:r>
      <w:r>
        <w:rPr>
          <w:spacing w:val="17"/>
          <w:sz w:val="20"/>
        </w:rPr>
        <w:t> </w:t>
      </w:r>
      <w:r>
        <w:rPr>
          <w:rFonts w:ascii="Arial"/>
          <w:i/>
          <w:sz w:val="20"/>
        </w:rPr>
        <w:t>Nunn</w:t>
      </w:r>
      <w:r>
        <w:rPr>
          <w:rFonts w:ascii="Arial"/>
          <w:i/>
          <w:spacing w:val="17"/>
          <w:sz w:val="20"/>
        </w:rPr>
        <w:t> </w:t>
      </w:r>
      <w:r>
        <w:rPr>
          <w:rFonts w:ascii="Arial"/>
          <w:i/>
          <w:sz w:val="20"/>
        </w:rPr>
        <w:t>v</w:t>
      </w:r>
      <w:r>
        <w:rPr>
          <w:rFonts w:ascii="Arial"/>
          <w:i/>
          <w:spacing w:val="17"/>
          <w:sz w:val="20"/>
        </w:rPr>
        <w:t> </w:t>
      </w:r>
      <w:r>
        <w:rPr>
          <w:rFonts w:ascii="Arial"/>
          <w:i/>
          <w:sz w:val="20"/>
        </w:rPr>
        <w:t>Dalrymple,</w:t>
      </w:r>
      <w:r>
        <w:rPr>
          <w:rFonts w:ascii="Arial"/>
          <w:i/>
          <w:spacing w:val="17"/>
          <w:sz w:val="20"/>
        </w:rPr>
        <w:t> </w:t>
      </w:r>
      <w:r>
        <w:rPr>
          <w:rFonts w:ascii="Arial"/>
          <w:i/>
          <w:sz w:val="20"/>
        </w:rPr>
        <w:t>The</w:t>
      </w:r>
      <w:r>
        <w:rPr>
          <w:rFonts w:ascii="Arial"/>
          <w:i/>
          <w:spacing w:val="17"/>
          <w:sz w:val="20"/>
        </w:rPr>
        <w:t> </w:t>
      </w:r>
      <w:r>
        <w:rPr>
          <w:rFonts w:ascii="Arial"/>
          <w:i/>
          <w:sz w:val="20"/>
        </w:rPr>
        <w:t>Times,</w:t>
      </w:r>
      <w:r>
        <w:rPr>
          <w:rFonts w:ascii="Arial"/>
          <w:i/>
          <w:spacing w:val="17"/>
          <w:sz w:val="20"/>
        </w:rPr>
        <w:t> </w:t>
      </w:r>
      <w:r>
        <w:rPr>
          <w:rFonts w:ascii="Arial"/>
          <w:i/>
          <w:sz w:val="20"/>
        </w:rPr>
        <w:t>August</w:t>
      </w:r>
      <w:r>
        <w:rPr>
          <w:rFonts w:ascii="Arial"/>
          <w:i/>
          <w:spacing w:val="17"/>
          <w:sz w:val="20"/>
        </w:rPr>
        <w:t> </w:t>
      </w:r>
      <w:r>
        <w:rPr>
          <w:rFonts w:ascii="Arial"/>
          <w:i/>
          <w:spacing w:val="-5"/>
          <w:sz w:val="20"/>
        </w:rPr>
        <w:t>3,</w:t>
      </w:r>
    </w:p>
    <w:p>
      <w:pPr>
        <w:spacing w:line="227" w:lineRule="exact" w:before="0"/>
        <w:ind w:left="705" w:right="0" w:firstLine="0"/>
        <w:jc w:val="left"/>
        <w:rPr>
          <w:sz w:val="20"/>
        </w:rPr>
      </w:pPr>
      <w:r>
        <w:rPr>
          <w:rFonts w:ascii="Arial"/>
          <w:i/>
          <w:spacing w:val="-2"/>
          <w:sz w:val="20"/>
        </w:rPr>
        <w:t>1989</w:t>
      </w:r>
      <w:r>
        <w:rPr>
          <w:spacing w:val="-2"/>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994</w:t>
      </w:r>
      <w:r>
        <w:rPr>
          <w:spacing w:val="-4"/>
          <w:position w:val="5"/>
          <w:sz w:val="14"/>
        </w:rPr>
        <w:t>.</w:t>
      </w:r>
      <w:r>
        <w:rPr>
          <w:position w:val="5"/>
          <w:sz w:val="14"/>
        </w:rPr>
        <w:tab/>
      </w:r>
      <w:r>
        <w:rPr>
          <w:rFonts w:ascii="Arial"/>
          <w:i/>
          <w:sz w:val="20"/>
        </w:rPr>
        <w:t>[1972] 1 W.L.R. </w:t>
      </w:r>
      <w:r>
        <w:rPr>
          <w:rFonts w:ascii="Arial"/>
          <w:i/>
          <w:spacing w:val="-4"/>
          <w:sz w:val="20"/>
        </w:rPr>
        <w:t>1286</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hAnsi="Arial"/>
          <w:i/>
          <w:sz w:val="20"/>
        </w:rPr>
      </w:pPr>
      <w:r>
        <w:rPr>
          <w:color w:val="005DA1"/>
          <w:spacing w:val="-4"/>
          <w:position w:val="5"/>
          <w:sz w:val="14"/>
          <w:u w:val="single" w:color="005DA1"/>
        </w:rPr>
        <w:t>995</w:t>
      </w:r>
      <w:r>
        <w:rPr>
          <w:spacing w:val="-4"/>
          <w:position w:val="5"/>
          <w:sz w:val="14"/>
        </w:rPr>
        <w:t>.</w:t>
      </w:r>
      <w:r>
        <w:rPr>
          <w:position w:val="5"/>
          <w:sz w:val="14"/>
        </w:rPr>
        <w:tab/>
      </w:r>
      <w:r>
        <w:rPr>
          <w:sz w:val="20"/>
        </w:rPr>
        <w:t>But</w:t>
      </w:r>
      <w:r>
        <w:rPr>
          <w:spacing w:val="19"/>
          <w:sz w:val="20"/>
        </w:rPr>
        <w:t> </w:t>
      </w:r>
      <w:r>
        <w:rPr>
          <w:sz w:val="20"/>
        </w:rPr>
        <w:t>she</w:t>
      </w:r>
      <w:r>
        <w:rPr>
          <w:spacing w:val="19"/>
          <w:sz w:val="20"/>
        </w:rPr>
        <w:t> </w:t>
      </w:r>
      <w:r>
        <w:rPr>
          <w:sz w:val="20"/>
        </w:rPr>
        <w:t>recovered</w:t>
      </w:r>
      <w:r>
        <w:rPr>
          <w:spacing w:val="19"/>
          <w:sz w:val="20"/>
        </w:rPr>
        <w:t> </w:t>
      </w:r>
      <w:r>
        <w:rPr>
          <w:sz w:val="20"/>
        </w:rPr>
        <w:t>the</w:t>
      </w:r>
      <w:r>
        <w:rPr>
          <w:spacing w:val="19"/>
          <w:sz w:val="20"/>
        </w:rPr>
        <w:t> </w:t>
      </w:r>
      <w:r>
        <w:rPr>
          <w:sz w:val="20"/>
        </w:rPr>
        <w:t>£600</w:t>
      </w:r>
      <w:r>
        <w:rPr>
          <w:spacing w:val="19"/>
          <w:sz w:val="20"/>
        </w:rPr>
        <w:t> </w:t>
      </w:r>
      <w:r>
        <w:rPr>
          <w:sz w:val="20"/>
        </w:rPr>
        <w:t>on</w:t>
      </w:r>
      <w:r>
        <w:rPr>
          <w:spacing w:val="19"/>
          <w:sz w:val="20"/>
        </w:rPr>
        <w:t> </w:t>
      </w:r>
      <w:r>
        <w:rPr>
          <w:sz w:val="20"/>
        </w:rPr>
        <w:t>equitable</w:t>
      </w:r>
      <w:r>
        <w:rPr>
          <w:spacing w:val="19"/>
          <w:sz w:val="20"/>
        </w:rPr>
        <w:t> </w:t>
      </w:r>
      <w:r>
        <w:rPr>
          <w:sz w:val="20"/>
        </w:rPr>
        <w:t>grounds;</w:t>
      </w:r>
      <w:r>
        <w:rPr>
          <w:spacing w:val="19"/>
          <w:sz w:val="20"/>
        </w:rPr>
        <w:t> </w:t>
      </w:r>
      <w:r>
        <w:rPr>
          <w:sz w:val="20"/>
        </w:rPr>
        <w:t>below,</w:t>
      </w:r>
      <w:r>
        <w:rPr>
          <w:spacing w:val="19"/>
          <w:sz w:val="20"/>
        </w:rPr>
        <w:t> </w:t>
      </w:r>
      <w:r>
        <w:rPr>
          <w:sz w:val="20"/>
        </w:rPr>
        <w:t>para.4-141;</w:t>
      </w:r>
      <w:r>
        <w:rPr>
          <w:spacing w:val="19"/>
          <w:sz w:val="20"/>
        </w:rPr>
        <w:t> </w:t>
      </w:r>
      <w:r>
        <w:rPr>
          <w:sz w:val="20"/>
        </w:rPr>
        <w:t>cf.</w:t>
      </w:r>
      <w:r>
        <w:rPr>
          <w:spacing w:val="18"/>
          <w:sz w:val="20"/>
        </w:rPr>
        <w:t> </w:t>
      </w:r>
      <w:r>
        <w:rPr>
          <w:rFonts w:ascii="Arial" w:hAnsi="Arial"/>
          <w:i/>
          <w:sz w:val="20"/>
        </w:rPr>
        <w:t>Re</w:t>
      </w:r>
      <w:r>
        <w:rPr>
          <w:rFonts w:ascii="Arial" w:hAnsi="Arial"/>
          <w:i/>
          <w:spacing w:val="19"/>
          <w:sz w:val="20"/>
        </w:rPr>
        <w:t> </w:t>
      </w:r>
      <w:r>
        <w:rPr>
          <w:rFonts w:ascii="Arial" w:hAnsi="Arial"/>
          <w:i/>
          <w:sz w:val="20"/>
        </w:rPr>
        <w:t>Sharpe</w:t>
      </w:r>
      <w:r>
        <w:rPr>
          <w:rFonts w:ascii="Arial" w:hAnsi="Arial"/>
          <w:i/>
          <w:spacing w:val="19"/>
          <w:sz w:val="20"/>
        </w:rPr>
        <w:t> </w:t>
      </w:r>
      <w:r>
        <w:rPr>
          <w:rFonts w:ascii="Arial" w:hAnsi="Arial"/>
          <w:i/>
          <w:sz w:val="20"/>
        </w:rPr>
        <w:t>[1980]</w:t>
      </w:r>
      <w:r>
        <w:rPr>
          <w:rFonts w:ascii="Arial" w:hAnsi="Arial"/>
          <w:i/>
          <w:spacing w:val="19"/>
          <w:sz w:val="20"/>
        </w:rPr>
        <w:t> </w:t>
      </w:r>
      <w:r>
        <w:rPr>
          <w:rFonts w:ascii="Arial" w:hAnsi="Arial"/>
          <w:i/>
          <w:spacing w:val="-10"/>
          <w:sz w:val="20"/>
        </w:rPr>
        <w:t>1</w:t>
      </w:r>
    </w:p>
    <w:p>
      <w:pPr>
        <w:spacing w:line="235" w:lineRule="auto" w:before="2"/>
        <w:ind w:left="705" w:right="0" w:firstLine="0"/>
        <w:jc w:val="left"/>
        <w:rPr>
          <w:sz w:val="20"/>
        </w:rPr>
      </w:pPr>
      <w:r>
        <w:rPr>
          <w:rFonts w:ascii="Arial"/>
          <w:i/>
          <w:sz w:val="20"/>
        </w:rPr>
        <w:t>W.L.R. 219</w:t>
      </w:r>
      <w:r>
        <w:rPr>
          <w:sz w:val="20"/>
        </w:rPr>
        <w:t>, where there was both a loan and an equitable right in the lender; </w:t>
      </w:r>
      <w:r>
        <w:rPr>
          <w:rFonts w:ascii="Arial"/>
          <w:i/>
          <w:sz w:val="20"/>
        </w:rPr>
        <w:t>Briggs v Rowan [1991] E.G.C.S. 6</w:t>
      </w:r>
      <w:r>
        <w:rPr>
          <w:sz w:val="20"/>
        </w:rPr>
        <w:t>.</w:t>
      </w:r>
    </w:p>
    <w:p>
      <w:pPr>
        <w:pStyle w:val="BodyText"/>
        <w:spacing w:before="5"/>
      </w:pPr>
    </w:p>
    <w:p>
      <w:pPr>
        <w:tabs>
          <w:tab w:pos="705" w:val="left" w:leader="none"/>
        </w:tabs>
        <w:spacing w:before="0"/>
        <w:ind w:left="165" w:right="0" w:firstLine="0"/>
        <w:jc w:val="left"/>
        <w:rPr>
          <w:sz w:val="20"/>
        </w:rPr>
      </w:pPr>
      <w:r>
        <w:rPr>
          <w:color w:val="005DA1"/>
          <w:spacing w:val="-4"/>
          <w:position w:val="5"/>
          <w:sz w:val="14"/>
          <w:u w:val="single" w:color="005DA1"/>
        </w:rPr>
        <w:t>996</w:t>
      </w:r>
      <w:r>
        <w:rPr>
          <w:spacing w:val="-4"/>
          <w:position w:val="5"/>
          <w:sz w:val="14"/>
        </w:rPr>
        <w:t>.</w:t>
      </w:r>
      <w:r>
        <w:rPr>
          <w:position w:val="5"/>
          <w:sz w:val="14"/>
        </w:rPr>
        <w:tab/>
      </w:r>
      <w:r>
        <w:rPr>
          <w:rFonts w:ascii="Arial"/>
          <w:i/>
          <w:sz w:val="20"/>
        </w:rPr>
        <w:t>[1955]</w:t>
      </w:r>
      <w:r>
        <w:rPr>
          <w:rFonts w:ascii="Arial"/>
          <w:i/>
          <w:spacing w:val="-2"/>
          <w:sz w:val="20"/>
        </w:rPr>
        <w:t> </w:t>
      </w:r>
      <w:r>
        <w:rPr>
          <w:rFonts w:ascii="Arial"/>
          <w:i/>
          <w:sz w:val="20"/>
        </w:rPr>
        <w:t>1 W.L.R. </w:t>
      </w:r>
      <w:r>
        <w:rPr>
          <w:rFonts w:ascii="Arial"/>
          <w:i/>
          <w:spacing w:val="-4"/>
          <w:sz w:val="20"/>
        </w:rPr>
        <w:t>975</w:t>
      </w:r>
      <w:r>
        <w:rPr>
          <w:spacing w:val="-4"/>
          <w:sz w:val="20"/>
        </w:rPr>
        <w:t>.</w:t>
      </w:r>
    </w:p>
    <w:p>
      <w:pPr>
        <w:pStyle w:val="BodyText"/>
        <w:spacing w:before="5"/>
      </w:pPr>
    </w:p>
    <w:p>
      <w:pPr>
        <w:tabs>
          <w:tab w:pos="705" w:val="left" w:leader="none"/>
        </w:tabs>
        <w:spacing w:line="227" w:lineRule="exact" w:before="0"/>
        <w:ind w:left="165" w:right="0" w:firstLine="0"/>
        <w:jc w:val="left"/>
        <w:rPr>
          <w:rFonts w:ascii="Arial"/>
          <w:i/>
          <w:sz w:val="20"/>
        </w:rPr>
      </w:pPr>
      <w:r>
        <w:rPr>
          <w:color w:val="005DA1"/>
          <w:spacing w:val="-4"/>
          <w:position w:val="5"/>
          <w:sz w:val="14"/>
          <w:u w:val="single" w:color="005DA1"/>
        </w:rPr>
        <w:t>997</w:t>
      </w:r>
      <w:r>
        <w:rPr>
          <w:spacing w:val="-4"/>
          <w:position w:val="5"/>
          <w:sz w:val="14"/>
        </w:rPr>
        <w:t>.</w:t>
      </w:r>
      <w:r>
        <w:rPr>
          <w:position w:val="5"/>
          <w:sz w:val="14"/>
        </w:rPr>
        <w:tab/>
      </w:r>
      <w:r>
        <w:rPr>
          <w:sz w:val="20"/>
        </w:rPr>
        <w:t>See </w:t>
      </w:r>
      <w:r>
        <w:rPr>
          <w:rFonts w:ascii="Arial"/>
          <w:i/>
          <w:sz w:val="20"/>
        </w:rPr>
        <w:t>Jones</w:t>
      </w:r>
      <w:r>
        <w:rPr>
          <w:rFonts w:ascii="Arial"/>
          <w:i/>
          <w:spacing w:val="3"/>
          <w:sz w:val="20"/>
        </w:rPr>
        <w:t> </w:t>
      </w:r>
      <w:r>
        <w:rPr>
          <w:rFonts w:ascii="Arial"/>
          <w:i/>
          <w:sz w:val="20"/>
        </w:rPr>
        <w:t>v</w:t>
      </w:r>
      <w:r>
        <w:rPr>
          <w:rFonts w:ascii="Arial"/>
          <w:i/>
          <w:spacing w:val="3"/>
          <w:sz w:val="20"/>
        </w:rPr>
        <w:t> </w:t>
      </w:r>
      <w:r>
        <w:rPr>
          <w:rFonts w:ascii="Arial"/>
          <w:i/>
          <w:sz w:val="20"/>
        </w:rPr>
        <w:t>Padavatton</w:t>
      </w:r>
      <w:r>
        <w:rPr>
          <w:rFonts w:ascii="Arial"/>
          <w:i/>
          <w:spacing w:val="3"/>
          <w:sz w:val="20"/>
        </w:rPr>
        <w:t> </w:t>
      </w:r>
      <w:r>
        <w:rPr>
          <w:rFonts w:ascii="Arial"/>
          <w:i/>
          <w:sz w:val="20"/>
        </w:rPr>
        <w:t>[1969]</w:t>
      </w:r>
      <w:r>
        <w:rPr>
          <w:rFonts w:ascii="Arial"/>
          <w:i/>
          <w:spacing w:val="3"/>
          <w:sz w:val="20"/>
        </w:rPr>
        <w:t> </w:t>
      </w:r>
      <w:r>
        <w:rPr>
          <w:rFonts w:ascii="Arial"/>
          <w:i/>
          <w:sz w:val="20"/>
        </w:rPr>
        <w:t>1</w:t>
      </w:r>
      <w:r>
        <w:rPr>
          <w:rFonts w:ascii="Arial"/>
          <w:i/>
          <w:spacing w:val="3"/>
          <w:sz w:val="20"/>
        </w:rPr>
        <w:t> </w:t>
      </w:r>
      <w:r>
        <w:rPr>
          <w:rFonts w:ascii="Arial"/>
          <w:i/>
          <w:sz w:val="20"/>
        </w:rPr>
        <w:t>W.L.R.</w:t>
      </w:r>
      <w:r>
        <w:rPr>
          <w:rFonts w:ascii="Arial"/>
          <w:i/>
          <w:spacing w:val="3"/>
          <w:sz w:val="20"/>
        </w:rPr>
        <w:t> </w:t>
      </w:r>
      <w:r>
        <w:rPr>
          <w:rFonts w:ascii="Arial"/>
          <w:i/>
          <w:sz w:val="20"/>
        </w:rPr>
        <w:t>328,</w:t>
      </w:r>
      <w:r>
        <w:rPr>
          <w:rFonts w:ascii="Arial"/>
          <w:i/>
          <w:spacing w:val="3"/>
          <w:sz w:val="20"/>
        </w:rPr>
        <w:t> </w:t>
      </w:r>
      <w:r>
        <w:rPr>
          <w:rFonts w:ascii="Arial"/>
          <w:i/>
          <w:sz w:val="20"/>
        </w:rPr>
        <w:t>333</w:t>
      </w:r>
      <w:r>
        <w:rPr>
          <w:sz w:val="20"/>
        </w:rPr>
        <w:t>;</w:t>
      </w:r>
      <w:r>
        <w:rPr>
          <w:spacing w:val="3"/>
          <w:sz w:val="20"/>
        </w:rPr>
        <w:t> </w:t>
      </w:r>
      <w:r>
        <w:rPr>
          <w:sz w:val="20"/>
        </w:rPr>
        <w:t>cf.</w:t>
      </w:r>
      <w:r>
        <w:rPr>
          <w:spacing w:val="3"/>
          <w:sz w:val="20"/>
        </w:rPr>
        <w:t> </w:t>
      </w:r>
      <w:r>
        <w:rPr>
          <w:rFonts w:ascii="Arial"/>
          <w:i/>
          <w:sz w:val="20"/>
        </w:rPr>
        <w:t>Shadwell</w:t>
      </w:r>
      <w:r>
        <w:rPr>
          <w:rFonts w:ascii="Arial"/>
          <w:i/>
          <w:spacing w:val="3"/>
          <w:sz w:val="20"/>
        </w:rPr>
        <w:t> </w:t>
      </w:r>
      <w:r>
        <w:rPr>
          <w:rFonts w:ascii="Arial"/>
          <w:i/>
          <w:sz w:val="20"/>
        </w:rPr>
        <w:t>v</w:t>
      </w:r>
      <w:r>
        <w:rPr>
          <w:rFonts w:ascii="Arial"/>
          <w:i/>
          <w:spacing w:val="3"/>
          <w:sz w:val="20"/>
        </w:rPr>
        <w:t> </w:t>
      </w:r>
      <w:r>
        <w:rPr>
          <w:rFonts w:ascii="Arial"/>
          <w:i/>
          <w:sz w:val="20"/>
        </w:rPr>
        <w:t>Shadwell</w:t>
      </w:r>
      <w:r>
        <w:rPr>
          <w:rFonts w:ascii="Arial"/>
          <w:i/>
          <w:spacing w:val="3"/>
          <w:sz w:val="20"/>
        </w:rPr>
        <w:t> </w:t>
      </w:r>
      <w:r>
        <w:rPr>
          <w:rFonts w:ascii="Arial"/>
          <w:i/>
          <w:sz w:val="20"/>
        </w:rPr>
        <w:t>(1860)</w:t>
      </w:r>
      <w:r>
        <w:rPr>
          <w:rFonts w:ascii="Arial"/>
          <w:i/>
          <w:spacing w:val="3"/>
          <w:sz w:val="20"/>
        </w:rPr>
        <w:t> </w:t>
      </w:r>
      <w:r>
        <w:rPr>
          <w:rFonts w:ascii="Arial"/>
          <w:i/>
          <w:sz w:val="20"/>
        </w:rPr>
        <w:t>9</w:t>
      </w:r>
      <w:r>
        <w:rPr>
          <w:rFonts w:ascii="Arial"/>
          <w:i/>
          <w:spacing w:val="3"/>
          <w:sz w:val="20"/>
        </w:rPr>
        <w:t> </w:t>
      </w:r>
      <w:r>
        <w:rPr>
          <w:rFonts w:ascii="Arial"/>
          <w:i/>
          <w:spacing w:val="-2"/>
          <w:sz w:val="20"/>
        </w:rPr>
        <w:t>C.B.(N.S.)</w:t>
      </w:r>
    </w:p>
    <w:p>
      <w:pPr>
        <w:pStyle w:val="BodyText"/>
        <w:spacing w:line="227" w:lineRule="exact"/>
        <w:ind w:left="705"/>
      </w:pPr>
      <w:r>
        <w:rPr>
          <w:rFonts w:ascii="Arial"/>
          <w:i/>
        </w:rPr>
        <w:t>159</w:t>
      </w:r>
      <w:r>
        <w:rPr/>
        <w:t>;</w:t>
      </w:r>
      <w:r>
        <w:rPr>
          <w:spacing w:val="-1"/>
        </w:rPr>
        <w:t> </w:t>
      </w:r>
      <w:r>
        <w:rPr/>
        <w:t>below, para.4-</w:t>
      </w:r>
      <w:r>
        <w:rPr>
          <w:spacing w:val="-4"/>
        </w:rPr>
        <w:t>074.</w:t>
      </w:r>
    </w:p>
    <w:p>
      <w:pPr>
        <w:pStyle w:val="BodyText"/>
        <w:spacing w:before="9"/>
      </w:pPr>
    </w:p>
    <w:p>
      <w:pPr>
        <w:pStyle w:val="BodyText"/>
        <w:spacing w:line="235" w:lineRule="auto"/>
        <w:ind w:left="705" w:right="167" w:hanging="541"/>
        <w:jc w:val="both"/>
      </w:pPr>
      <w:r>
        <w:rPr>
          <w:color w:val="005DA1"/>
          <w:position w:val="5"/>
          <w:sz w:val="14"/>
          <w:u w:val="single" w:color="005DA1"/>
        </w:rPr>
        <w:t>998</w:t>
      </w:r>
      <w:r>
        <w:rPr>
          <w:position w:val="5"/>
          <w:sz w:val="14"/>
        </w:rPr>
        <w:t>.</w:t>
      </w:r>
      <w:r>
        <w:rPr>
          <w:spacing w:val="40"/>
          <w:position w:val="5"/>
          <w:sz w:val="14"/>
        </w:rPr>
        <w:t>  </w:t>
      </w:r>
      <w:r>
        <w:rPr/>
        <w:t>If there is very clear evidence of contractual intention there may be a binding contract, as in </w:t>
      </w:r>
      <w:r>
        <w:rPr>
          <w:rFonts w:ascii="Arial" w:hAnsi="Arial"/>
          <w:i/>
        </w:rPr>
        <w:t>Haggar v de Placido [1972] 1 W.L.R. 716</w:t>
      </w:r>
      <w:r>
        <w:rPr/>
        <w:t>. But in practice such “contracts” were made only as devices to enable the value of the mother’s services to be recovered from a tortfeasor who had injured the child, and for this purpose they are now unnecessary: </w:t>
      </w:r>
      <w:r>
        <w:rPr>
          <w:rFonts w:ascii="Arial" w:hAnsi="Arial"/>
          <w:i/>
        </w:rPr>
        <w:t>Donelly v Joyce [1974] </w:t>
      </w:r>
      <w:r>
        <w:rPr>
          <w:rFonts w:ascii="Arial" w:hAnsi="Arial"/>
          <w:i/>
        </w:rPr>
        <w:t>Q.B. </w:t>
      </w:r>
      <w:r>
        <w:rPr>
          <w:rFonts w:ascii="Arial" w:hAnsi="Arial"/>
          <w:i/>
          <w:spacing w:val="-4"/>
        </w:rPr>
        <w:t>454</w:t>
      </w:r>
      <w:r>
        <w:rPr>
          <w:spacing w:val="-4"/>
        </w:rPr>
        <w:t>.</w:t>
      </w:r>
    </w:p>
    <w:p>
      <w:pPr>
        <w:pStyle w:val="BodyText"/>
        <w:spacing w:before="4"/>
      </w:pPr>
    </w:p>
    <w:p>
      <w:pPr>
        <w:tabs>
          <w:tab w:pos="705" w:val="left" w:leader="none"/>
        </w:tabs>
        <w:spacing w:before="0"/>
        <w:ind w:left="165" w:right="0" w:firstLine="0"/>
        <w:jc w:val="left"/>
        <w:rPr>
          <w:sz w:val="20"/>
        </w:rPr>
      </w:pPr>
      <w:r>
        <w:rPr>
          <w:color w:val="005DA1"/>
          <w:spacing w:val="-4"/>
          <w:position w:val="5"/>
          <w:sz w:val="14"/>
          <w:u w:val="single" w:color="005DA1"/>
        </w:rPr>
        <w:t>999</w:t>
      </w:r>
      <w:r>
        <w:rPr>
          <w:spacing w:val="-4"/>
          <w:position w:val="5"/>
          <w:sz w:val="14"/>
        </w:rPr>
        <w:t>.</w:t>
      </w:r>
      <w:r>
        <w:rPr>
          <w:position w:val="5"/>
          <w:sz w:val="14"/>
        </w:rPr>
        <w:tab/>
      </w:r>
      <w:r>
        <w:rPr>
          <w:rFonts w:ascii="Arial"/>
          <w:i/>
          <w:sz w:val="20"/>
        </w:rPr>
        <w:t>Ellis v Chief Adjudication Officer [1998] 1 F.L.R. 184, </w:t>
      </w:r>
      <w:r>
        <w:rPr>
          <w:rFonts w:ascii="Arial"/>
          <w:i/>
          <w:spacing w:val="-4"/>
          <w:sz w:val="20"/>
        </w:rPr>
        <w:t>188</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1000</w:t>
      </w:r>
      <w:r>
        <w:rPr>
          <w:position w:val="5"/>
          <w:sz w:val="14"/>
        </w:rPr>
        <w:t>.</w:t>
      </w:r>
      <w:r>
        <w:rPr>
          <w:spacing w:val="80"/>
          <w:position w:val="5"/>
          <w:sz w:val="14"/>
        </w:rPr>
        <w:t> </w:t>
      </w:r>
      <w:r>
        <w:rPr>
          <w:rFonts w:ascii="Arial"/>
          <w:i/>
          <w:sz w:val="20"/>
        </w:rPr>
        <w:t>Hardwick v Johnson [1978] 1 W.L.R. 683</w:t>
      </w:r>
      <w:r>
        <w:rPr>
          <w:sz w:val="20"/>
        </w:rPr>
        <w:t>, per Roskill and Browne L.JJ.; Lord Denning, M.R. thought that there was no contract but reached the same conclusion on other grounds; </w:t>
      </w:r>
      <w:r>
        <w:rPr>
          <w:sz w:val="20"/>
        </w:rPr>
        <w:t>cf. </w:t>
      </w:r>
      <w:r>
        <w:rPr>
          <w:rFonts w:ascii="Arial"/>
          <w:i/>
          <w:sz w:val="20"/>
        </w:rPr>
        <w:t>Collier v Hollingshead (1984) 272 E.G. 941</w:t>
      </w:r>
      <w:r>
        <w:rPr>
          <w:sz w:val="20"/>
        </w:rPr>
        <w:t>.</w:t>
      </w:r>
    </w:p>
    <w:p>
      <w:pPr>
        <w:pStyle w:val="BodyText"/>
        <w:spacing w:before="9"/>
      </w:pPr>
    </w:p>
    <w:p>
      <w:pPr>
        <w:spacing w:line="235" w:lineRule="auto" w:before="0"/>
        <w:ind w:left="705" w:right="168" w:hanging="541"/>
        <w:jc w:val="left"/>
        <w:rPr>
          <w:sz w:val="20"/>
        </w:rPr>
      </w:pPr>
      <w:r>
        <w:rPr>
          <w:color w:val="005DA1"/>
          <w:position w:val="5"/>
          <w:sz w:val="14"/>
          <w:u w:val="single" w:color="005DA1"/>
        </w:rPr>
        <w:t>1001</w:t>
      </w:r>
      <w:r>
        <w:rPr>
          <w:position w:val="5"/>
          <w:sz w:val="14"/>
        </w:rPr>
        <w:t>.</w:t>
      </w:r>
      <w:r>
        <w:rPr>
          <w:spacing w:val="40"/>
          <w:position w:val="5"/>
          <w:sz w:val="14"/>
        </w:rPr>
        <w:t>  </w:t>
      </w:r>
      <w:r>
        <w:rPr>
          <w:sz w:val="20"/>
        </w:rPr>
        <w:t>Below,</w:t>
      </w:r>
      <w:r>
        <w:rPr>
          <w:spacing w:val="19"/>
          <w:sz w:val="20"/>
        </w:rPr>
        <w:t> </w:t>
      </w:r>
      <w:r>
        <w:rPr>
          <w:sz w:val="20"/>
        </w:rPr>
        <w:t>para.4-025;</w:t>
      </w:r>
      <w:r>
        <w:rPr>
          <w:spacing w:val="19"/>
          <w:sz w:val="20"/>
        </w:rPr>
        <w:t> </w:t>
      </w:r>
      <w:r>
        <w:rPr>
          <w:rFonts w:ascii="Arial"/>
          <w:i/>
          <w:sz w:val="20"/>
        </w:rPr>
        <w:t>Stabilad</w:t>
      </w:r>
      <w:r>
        <w:rPr>
          <w:rFonts w:ascii="Arial"/>
          <w:i/>
          <w:spacing w:val="19"/>
          <w:sz w:val="20"/>
        </w:rPr>
        <w:t> </w:t>
      </w:r>
      <w:r>
        <w:rPr>
          <w:rFonts w:ascii="Arial"/>
          <w:i/>
          <w:sz w:val="20"/>
        </w:rPr>
        <w:t>Ltd</w:t>
      </w:r>
      <w:r>
        <w:rPr>
          <w:rFonts w:ascii="Arial"/>
          <w:i/>
          <w:spacing w:val="19"/>
          <w:sz w:val="20"/>
        </w:rPr>
        <w:t> </w:t>
      </w:r>
      <w:r>
        <w:rPr>
          <w:rFonts w:ascii="Arial"/>
          <w:i/>
          <w:sz w:val="20"/>
        </w:rPr>
        <w:t>v</w:t>
      </w:r>
      <w:r>
        <w:rPr>
          <w:rFonts w:ascii="Arial"/>
          <w:i/>
          <w:spacing w:val="19"/>
          <w:sz w:val="20"/>
        </w:rPr>
        <w:t> </w:t>
      </w:r>
      <w:r>
        <w:rPr>
          <w:rFonts w:ascii="Arial"/>
          <w:i/>
          <w:sz w:val="20"/>
        </w:rPr>
        <w:t>Stephens</w:t>
      </w:r>
      <w:r>
        <w:rPr>
          <w:rFonts w:ascii="Arial"/>
          <w:i/>
          <w:spacing w:val="19"/>
          <w:sz w:val="20"/>
        </w:rPr>
        <w:t> </w:t>
      </w:r>
      <w:r>
        <w:rPr>
          <w:rFonts w:ascii="Arial"/>
          <w:i/>
          <w:sz w:val="20"/>
        </w:rPr>
        <w:t>&amp;</w:t>
      </w:r>
      <w:r>
        <w:rPr>
          <w:rFonts w:ascii="Arial"/>
          <w:i/>
          <w:spacing w:val="19"/>
          <w:sz w:val="20"/>
        </w:rPr>
        <w:t> </w:t>
      </w:r>
      <w:r>
        <w:rPr>
          <w:rFonts w:ascii="Arial"/>
          <w:i/>
          <w:sz w:val="20"/>
        </w:rPr>
        <w:t>Carter</w:t>
      </w:r>
      <w:r>
        <w:rPr>
          <w:rFonts w:ascii="Arial"/>
          <w:i/>
          <w:spacing w:val="19"/>
          <w:sz w:val="20"/>
        </w:rPr>
        <w:t> </w:t>
      </w:r>
      <w:r>
        <w:rPr>
          <w:rFonts w:ascii="Arial"/>
          <w:i/>
          <w:sz w:val="20"/>
        </w:rPr>
        <w:t>(No.2)</w:t>
      </w:r>
      <w:r>
        <w:rPr>
          <w:rFonts w:ascii="Arial"/>
          <w:i/>
          <w:spacing w:val="19"/>
          <w:sz w:val="20"/>
        </w:rPr>
        <w:t> </w:t>
      </w:r>
      <w:r>
        <w:rPr>
          <w:rFonts w:ascii="Arial"/>
          <w:i/>
          <w:sz w:val="20"/>
        </w:rPr>
        <w:t>[1999]</w:t>
      </w:r>
      <w:r>
        <w:rPr>
          <w:rFonts w:ascii="Arial"/>
          <w:i/>
          <w:spacing w:val="19"/>
          <w:sz w:val="20"/>
        </w:rPr>
        <w:t> </w:t>
      </w:r>
      <w:r>
        <w:rPr>
          <w:rFonts w:ascii="Arial"/>
          <w:i/>
          <w:sz w:val="20"/>
        </w:rPr>
        <w:t>2</w:t>
      </w:r>
      <w:r>
        <w:rPr>
          <w:rFonts w:ascii="Arial"/>
          <w:i/>
          <w:spacing w:val="19"/>
          <w:sz w:val="20"/>
        </w:rPr>
        <w:t> </w:t>
      </w:r>
      <w:r>
        <w:rPr>
          <w:rFonts w:ascii="Arial"/>
          <w:i/>
          <w:sz w:val="20"/>
        </w:rPr>
        <w:t>All</w:t>
      </w:r>
      <w:r>
        <w:rPr>
          <w:rFonts w:ascii="Arial"/>
          <w:i/>
          <w:spacing w:val="19"/>
          <w:sz w:val="20"/>
        </w:rPr>
        <w:t> </w:t>
      </w:r>
      <w:r>
        <w:rPr>
          <w:rFonts w:ascii="Arial"/>
          <w:i/>
          <w:sz w:val="20"/>
        </w:rPr>
        <w:t>E.R.</w:t>
      </w:r>
      <w:r>
        <w:rPr>
          <w:rFonts w:ascii="Arial"/>
          <w:i/>
          <w:spacing w:val="19"/>
          <w:sz w:val="20"/>
        </w:rPr>
        <w:t> </w:t>
      </w:r>
      <w:r>
        <w:rPr>
          <w:rFonts w:ascii="Arial"/>
          <w:i/>
          <w:sz w:val="20"/>
        </w:rPr>
        <w:t>(Comm)</w:t>
      </w:r>
      <w:r>
        <w:rPr>
          <w:rFonts w:ascii="Arial"/>
          <w:i/>
          <w:spacing w:val="19"/>
          <w:sz w:val="20"/>
        </w:rPr>
        <w:t> </w:t>
      </w:r>
      <w:r>
        <w:rPr>
          <w:rFonts w:ascii="Arial"/>
          <w:i/>
          <w:sz w:val="20"/>
        </w:rPr>
        <w:t>651</w:t>
      </w:r>
      <w:r>
        <w:rPr>
          <w:rFonts w:ascii="Arial"/>
          <w:i/>
          <w:spacing w:val="19"/>
          <w:sz w:val="20"/>
        </w:rPr>
        <w:t> </w:t>
      </w:r>
      <w:r>
        <w:rPr>
          <w:sz w:val="20"/>
        </w:rPr>
        <w:t>at </w:t>
      </w:r>
      <w:r>
        <w:rPr>
          <w:spacing w:val="-2"/>
          <w:sz w:val="20"/>
        </w:rPr>
        <w:t>659-660.</w:t>
      </w:r>
    </w:p>
    <w:p>
      <w:pPr>
        <w:pStyle w:val="BodyText"/>
        <w:spacing w:before="5"/>
      </w:pPr>
    </w:p>
    <w:p>
      <w:pPr>
        <w:spacing w:line="227" w:lineRule="exact" w:before="1"/>
        <w:ind w:left="165" w:right="0" w:firstLine="0"/>
        <w:jc w:val="left"/>
        <w:rPr>
          <w:rFonts w:ascii="Arial"/>
          <w:i/>
          <w:sz w:val="20"/>
        </w:rPr>
      </w:pPr>
      <w:r>
        <w:rPr>
          <w:color w:val="005DA1"/>
          <w:position w:val="5"/>
          <w:sz w:val="14"/>
          <w:u w:val="single" w:color="005DA1"/>
        </w:rPr>
        <w:t>1002</w:t>
      </w:r>
      <w:r>
        <w:rPr>
          <w:position w:val="5"/>
          <w:sz w:val="14"/>
        </w:rPr>
        <w:t>.</w:t>
      </w:r>
      <w:r>
        <w:rPr>
          <w:spacing w:val="55"/>
          <w:position w:val="5"/>
          <w:sz w:val="14"/>
        </w:rPr>
        <w:t>  </w:t>
      </w:r>
      <w:r>
        <w:rPr>
          <w:rFonts w:ascii="Arial"/>
          <w:i/>
          <w:sz w:val="20"/>
        </w:rPr>
        <w:t>(1813)</w:t>
      </w:r>
      <w:r>
        <w:rPr>
          <w:rFonts w:ascii="Arial"/>
          <w:i/>
          <w:spacing w:val="13"/>
          <w:sz w:val="20"/>
        </w:rPr>
        <w:t> </w:t>
      </w:r>
      <w:r>
        <w:rPr>
          <w:rFonts w:ascii="Arial"/>
          <w:i/>
          <w:sz w:val="20"/>
        </w:rPr>
        <w:t>1</w:t>
      </w:r>
      <w:r>
        <w:rPr>
          <w:rFonts w:ascii="Arial"/>
          <w:i/>
          <w:spacing w:val="12"/>
          <w:sz w:val="20"/>
        </w:rPr>
        <w:t> </w:t>
      </w:r>
      <w:r>
        <w:rPr>
          <w:rFonts w:ascii="Arial"/>
          <w:i/>
          <w:sz w:val="20"/>
        </w:rPr>
        <w:t>M.</w:t>
      </w:r>
      <w:r>
        <w:rPr>
          <w:rFonts w:ascii="Arial"/>
          <w:i/>
          <w:spacing w:val="12"/>
          <w:sz w:val="20"/>
        </w:rPr>
        <w:t> </w:t>
      </w:r>
      <w:r>
        <w:rPr>
          <w:rFonts w:ascii="Arial"/>
          <w:i/>
          <w:sz w:val="20"/>
        </w:rPr>
        <w:t>&amp;</w:t>
      </w:r>
      <w:r>
        <w:rPr>
          <w:rFonts w:ascii="Arial"/>
          <w:i/>
          <w:spacing w:val="12"/>
          <w:sz w:val="20"/>
        </w:rPr>
        <w:t> </w:t>
      </w:r>
      <w:r>
        <w:rPr>
          <w:rFonts w:ascii="Arial"/>
          <w:i/>
          <w:sz w:val="20"/>
        </w:rPr>
        <w:t>S.</w:t>
      </w:r>
      <w:r>
        <w:rPr>
          <w:rFonts w:ascii="Arial"/>
          <w:i/>
          <w:spacing w:val="11"/>
          <w:sz w:val="20"/>
        </w:rPr>
        <w:t> </w:t>
      </w:r>
      <w:r>
        <w:rPr>
          <w:rFonts w:ascii="Arial"/>
          <w:i/>
          <w:sz w:val="20"/>
        </w:rPr>
        <w:t>290</w:t>
      </w:r>
      <w:r>
        <w:rPr>
          <w:sz w:val="20"/>
        </w:rPr>
        <w:t>;</w:t>
      </w:r>
      <w:r>
        <w:rPr>
          <w:spacing w:val="12"/>
          <w:sz w:val="20"/>
        </w:rPr>
        <w:t> </w:t>
      </w:r>
      <w:r>
        <w:rPr>
          <w:sz w:val="20"/>
        </w:rPr>
        <w:t>cf.</w:t>
      </w:r>
      <w:r>
        <w:rPr>
          <w:spacing w:val="12"/>
          <w:sz w:val="20"/>
        </w:rPr>
        <w:t> </w:t>
      </w:r>
      <w:r>
        <w:rPr>
          <w:rFonts w:ascii="Arial"/>
          <w:i/>
          <w:sz w:val="20"/>
        </w:rPr>
        <w:t>Shallcross</w:t>
      </w:r>
      <w:r>
        <w:rPr>
          <w:rFonts w:ascii="Arial"/>
          <w:i/>
          <w:spacing w:val="12"/>
          <w:sz w:val="20"/>
        </w:rPr>
        <w:t> </w:t>
      </w:r>
      <w:r>
        <w:rPr>
          <w:rFonts w:ascii="Arial"/>
          <w:i/>
          <w:sz w:val="20"/>
        </w:rPr>
        <w:t>v</w:t>
      </w:r>
      <w:r>
        <w:rPr>
          <w:rFonts w:ascii="Arial"/>
          <w:i/>
          <w:spacing w:val="12"/>
          <w:sz w:val="20"/>
        </w:rPr>
        <w:t> </w:t>
      </w:r>
      <w:r>
        <w:rPr>
          <w:rFonts w:ascii="Arial"/>
          <w:i/>
          <w:sz w:val="20"/>
        </w:rPr>
        <w:t>Wright</w:t>
      </w:r>
      <w:r>
        <w:rPr>
          <w:rFonts w:ascii="Arial"/>
          <w:i/>
          <w:spacing w:val="12"/>
          <w:sz w:val="20"/>
        </w:rPr>
        <w:t> </w:t>
      </w:r>
      <w:r>
        <w:rPr>
          <w:rFonts w:ascii="Arial"/>
          <w:i/>
          <w:sz w:val="20"/>
        </w:rPr>
        <w:t>(1850)</w:t>
      </w:r>
      <w:r>
        <w:rPr>
          <w:rFonts w:ascii="Arial"/>
          <w:i/>
          <w:spacing w:val="12"/>
          <w:sz w:val="20"/>
        </w:rPr>
        <w:t> </w:t>
      </w:r>
      <w:r>
        <w:rPr>
          <w:rFonts w:ascii="Arial"/>
          <w:i/>
          <w:sz w:val="20"/>
        </w:rPr>
        <w:t>12</w:t>
      </w:r>
      <w:r>
        <w:rPr>
          <w:rFonts w:ascii="Arial"/>
          <w:i/>
          <w:spacing w:val="11"/>
          <w:sz w:val="20"/>
        </w:rPr>
        <w:t> </w:t>
      </w:r>
      <w:r>
        <w:rPr>
          <w:rFonts w:ascii="Arial"/>
          <w:i/>
          <w:sz w:val="20"/>
        </w:rPr>
        <w:t>Beav.</w:t>
      </w:r>
      <w:r>
        <w:rPr>
          <w:rFonts w:ascii="Arial"/>
          <w:i/>
          <w:spacing w:val="12"/>
          <w:sz w:val="20"/>
        </w:rPr>
        <w:t> </w:t>
      </w:r>
      <w:r>
        <w:rPr>
          <w:rFonts w:ascii="Arial"/>
          <w:i/>
          <w:sz w:val="20"/>
        </w:rPr>
        <w:t>558</w:t>
      </w:r>
      <w:r>
        <w:rPr>
          <w:sz w:val="20"/>
        </w:rPr>
        <w:t>;</w:t>
      </w:r>
      <w:r>
        <w:rPr>
          <w:spacing w:val="12"/>
          <w:sz w:val="20"/>
        </w:rPr>
        <w:t> </w:t>
      </w:r>
      <w:r>
        <w:rPr>
          <w:rFonts w:ascii="Arial"/>
          <w:i/>
          <w:sz w:val="20"/>
        </w:rPr>
        <w:t>Roberts</w:t>
      </w:r>
      <w:r>
        <w:rPr>
          <w:rFonts w:ascii="Arial"/>
          <w:i/>
          <w:spacing w:val="12"/>
          <w:sz w:val="20"/>
        </w:rPr>
        <w:t> </w:t>
      </w:r>
      <w:r>
        <w:rPr>
          <w:rFonts w:ascii="Arial"/>
          <w:i/>
          <w:sz w:val="20"/>
        </w:rPr>
        <w:t>v</w:t>
      </w:r>
      <w:r>
        <w:rPr>
          <w:rFonts w:ascii="Arial"/>
          <w:i/>
          <w:spacing w:val="12"/>
          <w:sz w:val="20"/>
        </w:rPr>
        <w:t> </w:t>
      </w:r>
      <w:r>
        <w:rPr>
          <w:rFonts w:ascii="Arial"/>
          <w:i/>
          <w:sz w:val="20"/>
        </w:rPr>
        <w:t>Smith</w:t>
      </w:r>
      <w:r>
        <w:rPr>
          <w:rFonts w:ascii="Arial"/>
          <w:i/>
          <w:spacing w:val="12"/>
          <w:sz w:val="20"/>
        </w:rPr>
        <w:t> </w:t>
      </w:r>
      <w:r>
        <w:rPr>
          <w:rFonts w:ascii="Arial"/>
          <w:i/>
          <w:sz w:val="20"/>
        </w:rPr>
        <w:t>(1859)</w:t>
      </w:r>
      <w:r>
        <w:rPr>
          <w:rFonts w:ascii="Arial"/>
          <w:i/>
          <w:spacing w:val="12"/>
          <w:sz w:val="20"/>
        </w:rPr>
        <w:t> </w:t>
      </w:r>
      <w:r>
        <w:rPr>
          <w:rFonts w:ascii="Arial"/>
          <w:i/>
          <w:spacing w:val="-7"/>
          <w:sz w:val="20"/>
        </w:rPr>
        <w:t>28</w:t>
      </w:r>
    </w:p>
    <w:p>
      <w:pPr>
        <w:spacing w:line="227" w:lineRule="exact" w:before="0"/>
        <w:ind w:left="705" w:right="0" w:firstLine="0"/>
        <w:jc w:val="left"/>
        <w:rPr>
          <w:sz w:val="20"/>
        </w:rPr>
      </w:pPr>
      <w:r>
        <w:rPr>
          <w:rFonts w:ascii="Arial"/>
          <w:i/>
          <w:sz w:val="20"/>
        </w:rPr>
        <w:t>L.J.</w:t>
      </w:r>
      <w:r>
        <w:rPr>
          <w:rFonts w:ascii="Arial"/>
          <w:i/>
          <w:spacing w:val="-3"/>
          <w:sz w:val="20"/>
        </w:rPr>
        <w:t> </w:t>
      </w:r>
      <w:r>
        <w:rPr>
          <w:rFonts w:ascii="Arial"/>
          <w:i/>
          <w:sz w:val="20"/>
        </w:rPr>
        <w:t>Ex. 164</w:t>
      </w:r>
      <w:r>
        <w:rPr>
          <w:sz w:val="20"/>
        </w:rPr>
        <w:t>; </w:t>
      </w:r>
      <w:r>
        <w:rPr>
          <w:rFonts w:ascii="Arial"/>
          <w:i/>
          <w:sz w:val="20"/>
        </w:rPr>
        <w:t>Robinson &amp; Commissioners of Customs &amp; Excise, The Times, April 28, </w:t>
      </w:r>
      <w:r>
        <w:rPr>
          <w:rFonts w:ascii="Arial"/>
          <w:i/>
          <w:spacing w:val="-2"/>
          <w:sz w:val="20"/>
        </w:rPr>
        <w:t>2000</w:t>
      </w:r>
      <w:r>
        <w:rPr>
          <w:spacing w:val="-2"/>
          <w:sz w:val="20"/>
        </w:rPr>
        <w:t>.</w:t>
      </w:r>
    </w:p>
    <w:p>
      <w:pPr>
        <w:spacing w:after="0" w:line="227" w:lineRule="exact"/>
        <w:jc w:val="left"/>
        <w:rPr>
          <w:sz w:val="20"/>
        </w:rPr>
        <w:sectPr>
          <w:pgSz w:w="11900" w:h="16840"/>
          <w:pgMar w:header="971" w:footer="0" w:top="1300" w:bottom="280" w:left="1275" w:right="1275"/>
        </w:sectPr>
      </w:pPr>
    </w:p>
    <w:p>
      <w:pPr>
        <w:spacing w:before="166"/>
        <w:ind w:left="165" w:right="0" w:firstLine="0"/>
        <w:jc w:val="left"/>
        <w:rPr>
          <w:sz w:val="20"/>
        </w:rPr>
      </w:pPr>
      <w:r>
        <w:rPr>
          <w:color w:val="005DA1"/>
          <w:position w:val="5"/>
          <w:sz w:val="14"/>
          <w:u w:val="single" w:color="005DA1"/>
        </w:rPr>
        <w:t>1003</w:t>
      </w:r>
      <w:r>
        <w:rPr>
          <w:position w:val="5"/>
          <w:sz w:val="14"/>
        </w:rPr>
        <w:t>.</w:t>
      </w:r>
      <w:r>
        <w:rPr>
          <w:spacing w:val="55"/>
          <w:position w:val="5"/>
          <w:sz w:val="14"/>
        </w:rPr>
        <w:t>  </w:t>
      </w:r>
      <w:r>
        <w:rPr>
          <w:rFonts w:ascii="Arial"/>
          <w:i/>
          <w:sz w:val="20"/>
        </w:rPr>
        <w:t>(1813)</w:t>
      </w:r>
      <w:r>
        <w:rPr>
          <w:rFonts w:ascii="Arial"/>
          <w:i/>
          <w:spacing w:val="1"/>
          <w:sz w:val="20"/>
        </w:rPr>
        <w:t> </w:t>
      </w:r>
      <w:r>
        <w:rPr>
          <w:rFonts w:ascii="Arial"/>
          <w:i/>
          <w:sz w:val="20"/>
        </w:rPr>
        <w:t>1 M. &amp; S. 290, </w:t>
      </w:r>
      <w:r>
        <w:rPr>
          <w:rFonts w:ascii="Arial"/>
          <w:i/>
          <w:spacing w:val="-4"/>
          <w:sz w:val="20"/>
        </w:rPr>
        <w:t>291</w:t>
      </w:r>
      <w:r>
        <w:rPr>
          <w:spacing w:val="-4"/>
          <w:sz w:val="20"/>
        </w:rPr>
        <w:t>.</w:t>
      </w:r>
    </w:p>
    <w:p>
      <w:pPr>
        <w:pStyle w:val="BodyText"/>
        <w:spacing w:before="5"/>
      </w:pPr>
    </w:p>
    <w:p>
      <w:pPr>
        <w:spacing w:before="1"/>
        <w:ind w:left="165" w:right="0" w:firstLine="0"/>
        <w:jc w:val="left"/>
        <w:rPr>
          <w:sz w:val="20"/>
        </w:rPr>
      </w:pPr>
      <w:r>
        <w:rPr>
          <w:color w:val="005DA1"/>
          <w:position w:val="5"/>
          <w:sz w:val="14"/>
          <w:u w:val="single" w:color="005DA1"/>
        </w:rPr>
        <w:t>1004</w:t>
      </w:r>
      <w:r>
        <w:rPr>
          <w:position w:val="5"/>
          <w:sz w:val="14"/>
        </w:rPr>
        <w:t>.</w:t>
      </w:r>
      <w:r>
        <w:rPr>
          <w:spacing w:val="55"/>
          <w:position w:val="5"/>
          <w:sz w:val="14"/>
        </w:rPr>
        <w:t>  </w:t>
      </w:r>
      <w:r>
        <w:rPr>
          <w:sz w:val="20"/>
        </w:rPr>
        <w:t>Vol.II,</w:t>
      </w:r>
      <w:r>
        <w:rPr>
          <w:spacing w:val="1"/>
          <w:sz w:val="20"/>
        </w:rPr>
        <w:t> </w:t>
      </w:r>
      <w:r>
        <w:rPr>
          <w:sz w:val="20"/>
        </w:rPr>
        <w:t>para.40-079; cf. </w:t>
      </w:r>
      <w:r>
        <w:rPr>
          <w:rFonts w:ascii="Arial" w:hAnsi="Arial"/>
          <w:i/>
          <w:sz w:val="20"/>
        </w:rPr>
        <w:t>Re Brand’s Estate [1936] 3 All E.R. </w:t>
      </w:r>
      <w:r>
        <w:rPr>
          <w:rFonts w:ascii="Arial" w:hAnsi="Arial"/>
          <w:i/>
          <w:spacing w:val="-4"/>
          <w:sz w:val="20"/>
        </w:rPr>
        <w:t>374</w:t>
      </w:r>
      <w:r>
        <w:rPr>
          <w:spacing w:val="-4"/>
          <w:sz w:val="20"/>
        </w:rPr>
        <w:t>.</w:t>
      </w:r>
    </w:p>
    <w:p>
      <w:pPr>
        <w:pStyle w:val="BodyText"/>
        <w:spacing w:before="4"/>
      </w:pPr>
    </w:p>
    <w:p>
      <w:pPr>
        <w:spacing w:before="1"/>
        <w:ind w:left="165" w:right="0" w:firstLine="0"/>
        <w:jc w:val="left"/>
        <w:rPr>
          <w:sz w:val="20"/>
        </w:rPr>
      </w:pPr>
      <w:r>
        <w:rPr>
          <w:color w:val="005DA1"/>
          <w:position w:val="5"/>
          <w:sz w:val="14"/>
          <w:u w:val="single" w:color="005DA1"/>
        </w:rPr>
        <w:t>1005</w:t>
      </w:r>
      <w:r>
        <w:rPr>
          <w:position w:val="5"/>
          <w:sz w:val="14"/>
        </w:rPr>
        <w:t>.</w:t>
      </w:r>
      <w:r>
        <w:rPr>
          <w:spacing w:val="55"/>
          <w:position w:val="5"/>
          <w:sz w:val="14"/>
        </w:rPr>
        <w:t>  </w:t>
      </w:r>
      <w:r>
        <w:rPr>
          <w:sz w:val="20"/>
        </w:rPr>
        <w:t>cf.</w:t>
      </w:r>
      <w:r>
        <w:rPr>
          <w:spacing w:val="1"/>
          <w:sz w:val="20"/>
        </w:rPr>
        <w:t> </w:t>
      </w:r>
      <w:r>
        <w:rPr>
          <w:rFonts w:ascii="Arial"/>
          <w:i/>
          <w:sz w:val="20"/>
        </w:rPr>
        <w:t>Re Richmond Gate Property Co Ltd [1965] 1 W.L.R. </w:t>
      </w:r>
      <w:r>
        <w:rPr>
          <w:rFonts w:ascii="Arial"/>
          <w:i/>
          <w:spacing w:val="-4"/>
          <w:sz w:val="20"/>
        </w:rPr>
        <w:t>335</w:t>
      </w:r>
      <w:r>
        <w:rPr>
          <w:spacing w:val="-4"/>
          <w:sz w:val="20"/>
        </w:rPr>
        <w:t>.</w:t>
      </w:r>
    </w:p>
    <w:p>
      <w:pPr>
        <w:pStyle w:val="BodyText"/>
        <w:spacing w:before="4"/>
      </w:pPr>
    </w:p>
    <w:p>
      <w:pPr>
        <w:spacing w:line="227" w:lineRule="exact" w:before="1"/>
        <w:ind w:left="165" w:right="0" w:firstLine="0"/>
        <w:jc w:val="left"/>
        <w:rPr>
          <w:rFonts w:ascii="Arial"/>
          <w:i/>
          <w:sz w:val="20"/>
        </w:rPr>
      </w:pPr>
      <w:r>
        <w:rPr>
          <w:color w:val="005DA1"/>
          <w:position w:val="5"/>
          <w:sz w:val="14"/>
          <w:u w:val="single" w:color="005DA1"/>
        </w:rPr>
        <w:t>1006</w:t>
      </w:r>
      <w:r>
        <w:rPr>
          <w:position w:val="5"/>
          <w:sz w:val="14"/>
        </w:rPr>
        <w:t>.</w:t>
      </w:r>
      <w:r>
        <w:rPr>
          <w:spacing w:val="55"/>
          <w:position w:val="5"/>
          <w:sz w:val="14"/>
        </w:rPr>
        <w:t>  </w:t>
      </w:r>
      <w:r>
        <w:rPr>
          <w:rFonts w:ascii="Arial"/>
          <w:i/>
          <w:sz w:val="20"/>
        </w:rPr>
        <w:t>Carmichael</w:t>
      </w:r>
      <w:r>
        <w:rPr>
          <w:rFonts w:ascii="Arial"/>
          <w:i/>
          <w:spacing w:val="20"/>
          <w:sz w:val="20"/>
        </w:rPr>
        <w:t> </w:t>
      </w:r>
      <w:r>
        <w:rPr>
          <w:rFonts w:ascii="Arial"/>
          <w:i/>
          <w:sz w:val="20"/>
        </w:rPr>
        <w:t>v</w:t>
      </w:r>
      <w:r>
        <w:rPr>
          <w:rFonts w:ascii="Arial"/>
          <w:i/>
          <w:spacing w:val="19"/>
          <w:sz w:val="20"/>
        </w:rPr>
        <w:t> </w:t>
      </w:r>
      <w:r>
        <w:rPr>
          <w:rFonts w:ascii="Arial"/>
          <w:i/>
          <w:sz w:val="20"/>
        </w:rPr>
        <w:t>National</w:t>
      </w:r>
      <w:r>
        <w:rPr>
          <w:rFonts w:ascii="Arial"/>
          <w:i/>
          <w:spacing w:val="19"/>
          <w:sz w:val="20"/>
        </w:rPr>
        <w:t> </w:t>
      </w:r>
      <w:r>
        <w:rPr>
          <w:rFonts w:ascii="Arial"/>
          <w:i/>
          <w:sz w:val="20"/>
        </w:rPr>
        <w:t>Power</w:t>
      </w:r>
      <w:r>
        <w:rPr>
          <w:rFonts w:ascii="Arial"/>
          <w:i/>
          <w:spacing w:val="19"/>
          <w:sz w:val="20"/>
        </w:rPr>
        <w:t> </w:t>
      </w:r>
      <w:r>
        <w:rPr>
          <w:rFonts w:ascii="Arial"/>
          <w:i/>
          <w:sz w:val="20"/>
        </w:rPr>
        <w:t>Plc</w:t>
      </w:r>
      <w:r>
        <w:rPr>
          <w:rFonts w:ascii="Arial"/>
          <w:i/>
          <w:spacing w:val="19"/>
          <w:sz w:val="20"/>
        </w:rPr>
        <w:t> </w:t>
      </w:r>
      <w:r>
        <w:rPr>
          <w:rFonts w:ascii="Arial"/>
          <w:i/>
          <w:sz w:val="20"/>
        </w:rPr>
        <w:t>[1999]</w:t>
      </w:r>
      <w:r>
        <w:rPr>
          <w:rFonts w:ascii="Arial"/>
          <w:i/>
          <w:spacing w:val="19"/>
          <w:sz w:val="20"/>
        </w:rPr>
        <w:t> </w:t>
      </w:r>
      <w:r>
        <w:rPr>
          <w:rFonts w:ascii="Arial"/>
          <w:i/>
          <w:sz w:val="20"/>
        </w:rPr>
        <w:t>1</w:t>
      </w:r>
      <w:r>
        <w:rPr>
          <w:rFonts w:ascii="Arial"/>
          <w:i/>
          <w:spacing w:val="18"/>
          <w:sz w:val="20"/>
        </w:rPr>
        <w:t> </w:t>
      </w:r>
      <w:r>
        <w:rPr>
          <w:rFonts w:ascii="Arial"/>
          <w:i/>
          <w:sz w:val="20"/>
        </w:rPr>
        <w:t>W.L.R.</w:t>
      </w:r>
      <w:r>
        <w:rPr>
          <w:rFonts w:ascii="Arial"/>
          <w:i/>
          <w:spacing w:val="19"/>
          <w:sz w:val="20"/>
        </w:rPr>
        <w:t> </w:t>
      </w:r>
      <w:r>
        <w:rPr>
          <w:rFonts w:ascii="Arial"/>
          <w:i/>
          <w:sz w:val="20"/>
        </w:rPr>
        <w:t>2042</w:t>
      </w:r>
      <w:r>
        <w:rPr>
          <w:sz w:val="20"/>
        </w:rPr>
        <w:t>;</w:t>
      </w:r>
      <w:r>
        <w:rPr>
          <w:spacing w:val="19"/>
          <w:sz w:val="20"/>
        </w:rPr>
        <w:t> </w:t>
      </w:r>
      <w:r>
        <w:rPr>
          <w:sz w:val="20"/>
        </w:rPr>
        <w:t>contrast</w:t>
      </w:r>
      <w:r>
        <w:rPr>
          <w:spacing w:val="19"/>
          <w:sz w:val="20"/>
        </w:rPr>
        <w:t> </w:t>
      </w:r>
      <w:r>
        <w:rPr>
          <w:rFonts w:ascii="Arial"/>
          <w:i/>
          <w:sz w:val="20"/>
        </w:rPr>
        <w:t>Franks</w:t>
      </w:r>
      <w:r>
        <w:rPr>
          <w:rFonts w:ascii="Arial"/>
          <w:i/>
          <w:spacing w:val="19"/>
          <w:sz w:val="20"/>
        </w:rPr>
        <w:t> </w:t>
      </w:r>
      <w:r>
        <w:rPr>
          <w:rFonts w:ascii="Arial"/>
          <w:i/>
          <w:sz w:val="20"/>
        </w:rPr>
        <w:t>v</w:t>
      </w:r>
      <w:r>
        <w:rPr>
          <w:rFonts w:ascii="Arial"/>
          <w:i/>
          <w:spacing w:val="19"/>
          <w:sz w:val="20"/>
        </w:rPr>
        <w:t> </w:t>
      </w:r>
      <w:r>
        <w:rPr>
          <w:rFonts w:ascii="Arial"/>
          <w:i/>
          <w:sz w:val="20"/>
        </w:rPr>
        <w:t>Reuters</w:t>
      </w:r>
      <w:r>
        <w:rPr>
          <w:rFonts w:ascii="Arial"/>
          <w:i/>
          <w:spacing w:val="19"/>
          <w:sz w:val="20"/>
        </w:rPr>
        <w:t> </w:t>
      </w:r>
      <w:r>
        <w:rPr>
          <w:rFonts w:ascii="Arial"/>
          <w:i/>
          <w:sz w:val="20"/>
        </w:rPr>
        <w:t>Ltd</w:t>
      </w:r>
      <w:r>
        <w:rPr>
          <w:rFonts w:ascii="Arial"/>
          <w:i/>
          <w:spacing w:val="19"/>
          <w:sz w:val="20"/>
        </w:rPr>
        <w:t> </w:t>
      </w:r>
      <w:r>
        <w:rPr>
          <w:rFonts w:ascii="Arial"/>
          <w:i/>
          <w:spacing w:val="-2"/>
          <w:sz w:val="20"/>
        </w:rPr>
        <w:t>[2003]</w:t>
      </w:r>
    </w:p>
    <w:p>
      <w:pPr>
        <w:spacing w:line="227" w:lineRule="exact" w:before="0"/>
        <w:ind w:left="705" w:right="0" w:firstLine="0"/>
        <w:jc w:val="left"/>
        <w:rPr>
          <w:sz w:val="20"/>
        </w:rPr>
      </w:pPr>
      <w:r>
        <w:rPr>
          <w:rFonts w:ascii="Arial"/>
          <w:i/>
          <w:sz w:val="20"/>
        </w:rPr>
        <w:t>EWCA Civ 417, The Times, April 23, </w:t>
      </w:r>
      <w:r>
        <w:rPr>
          <w:rFonts w:ascii="Arial"/>
          <w:i/>
          <w:spacing w:val="-2"/>
          <w:sz w:val="20"/>
        </w:rPr>
        <w:t>2003</w:t>
      </w:r>
      <w:r>
        <w:rPr>
          <w:spacing w:val="-2"/>
          <w:sz w:val="20"/>
        </w:rPr>
        <w:t>.</w:t>
      </w:r>
    </w:p>
    <w:p>
      <w:pPr>
        <w:pStyle w:val="BodyText"/>
        <w:spacing w:before="8"/>
      </w:pPr>
    </w:p>
    <w:p>
      <w:pPr>
        <w:spacing w:line="235" w:lineRule="auto" w:before="0"/>
        <w:ind w:left="705" w:right="167" w:hanging="541"/>
        <w:jc w:val="both"/>
        <w:rPr>
          <w:sz w:val="20"/>
        </w:rPr>
      </w:pPr>
      <w:r>
        <w:rPr>
          <w:color w:val="005DA1"/>
          <w:position w:val="5"/>
          <w:sz w:val="14"/>
          <w:u w:val="single" w:color="005DA1"/>
        </w:rPr>
        <w:t>1007</w:t>
      </w:r>
      <w:r>
        <w:rPr>
          <w:position w:val="5"/>
          <w:sz w:val="14"/>
        </w:rPr>
        <w:t>.</w:t>
      </w:r>
      <w:r>
        <w:rPr>
          <w:spacing w:val="80"/>
          <w:w w:val="150"/>
          <w:position w:val="5"/>
          <w:sz w:val="14"/>
        </w:rPr>
        <w:t> </w:t>
      </w:r>
      <w:r>
        <w:rPr>
          <w:rFonts w:ascii="Arial" w:hAnsi="Arial"/>
          <w:i/>
          <w:sz w:val="20"/>
        </w:rPr>
        <w:t>Equitable</w:t>
      </w:r>
      <w:r>
        <w:rPr>
          <w:rFonts w:ascii="Arial" w:hAnsi="Arial"/>
          <w:i/>
          <w:spacing w:val="21"/>
          <w:sz w:val="20"/>
        </w:rPr>
        <w:t> </w:t>
      </w:r>
      <w:r>
        <w:rPr>
          <w:rFonts w:ascii="Arial" w:hAnsi="Arial"/>
          <w:i/>
          <w:sz w:val="20"/>
        </w:rPr>
        <w:t>Life</w:t>
      </w:r>
      <w:r>
        <w:rPr>
          <w:rFonts w:ascii="Arial" w:hAnsi="Arial"/>
          <w:i/>
          <w:spacing w:val="21"/>
          <w:sz w:val="20"/>
        </w:rPr>
        <w:t> </w:t>
      </w:r>
      <w:r>
        <w:rPr>
          <w:rFonts w:ascii="Arial" w:hAnsi="Arial"/>
          <w:i/>
          <w:sz w:val="20"/>
        </w:rPr>
        <w:t>Assurance</w:t>
      </w:r>
      <w:r>
        <w:rPr>
          <w:rFonts w:ascii="Arial" w:hAnsi="Arial"/>
          <w:i/>
          <w:spacing w:val="21"/>
          <w:sz w:val="20"/>
        </w:rPr>
        <w:t> </w:t>
      </w:r>
      <w:r>
        <w:rPr>
          <w:rFonts w:ascii="Arial" w:hAnsi="Arial"/>
          <w:i/>
          <w:sz w:val="20"/>
        </w:rPr>
        <w:t>Society</w:t>
      </w:r>
      <w:r>
        <w:rPr>
          <w:rFonts w:ascii="Arial" w:hAnsi="Arial"/>
          <w:i/>
          <w:spacing w:val="21"/>
          <w:sz w:val="20"/>
        </w:rPr>
        <w:t> </w:t>
      </w:r>
      <w:r>
        <w:rPr>
          <w:rFonts w:ascii="Arial" w:hAnsi="Arial"/>
          <w:i/>
          <w:sz w:val="20"/>
        </w:rPr>
        <w:t>v</w:t>
      </w:r>
      <w:r>
        <w:rPr>
          <w:rFonts w:ascii="Arial" w:hAnsi="Arial"/>
          <w:i/>
          <w:spacing w:val="21"/>
          <w:sz w:val="20"/>
        </w:rPr>
        <w:t> </w:t>
      </w:r>
      <w:r>
        <w:rPr>
          <w:rFonts w:ascii="Arial" w:hAnsi="Arial"/>
          <w:i/>
          <w:sz w:val="20"/>
        </w:rPr>
        <w:t>Hyman</w:t>
      </w:r>
      <w:r>
        <w:rPr>
          <w:rFonts w:ascii="Arial" w:hAnsi="Arial"/>
          <w:i/>
          <w:spacing w:val="21"/>
          <w:sz w:val="20"/>
        </w:rPr>
        <w:t> </w:t>
      </w:r>
      <w:r>
        <w:rPr>
          <w:rFonts w:ascii="Arial" w:hAnsi="Arial"/>
          <w:i/>
          <w:sz w:val="20"/>
        </w:rPr>
        <w:t>[2002]</w:t>
      </w:r>
      <w:r>
        <w:rPr>
          <w:rFonts w:ascii="Arial" w:hAnsi="Arial"/>
          <w:i/>
          <w:spacing w:val="21"/>
          <w:sz w:val="20"/>
        </w:rPr>
        <w:t> </w:t>
      </w:r>
      <w:r>
        <w:rPr>
          <w:rFonts w:ascii="Arial" w:hAnsi="Arial"/>
          <w:i/>
          <w:sz w:val="20"/>
        </w:rPr>
        <w:t>1</w:t>
      </w:r>
      <w:r>
        <w:rPr>
          <w:rFonts w:ascii="Arial" w:hAnsi="Arial"/>
          <w:i/>
          <w:spacing w:val="21"/>
          <w:sz w:val="20"/>
        </w:rPr>
        <w:t> </w:t>
      </w:r>
      <w:r>
        <w:rPr>
          <w:rFonts w:ascii="Arial" w:hAnsi="Arial"/>
          <w:i/>
          <w:sz w:val="20"/>
        </w:rPr>
        <w:t>A.C.</w:t>
      </w:r>
      <w:r>
        <w:rPr>
          <w:rFonts w:ascii="Arial" w:hAnsi="Arial"/>
          <w:i/>
          <w:spacing w:val="21"/>
          <w:sz w:val="20"/>
        </w:rPr>
        <w:t> </w:t>
      </w:r>
      <w:r>
        <w:rPr>
          <w:rFonts w:ascii="Arial" w:hAnsi="Arial"/>
          <w:i/>
          <w:sz w:val="20"/>
        </w:rPr>
        <w:t>408</w:t>
      </w:r>
      <w:r>
        <w:rPr>
          <w:rFonts w:ascii="Arial" w:hAnsi="Arial"/>
          <w:i/>
          <w:spacing w:val="21"/>
          <w:sz w:val="20"/>
        </w:rPr>
        <w:t> </w:t>
      </w:r>
      <w:r>
        <w:rPr>
          <w:sz w:val="20"/>
        </w:rPr>
        <w:t>at</w:t>
      </w:r>
      <w:r>
        <w:rPr>
          <w:spacing w:val="21"/>
          <w:sz w:val="20"/>
        </w:rPr>
        <w:t> </w:t>
      </w:r>
      <w:r>
        <w:rPr>
          <w:sz w:val="20"/>
        </w:rPr>
        <w:t>460,</w:t>
      </w:r>
      <w:r>
        <w:rPr>
          <w:spacing w:val="21"/>
          <w:sz w:val="20"/>
        </w:rPr>
        <w:t> </w:t>
      </w:r>
      <w:r>
        <w:rPr>
          <w:sz w:val="20"/>
        </w:rPr>
        <w:t>per</w:t>
      </w:r>
      <w:r>
        <w:rPr>
          <w:spacing w:val="21"/>
          <w:sz w:val="20"/>
        </w:rPr>
        <w:t> </w:t>
      </w:r>
      <w:r>
        <w:rPr>
          <w:sz w:val="20"/>
        </w:rPr>
        <w:t>Lord</w:t>
      </w:r>
      <w:r>
        <w:rPr>
          <w:spacing w:val="21"/>
          <w:sz w:val="20"/>
        </w:rPr>
        <w:t> </w:t>
      </w:r>
      <w:r>
        <w:rPr>
          <w:sz w:val="20"/>
        </w:rPr>
        <w:t>Cooke,</w:t>
      </w:r>
      <w:r>
        <w:rPr>
          <w:spacing w:val="21"/>
          <w:sz w:val="20"/>
        </w:rPr>
        <w:t> </w:t>
      </w:r>
      <w:r>
        <w:rPr>
          <w:sz w:val="20"/>
        </w:rPr>
        <w:t>giving this as an alternative ground for the decision while also accepting the “implied term” </w:t>
      </w:r>
      <w:r>
        <w:rPr>
          <w:sz w:val="20"/>
        </w:rPr>
        <w:t>reasoning of the majority.</w:t>
      </w:r>
    </w:p>
    <w:p>
      <w:pPr>
        <w:pStyle w:val="BodyText"/>
        <w:spacing w:before="9"/>
      </w:pPr>
    </w:p>
    <w:p>
      <w:pPr>
        <w:spacing w:line="235" w:lineRule="auto" w:before="0"/>
        <w:ind w:left="705" w:right="167" w:hanging="541"/>
        <w:jc w:val="both"/>
        <w:rPr>
          <w:sz w:val="20"/>
        </w:rPr>
      </w:pPr>
      <w:r>
        <w:rPr>
          <w:color w:val="005DA1"/>
          <w:position w:val="5"/>
          <w:sz w:val="14"/>
          <w:u w:val="single" w:color="005DA1"/>
        </w:rPr>
        <w:t>1008</w:t>
      </w:r>
      <w:r>
        <w:rPr>
          <w:position w:val="5"/>
          <w:sz w:val="14"/>
        </w:rPr>
        <w:t>.</w:t>
      </w:r>
      <w:r>
        <w:rPr>
          <w:spacing w:val="80"/>
          <w:w w:val="150"/>
          <w:position w:val="5"/>
          <w:sz w:val="14"/>
        </w:rPr>
        <w:t> </w:t>
      </w:r>
      <w:r>
        <w:rPr>
          <w:rFonts w:ascii="Arial" w:hAnsi="Arial"/>
          <w:i/>
          <w:sz w:val="20"/>
        </w:rPr>
        <w:t>Horkulak</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Cantor</w:t>
      </w:r>
      <w:r>
        <w:rPr>
          <w:rFonts w:ascii="Arial" w:hAnsi="Arial"/>
          <w:i/>
          <w:spacing w:val="-2"/>
          <w:sz w:val="20"/>
        </w:rPr>
        <w:t> </w:t>
      </w:r>
      <w:r>
        <w:rPr>
          <w:rFonts w:ascii="Arial" w:hAnsi="Arial"/>
          <w:i/>
          <w:sz w:val="20"/>
        </w:rPr>
        <w:t>Fitzgerald</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[2004]</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1287,</w:t>
      </w:r>
      <w:r>
        <w:rPr>
          <w:rFonts w:ascii="Arial" w:hAnsi="Arial"/>
          <w:i/>
          <w:spacing w:val="-2"/>
          <w:sz w:val="20"/>
        </w:rPr>
        <w:t> </w:t>
      </w:r>
      <w:r>
        <w:rPr>
          <w:rFonts w:ascii="Arial" w:hAnsi="Arial"/>
          <w:i/>
          <w:sz w:val="20"/>
        </w:rPr>
        <w:t>[2005]</w:t>
      </w:r>
      <w:r>
        <w:rPr>
          <w:rFonts w:ascii="Arial" w:hAnsi="Arial"/>
          <w:i/>
          <w:spacing w:val="-2"/>
          <w:sz w:val="20"/>
        </w:rPr>
        <w:t> </w:t>
      </w:r>
      <w:r>
        <w:rPr>
          <w:rFonts w:ascii="Arial" w:hAnsi="Arial"/>
          <w:i/>
          <w:sz w:val="20"/>
        </w:rPr>
        <w:t>I.C.R.</w:t>
      </w:r>
      <w:r>
        <w:rPr>
          <w:rFonts w:ascii="Arial" w:hAnsi="Arial"/>
          <w:i/>
          <w:spacing w:val="-2"/>
          <w:sz w:val="20"/>
        </w:rPr>
        <w:t> </w:t>
      </w:r>
      <w:r>
        <w:rPr>
          <w:rFonts w:ascii="Arial" w:hAnsi="Arial"/>
          <w:i/>
          <w:sz w:val="20"/>
        </w:rPr>
        <w:t>402</w:t>
      </w:r>
      <w:r>
        <w:rPr>
          <w:rFonts w:ascii="Arial" w:hAnsi="Arial"/>
          <w:i/>
          <w:spacing w:val="-3"/>
          <w:sz w:val="20"/>
        </w:rPr>
        <w:t> </w:t>
      </w:r>
      <w:r>
        <w:rPr>
          <w:sz w:val="20"/>
        </w:rPr>
        <w:t>at</w:t>
      </w:r>
      <w:r>
        <w:rPr>
          <w:spacing w:val="-2"/>
          <w:sz w:val="20"/>
        </w:rPr>
        <w:t> </w:t>
      </w:r>
      <w:r>
        <w:rPr>
          <w:sz w:val="20"/>
        </w:rPr>
        <w:t>[48]</w:t>
      </w:r>
      <w:r>
        <w:rPr>
          <w:spacing w:val="-2"/>
          <w:sz w:val="20"/>
        </w:rPr>
        <w:t> </w:t>
      </w:r>
      <w:r>
        <w:rPr>
          <w:sz w:val="20"/>
        </w:rPr>
        <w:t>(discretionary bonus on dismissal), cf. at [46]; contrast </w:t>
      </w:r>
      <w:r>
        <w:rPr>
          <w:rFonts w:ascii="Arial" w:hAnsi="Arial"/>
          <w:i/>
          <w:sz w:val="20"/>
        </w:rPr>
        <w:t>Keen v Commerzbank AG [2006] EWCA Civ 1536, [2007] I.C.R. 623</w:t>
      </w:r>
      <w:r>
        <w:rPr>
          <w:sz w:val="20"/>
        </w:rPr>
        <w:t>, where an employer’s “very wide discretion” in relation to a bonus had not “been exercised irrationally” (at [59], [60]).</w:t>
      </w:r>
    </w:p>
    <w:p>
      <w:pPr>
        <w:pStyle w:val="BodyText"/>
        <w:spacing w:before="9"/>
      </w:pPr>
    </w:p>
    <w:p>
      <w:pPr>
        <w:spacing w:line="235" w:lineRule="auto" w:before="0"/>
        <w:ind w:left="705" w:right="0" w:hanging="541"/>
        <w:jc w:val="left"/>
        <w:rPr>
          <w:sz w:val="20"/>
        </w:rPr>
      </w:pPr>
      <w:r>
        <w:rPr>
          <w:color w:val="005DA1"/>
          <w:position w:val="5"/>
          <w:sz w:val="14"/>
          <w:u w:val="single" w:color="005DA1"/>
        </w:rPr>
        <w:t>1009</w:t>
      </w:r>
      <w:r>
        <w:rPr>
          <w:position w:val="5"/>
          <w:sz w:val="14"/>
        </w:rPr>
        <w:t>.</w:t>
      </w:r>
      <w:r>
        <w:rPr>
          <w:spacing w:val="40"/>
          <w:position w:val="5"/>
          <w:sz w:val="14"/>
        </w:rPr>
        <w:t>  </w:t>
      </w:r>
      <w:r>
        <w:rPr>
          <w:rFonts w:ascii="Arial" w:hAnsi="Arial"/>
          <w:i/>
          <w:sz w:val="20"/>
        </w:rPr>
        <w:t>Ludgate</w:t>
      </w:r>
      <w:r>
        <w:rPr>
          <w:rFonts w:ascii="Arial" w:hAnsi="Arial"/>
          <w:i/>
          <w:spacing w:val="-2"/>
          <w:sz w:val="20"/>
        </w:rPr>
        <w:t> </w:t>
      </w:r>
      <w:r>
        <w:rPr>
          <w:rFonts w:ascii="Arial" w:hAnsi="Arial"/>
          <w:i/>
          <w:sz w:val="20"/>
        </w:rPr>
        <w:t>Insurance</w:t>
      </w:r>
      <w:r>
        <w:rPr>
          <w:rFonts w:ascii="Arial" w:hAnsi="Arial"/>
          <w:i/>
          <w:spacing w:val="-2"/>
          <w:sz w:val="20"/>
        </w:rPr>
        <w:t> </w:t>
      </w:r>
      <w:r>
        <w:rPr>
          <w:rFonts w:ascii="Arial" w:hAnsi="Arial"/>
          <w:i/>
          <w:sz w:val="20"/>
        </w:rPr>
        <w:t>Co</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Citibank</w:t>
      </w:r>
      <w:r>
        <w:rPr>
          <w:rFonts w:ascii="Arial" w:hAnsi="Arial"/>
          <w:i/>
          <w:spacing w:val="-2"/>
          <w:sz w:val="20"/>
        </w:rPr>
        <w:t> </w:t>
      </w:r>
      <w:r>
        <w:rPr>
          <w:rFonts w:ascii="Arial" w:hAnsi="Arial"/>
          <w:i/>
          <w:sz w:val="20"/>
        </w:rPr>
        <w:t>NA</w:t>
      </w:r>
      <w:r>
        <w:rPr>
          <w:rFonts w:ascii="Arial" w:hAnsi="Arial"/>
          <w:i/>
          <w:spacing w:val="-2"/>
          <w:sz w:val="20"/>
        </w:rPr>
        <w:t> </w:t>
      </w:r>
      <w:r>
        <w:rPr>
          <w:rFonts w:ascii="Arial" w:hAnsi="Arial"/>
          <w:i/>
          <w:sz w:val="20"/>
        </w:rPr>
        <w:t>[1998]</w:t>
      </w:r>
      <w:r>
        <w:rPr>
          <w:rFonts w:ascii="Arial" w:hAnsi="Arial"/>
          <w:i/>
          <w:spacing w:val="-2"/>
          <w:sz w:val="20"/>
        </w:rPr>
        <w:t> </w:t>
      </w:r>
      <w:r>
        <w:rPr>
          <w:rFonts w:ascii="Arial" w:hAnsi="Arial"/>
          <w:i/>
          <w:sz w:val="20"/>
        </w:rPr>
        <w:t>Lloyd’s</w:t>
      </w:r>
      <w:r>
        <w:rPr>
          <w:rFonts w:ascii="Arial" w:hAnsi="Arial"/>
          <w:i/>
          <w:spacing w:val="-2"/>
          <w:sz w:val="20"/>
        </w:rPr>
        <w:t> </w:t>
      </w:r>
      <w:r>
        <w:rPr>
          <w:rFonts w:ascii="Arial" w:hAnsi="Arial"/>
          <w:i/>
          <w:sz w:val="20"/>
        </w:rPr>
        <w:t>Rep.</w:t>
      </w:r>
      <w:r>
        <w:rPr>
          <w:rFonts w:ascii="Arial" w:hAnsi="Arial"/>
          <w:i/>
          <w:spacing w:val="-2"/>
          <w:sz w:val="20"/>
        </w:rPr>
        <w:t> </w:t>
      </w:r>
      <w:r>
        <w:rPr>
          <w:rFonts w:ascii="Arial" w:hAnsi="Arial"/>
          <w:i/>
          <w:sz w:val="20"/>
        </w:rPr>
        <w:t>IR</w:t>
      </w:r>
      <w:r>
        <w:rPr>
          <w:rFonts w:ascii="Arial" w:hAnsi="Arial"/>
          <w:i/>
          <w:spacing w:val="-2"/>
          <w:sz w:val="20"/>
        </w:rPr>
        <w:t> </w:t>
      </w:r>
      <w:r>
        <w:rPr>
          <w:rFonts w:ascii="Arial" w:hAnsi="Arial"/>
          <w:i/>
          <w:sz w:val="20"/>
        </w:rPr>
        <w:t>221</w:t>
      </w:r>
      <w:r>
        <w:rPr>
          <w:rFonts w:ascii="Arial" w:hAnsi="Arial"/>
          <w:i/>
          <w:spacing w:val="-2"/>
          <w:sz w:val="20"/>
        </w:rPr>
        <w:t> </w:t>
      </w:r>
      <w:r>
        <w:rPr>
          <w:sz w:val="20"/>
        </w:rPr>
        <w:t>at</w:t>
      </w:r>
      <w:r>
        <w:rPr>
          <w:spacing w:val="-2"/>
          <w:sz w:val="20"/>
        </w:rPr>
        <w:t> </w:t>
      </w:r>
      <w:r>
        <w:rPr>
          <w:sz w:val="20"/>
        </w:rPr>
        <w:t>[35]–[36];</w:t>
      </w:r>
      <w:r>
        <w:rPr>
          <w:spacing w:val="-2"/>
          <w:sz w:val="20"/>
        </w:rPr>
        <w:t> </w:t>
      </w:r>
      <w:r>
        <w:rPr>
          <w:rFonts w:ascii="Arial" w:hAnsi="Arial"/>
          <w:i/>
          <w:sz w:val="20"/>
        </w:rPr>
        <w:t>Jani-King</w:t>
      </w:r>
      <w:r>
        <w:rPr>
          <w:rFonts w:ascii="Arial" w:hAnsi="Arial"/>
          <w:i/>
          <w:spacing w:val="-2"/>
          <w:sz w:val="20"/>
        </w:rPr>
        <w:t> </w:t>
      </w:r>
      <w:r>
        <w:rPr>
          <w:rFonts w:ascii="Arial" w:hAnsi="Arial"/>
          <w:i/>
          <w:sz w:val="20"/>
        </w:rPr>
        <w:t>(GB) Ltd v Pula Enterprises Ltd [2007] EWHC 2433 (QB), [2008] 1 All E.R. (Comm) 457 </w:t>
      </w:r>
      <w:r>
        <w:rPr>
          <w:sz w:val="20"/>
        </w:rPr>
        <w:t>at [33]–[34].</w:t>
      </w:r>
    </w:p>
    <w:p>
      <w:pPr>
        <w:pStyle w:val="BodyText"/>
        <w:spacing w:before="5"/>
      </w:pPr>
    </w:p>
    <w:p>
      <w:pPr>
        <w:spacing w:before="0"/>
        <w:ind w:left="165" w:right="0" w:firstLine="0"/>
        <w:jc w:val="left"/>
        <w:rPr>
          <w:sz w:val="20"/>
        </w:rPr>
      </w:pPr>
      <w:r>
        <w:rPr>
          <w:color w:val="005DA1"/>
          <w:position w:val="5"/>
          <w:sz w:val="14"/>
          <w:u w:val="single" w:color="005DA1"/>
        </w:rPr>
        <w:t>1010</w:t>
      </w:r>
      <w:r>
        <w:rPr>
          <w:position w:val="5"/>
          <w:sz w:val="14"/>
        </w:rPr>
        <w:t>.</w:t>
      </w:r>
      <w:r>
        <w:rPr>
          <w:spacing w:val="55"/>
          <w:position w:val="5"/>
          <w:sz w:val="14"/>
        </w:rPr>
        <w:t>  </w:t>
      </w:r>
      <w:r>
        <w:rPr>
          <w:rFonts w:ascii="Arial"/>
          <w:i/>
          <w:sz w:val="20"/>
        </w:rPr>
        <w:t>Prater</w:t>
      </w:r>
      <w:r>
        <w:rPr>
          <w:rFonts w:ascii="Arial"/>
          <w:i/>
          <w:spacing w:val="1"/>
          <w:sz w:val="20"/>
        </w:rPr>
        <w:t> </w:t>
      </w:r>
      <w:r>
        <w:rPr>
          <w:rFonts w:ascii="Arial"/>
          <w:i/>
          <w:sz w:val="20"/>
        </w:rPr>
        <w:t>v Cornwall CC [2006] EWCA Civ 102, [2006] I.C.R. </w:t>
      </w:r>
      <w:r>
        <w:rPr>
          <w:rFonts w:ascii="Arial"/>
          <w:i/>
          <w:spacing w:val="-4"/>
          <w:sz w:val="20"/>
        </w:rPr>
        <w:t>731</w:t>
      </w:r>
      <w:r>
        <w:rPr>
          <w:spacing w:val="-4"/>
          <w:sz w:val="20"/>
        </w:rPr>
        <w:t>.</w:t>
      </w:r>
    </w:p>
    <w:p>
      <w:pPr>
        <w:pStyle w:val="BodyText"/>
        <w:spacing w:before="9"/>
      </w:pPr>
    </w:p>
    <w:p>
      <w:pPr>
        <w:pStyle w:val="BodyText"/>
        <w:spacing w:line="235" w:lineRule="auto"/>
        <w:ind w:left="705" w:right="167" w:hanging="541"/>
        <w:jc w:val="both"/>
      </w:pPr>
      <w:r>
        <w:rPr>
          <w:color w:val="005DA1"/>
          <w:position w:val="5"/>
          <w:sz w:val="14"/>
          <w:u w:val="single" w:color="005DA1"/>
        </w:rPr>
        <w:t>1011</w:t>
      </w:r>
      <w:r>
        <w:rPr>
          <w:position w:val="5"/>
          <w:sz w:val="14"/>
        </w:rPr>
        <w:t>.</w:t>
      </w:r>
      <w:r>
        <w:rPr>
          <w:spacing w:val="80"/>
          <w:position w:val="5"/>
          <w:sz w:val="14"/>
        </w:rPr>
        <w:t> </w:t>
      </w:r>
      <w:r>
        <w:rPr>
          <w:rFonts w:ascii="Arial" w:hAnsi="Arial"/>
          <w:i/>
        </w:rPr>
        <w:t>Selkirk v Romar Investments Ltd [1963] 1 W.L.R. 1415, 1422</w:t>
      </w:r>
      <w:r>
        <w:rPr/>
        <w:t>; cf. the authorities on </w:t>
      </w:r>
      <w:r>
        <w:rPr/>
        <w:t>agreements subject</w:t>
      </w:r>
      <w:r>
        <w:rPr>
          <w:spacing w:val="40"/>
        </w:rPr>
        <w:t> </w:t>
      </w:r>
      <w:r>
        <w:rPr/>
        <w:t>to</w:t>
      </w:r>
      <w:r>
        <w:rPr>
          <w:spacing w:val="40"/>
        </w:rPr>
        <w:t> </w:t>
      </w:r>
      <w:r>
        <w:rPr/>
        <w:t>a</w:t>
      </w:r>
      <w:r>
        <w:rPr>
          <w:spacing w:val="40"/>
        </w:rPr>
        <w:t> </w:t>
      </w:r>
      <w:r>
        <w:rPr/>
        <w:t>condition</w:t>
      </w:r>
      <w:r>
        <w:rPr>
          <w:spacing w:val="40"/>
        </w:rPr>
        <w:t> </w:t>
      </w:r>
      <w:r>
        <w:rPr/>
        <w:t>depending</w:t>
      </w:r>
      <w:r>
        <w:rPr>
          <w:spacing w:val="40"/>
        </w:rPr>
        <w:t> </w:t>
      </w:r>
      <w:r>
        <w:rPr/>
        <w:t>on</w:t>
      </w:r>
      <w:r>
        <w:rPr>
          <w:spacing w:val="40"/>
        </w:rPr>
        <w:t> </w:t>
      </w:r>
      <w:r>
        <w:rPr/>
        <w:t>the</w:t>
      </w:r>
      <w:r>
        <w:rPr>
          <w:spacing w:val="40"/>
        </w:rPr>
        <w:t> </w:t>
      </w:r>
      <w:r>
        <w:rPr/>
        <w:t>“satisfaction”</w:t>
      </w:r>
      <w:r>
        <w:rPr>
          <w:spacing w:val="40"/>
        </w:rPr>
        <w:t> </w:t>
      </w:r>
      <w:r>
        <w:rPr/>
        <w:t>of</w:t>
      </w:r>
      <w:r>
        <w:rPr>
          <w:spacing w:val="40"/>
        </w:rPr>
        <w:t> </w:t>
      </w:r>
      <w:r>
        <w:rPr/>
        <w:t>one</w:t>
      </w:r>
      <w:r>
        <w:rPr>
          <w:spacing w:val="40"/>
        </w:rPr>
        <w:t> </w:t>
      </w:r>
      <w:r>
        <w:rPr/>
        <w:t>party,</w:t>
      </w:r>
      <w:r>
        <w:rPr>
          <w:spacing w:val="40"/>
        </w:rPr>
        <w:t> </w:t>
      </w:r>
      <w:r>
        <w:rPr/>
        <w:t>discussed</w:t>
      </w:r>
      <w:r>
        <w:rPr>
          <w:spacing w:val="40"/>
        </w:rPr>
        <w:t> </w:t>
      </w:r>
      <w:r>
        <w:rPr/>
        <w:t>above, para.2-163. A contract term giving a wide discretion to one party may be subject to the requirement of reasonableness under Unfair Contract Terms Act 1977 s.3(2)(b)(ii), or may not be binding on a consumer under Unfair Terms in Consumer Contracts Regulations 1999 (SI 1999/2083), especially Sch.2 para.1(c). In the cases of agreements subject to the “satisfaction” of one party, there is </w:t>
      </w:r>
      <w:r>
        <w:rPr>
          <w:rFonts w:ascii="Arial" w:hAnsi="Arial"/>
          <w:i/>
        </w:rPr>
        <w:t>no </w:t>
      </w:r>
      <w:r>
        <w:rPr/>
        <w:t>general rule requiring that party to act in good faith or reasonably: see </w:t>
      </w:r>
      <w:r>
        <w:rPr>
          <w:rFonts w:ascii="Arial" w:hAnsi="Arial"/>
          <w:i/>
        </w:rPr>
        <w:t>Stabilad Ltd v Stephens &amp; Carter Ltd [1999] 2 All E.R. (Comm) 651 </w:t>
      </w:r>
      <w:r>
        <w:rPr/>
        <w:t>at 622, above, para.2-163 such agreements can be distinguished from contracts which give one party a discretion to rescind since the exercise of such a discretion deprives the other party of rights under an existing contract, while in the “satisfaction” cases there is no such contract unless the party’s satisfaction is communicated to the other. Similar reasoning serves to distinguish a contractual discretion to rescind (here under discussion) from a contractual discretion of the kind discussed in para.2-185 above at n.983.</w:t>
      </w:r>
    </w:p>
    <w:p>
      <w:pPr>
        <w:pStyle w:val="BodyText"/>
        <w:spacing w:before="5"/>
      </w:pPr>
    </w:p>
    <w:p>
      <w:pPr>
        <w:spacing w:line="235" w:lineRule="auto" w:before="0"/>
        <w:ind w:left="705" w:right="167" w:hanging="541"/>
        <w:jc w:val="both"/>
        <w:rPr>
          <w:sz w:val="20"/>
        </w:rPr>
      </w:pPr>
      <w:r>
        <w:rPr>
          <w:color w:val="005DA1"/>
          <w:position w:val="5"/>
          <w:sz w:val="14"/>
          <w:u w:val="single" w:color="005DA1"/>
        </w:rPr>
        <w:t>1012</w:t>
      </w:r>
      <w:r>
        <w:rPr>
          <w:position w:val="5"/>
          <w:sz w:val="14"/>
        </w:rPr>
        <w:t>.</w:t>
      </w:r>
      <w:r>
        <w:rPr>
          <w:spacing w:val="80"/>
          <w:w w:val="150"/>
          <w:position w:val="5"/>
          <w:sz w:val="14"/>
        </w:rPr>
        <w:t> </w:t>
      </w:r>
      <w:r>
        <w:rPr>
          <w:rFonts w:ascii="Arial"/>
          <w:i/>
          <w:sz w:val="20"/>
        </w:rPr>
        <w:t>Robertson v British Gas Corp [1983] I.C.R. 351</w:t>
      </w:r>
      <w:r>
        <w:rPr>
          <w:sz w:val="20"/>
        </w:rPr>
        <w:t>; </w:t>
      </w:r>
      <w:r>
        <w:rPr>
          <w:rFonts w:ascii="Arial"/>
          <w:i/>
          <w:sz w:val="20"/>
        </w:rPr>
        <w:t>Marley v Forward Trust Group [1986] I.C.R.</w:t>
      </w:r>
      <w:r>
        <w:rPr>
          <w:rFonts w:ascii="Arial"/>
          <w:i/>
          <w:spacing w:val="40"/>
          <w:sz w:val="20"/>
        </w:rPr>
        <w:t> </w:t>
      </w:r>
      <w:r>
        <w:rPr>
          <w:rFonts w:ascii="Arial"/>
          <w:i/>
          <w:sz w:val="20"/>
        </w:rPr>
        <w:t>891</w:t>
      </w:r>
      <w:r>
        <w:rPr>
          <w:sz w:val="20"/>
        </w:rPr>
        <w:t>; cf. </w:t>
      </w:r>
      <w:r>
        <w:rPr>
          <w:rFonts w:ascii="Arial"/>
          <w:i/>
          <w:sz w:val="20"/>
        </w:rPr>
        <w:t>N.C.B. v N.U.M. [1986] I.C.R. 736</w:t>
      </w:r>
      <w:r>
        <w:rPr>
          <w:sz w:val="20"/>
        </w:rPr>
        <w:t>. Contrast </w:t>
      </w:r>
      <w:r>
        <w:rPr>
          <w:rFonts w:ascii="Arial"/>
          <w:i/>
          <w:sz w:val="20"/>
        </w:rPr>
        <w:t>Kaur v MG Rover Group Ltd [2004] EWCA Civ 1507, [2005] I.C.R. 625</w:t>
      </w:r>
      <w:r>
        <w:rPr>
          <w:sz w:val="20"/>
        </w:rPr>
        <w:t>, where a term to the effect that there would be no </w:t>
      </w:r>
      <w:r>
        <w:rPr>
          <w:sz w:val="20"/>
        </w:rPr>
        <w:t>compulsory redundancies was held not to have been incorporated in individual employment contracts as it was not intended to constitute a binding contractual commitment; and </w:t>
      </w:r>
      <w:r>
        <w:rPr>
          <w:rFonts w:ascii="Arial"/>
          <w:i/>
          <w:sz w:val="20"/>
        </w:rPr>
        <w:t>Malone v British Airways Plc [2010] EWCA Civ 1225, [2011] I.R.L.R. 32</w:t>
      </w:r>
      <w:r>
        <w:rPr>
          <w:sz w:val="20"/>
        </w:rPr>
        <w:t>, where agreements were intended to be made with employees collectively and to be binding in honour only (at [58], [62]) and so were not legally binding between the employers and individual employees. And see below, para.14-022, Vol.II, para.40-050.</w:t>
      </w:r>
    </w:p>
    <w:p>
      <w:pPr>
        <w:pStyle w:val="BodyText"/>
        <w:spacing w:before="2"/>
      </w:pPr>
    </w:p>
    <w:p>
      <w:pPr>
        <w:pStyle w:val="BodyText"/>
        <w:spacing w:before="1"/>
        <w:ind w:left="165"/>
      </w:pPr>
      <w:r>
        <w:rPr>
          <w:color w:val="005DA1"/>
          <w:position w:val="5"/>
          <w:sz w:val="14"/>
          <w:u w:val="single" w:color="005DA1"/>
        </w:rPr>
        <w:t>1013</w:t>
      </w:r>
      <w:r>
        <w:rPr>
          <w:position w:val="5"/>
          <w:sz w:val="14"/>
        </w:rPr>
        <w:t>.</w:t>
      </w:r>
      <w:r>
        <w:rPr>
          <w:spacing w:val="55"/>
          <w:position w:val="5"/>
          <w:sz w:val="14"/>
        </w:rPr>
        <w:t>  </w:t>
      </w:r>
      <w:r>
        <w:rPr/>
        <w:t>As</w:t>
      </w:r>
      <w:r>
        <w:rPr>
          <w:spacing w:val="1"/>
        </w:rPr>
        <w:t> </w:t>
      </w:r>
      <w:r>
        <w:rPr/>
        <w:t>defined by s.178(1) and (2) of the 1992 </w:t>
      </w:r>
      <w:r>
        <w:rPr>
          <w:spacing w:val="-4"/>
        </w:rPr>
        <w:t>Act.</w:t>
      </w:r>
    </w:p>
    <w:p>
      <w:pPr>
        <w:pStyle w:val="BodyText"/>
        <w:spacing w:before="8"/>
      </w:pPr>
    </w:p>
    <w:p>
      <w:pPr>
        <w:spacing w:line="235" w:lineRule="auto" w:before="0"/>
        <w:ind w:left="705" w:right="167" w:hanging="541"/>
        <w:jc w:val="both"/>
        <w:rPr>
          <w:sz w:val="20"/>
        </w:rPr>
      </w:pPr>
      <w:r>
        <w:rPr>
          <w:color w:val="005DA1"/>
          <w:position w:val="5"/>
          <w:sz w:val="14"/>
          <w:u w:val="single" w:color="005DA1"/>
        </w:rPr>
        <w:t>1014</w:t>
      </w:r>
      <w:r>
        <w:rPr>
          <w:position w:val="5"/>
          <w:sz w:val="14"/>
        </w:rPr>
        <w:t>.</w:t>
      </w:r>
      <w:r>
        <w:rPr>
          <w:spacing w:val="80"/>
          <w:position w:val="5"/>
          <w:sz w:val="14"/>
        </w:rPr>
        <w:t> </w:t>
      </w:r>
      <w:r>
        <w:rPr>
          <w:sz w:val="20"/>
        </w:rPr>
        <w:t>s.179(1) and (2); </w:t>
      </w:r>
      <w:r>
        <w:rPr>
          <w:rFonts w:ascii="Arial" w:hAnsi="Arial"/>
          <w:i/>
          <w:sz w:val="20"/>
        </w:rPr>
        <w:t>Universe Tankships Inc v International Transport Workers’ Federation </w:t>
      </w:r>
      <w:r>
        <w:rPr>
          <w:rFonts w:ascii="Arial" w:hAnsi="Arial"/>
          <w:i/>
          <w:sz w:val="20"/>
        </w:rPr>
        <w:t>(The Universe Sentinel) [1983] A.C. 366, 380</w:t>
      </w:r>
      <w:r>
        <w:rPr>
          <w:sz w:val="20"/>
        </w:rPr>
        <w:t>; </w:t>
      </w:r>
      <w:r>
        <w:rPr>
          <w:rFonts w:ascii="Arial" w:hAnsi="Arial"/>
          <w:i/>
          <w:sz w:val="20"/>
        </w:rPr>
        <w:t>Monterosso Shipping Co Ltd v International Transport Workers’ Federation (The Rosso) [1982] 2 Lloyd’s Rep. 120</w:t>
      </w:r>
      <w:r>
        <w:rPr>
          <w:sz w:val="20"/>
        </w:rPr>
        <w:t>; </w:t>
      </w:r>
      <w:r>
        <w:rPr>
          <w:rFonts w:ascii="Arial" w:hAnsi="Arial"/>
          <w:i/>
          <w:sz w:val="20"/>
        </w:rPr>
        <w:t>N.C.B. v N.U.M. [1986] I.C.R. 736</w:t>
      </w:r>
      <w:r>
        <w:rPr>
          <w:sz w:val="20"/>
        </w:rPr>
        <w:t>; cf.</w:t>
      </w:r>
      <w:r>
        <w:rPr>
          <w:spacing w:val="-1"/>
          <w:sz w:val="20"/>
        </w:rPr>
        <w:t> </w:t>
      </w:r>
      <w:r>
        <w:rPr>
          <w:rFonts w:ascii="Arial" w:hAnsi="Arial"/>
          <w:i/>
          <w:sz w:val="20"/>
        </w:rPr>
        <w:t>Cheall</w:t>
      </w:r>
      <w:r>
        <w:rPr>
          <w:rFonts w:ascii="Arial" w:hAnsi="Arial"/>
          <w:i/>
          <w:spacing w:val="-1"/>
          <w:sz w:val="20"/>
        </w:rPr>
        <w:t> </w:t>
      </w:r>
      <w:r>
        <w:rPr>
          <w:rFonts w:ascii="Arial" w:hAnsi="Arial"/>
          <w:i/>
          <w:sz w:val="20"/>
        </w:rPr>
        <w:t>v</w:t>
      </w:r>
      <w:r>
        <w:rPr>
          <w:rFonts w:ascii="Arial" w:hAnsi="Arial"/>
          <w:i/>
          <w:spacing w:val="-1"/>
          <w:sz w:val="20"/>
        </w:rPr>
        <w:t> </w:t>
      </w:r>
      <w:r>
        <w:rPr>
          <w:rFonts w:ascii="Arial" w:hAnsi="Arial"/>
          <w:i/>
          <w:sz w:val="20"/>
        </w:rPr>
        <w:t>A.P.E.X.</w:t>
      </w:r>
      <w:r>
        <w:rPr>
          <w:rFonts w:ascii="Arial" w:hAnsi="Arial"/>
          <w:i/>
          <w:spacing w:val="-1"/>
          <w:sz w:val="20"/>
        </w:rPr>
        <w:t> </w:t>
      </w:r>
      <w:r>
        <w:rPr>
          <w:rFonts w:ascii="Arial" w:hAnsi="Arial"/>
          <w:i/>
          <w:sz w:val="20"/>
        </w:rPr>
        <w:t>[1983]</w:t>
      </w:r>
      <w:r>
        <w:rPr>
          <w:rFonts w:ascii="Arial" w:hAnsi="Arial"/>
          <w:i/>
          <w:spacing w:val="-1"/>
          <w:sz w:val="20"/>
        </w:rPr>
        <w:t> </w:t>
      </w:r>
      <w:r>
        <w:rPr>
          <w:rFonts w:ascii="Arial" w:hAnsi="Arial"/>
          <w:i/>
          <w:sz w:val="20"/>
        </w:rPr>
        <w:t>A.C.</w:t>
      </w:r>
      <w:r>
        <w:rPr>
          <w:rFonts w:ascii="Arial" w:hAnsi="Arial"/>
          <w:i/>
          <w:spacing w:val="-1"/>
          <w:sz w:val="20"/>
        </w:rPr>
        <w:t> </w:t>
      </w:r>
      <w:r>
        <w:rPr>
          <w:rFonts w:ascii="Arial" w:hAnsi="Arial"/>
          <w:i/>
          <w:sz w:val="20"/>
        </w:rPr>
        <w:t>180,</w:t>
      </w:r>
      <w:r>
        <w:rPr>
          <w:rFonts w:ascii="Arial" w:hAnsi="Arial"/>
          <w:i/>
          <w:spacing w:val="-1"/>
          <w:sz w:val="20"/>
        </w:rPr>
        <w:t> </w:t>
      </w:r>
      <w:r>
        <w:rPr>
          <w:rFonts w:ascii="Arial" w:hAnsi="Arial"/>
          <w:i/>
          <w:sz w:val="20"/>
        </w:rPr>
        <w:t>189</w:t>
      </w:r>
      <w:r>
        <w:rPr>
          <w:rFonts w:ascii="Arial" w:hAnsi="Arial"/>
          <w:i/>
          <w:spacing w:val="-2"/>
          <w:sz w:val="20"/>
        </w:rPr>
        <w:t> </w:t>
      </w:r>
      <w:r>
        <w:rPr>
          <w:sz w:val="20"/>
        </w:rPr>
        <w:t>(inter-union</w:t>
      </w:r>
      <w:r>
        <w:rPr>
          <w:spacing w:val="-1"/>
          <w:sz w:val="20"/>
        </w:rPr>
        <w:t> </w:t>
      </w:r>
      <w:r>
        <w:rPr>
          <w:sz w:val="20"/>
        </w:rPr>
        <w:t>agreement).</w:t>
      </w:r>
      <w:r>
        <w:rPr>
          <w:spacing w:val="-1"/>
          <w:sz w:val="20"/>
        </w:rPr>
        <w:t> </w:t>
      </w:r>
      <w:r>
        <w:rPr>
          <w:sz w:val="20"/>
        </w:rPr>
        <w:t>Provisions</w:t>
      </w:r>
      <w:r>
        <w:rPr>
          <w:spacing w:val="-1"/>
          <w:sz w:val="20"/>
        </w:rPr>
        <w:t> </w:t>
      </w:r>
      <w:r>
        <w:rPr>
          <w:sz w:val="20"/>
        </w:rPr>
        <w:t>making</w:t>
      </w:r>
      <w:r>
        <w:rPr>
          <w:spacing w:val="-1"/>
          <w:sz w:val="20"/>
        </w:rPr>
        <w:t> </w:t>
      </w:r>
      <w:r>
        <w:rPr>
          <w:sz w:val="20"/>
        </w:rPr>
        <w:t>collective agreements legally binding were said in </w:t>
      </w:r>
      <w:r>
        <w:rPr>
          <w:rFonts w:ascii="Arial" w:hAnsi="Arial"/>
          <w:i/>
          <w:sz w:val="20"/>
        </w:rPr>
        <w:t>Commission of the European Communities v United Kingdom [1984] I.C.R. 192, 195 </w:t>
      </w:r>
      <w:r>
        <w:rPr>
          <w:sz w:val="20"/>
        </w:rPr>
        <w:t>to be very rare.</w:t>
      </w:r>
    </w:p>
    <w:p>
      <w:pPr>
        <w:pStyle w:val="BodyText"/>
        <w:spacing w:before="8"/>
      </w:pPr>
    </w:p>
    <w:p>
      <w:pPr>
        <w:spacing w:line="235" w:lineRule="auto" w:before="0"/>
        <w:ind w:left="705" w:right="167" w:hanging="541"/>
        <w:jc w:val="both"/>
        <w:rPr>
          <w:sz w:val="20"/>
        </w:rPr>
      </w:pPr>
      <w:r>
        <w:rPr>
          <w:color w:val="005DA1"/>
          <w:position w:val="5"/>
          <w:sz w:val="14"/>
          <w:u w:val="single" w:color="005DA1"/>
        </w:rPr>
        <w:t>1015</w:t>
      </w:r>
      <w:r>
        <w:rPr>
          <w:position w:val="5"/>
          <w:sz w:val="14"/>
        </w:rPr>
        <w:t>.</w:t>
      </w:r>
      <w:r>
        <w:rPr>
          <w:spacing w:val="80"/>
          <w:w w:val="150"/>
          <w:position w:val="5"/>
          <w:sz w:val="14"/>
        </w:rPr>
        <w:t> </w:t>
      </w:r>
      <w:r>
        <w:rPr>
          <w:rFonts w:ascii="Arial"/>
          <w:i/>
          <w:sz w:val="20"/>
        </w:rPr>
        <w:t>N.C.B. v N.U.M. [1986] I.C.R. 736</w:t>
      </w:r>
      <w:r>
        <w:rPr>
          <w:sz w:val="20"/>
        </w:rPr>
        <w:t>; cf. </w:t>
      </w:r>
      <w:r>
        <w:rPr>
          <w:rFonts w:ascii="Arial"/>
          <w:i/>
          <w:sz w:val="20"/>
        </w:rPr>
        <w:t>Malone v British Airways Plc</w:t>
      </w:r>
      <w:r>
        <w:rPr>
          <w:sz w:val="20"/>
        </w:rPr>
        <w:t>, above n.987, where, since the collective agreement was intended to be binding in honour only (at [58], [61]), it was not legally binding even between the employers and the union.</w:t>
      </w:r>
    </w:p>
    <w:p>
      <w:pPr>
        <w:spacing w:after="0" w:line="235" w:lineRule="auto"/>
        <w:jc w:val="both"/>
        <w:rPr>
          <w:sz w:val="20"/>
        </w:rPr>
        <w:sectPr>
          <w:pgSz w:w="11900" w:h="16840"/>
          <w:pgMar w:header="971" w:footer="0" w:top="1300" w:bottom="280" w:left="1275" w:right="1275"/>
        </w:sectPr>
      </w:pPr>
    </w:p>
    <w:p>
      <w:pPr>
        <w:spacing w:before="166"/>
        <w:ind w:left="165" w:right="0" w:firstLine="0"/>
        <w:jc w:val="left"/>
        <w:rPr>
          <w:sz w:val="20"/>
        </w:rPr>
      </w:pPr>
      <w:bookmarkStart w:name="_bookmark1847" w:id="1849"/>
      <w:bookmarkEnd w:id="1849"/>
      <w:r>
        <w:rPr/>
      </w:r>
      <w:r>
        <w:rPr>
          <w:color w:val="005DA1"/>
          <w:position w:val="5"/>
          <w:sz w:val="14"/>
          <w:u w:val="single" w:color="005DA1"/>
        </w:rPr>
        <w:t>1016</w:t>
      </w:r>
      <w:r>
        <w:rPr>
          <w:position w:val="5"/>
          <w:sz w:val="14"/>
        </w:rPr>
        <w:t>.</w:t>
      </w:r>
      <w:r>
        <w:rPr>
          <w:spacing w:val="55"/>
          <w:position w:val="5"/>
          <w:sz w:val="14"/>
        </w:rPr>
        <w:t>  </w:t>
      </w:r>
      <w:r>
        <w:rPr>
          <w:rFonts w:ascii="Arial"/>
          <w:i/>
          <w:sz w:val="20"/>
        </w:rPr>
        <w:t>[1947]</w:t>
      </w:r>
      <w:r>
        <w:rPr>
          <w:rFonts w:ascii="Arial"/>
          <w:i/>
          <w:spacing w:val="1"/>
          <w:sz w:val="20"/>
        </w:rPr>
        <w:t> </w:t>
      </w:r>
      <w:r>
        <w:rPr>
          <w:rFonts w:ascii="Arial"/>
          <w:i/>
          <w:sz w:val="20"/>
        </w:rPr>
        <w:t>1 All E.R. </w:t>
      </w:r>
      <w:r>
        <w:rPr>
          <w:rFonts w:ascii="Arial"/>
          <w:i/>
          <w:spacing w:val="-4"/>
          <w:sz w:val="20"/>
        </w:rPr>
        <w:t>258</w:t>
      </w:r>
      <w:r>
        <w:rPr>
          <w:spacing w:val="-4"/>
          <w:sz w:val="20"/>
        </w:rPr>
        <w:t>.</w:t>
      </w:r>
    </w:p>
    <w:p>
      <w:pPr>
        <w:pStyle w:val="BodyText"/>
        <w:spacing w:before="5"/>
      </w:pPr>
    </w:p>
    <w:p>
      <w:pPr>
        <w:spacing w:before="1"/>
        <w:ind w:left="165" w:right="0" w:firstLine="0"/>
        <w:jc w:val="left"/>
        <w:rPr>
          <w:sz w:val="20"/>
        </w:rPr>
      </w:pPr>
      <w:r>
        <w:rPr>
          <w:color w:val="005DA1"/>
          <w:position w:val="5"/>
          <w:sz w:val="14"/>
          <w:u w:val="single" w:color="005DA1"/>
        </w:rPr>
        <w:t>1017</w:t>
      </w:r>
      <w:r>
        <w:rPr>
          <w:position w:val="5"/>
          <w:sz w:val="14"/>
        </w:rPr>
        <w:t>.</w:t>
      </w:r>
      <w:r>
        <w:rPr>
          <w:spacing w:val="55"/>
          <w:position w:val="5"/>
          <w:sz w:val="14"/>
        </w:rPr>
        <w:t>  </w:t>
      </w:r>
      <w:r>
        <w:rPr>
          <w:rFonts w:ascii="Arial"/>
          <w:i/>
          <w:sz w:val="20"/>
        </w:rPr>
        <w:t>[1967]</w:t>
      </w:r>
      <w:r>
        <w:rPr>
          <w:rFonts w:ascii="Arial"/>
          <w:i/>
          <w:spacing w:val="1"/>
          <w:sz w:val="20"/>
        </w:rPr>
        <w:t> </w:t>
      </w:r>
      <w:r>
        <w:rPr>
          <w:rFonts w:ascii="Arial"/>
          <w:i/>
          <w:sz w:val="20"/>
        </w:rPr>
        <w:t>2 Q.B.</w:t>
      </w:r>
      <w:r>
        <w:rPr>
          <w:rFonts w:ascii="Arial"/>
          <w:i/>
          <w:spacing w:val="-1"/>
          <w:sz w:val="20"/>
        </w:rPr>
        <w:t> </w:t>
      </w:r>
      <w:r>
        <w:rPr>
          <w:rFonts w:ascii="Arial"/>
          <w:i/>
          <w:sz w:val="20"/>
        </w:rPr>
        <w:t>31</w:t>
      </w:r>
      <w:r>
        <w:rPr>
          <w:sz w:val="20"/>
        </w:rPr>
        <w:t>; Odgers (1970) 86 L.Q.R. </w:t>
      </w:r>
      <w:r>
        <w:rPr>
          <w:spacing w:val="-5"/>
          <w:sz w:val="20"/>
        </w:rPr>
        <w:t>69.</w:t>
      </w:r>
    </w:p>
    <w:p>
      <w:pPr>
        <w:pStyle w:val="BodyText"/>
        <w:spacing w:before="4"/>
      </w:pPr>
    </w:p>
    <w:p>
      <w:pPr>
        <w:spacing w:before="1"/>
        <w:ind w:left="165" w:right="0" w:firstLine="0"/>
        <w:jc w:val="left"/>
        <w:rPr>
          <w:sz w:val="20"/>
        </w:rPr>
      </w:pPr>
      <w:r>
        <w:rPr>
          <w:color w:val="005DA1"/>
          <w:position w:val="5"/>
          <w:sz w:val="14"/>
          <w:u w:val="single" w:color="005DA1"/>
        </w:rPr>
        <w:t>1018</w:t>
      </w:r>
      <w:r>
        <w:rPr>
          <w:position w:val="5"/>
          <w:sz w:val="14"/>
        </w:rPr>
        <w:t>.</w:t>
      </w:r>
      <w:r>
        <w:rPr>
          <w:spacing w:val="55"/>
          <w:position w:val="5"/>
          <w:sz w:val="14"/>
        </w:rPr>
        <w:t>  </w:t>
      </w:r>
      <w:r>
        <w:rPr>
          <w:rFonts w:ascii="Arial"/>
          <w:i/>
          <w:sz w:val="20"/>
        </w:rPr>
        <w:t>[1967]</w:t>
      </w:r>
      <w:r>
        <w:rPr>
          <w:rFonts w:ascii="Arial"/>
          <w:i/>
          <w:spacing w:val="1"/>
          <w:sz w:val="20"/>
        </w:rPr>
        <w:t> </w:t>
      </w:r>
      <w:r>
        <w:rPr>
          <w:rFonts w:ascii="Arial"/>
          <w:i/>
          <w:sz w:val="20"/>
        </w:rPr>
        <w:t>2 Q.B. at </w:t>
      </w:r>
      <w:r>
        <w:rPr>
          <w:rFonts w:ascii="Arial"/>
          <w:i/>
          <w:spacing w:val="-5"/>
          <w:sz w:val="20"/>
        </w:rPr>
        <w:t>41</w:t>
      </w:r>
      <w:r>
        <w:rPr>
          <w:spacing w:val="-5"/>
          <w:sz w:val="20"/>
        </w:rPr>
        <w:t>.</w:t>
      </w:r>
    </w:p>
    <w:p>
      <w:pPr>
        <w:pStyle w:val="BodyText"/>
        <w:spacing w:before="4"/>
      </w:pPr>
    </w:p>
    <w:p>
      <w:pPr>
        <w:spacing w:before="1"/>
        <w:ind w:left="165" w:right="0" w:firstLine="0"/>
        <w:jc w:val="left"/>
        <w:rPr>
          <w:sz w:val="20"/>
        </w:rPr>
      </w:pPr>
      <w:r>
        <w:rPr>
          <w:color w:val="005DA1"/>
          <w:position w:val="5"/>
          <w:sz w:val="14"/>
          <w:u w:val="single" w:color="005DA1"/>
        </w:rPr>
        <w:t>1019</w:t>
      </w:r>
      <w:r>
        <w:rPr>
          <w:position w:val="5"/>
          <w:sz w:val="14"/>
        </w:rPr>
        <w:t>.</w:t>
      </w:r>
      <w:r>
        <w:rPr>
          <w:spacing w:val="55"/>
          <w:position w:val="5"/>
          <w:sz w:val="14"/>
        </w:rPr>
        <w:t>  </w:t>
      </w:r>
      <w:r>
        <w:rPr>
          <w:rFonts w:ascii="Arial"/>
          <w:i/>
          <w:sz w:val="20"/>
        </w:rPr>
        <w:t>Rederiaktiebolaget</w:t>
      </w:r>
      <w:r>
        <w:rPr>
          <w:rFonts w:ascii="Arial"/>
          <w:i/>
          <w:spacing w:val="1"/>
          <w:sz w:val="20"/>
        </w:rPr>
        <w:t> </w:t>
      </w:r>
      <w:r>
        <w:rPr>
          <w:rFonts w:ascii="Arial"/>
          <w:i/>
          <w:sz w:val="20"/>
        </w:rPr>
        <w:t>Amphitrite v R. [1921] 3 K.B. </w:t>
      </w:r>
      <w:r>
        <w:rPr>
          <w:rFonts w:ascii="Arial"/>
          <w:i/>
          <w:spacing w:val="-4"/>
          <w:sz w:val="20"/>
        </w:rPr>
        <w:t>500</w:t>
      </w:r>
      <w:r>
        <w:rPr>
          <w:spacing w:val="-4"/>
          <w:sz w:val="20"/>
        </w:rPr>
        <w:t>.</w:t>
      </w:r>
    </w:p>
    <w:p>
      <w:pPr>
        <w:pStyle w:val="BodyText"/>
        <w:spacing w:before="4"/>
      </w:pPr>
    </w:p>
    <w:p>
      <w:pPr>
        <w:spacing w:line="227" w:lineRule="exact" w:before="1"/>
        <w:ind w:left="165" w:right="0" w:firstLine="0"/>
        <w:jc w:val="left"/>
        <w:rPr>
          <w:sz w:val="20"/>
        </w:rPr>
      </w:pPr>
      <w:r>
        <w:rPr>
          <w:color w:val="005DA1"/>
          <w:position w:val="5"/>
          <w:sz w:val="14"/>
          <w:u w:val="single" w:color="005DA1"/>
        </w:rPr>
        <w:t>1020</w:t>
      </w:r>
      <w:r>
        <w:rPr>
          <w:position w:val="5"/>
          <w:sz w:val="14"/>
        </w:rPr>
        <w:t>.</w:t>
      </w:r>
      <w:r>
        <w:rPr>
          <w:spacing w:val="56"/>
          <w:position w:val="5"/>
          <w:sz w:val="14"/>
        </w:rPr>
        <w:t>  </w:t>
      </w:r>
      <w:r>
        <w:rPr>
          <w:rFonts w:ascii="Arial"/>
          <w:i/>
          <w:sz w:val="20"/>
        </w:rPr>
        <w:t>Rederiaktiebolaget</w:t>
      </w:r>
      <w:r>
        <w:rPr>
          <w:rFonts w:ascii="Arial"/>
          <w:i/>
          <w:spacing w:val="73"/>
          <w:sz w:val="20"/>
        </w:rPr>
        <w:t> </w:t>
      </w:r>
      <w:r>
        <w:rPr>
          <w:rFonts w:ascii="Arial"/>
          <w:i/>
          <w:sz w:val="20"/>
        </w:rPr>
        <w:t>Amphitrite</w:t>
      </w:r>
      <w:r>
        <w:rPr>
          <w:rFonts w:ascii="Arial"/>
          <w:i/>
          <w:spacing w:val="74"/>
          <w:sz w:val="20"/>
        </w:rPr>
        <w:t> </w:t>
      </w:r>
      <w:r>
        <w:rPr>
          <w:rFonts w:ascii="Arial"/>
          <w:i/>
          <w:sz w:val="20"/>
        </w:rPr>
        <w:t>v</w:t>
      </w:r>
      <w:r>
        <w:rPr>
          <w:rFonts w:ascii="Arial"/>
          <w:i/>
          <w:spacing w:val="74"/>
          <w:sz w:val="20"/>
        </w:rPr>
        <w:t> </w:t>
      </w:r>
      <w:r>
        <w:rPr>
          <w:rFonts w:ascii="Arial"/>
          <w:i/>
          <w:sz w:val="20"/>
        </w:rPr>
        <w:t>R.</w:t>
      </w:r>
      <w:r>
        <w:rPr>
          <w:rFonts w:ascii="Arial"/>
          <w:i/>
          <w:spacing w:val="74"/>
          <w:sz w:val="20"/>
        </w:rPr>
        <w:t> </w:t>
      </w:r>
      <w:r>
        <w:rPr>
          <w:rFonts w:ascii="Arial"/>
          <w:i/>
          <w:sz w:val="20"/>
        </w:rPr>
        <w:t>[1921]</w:t>
      </w:r>
      <w:r>
        <w:rPr>
          <w:rFonts w:ascii="Arial"/>
          <w:i/>
          <w:spacing w:val="74"/>
          <w:sz w:val="20"/>
        </w:rPr>
        <w:t> </w:t>
      </w:r>
      <w:r>
        <w:rPr>
          <w:rFonts w:ascii="Arial"/>
          <w:i/>
          <w:sz w:val="20"/>
        </w:rPr>
        <w:t>3</w:t>
      </w:r>
      <w:r>
        <w:rPr>
          <w:rFonts w:ascii="Arial"/>
          <w:i/>
          <w:spacing w:val="74"/>
          <w:sz w:val="20"/>
        </w:rPr>
        <w:t> </w:t>
      </w:r>
      <w:r>
        <w:rPr>
          <w:rFonts w:ascii="Arial"/>
          <w:i/>
          <w:sz w:val="20"/>
        </w:rPr>
        <w:t>K.B.</w:t>
      </w:r>
      <w:r>
        <w:rPr>
          <w:rFonts w:ascii="Arial"/>
          <w:i/>
          <w:spacing w:val="74"/>
          <w:sz w:val="20"/>
        </w:rPr>
        <w:t> </w:t>
      </w:r>
      <w:r>
        <w:rPr>
          <w:rFonts w:ascii="Arial"/>
          <w:i/>
          <w:sz w:val="20"/>
        </w:rPr>
        <w:t>500</w:t>
      </w:r>
      <w:r>
        <w:rPr>
          <w:rFonts w:ascii="Arial"/>
          <w:i/>
          <w:spacing w:val="73"/>
          <w:sz w:val="20"/>
        </w:rPr>
        <w:t> </w:t>
      </w:r>
      <w:r>
        <w:rPr>
          <w:sz w:val="20"/>
        </w:rPr>
        <w:t>at</w:t>
      </w:r>
      <w:r>
        <w:rPr>
          <w:spacing w:val="74"/>
          <w:sz w:val="20"/>
        </w:rPr>
        <w:t> </w:t>
      </w:r>
      <w:r>
        <w:rPr>
          <w:sz w:val="20"/>
        </w:rPr>
        <w:t>503;</w:t>
      </w:r>
      <w:r>
        <w:rPr>
          <w:spacing w:val="74"/>
          <w:sz w:val="20"/>
        </w:rPr>
        <w:t> </w:t>
      </w:r>
      <w:r>
        <w:rPr>
          <w:sz w:val="20"/>
        </w:rPr>
        <w:t>see</w:t>
      </w:r>
      <w:r>
        <w:rPr>
          <w:spacing w:val="74"/>
          <w:sz w:val="20"/>
        </w:rPr>
        <w:t> </w:t>
      </w:r>
      <w:r>
        <w:rPr>
          <w:sz w:val="20"/>
        </w:rPr>
        <w:t>further</w:t>
      </w:r>
      <w:r>
        <w:rPr>
          <w:spacing w:val="74"/>
          <w:sz w:val="20"/>
        </w:rPr>
        <w:t> </w:t>
      </w:r>
      <w:r>
        <w:rPr>
          <w:sz w:val="20"/>
        </w:rPr>
        <w:t>below,</w:t>
      </w:r>
      <w:r>
        <w:rPr>
          <w:spacing w:val="74"/>
          <w:sz w:val="20"/>
        </w:rPr>
        <w:t> </w:t>
      </w:r>
      <w:r>
        <w:rPr>
          <w:spacing w:val="-2"/>
          <w:sz w:val="20"/>
        </w:rPr>
        <w:t>paras</w:t>
      </w:r>
    </w:p>
    <w:p>
      <w:pPr>
        <w:pStyle w:val="BodyText"/>
        <w:spacing w:line="227" w:lineRule="exact"/>
        <w:ind w:left="705"/>
      </w:pPr>
      <w:r>
        <w:rPr/>
        <w:t>11-007—11-</w:t>
      </w:r>
      <w:r>
        <w:rPr>
          <w:spacing w:val="-4"/>
        </w:rPr>
        <w:t>009.</w:t>
      </w:r>
    </w:p>
    <w:p>
      <w:pPr>
        <w:pStyle w:val="BodyText"/>
        <w:spacing w:before="8"/>
      </w:pPr>
    </w:p>
    <w:p>
      <w:pPr>
        <w:spacing w:line="235" w:lineRule="auto" w:before="0"/>
        <w:ind w:left="705" w:right="167" w:hanging="541"/>
        <w:jc w:val="both"/>
        <w:rPr>
          <w:sz w:val="20"/>
        </w:rPr>
      </w:pPr>
      <w:r>
        <w:rPr>
          <w:color w:val="005DA1"/>
          <w:position w:val="5"/>
          <w:sz w:val="14"/>
          <w:u w:val="single" w:color="005DA1"/>
        </w:rPr>
        <w:t>1021</w:t>
      </w:r>
      <w:r>
        <w:rPr>
          <w:position w:val="5"/>
          <w:sz w:val="14"/>
        </w:rPr>
        <w:t>.</w:t>
      </w:r>
      <w:r>
        <w:rPr>
          <w:spacing w:val="80"/>
          <w:position w:val="5"/>
          <w:sz w:val="14"/>
        </w:rPr>
        <w:t> </w:t>
      </w:r>
      <w:r>
        <w:rPr>
          <w:rFonts w:ascii="Arial" w:hAnsi="Arial"/>
          <w:i/>
          <w:sz w:val="20"/>
        </w:rPr>
        <w:t>Beesly v Hallwood Estates Ltd [1960] 1 W.L.R. 549, 558</w:t>
      </w:r>
      <w:r>
        <w:rPr>
          <w:sz w:val="20"/>
        </w:rPr>
        <w:t>; the actual decision was affirmed </w:t>
      </w:r>
      <w:r>
        <w:rPr>
          <w:sz w:val="20"/>
        </w:rPr>
        <w:t>on other grounds </w:t>
      </w:r>
      <w:r>
        <w:rPr>
          <w:rFonts w:ascii="Arial" w:hAnsi="Arial"/>
          <w:i/>
          <w:sz w:val="20"/>
        </w:rPr>
        <w:t>[1961] Ch. 105</w:t>
      </w:r>
      <w:r>
        <w:rPr>
          <w:sz w:val="20"/>
        </w:rPr>
        <w:t>, while dicta in the decision at first instance were disapproved, on</w:t>
      </w:r>
      <w:r>
        <w:rPr>
          <w:spacing w:val="40"/>
          <w:sz w:val="20"/>
        </w:rPr>
        <w:t> </w:t>
      </w:r>
      <w:r>
        <w:rPr>
          <w:sz w:val="20"/>
        </w:rPr>
        <w:t>a point not here under discussion, in </w:t>
      </w:r>
      <w:r>
        <w:rPr>
          <w:rFonts w:ascii="Arial" w:hAnsi="Arial"/>
          <w:i/>
          <w:sz w:val="20"/>
        </w:rPr>
        <w:t>Bolton MBC v Torrington [2003] EWCA Civ 1634, [2004] Ch. 66</w:t>
      </w:r>
      <w:r>
        <w:rPr>
          <w:sz w:val="20"/>
        </w:rPr>
        <w:t>; cf. </w:t>
      </w:r>
      <w:r>
        <w:rPr>
          <w:rFonts w:ascii="Arial" w:hAnsi="Arial"/>
          <w:i/>
          <w:sz w:val="20"/>
        </w:rPr>
        <w:t>Harvela Investments Ltd v Royal Trust of Canada (C.I.) Ltd [1986] A.C. 207</w:t>
      </w:r>
      <w:r>
        <w:rPr>
          <w:sz w:val="20"/>
        </w:rPr>
        <w:t>; </w:t>
      </w:r>
      <w:r>
        <w:rPr>
          <w:rFonts w:ascii="Arial" w:hAnsi="Arial"/>
          <w:i/>
          <w:sz w:val="20"/>
        </w:rPr>
        <w:t>The Aramis [1989] 1 Lloyd’s Rep. 213</w:t>
      </w:r>
      <w:r>
        <w:rPr>
          <w:sz w:val="20"/>
        </w:rPr>
        <w:t>; Treitel; [1989] L.M.C.L.Q. 162; </w:t>
      </w:r>
      <w:r>
        <w:rPr>
          <w:rFonts w:ascii="Arial" w:hAnsi="Arial"/>
          <w:i/>
          <w:sz w:val="20"/>
        </w:rPr>
        <w:t>Mitsui &amp; Co Ltd v Novorossiysk Shipping Co (The Gudermes) [1993] 1 Lloyd’s Rep. 311</w:t>
      </w:r>
      <w:r>
        <w:rPr>
          <w:sz w:val="20"/>
        </w:rPr>
        <w:t>; </w:t>
      </w:r>
      <w:r>
        <w:rPr>
          <w:rFonts w:ascii="Arial" w:hAnsi="Arial"/>
          <w:i/>
          <w:sz w:val="20"/>
        </w:rPr>
        <w:t>Glencore Grain Ltd v Flacker</w:t>
      </w:r>
      <w:r>
        <w:rPr>
          <w:rFonts w:ascii="Arial" w:hAnsi="Arial"/>
          <w:i/>
          <w:spacing w:val="21"/>
          <w:sz w:val="20"/>
        </w:rPr>
        <w:t> </w:t>
      </w:r>
      <w:r>
        <w:rPr>
          <w:rFonts w:ascii="Arial" w:hAnsi="Arial"/>
          <w:i/>
          <w:sz w:val="20"/>
        </w:rPr>
        <w:t>Shipping</w:t>
      </w:r>
      <w:r>
        <w:rPr>
          <w:rFonts w:ascii="Arial" w:hAnsi="Arial"/>
          <w:i/>
          <w:spacing w:val="23"/>
          <w:sz w:val="20"/>
        </w:rPr>
        <w:t> </w:t>
      </w:r>
      <w:r>
        <w:rPr>
          <w:rFonts w:ascii="Arial" w:hAnsi="Arial"/>
          <w:i/>
          <w:sz w:val="20"/>
        </w:rPr>
        <w:t>Ltd</w:t>
      </w:r>
      <w:r>
        <w:rPr>
          <w:rFonts w:ascii="Arial" w:hAnsi="Arial"/>
          <w:i/>
          <w:spacing w:val="23"/>
          <w:sz w:val="20"/>
        </w:rPr>
        <w:t> </w:t>
      </w:r>
      <w:r>
        <w:rPr>
          <w:rFonts w:ascii="Arial" w:hAnsi="Arial"/>
          <w:i/>
          <w:sz w:val="20"/>
        </w:rPr>
        <w:t>(The</w:t>
      </w:r>
      <w:r>
        <w:rPr>
          <w:rFonts w:ascii="Arial" w:hAnsi="Arial"/>
          <w:i/>
          <w:spacing w:val="23"/>
          <w:sz w:val="20"/>
        </w:rPr>
        <w:t> </w:t>
      </w:r>
      <w:r>
        <w:rPr>
          <w:rFonts w:ascii="Arial" w:hAnsi="Arial"/>
          <w:i/>
          <w:sz w:val="20"/>
        </w:rPr>
        <w:t>Happy</w:t>
      </w:r>
      <w:r>
        <w:rPr>
          <w:rFonts w:ascii="Arial" w:hAnsi="Arial"/>
          <w:i/>
          <w:spacing w:val="23"/>
          <w:sz w:val="20"/>
        </w:rPr>
        <w:t> </w:t>
      </w:r>
      <w:r>
        <w:rPr>
          <w:rFonts w:ascii="Arial" w:hAnsi="Arial"/>
          <w:i/>
          <w:sz w:val="20"/>
        </w:rPr>
        <w:t>Day)</w:t>
      </w:r>
      <w:r>
        <w:rPr>
          <w:rFonts w:ascii="Arial" w:hAnsi="Arial"/>
          <w:i/>
          <w:spacing w:val="23"/>
          <w:sz w:val="20"/>
        </w:rPr>
        <w:t> </w:t>
      </w:r>
      <w:r>
        <w:rPr>
          <w:rFonts w:ascii="Arial" w:hAnsi="Arial"/>
          <w:i/>
          <w:sz w:val="20"/>
        </w:rPr>
        <w:t>[2002]</w:t>
      </w:r>
      <w:r>
        <w:rPr>
          <w:rFonts w:ascii="Arial" w:hAnsi="Arial"/>
          <w:i/>
          <w:spacing w:val="23"/>
          <w:sz w:val="20"/>
        </w:rPr>
        <w:t> </w:t>
      </w:r>
      <w:r>
        <w:rPr>
          <w:rFonts w:ascii="Arial" w:hAnsi="Arial"/>
          <w:i/>
          <w:sz w:val="20"/>
        </w:rPr>
        <w:t>EWCA</w:t>
      </w:r>
      <w:r>
        <w:rPr>
          <w:rFonts w:ascii="Arial" w:hAnsi="Arial"/>
          <w:i/>
          <w:spacing w:val="23"/>
          <w:sz w:val="20"/>
        </w:rPr>
        <w:t> </w:t>
      </w:r>
      <w:r>
        <w:rPr>
          <w:rFonts w:ascii="Arial" w:hAnsi="Arial"/>
          <w:i/>
          <w:sz w:val="20"/>
        </w:rPr>
        <w:t>Civ</w:t>
      </w:r>
      <w:r>
        <w:rPr>
          <w:rFonts w:ascii="Arial" w:hAnsi="Arial"/>
          <w:i/>
          <w:spacing w:val="23"/>
          <w:sz w:val="20"/>
        </w:rPr>
        <w:t> </w:t>
      </w:r>
      <w:r>
        <w:rPr>
          <w:rFonts w:ascii="Arial" w:hAnsi="Arial"/>
          <w:i/>
          <w:sz w:val="20"/>
        </w:rPr>
        <w:t>1068,</w:t>
      </w:r>
      <w:r>
        <w:rPr>
          <w:rFonts w:ascii="Arial" w:hAnsi="Arial"/>
          <w:i/>
          <w:spacing w:val="23"/>
          <w:sz w:val="20"/>
        </w:rPr>
        <w:t> </w:t>
      </w:r>
      <w:r>
        <w:rPr>
          <w:rFonts w:ascii="Arial" w:hAnsi="Arial"/>
          <w:i/>
          <w:sz w:val="20"/>
        </w:rPr>
        <w:t>[2002]</w:t>
      </w:r>
      <w:r>
        <w:rPr>
          <w:rFonts w:ascii="Arial" w:hAnsi="Arial"/>
          <w:i/>
          <w:spacing w:val="23"/>
          <w:sz w:val="20"/>
        </w:rPr>
        <w:t> </w:t>
      </w:r>
      <w:r>
        <w:rPr>
          <w:rFonts w:ascii="Arial" w:hAnsi="Arial"/>
          <w:i/>
          <w:sz w:val="20"/>
        </w:rPr>
        <w:t>2</w:t>
      </w:r>
      <w:r>
        <w:rPr>
          <w:rFonts w:ascii="Arial" w:hAnsi="Arial"/>
          <w:i/>
          <w:spacing w:val="23"/>
          <w:sz w:val="20"/>
        </w:rPr>
        <w:t> </w:t>
      </w:r>
      <w:r>
        <w:rPr>
          <w:rFonts w:ascii="Arial" w:hAnsi="Arial"/>
          <w:i/>
          <w:sz w:val="20"/>
        </w:rPr>
        <w:t>Lloyd’s</w:t>
      </w:r>
      <w:r>
        <w:rPr>
          <w:rFonts w:ascii="Arial" w:hAnsi="Arial"/>
          <w:i/>
          <w:spacing w:val="23"/>
          <w:sz w:val="20"/>
        </w:rPr>
        <w:t> </w:t>
      </w:r>
      <w:r>
        <w:rPr>
          <w:rFonts w:ascii="Arial" w:hAnsi="Arial"/>
          <w:i/>
          <w:sz w:val="20"/>
        </w:rPr>
        <w:t>Rep.</w:t>
      </w:r>
      <w:r>
        <w:rPr>
          <w:rFonts w:ascii="Arial" w:hAnsi="Arial"/>
          <w:i/>
          <w:spacing w:val="23"/>
          <w:sz w:val="20"/>
        </w:rPr>
        <w:t> </w:t>
      </w:r>
      <w:r>
        <w:rPr>
          <w:rFonts w:ascii="Arial" w:hAnsi="Arial"/>
          <w:i/>
          <w:sz w:val="20"/>
        </w:rPr>
        <w:t>487</w:t>
      </w:r>
      <w:r>
        <w:rPr>
          <w:rFonts w:ascii="Arial" w:hAnsi="Arial"/>
          <w:i/>
          <w:spacing w:val="22"/>
          <w:sz w:val="20"/>
        </w:rPr>
        <w:t> </w:t>
      </w:r>
      <w:r>
        <w:rPr>
          <w:spacing w:val="-5"/>
          <w:sz w:val="20"/>
        </w:rPr>
        <w:t>at</w:t>
      </w:r>
    </w:p>
    <w:p>
      <w:pPr>
        <w:pStyle w:val="BodyText"/>
        <w:spacing w:line="224" w:lineRule="exact"/>
        <w:ind w:left="705"/>
      </w:pPr>
      <w:r>
        <w:rPr>
          <w:spacing w:val="-2"/>
        </w:rPr>
        <w:t>[63].</w:t>
      </w:r>
    </w:p>
    <w:p>
      <w:pPr>
        <w:pStyle w:val="BodyText"/>
        <w:spacing w:before="5"/>
      </w:pPr>
    </w:p>
    <w:p>
      <w:pPr>
        <w:spacing w:before="0"/>
        <w:ind w:left="165" w:right="0" w:firstLine="0"/>
        <w:jc w:val="left"/>
        <w:rPr>
          <w:sz w:val="20"/>
        </w:rPr>
      </w:pPr>
      <w:r>
        <w:rPr>
          <w:color w:val="005DA1"/>
          <w:position w:val="5"/>
          <w:sz w:val="14"/>
          <w:u w:val="single" w:color="005DA1"/>
        </w:rPr>
        <w:t>1022</w:t>
      </w:r>
      <w:r>
        <w:rPr>
          <w:position w:val="5"/>
          <w:sz w:val="14"/>
        </w:rPr>
        <w:t>.</w:t>
      </w:r>
      <w:r>
        <w:rPr>
          <w:spacing w:val="55"/>
          <w:position w:val="5"/>
          <w:sz w:val="14"/>
        </w:rPr>
        <w:t>  </w:t>
      </w:r>
      <w:r>
        <w:rPr>
          <w:rFonts w:ascii="Arial"/>
          <w:i/>
          <w:sz w:val="20"/>
        </w:rPr>
        <w:t>G.F.</w:t>
      </w:r>
      <w:r>
        <w:rPr>
          <w:rFonts w:ascii="Arial"/>
          <w:i/>
          <w:spacing w:val="1"/>
          <w:sz w:val="20"/>
        </w:rPr>
        <w:t> </w:t>
      </w:r>
      <w:r>
        <w:rPr>
          <w:rFonts w:ascii="Arial"/>
          <w:i/>
          <w:sz w:val="20"/>
        </w:rPr>
        <w:t>Sharp &amp; Co v McMillan [1998] I.R.L.R. </w:t>
      </w:r>
      <w:r>
        <w:rPr>
          <w:rFonts w:ascii="Arial"/>
          <w:i/>
          <w:spacing w:val="-4"/>
          <w:sz w:val="20"/>
        </w:rPr>
        <w:t>632</w:t>
      </w:r>
      <w:r>
        <w:rPr>
          <w:spacing w:val="-4"/>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1023</w:t>
      </w:r>
      <w:r>
        <w:rPr>
          <w:position w:val="5"/>
          <w:sz w:val="14"/>
        </w:rPr>
        <w:t>.</w:t>
      </w:r>
      <w:r>
        <w:rPr>
          <w:spacing w:val="80"/>
          <w:position w:val="5"/>
          <w:sz w:val="14"/>
        </w:rPr>
        <w:t> </w:t>
      </w:r>
      <w:r>
        <w:rPr>
          <w:rFonts w:ascii="Arial" w:hAnsi="Arial"/>
          <w:i/>
          <w:sz w:val="20"/>
        </w:rPr>
        <w:t>Furness Withy (Australia) Pty Ltd v Metal Distributors (UK) Ltd (The Amazonia) [1990] 1 Lloyd’s Rep. 238, 241-242</w:t>
      </w:r>
      <w:r>
        <w:rPr>
          <w:sz w:val="20"/>
        </w:rPr>
        <w:t>; cf. the </w:t>
      </w:r>
      <w:r>
        <w:rPr>
          <w:rFonts w:ascii="Arial" w:hAnsi="Arial"/>
          <w:i/>
          <w:sz w:val="20"/>
        </w:rPr>
        <w:t>Stirling </w:t>
      </w:r>
      <w:r>
        <w:rPr>
          <w:sz w:val="20"/>
        </w:rPr>
        <w:t>case, below para.2-196 n.1063, where it was accepted that </w:t>
      </w:r>
      <w:r>
        <w:rPr>
          <w:sz w:val="20"/>
        </w:rPr>
        <w:t>a new contract was created by virtue of a subsequent agreement increasing the monthly rent.</w:t>
      </w:r>
    </w:p>
    <w:p>
      <w:pPr>
        <w:pStyle w:val="BodyText"/>
        <w:spacing w:before="9"/>
      </w:pPr>
    </w:p>
    <w:p>
      <w:pPr>
        <w:spacing w:line="235" w:lineRule="auto" w:before="0"/>
        <w:ind w:left="705" w:right="168" w:hanging="541"/>
        <w:jc w:val="both"/>
        <w:rPr>
          <w:sz w:val="20"/>
        </w:rPr>
      </w:pPr>
      <w:r>
        <w:rPr>
          <w:color w:val="005DA1"/>
          <w:position w:val="5"/>
          <w:sz w:val="14"/>
          <w:u w:val="single" w:color="005DA1"/>
        </w:rPr>
        <w:t>1024</w:t>
      </w:r>
      <w:r>
        <w:rPr>
          <w:position w:val="5"/>
          <w:sz w:val="14"/>
        </w:rPr>
        <w:t>.</w:t>
      </w:r>
      <w:r>
        <w:rPr>
          <w:spacing w:val="80"/>
          <w:position w:val="5"/>
          <w:sz w:val="14"/>
        </w:rPr>
        <w:t> </w:t>
      </w:r>
      <w:r>
        <w:rPr>
          <w:rFonts w:ascii="Arial" w:hAnsi="Arial"/>
          <w:i/>
          <w:sz w:val="20"/>
        </w:rPr>
        <w:t>Pyrene v Scindia Navigation Co Ltd [1954] 2 Q.B. 402</w:t>
      </w:r>
      <w:r>
        <w:rPr>
          <w:sz w:val="20"/>
        </w:rPr>
        <w:t>; </w:t>
      </w:r>
      <w:r>
        <w:rPr>
          <w:rFonts w:ascii="Arial" w:hAnsi="Arial"/>
          <w:i/>
          <w:sz w:val="20"/>
        </w:rPr>
        <w:t>A.M. Satterthwaite &amp; Co Ltd v New Zealand Shipping Co Ltd (The Eurymedon) [1975] A.C. 514</w:t>
      </w:r>
      <w:r>
        <w:rPr>
          <w:sz w:val="20"/>
        </w:rPr>
        <w:t>; </w:t>
      </w:r>
      <w:r>
        <w:rPr>
          <w:rFonts w:ascii="Arial" w:hAnsi="Arial"/>
          <w:i/>
          <w:sz w:val="20"/>
        </w:rPr>
        <w:t>Compania Portorafti </w:t>
      </w:r>
      <w:r>
        <w:rPr>
          <w:rFonts w:ascii="Arial" w:hAnsi="Arial"/>
          <w:i/>
          <w:sz w:val="20"/>
        </w:rPr>
        <w:t>Commerciale SA v Ultramar Panama Inc (The Captain Gregos) (No.2) [1990] 2 Lloyd’s Rep. 395 </w:t>
      </w:r>
      <w:r>
        <w:rPr>
          <w:sz w:val="20"/>
        </w:rPr>
        <w:t>(so far as it relates to BP’s claim). cf. </w:t>
      </w:r>
      <w:r>
        <w:rPr>
          <w:rFonts w:ascii="Arial" w:hAnsi="Arial"/>
          <w:i/>
          <w:sz w:val="20"/>
        </w:rPr>
        <w:t>Halifax Building Society v Edell [1992] Ch. 436</w:t>
      </w:r>
      <w:r>
        <w:rPr>
          <w:sz w:val="20"/>
        </w:rPr>
        <w:t>, discussed below, </w:t>
      </w:r>
      <w:r>
        <w:rPr>
          <w:spacing w:val="-2"/>
          <w:sz w:val="20"/>
        </w:rPr>
        <w:t>para.18-016.</w:t>
      </w:r>
    </w:p>
    <w:p>
      <w:pPr>
        <w:pStyle w:val="BodyText"/>
        <w:spacing w:before="8"/>
      </w:pPr>
    </w:p>
    <w:p>
      <w:pPr>
        <w:pStyle w:val="BodyText"/>
        <w:spacing w:line="235" w:lineRule="auto"/>
        <w:ind w:left="705" w:right="167" w:hanging="541"/>
        <w:jc w:val="both"/>
      </w:pPr>
      <w:r>
        <w:rPr>
          <w:color w:val="005DA1"/>
          <w:position w:val="5"/>
          <w:sz w:val="14"/>
          <w:u w:val="single" w:color="005DA1"/>
        </w:rPr>
        <w:t>1025</w:t>
      </w:r>
      <w:r>
        <w:rPr>
          <w:position w:val="5"/>
          <w:sz w:val="14"/>
        </w:rPr>
        <w:t>.</w:t>
      </w:r>
      <w:r>
        <w:rPr>
          <w:spacing w:val="80"/>
          <w:w w:val="150"/>
          <w:position w:val="5"/>
          <w:sz w:val="14"/>
        </w:rPr>
        <w:t> </w:t>
      </w:r>
      <w:r>
        <w:rPr/>
        <w:t>See,</w:t>
      </w:r>
      <w:r>
        <w:rPr>
          <w:spacing w:val="-2"/>
        </w:rPr>
        <w:t> </w:t>
      </w:r>
      <w:r>
        <w:rPr/>
        <w:t>in</w:t>
      </w:r>
      <w:r>
        <w:rPr>
          <w:spacing w:val="-2"/>
        </w:rPr>
        <w:t> </w:t>
      </w:r>
      <w:r>
        <w:rPr/>
        <w:t>addition</w:t>
      </w:r>
      <w:r>
        <w:rPr>
          <w:spacing w:val="-2"/>
        </w:rPr>
        <w:t> </w:t>
      </w:r>
      <w:r>
        <w:rPr/>
        <w:t>to</w:t>
      </w:r>
      <w:r>
        <w:rPr>
          <w:spacing w:val="-2"/>
        </w:rPr>
        <w:t> </w:t>
      </w:r>
      <w:r>
        <w:rPr/>
        <w:t>the</w:t>
      </w:r>
      <w:r>
        <w:rPr>
          <w:spacing w:val="-2"/>
        </w:rPr>
        <w:t> </w:t>
      </w:r>
      <w:r>
        <w:rPr/>
        <w:t>cases</w:t>
      </w:r>
      <w:r>
        <w:rPr>
          <w:spacing w:val="-2"/>
        </w:rPr>
        <w:t> </w:t>
      </w:r>
      <w:r>
        <w:rPr/>
        <w:t>discussed</w:t>
      </w:r>
      <w:r>
        <w:rPr>
          <w:spacing w:val="-2"/>
        </w:rPr>
        <w:t> </w:t>
      </w:r>
      <w:r>
        <w:rPr/>
        <w:t>in</w:t>
      </w:r>
      <w:r>
        <w:rPr>
          <w:spacing w:val="-2"/>
        </w:rPr>
        <w:t> </w:t>
      </w:r>
      <w:r>
        <w:rPr/>
        <w:t>this</w:t>
      </w:r>
      <w:r>
        <w:rPr>
          <w:spacing w:val="-2"/>
        </w:rPr>
        <w:t> </w:t>
      </w:r>
      <w:r>
        <w:rPr/>
        <w:t>and</w:t>
      </w:r>
      <w:r>
        <w:rPr>
          <w:spacing w:val="-2"/>
        </w:rPr>
        <w:t> </w:t>
      </w:r>
      <w:r>
        <w:rPr/>
        <w:t>the</w:t>
      </w:r>
      <w:r>
        <w:rPr>
          <w:spacing w:val="-2"/>
        </w:rPr>
        <w:t> </w:t>
      </w:r>
      <w:r>
        <w:rPr/>
        <w:t>two</w:t>
      </w:r>
      <w:r>
        <w:rPr>
          <w:spacing w:val="-2"/>
        </w:rPr>
        <w:t> </w:t>
      </w:r>
      <w:r>
        <w:rPr/>
        <w:t>following</w:t>
      </w:r>
      <w:r>
        <w:rPr>
          <w:spacing w:val="-2"/>
        </w:rPr>
        <w:t> </w:t>
      </w:r>
      <w:r>
        <w:rPr/>
        <w:t>paragraphs,</w:t>
      </w:r>
      <w:r>
        <w:rPr>
          <w:spacing w:val="-3"/>
        </w:rPr>
        <w:t> </w:t>
      </w:r>
      <w:r>
        <w:rPr>
          <w:rFonts w:ascii="Arial"/>
          <w:i/>
        </w:rPr>
        <w:t>M&amp;P</w:t>
      </w:r>
      <w:r>
        <w:rPr>
          <w:rFonts w:ascii="Arial"/>
          <w:i/>
          <w:spacing w:val="-2"/>
        </w:rPr>
        <w:t> </w:t>
      </w:r>
      <w:r>
        <w:rPr>
          <w:rFonts w:ascii="Arial"/>
          <w:i/>
        </w:rPr>
        <w:t>Steelcraft Ltd v Ellis [2008] I.RL.R 355 </w:t>
      </w:r>
      <w:r>
        <w:rPr/>
        <w:t>(relationship between a prisoner and a company for which he had worked under a work placement scheme organised by the Prison Service and recorded in a tripartite agreement stating that the agreement was not intended to create legally enforceable rights </w:t>
      </w:r>
      <w:r>
        <w:rPr>
          <w:rFonts w:ascii="Arial"/>
          <w:i/>
        </w:rPr>
        <w:t>held </w:t>
      </w:r>
      <w:r>
        <w:rPr/>
        <w:t>not to have contractual force).</w:t>
      </w:r>
    </w:p>
    <w:p>
      <w:pPr>
        <w:pStyle w:val="BodyText"/>
        <w:spacing w:before="8"/>
      </w:pPr>
    </w:p>
    <w:p>
      <w:pPr>
        <w:spacing w:line="235" w:lineRule="auto" w:before="0"/>
        <w:ind w:left="705" w:right="168" w:hanging="541"/>
        <w:jc w:val="both"/>
        <w:rPr>
          <w:sz w:val="20"/>
        </w:rPr>
      </w:pPr>
      <w:r>
        <w:rPr>
          <w:color w:val="005DA1"/>
          <w:position w:val="5"/>
          <w:sz w:val="14"/>
          <w:u w:val="single" w:color="005DA1"/>
        </w:rPr>
        <w:t>1026</w:t>
      </w:r>
      <w:r>
        <w:rPr>
          <w:position w:val="5"/>
          <w:sz w:val="14"/>
        </w:rPr>
        <w:t>.</w:t>
      </w:r>
      <w:r>
        <w:rPr>
          <w:spacing w:val="80"/>
          <w:position w:val="5"/>
          <w:sz w:val="14"/>
        </w:rPr>
        <w:t> </w:t>
      </w:r>
      <w:r>
        <w:rPr>
          <w:rFonts w:ascii="Arial"/>
          <w:i/>
          <w:sz w:val="20"/>
        </w:rPr>
        <w:t>President of the Methodist Conference v Parfit [1984] Q.B. 368 </w:t>
      </w:r>
      <w:r>
        <w:rPr>
          <w:sz w:val="20"/>
        </w:rPr>
        <w:t>at 378; approved in </w:t>
      </w:r>
      <w:r>
        <w:rPr>
          <w:rFonts w:ascii="Arial"/>
          <w:i/>
          <w:sz w:val="20"/>
        </w:rPr>
        <w:t>Davies v Presbyterian Church of Wales [1986] 1 W.L.R. 323 </w:t>
      </w:r>
      <w:r>
        <w:rPr>
          <w:sz w:val="20"/>
        </w:rPr>
        <w:t>(no contract of employment between </w:t>
      </w:r>
      <w:r>
        <w:rPr>
          <w:sz w:val="20"/>
        </w:rPr>
        <w:t>pastor and Presbyterian church); Woolman (1986) 102 L.Q.R. at 356; </w:t>
      </w:r>
      <w:r>
        <w:rPr>
          <w:rFonts w:ascii="Arial"/>
          <w:i/>
          <w:sz w:val="20"/>
        </w:rPr>
        <w:t>Santok Sing v Guru Nanak Gurdwara [1990] I.C.R. 309</w:t>
      </w:r>
      <w:r>
        <w:rPr>
          <w:sz w:val="20"/>
        </w:rPr>
        <w:t>; </w:t>
      </w:r>
      <w:r>
        <w:rPr>
          <w:rFonts w:ascii="Arial"/>
          <w:i/>
          <w:sz w:val="20"/>
        </w:rPr>
        <w:t>Birmingham Mosque Trust v Alawi [1992] I.C.R. 435</w:t>
      </w:r>
      <w:r>
        <w:rPr>
          <w:sz w:val="20"/>
        </w:rPr>
        <w:t>; </w:t>
      </w:r>
      <w:r>
        <w:rPr>
          <w:rFonts w:ascii="Arial"/>
          <w:i/>
          <w:sz w:val="20"/>
        </w:rPr>
        <w:t>Diocese of Southwark v Coker [1998] I.C.R. 140</w:t>
      </w:r>
      <w:r>
        <w:rPr>
          <w:sz w:val="20"/>
        </w:rPr>
        <w:t>.</w:t>
      </w:r>
    </w:p>
    <w:p>
      <w:pPr>
        <w:pStyle w:val="BodyText"/>
        <w:spacing w:before="5"/>
      </w:pPr>
    </w:p>
    <w:p>
      <w:pPr>
        <w:spacing w:before="0"/>
        <w:ind w:left="165" w:right="0" w:firstLine="0"/>
        <w:jc w:val="left"/>
        <w:rPr>
          <w:sz w:val="20"/>
        </w:rPr>
      </w:pPr>
      <w:r>
        <w:rPr>
          <w:color w:val="005DA1"/>
          <w:position w:val="5"/>
          <w:sz w:val="14"/>
          <w:u w:val="single" w:color="005DA1"/>
        </w:rPr>
        <w:t>1027</w:t>
      </w:r>
      <w:r>
        <w:rPr>
          <w:position w:val="5"/>
          <w:sz w:val="14"/>
        </w:rPr>
        <w:t>.</w:t>
      </w:r>
      <w:r>
        <w:rPr>
          <w:spacing w:val="55"/>
          <w:position w:val="5"/>
          <w:sz w:val="14"/>
        </w:rPr>
        <w:t>  </w:t>
      </w:r>
      <w:r>
        <w:rPr>
          <w:rFonts w:ascii="Arial"/>
          <w:i/>
          <w:sz w:val="20"/>
        </w:rPr>
        <w:t>[2005]</w:t>
      </w:r>
      <w:r>
        <w:rPr>
          <w:rFonts w:ascii="Arial"/>
          <w:i/>
          <w:spacing w:val="1"/>
          <w:sz w:val="20"/>
        </w:rPr>
        <w:t> </w:t>
      </w:r>
      <w:r>
        <w:rPr>
          <w:rFonts w:ascii="Arial"/>
          <w:i/>
          <w:sz w:val="20"/>
        </w:rPr>
        <w:t>UKHL 73, [2006] 2 A.C. </w:t>
      </w:r>
      <w:r>
        <w:rPr>
          <w:rFonts w:ascii="Arial"/>
          <w:i/>
          <w:spacing w:val="-5"/>
          <w:sz w:val="20"/>
        </w:rPr>
        <w:t>28</w:t>
      </w:r>
      <w:r>
        <w:rPr>
          <w:spacing w:val="-5"/>
          <w:sz w:val="20"/>
        </w:rPr>
        <w:t>.</w:t>
      </w:r>
    </w:p>
    <w:p>
      <w:pPr>
        <w:pStyle w:val="BodyText"/>
        <w:spacing w:before="8"/>
      </w:pPr>
    </w:p>
    <w:p>
      <w:pPr>
        <w:pStyle w:val="BodyText"/>
        <w:spacing w:line="235" w:lineRule="auto" w:before="1"/>
        <w:ind w:left="705" w:right="167" w:hanging="541"/>
        <w:jc w:val="both"/>
      </w:pPr>
      <w:r>
        <w:rPr>
          <w:color w:val="005DA1"/>
          <w:position w:val="5"/>
          <w:sz w:val="14"/>
          <w:u w:val="single" w:color="005DA1"/>
        </w:rPr>
        <w:t>1028</w:t>
      </w:r>
      <w:r>
        <w:rPr>
          <w:position w:val="5"/>
          <w:sz w:val="14"/>
        </w:rPr>
        <w:t>.</w:t>
      </w:r>
      <w:r>
        <w:rPr>
          <w:spacing w:val="80"/>
          <w:position w:val="5"/>
          <w:sz w:val="14"/>
        </w:rPr>
        <w:t> </w:t>
      </w:r>
      <w:r>
        <w:rPr/>
        <w:t>Within Sex Discrimination Act 1975 s.82(1). This Act is repealed by Equality Act 2010 s.211(2) and Sch.27 Pt 1, subject to exceptions and transitional provisions which need not be discussed here.</w:t>
      </w:r>
      <w:r>
        <w:rPr>
          <w:spacing w:val="-2"/>
        </w:rPr>
        <w:t> </w:t>
      </w:r>
      <w:r>
        <w:rPr/>
        <w:t>For</w:t>
      </w:r>
      <w:r>
        <w:rPr>
          <w:spacing w:val="-2"/>
        </w:rPr>
        <w:t> </w:t>
      </w:r>
      <w:r>
        <w:rPr/>
        <w:t>sex</w:t>
      </w:r>
      <w:r>
        <w:rPr>
          <w:spacing w:val="-2"/>
        </w:rPr>
        <w:t> </w:t>
      </w:r>
      <w:r>
        <w:rPr/>
        <w:t>discrimination,</w:t>
      </w:r>
      <w:r>
        <w:rPr>
          <w:spacing w:val="-2"/>
        </w:rPr>
        <w:t> </w:t>
      </w:r>
      <w:r>
        <w:rPr/>
        <w:t>see</w:t>
      </w:r>
      <w:r>
        <w:rPr>
          <w:spacing w:val="-2"/>
        </w:rPr>
        <w:t> </w:t>
      </w:r>
      <w:r>
        <w:rPr/>
        <w:t>now</w:t>
      </w:r>
      <w:r>
        <w:rPr>
          <w:spacing w:val="-2"/>
        </w:rPr>
        <w:t> </w:t>
      </w:r>
      <w:r>
        <w:rPr/>
        <w:t>s.11</w:t>
      </w:r>
      <w:r>
        <w:rPr>
          <w:spacing w:val="-2"/>
        </w:rPr>
        <w:t> </w:t>
      </w:r>
      <w:r>
        <w:rPr/>
        <w:t>of</w:t>
      </w:r>
      <w:r>
        <w:rPr>
          <w:spacing w:val="-2"/>
        </w:rPr>
        <w:t> </w:t>
      </w:r>
      <w:r>
        <w:rPr/>
        <w:t>the</w:t>
      </w:r>
      <w:r>
        <w:rPr>
          <w:spacing w:val="-2"/>
        </w:rPr>
        <w:t> </w:t>
      </w:r>
      <w:r>
        <w:rPr/>
        <w:t>2010</w:t>
      </w:r>
      <w:r>
        <w:rPr>
          <w:spacing w:val="-2"/>
        </w:rPr>
        <w:t> </w:t>
      </w:r>
      <w:r>
        <w:rPr/>
        <w:t>Act;</w:t>
      </w:r>
      <w:r>
        <w:rPr>
          <w:spacing w:val="-2"/>
        </w:rPr>
        <w:t> </w:t>
      </w:r>
      <w:r>
        <w:rPr/>
        <w:t>for</w:t>
      </w:r>
      <w:r>
        <w:rPr>
          <w:spacing w:val="-2"/>
        </w:rPr>
        <w:t> </w:t>
      </w:r>
      <w:r>
        <w:rPr/>
        <w:t>references</w:t>
      </w:r>
      <w:r>
        <w:rPr>
          <w:spacing w:val="-2"/>
        </w:rPr>
        <w:t> </w:t>
      </w:r>
      <w:r>
        <w:rPr/>
        <w:t>to</w:t>
      </w:r>
      <w:r>
        <w:rPr>
          <w:spacing w:val="-2"/>
        </w:rPr>
        <w:t> </w:t>
      </w:r>
      <w:r>
        <w:rPr/>
        <w:t>employment</w:t>
      </w:r>
      <w:r>
        <w:rPr>
          <w:spacing w:val="-2"/>
        </w:rPr>
        <w:t> </w:t>
      </w:r>
      <w:r>
        <w:rPr/>
        <w:t>in</w:t>
      </w:r>
      <w:r>
        <w:rPr>
          <w:spacing w:val="-2"/>
        </w:rPr>
        <w:t> </w:t>
      </w:r>
      <w:r>
        <w:rPr/>
        <w:t>that Act, see (e.g.) ss.42(1), 83(1).</w:t>
      </w:r>
    </w:p>
    <w:p>
      <w:pPr>
        <w:pStyle w:val="BodyText"/>
        <w:spacing w:before="4"/>
      </w:pPr>
    </w:p>
    <w:p>
      <w:pPr>
        <w:spacing w:before="0"/>
        <w:ind w:left="165" w:right="0" w:firstLine="0"/>
        <w:jc w:val="left"/>
        <w:rPr>
          <w:sz w:val="20"/>
        </w:rPr>
      </w:pPr>
      <w:r>
        <w:rPr>
          <w:color w:val="005DA1"/>
          <w:position w:val="5"/>
          <w:sz w:val="14"/>
          <w:u w:val="single" w:color="005DA1"/>
        </w:rPr>
        <w:t>1029</w:t>
      </w:r>
      <w:r>
        <w:rPr>
          <w:position w:val="5"/>
          <w:sz w:val="14"/>
        </w:rPr>
        <w:t>.</w:t>
      </w:r>
      <w:r>
        <w:rPr>
          <w:spacing w:val="55"/>
          <w:position w:val="5"/>
          <w:sz w:val="14"/>
        </w:rPr>
        <w:t>  </w:t>
      </w:r>
      <w:r>
        <w:rPr>
          <w:rFonts w:ascii="Arial"/>
          <w:i/>
          <w:sz w:val="20"/>
        </w:rPr>
        <w:t>Percy</w:t>
      </w:r>
      <w:r>
        <w:rPr>
          <w:rFonts w:ascii="Arial"/>
          <w:i/>
          <w:spacing w:val="1"/>
          <w:sz w:val="20"/>
        </w:rPr>
        <w:t> </w:t>
      </w:r>
      <w:r>
        <w:rPr>
          <w:rFonts w:ascii="Arial"/>
          <w:i/>
          <w:sz w:val="20"/>
        </w:rPr>
        <w:t>v Board of National Mission of the Church of Scotland [2005] UKHL 73</w:t>
      </w:r>
      <w:r>
        <w:rPr>
          <w:rFonts w:ascii="Arial"/>
          <w:i/>
          <w:spacing w:val="-1"/>
          <w:sz w:val="20"/>
        </w:rPr>
        <w:t> </w:t>
      </w:r>
      <w:r>
        <w:rPr>
          <w:sz w:val="20"/>
        </w:rPr>
        <w:t>at [25], </w:t>
      </w:r>
      <w:r>
        <w:rPr>
          <w:spacing w:val="-2"/>
          <w:sz w:val="20"/>
        </w:rPr>
        <w:t>[151].</w:t>
      </w:r>
    </w:p>
    <w:p>
      <w:pPr>
        <w:pStyle w:val="BodyText"/>
        <w:spacing w:before="5"/>
      </w:pPr>
    </w:p>
    <w:p>
      <w:pPr>
        <w:spacing w:before="0"/>
        <w:ind w:left="165" w:right="0" w:firstLine="0"/>
        <w:jc w:val="left"/>
        <w:rPr>
          <w:sz w:val="20"/>
        </w:rPr>
      </w:pPr>
      <w:r>
        <w:rPr>
          <w:color w:val="005DA1"/>
          <w:position w:val="5"/>
          <w:sz w:val="14"/>
          <w:u w:val="single" w:color="005DA1"/>
        </w:rPr>
        <w:t>1030</w:t>
      </w:r>
      <w:r>
        <w:rPr>
          <w:position w:val="5"/>
          <w:sz w:val="14"/>
        </w:rPr>
        <w:t>.</w:t>
      </w:r>
      <w:r>
        <w:rPr>
          <w:spacing w:val="55"/>
          <w:position w:val="5"/>
          <w:sz w:val="14"/>
        </w:rPr>
        <w:t>  </w:t>
      </w:r>
      <w:r>
        <w:rPr>
          <w:rFonts w:ascii="Arial"/>
          <w:i/>
          <w:sz w:val="20"/>
        </w:rPr>
        <w:t>[2005]</w:t>
      </w:r>
      <w:r>
        <w:rPr>
          <w:rFonts w:ascii="Arial"/>
          <w:i/>
          <w:spacing w:val="1"/>
          <w:sz w:val="20"/>
        </w:rPr>
        <w:t> </w:t>
      </w:r>
      <w:r>
        <w:rPr>
          <w:rFonts w:ascii="Arial"/>
          <w:i/>
          <w:sz w:val="20"/>
        </w:rPr>
        <w:t>UKHL 73</w:t>
      </w:r>
      <w:r>
        <w:rPr>
          <w:rFonts w:ascii="Arial"/>
          <w:i/>
          <w:spacing w:val="-1"/>
          <w:sz w:val="20"/>
        </w:rPr>
        <w:t> </w:t>
      </w:r>
      <w:r>
        <w:rPr>
          <w:sz w:val="20"/>
        </w:rPr>
        <w:t>at </w:t>
      </w:r>
      <w:r>
        <w:rPr>
          <w:spacing w:val="-2"/>
          <w:sz w:val="20"/>
        </w:rPr>
        <w:t>[26].</w:t>
      </w:r>
    </w:p>
    <w:p>
      <w:pPr>
        <w:pStyle w:val="BodyText"/>
        <w:spacing w:before="5"/>
      </w:pPr>
    </w:p>
    <w:p>
      <w:pPr>
        <w:spacing w:before="0"/>
        <w:ind w:left="165" w:right="0" w:firstLine="0"/>
        <w:jc w:val="left"/>
        <w:rPr>
          <w:sz w:val="20"/>
        </w:rPr>
      </w:pPr>
      <w:r>
        <w:rPr>
          <w:color w:val="005DA1"/>
          <w:position w:val="5"/>
          <w:sz w:val="14"/>
          <w:u w:val="single" w:color="005DA1"/>
        </w:rPr>
        <w:t>1031</w:t>
      </w:r>
      <w:r>
        <w:rPr>
          <w:position w:val="5"/>
          <w:sz w:val="14"/>
        </w:rPr>
        <w:t>.</w:t>
      </w:r>
      <w:r>
        <w:rPr>
          <w:spacing w:val="55"/>
          <w:position w:val="5"/>
          <w:sz w:val="14"/>
        </w:rPr>
        <w:t>  </w:t>
      </w:r>
      <w:r>
        <w:rPr>
          <w:rFonts w:ascii="Arial"/>
          <w:i/>
          <w:sz w:val="20"/>
        </w:rPr>
        <w:t>[2005]</w:t>
      </w:r>
      <w:r>
        <w:rPr>
          <w:rFonts w:ascii="Arial"/>
          <w:i/>
          <w:spacing w:val="1"/>
          <w:sz w:val="20"/>
        </w:rPr>
        <w:t> </w:t>
      </w:r>
      <w:r>
        <w:rPr>
          <w:rFonts w:ascii="Arial"/>
          <w:i/>
          <w:sz w:val="20"/>
        </w:rPr>
        <w:t>UKHL 73, [2006] 2 A.C. 28</w:t>
      </w:r>
      <w:r>
        <w:rPr>
          <w:rFonts w:ascii="Arial"/>
          <w:i/>
          <w:spacing w:val="-1"/>
          <w:sz w:val="20"/>
        </w:rPr>
        <w:t> </w:t>
      </w:r>
      <w:r>
        <w:rPr>
          <w:sz w:val="20"/>
        </w:rPr>
        <w:t>at </w:t>
      </w:r>
      <w:r>
        <w:rPr>
          <w:spacing w:val="-2"/>
          <w:sz w:val="20"/>
        </w:rPr>
        <w:t>[23].</w:t>
      </w:r>
    </w:p>
    <w:p>
      <w:pPr>
        <w:pStyle w:val="BodyText"/>
        <w:spacing w:before="5"/>
      </w:pPr>
    </w:p>
    <w:p>
      <w:pPr>
        <w:spacing w:before="0"/>
        <w:ind w:left="165" w:right="0" w:firstLine="0"/>
        <w:jc w:val="left"/>
        <w:rPr>
          <w:sz w:val="20"/>
        </w:rPr>
      </w:pPr>
      <w:r>
        <w:rPr>
          <w:color w:val="005DA1"/>
          <w:position w:val="5"/>
          <w:sz w:val="14"/>
          <w:u w:val="single" w:color="005DA1"/>
        </w:rPr>
        <w:t>1032</w:t>
      </w:r>
      <w:r>
        <w:rPr>
          <w:position w:val="5"/>
          <w:sz w:val="14"/>
        </w:rPr>
        <w:t>.</w:t>
      </w:r>
      <w:r>
        <w:rPr>
          <w:spacing w:val="55"/>
          <w:position w:val="5"/>
          <w:sz w:val="14"/>
        </w:rPr>
        <w:t>  </w:t>
      </w:r>
      <w:r>
        <w:rPr>
          <w:rFonts w:ascii="Arial"/>
          <w:i/>
          <w:sz w:val="20"/>
        </w:rPr>
        <w:t>[2005]</w:t>
      </w:r>
      <w:r>
        <w:rPr>
          <w:rFonts w:ascii="Arial"/>
          <w:i/>
          <w:spacing w:val="1"/>
          <w:sz w:val="20"/>
        </w:rPr>
        <w:t> </w:t>
      </w:r>
      <w:r>
        <w:rPr>
          <w:rFonts w:ascii="Arial"/>
          <w:i/>
          <w:sz w:val="20"/>
        </w:rPr>
        <w:t>UKHL 73</w:t>
      </w:r>
      <w:r>
        <w:rPr>
          <w:rFonts w:ascii="Arial"/>
          <w:i/>
          <w:spacing w:val="-1"/>
          <w:sz w:val="20"/>
        </w:rPr>
        <w:t> </w:t>
      </w:r>
      <w:r>
        <w:rPr>
          <w:sz w:val="20"/>
        </w:rPr>
        <w:t>at [24]; cf. at [112] and [137]; and see the authorities cited in n.999 </w:t>
      </w:r>
      <w:r>
        <w:rPr>
          <w:spacing w:val="-2"/>
          <w:sz w:val="20"/>
        </w:rPr>
        <w:t>above.</w:t>
      </w:r>
    </w:p>
    <w:p>
      <w:pPr>
        <w:pStyle w:val="BodyText"/>
        <w:spacing w:before="5"/>
      </w:pPr>
    </w:p>
    <w:p>
      <w:pPr>
        <w:spacing w:before="0"/>
        <w:ind w:left="165" w:right="0" w:firstLine="0"/>
        <w:jc w:val="left"/>
        <w:rPr>
          <w:sz w:val="20"/>
        </w:rPr>
      </w:pPr>
      <w:r>
        <w:rPr>
          <w:color w:val="005DA1"/>
          <w:position w:val="5"/>
          <w:sz w:val="14"/>
          <w:u w:val="single" w:color="005DA1"/>
        </w:rPr>
        <w:t>1033</w:t>
      </w:r>
      <w:r>
        <w:rPr>
          <w:position w:val="5"/>
          <w:sz w:val="14"/>
        </w:rPr>
        <w:t>.</w:t>
      </w:r>
      <w:r>
        <w:rPr>
          <w:spacing w:val="55"/>
          <w:position w:val="5"/>
          <w:sz w:val="14"/>
        </w:rPr>
        <w:t>  </w:t>
      </w:r>
      <w:r>
        <w:rPr>
          <w:rFonts w:ascii="Arial"/>
          <w:i/>
          <w:sz w:val="20"/>
        </w:rPr>
        <w:t>New</w:t>
      </w:r>
      <w:r>
        <w:rPr>
          <w:rFonts w:ascii="Arial"/>
          <w:i/>
          <w:spacing w:val="28"/>
          <w:sz w:val="20"/>
        </w:rPr>
        <w:t> </w:t>
      </w:r>
      <w:r>
        <w:rPr>
          <w:rFonts w:ascii="Arial"/>
          <w:i/>
          <w:sz w:val="20"/>
        </w:rPr>
        <w:t>Testament</w:t>
      </w:r>
      <w:r>
        <w:rPr>
          <w:rFonts w:ascii="Arial"/>
          <w:i/>
          <w:spacing w:val="27"/>
          <w:sz w:val="20"/>
        </w:rPr>
        <w:t> </w:t>
      </w:r>
      <w:r>
        <w:rPr>
          <w:rFonts w:ascii="Arial"/>
          <w:i/>
          <w:sz w:val="20"/>
        </w:rPr>
        <w:t>Church</w:t>
      </w:r>
      <w:r>
        <w:rPr>
          <w:rFonts w:ascii="Arial"/>
          <w:i/>
          <w:spacing w:val="27"/>
          <w:sz w:val="20"/>
        </w:rPr>
        <w:t> </w:t>
      </w:r>
      <w:r>
        <w:rPr>
          <w:rFonts w:ascii="Arial"/>
          <w:i/>
          <w:sz w:val="20"/>
        </w:rPr>
        <w:t>of</w:t>
      </w:r>
      <w:r>
        <w:rPr>
          <w:rFonts w:ascii="Arial"/>
          <w:i/>
          <w:spacing w:val="27"/>
          <w:sz w:val="20"/>
        </w:rPr>
        <w:t> </w:t>
      </w:r>
      <w:r>
        <w:rPr>
          <w:rFonts w:ascii="Arial"/>
          <w:i/>
          <w:sz w:val="20"/>
        </w:rPr>
        <w:t>God</w:t>
      </w:r>
      <w:r>
        <w:rPr>
          <w:rFonts w:ascii="Arial"/>
          <w:i/>
          <w:spacing w:val="27"/>
          <w:sz w:val="20"/>
        </w:rPr>
        <w:t> </w:t>
      </w:r>
      <w:r>
        <w:rPr>
          <w:rFonts w:ascii="Arial"/>
          <w:i/>
          <w:sz w:val="20"/>
        </w:rPr>
        <w:t>v</w:t>
      </w:r>
      <w:r>
        <w:rPr>
          <w:rFonts w:ascii="Arial"/>
          <w:i/>
          <w:spacing w:val="27"/>
          <w:sz w:val="20"/>
        </w:rPr>
        <w:t> </w:t>
      </w:r>
      <w:r>
        <w:rPr>
          <w:rFonts w:ascii="Arial"/>
          <w:i/>
          <w:sz w:val="20"/>
        </w:rPr>
        <w:t>Stewart</w:t>
      </w:r>
      <w:r>
        <w:rPr>
          <w:rFonts w:ascii="Arial"/>
          <w:i/>
          <w:spacing w:val="27"/>
          <w:sz w:val="20"/>
        </w:rPr>
        <w:t> </w:t>
      </w:r>
      <w:r>
        <w:rPr>
          <w:rFonts w:ascii="Arial"/>
          <w:i/>
          <w:sz w:val="20"/>
        </w:rPr>
        <w:t>[2007]</w:t>
      </w:r>
      <w:r>
        <w:rPr>
          <w:rFonts w:ascii="Arial"/>
          <w:i/>
          <w:spacing w:val="27"/>
          <w:sz w:val="20"/>
        </w:rPr>
        <w:t> </w:t>
      </w:r>
      <w:r>
        <w:rPr>
          <w:rFonts w:ascii="Arial"/>
          <w:i/>
          <w:sz w:val="20"/>
        </w:rPr>
        <w:t>EWCA</w:t>
      </w:r>
      <w:r>
        <w:rPr>
          <w:rFonts w:ascii="Arial"/>
          <w:i/>
          <w:spacing w:val="27"/>
          <w:sz w:val="20"/>
        </w:rPr>
        <w:t> </w:t>
      </w:r>
      <w:r>
        <w:rPr>
          <w:rFonts w:ascii="Arial"/>
          <w:i/>
          <w:sz w:val="20"/>
        </w:rPr>
        <w:t>Civ</w:t>
      </w:r>
      <w:r>
        <w:rPr>
          <w:rFonts w:ascii="Arial"/>
          <w:i/>
          <w:spacing w:val="27"/>
          <w:sz w:val="20"/>
        </w:rPr>
        <w:t> </w:t>
      </w:r>
      <w:r>
        <w:rPr>
          <w:rFonts w:ascii="Arial"/>
          <w:i/>
          <w:sz w:val="20"/>
        </w:rPr>
        <w:t>1004,</w:t>
      </w:r>
      <w:r>
        <w:rPr>
          <w:rFonts w:ascii="Arial"/>
          <w:i/>
          <w:spacing w:val="27"/>
          <w:sz w:val="20"/>
        </w:rPr>
        <w:t> </w:t>
      </w:r>
      <w:r>
        <w:rPr>
          <w:rFonts w:ascii="Arial"/>
          <w:i/>
          <w:sz w:val="20"/>
        </w:rPr>
        <w:t>[2008]</w:t>
      </w:r>
      <w:r>
        <w:rPr>
          <w:rFonts w:ascii="Arial"/>
          <w:i/>
          <w:spacing w:val="27"/>
          <w:sz w:val="20"/>
        </w:rPr>
        <w:t> </w:t>
      </w:r>
      <w:r>
        <w:rPr>
          <w:rFonts w:ascii="Arial"/>
          <w:i/>
          <w:sz w:val="20"/>
        </w:rPr>
        <w:t>I.C.R.</w:t>
      </w:r>
      <w:r>
        <w:rPr>
          <w:rFonts w:ascii="Arial"/>
          <w:i/>
          <w:spacing w:val="27"/>
          <w:sz w:val="20"/>
        </w:rPr>
        <w:t> </w:t>
      </w:r>
      <w:r>
        <w:rPr>
          <w:rFonts w:ascii="Arial"/>
          <w:i/>
          <w:sz w:val="20"/>
        </w:rPr>
        <w:t>282</w:t>
      </w:r>
      <w:r>
        <w:rPr>
          <w:rFonts w:ascii="Arial"/>
          <w:i/>
          <w:spacing w:val="27"/>
          <w:sz w:val="20"/>
        </w:rPr>
        <w:t> </w:t>
      </w:r>
      <w:r>
        <w:rPr>
          <w:sz w:val="20"/>
        </w:rPr>
        <w:t>at</w:t>
      </w:r>
      <w:r>
        <w:rPr>
          <w:spacing w:val="27"/>
          <w:sz w:val="20"/>
        </w:rPr>
        <w:t> </w:t>
      </w:r>
      <w:r>
        <w:rPr>
          <w:spacing w:val="-2"/>
          <w:sz w:val="20"/>
        </w:rPr>
        <w:t>[53],</w:t>
      </w:r>
    </w:p>
    <w:p>
      <w:pPr>
        <w:spacing w:after="0"/>
        <w:jc w:val="left"/>
        <w:rPr>
          <w:sz w:val="20"/>
        </w:rPr>
        <w:sectPr>
          <w:pgSz w:w="11900" w:h="16840"/>
          <w:pgMar w:header="971" w:footer="0" w:top="1300" w:bottom="280" w:left="1275" w:right="1275"/>
        </w:sectPr>
      </w:pPr>
    </w:p>
    <w:p>
      <w:pPr>
        <w:pStyle w:val="BodyText"/>
        <w:spacing w:before="9" w:after="1"/>
        <w:rPr>
          <w:sz w:val="9"/>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0"/>
              <w:rPr>
                <w:rFonts w:ascii="Times New Roman"/>
                <w:sz w:val="18"/>
              </w:rPr>
            </w:pPr>
          </w:p>
        </w:tc>
        <w:tc>
          <w:tcPr>
            <w:tcW w:w="8620" w:type="dxa"/>
          </w:tcPr>
          <w:p>
            <w:pPr>
              <w:pStyle w:val="TableParagraph"/>
              <w:spacing w:line="223" w:lineRule="exact" w:before="0"/>
              <w:ind w:left="94" w:right="0"/>
              <w:rPr>
                <w:sz w:val="20"/>
              </w:rPr>
            </w:pPr>
            <w:r>
              <w:rPr>
                <w:sz w:val="20"/>
              </w:rPr>
              <w:t>[63], </w:t>
            </w:r>
            <w:r>
              <w:rPr>
                <w:spacing w:val="-2"/>
                <w:sz w:val="20"/>
              </w:rPr>
              <w:t>[66].</w:t>
            </w:r>
          </w:p>
        </w:tc>
      </w:tr>
      <w:tr>
        <w:trPr>
          <w:trHeight w:val="465" w:hRule="atLeast"/>
        </w:trPr>
        <w:tc>
          <w:tcPr>
            <w:tcW w:w="496" w:type="dxa"/>
          </w:tcPr>
          <w:p>
            <w:pPr>
              <w:pStyle w:val="TableParagraph"/>
              <w:jc w:val="center"/>
              <w:rPr>
                <w:sz w:val="14"/>
              </w:rPr>
            </w:pPr>
            <w:r>
              <w:rPr>
                <w:color w:val="005DA1"/>
                <w:spacing w:val="-2"/>
                <w:sz w:val="14"/>
                <w:u w:val="single" w:color="005DA1"/>
              </w:rPr>
              <w:t>1034</w:t>
            </w:r>
            <w:r>
              <w:rPr>
                <w:spacing w:val="-2"/>
                <w:sz w:val="14"/>
              </w:rPr>
              <w:t>.</w:t>
            </w:r>
          </w:p>
        </w:tc>
        <w:tc>
          <w:tcPr>
            <w:tcW w:w="8620" w:type="dxa"/>
          </w:tcPr>
          <w:p>
            <w:pPr>
              <w:pStyle w:val="TableParagraph"/>
              <w:spacing w:before="114"/>
              <w:ind w:left="94" w:right="0"/>
              <w:rPr>
                <w:sz w:val="20"/>
              </w:rPr>
            </w:pPr>
            <w:r>
              <w:rPr>
                <w:rFonts w:ascii="Arial"/>
                <w:i/>
                <w:sz w:val="20"/>
              </w:rPr>
              <w:t>[2005] UKHL 73</w:t>
            </w:r>
            <w:r>
              <w:rPr>
                <w:rFonts w:ascii="Arial"/>
                <w:i/>
                <w:spacing w:val="-1"/>
                <w:sz w:val="20"/>
              </w:rPr>
              <w:t> </w:t>
            </w:r>
            <w:r>
              <w:rPr>
                <w:sz w:val="20"/>
              </w:rPr>
              <w:t>at </w:t>
            </w:r>
            <w:r>
              <w:rPr>
                <w:spacing w:val="-2"/>
                <w:sz w:val="20"/>
              </w:rPr>
              <w:t>[23].</w:t>
            </w:r>
          </w:p>
        </w:tc>
      </w:tr>
      <w:tr>
        <w:trPr>
          <w:trHeight w:val="465" w:hRule="atLeast"/>
        </w:trPr>
        <w:tc>
          <w:tcPr>
            <w:tcW w:w="496" w:type="dxa"/>
          </w:tcPr>
          <w:p>
            <w:pPr>
              <w:pStyle w:val="TableParagraph"/>
              <w:jc w:val="center"/>
              <w:rPr>
                <w:sz w:val="14"/>
              </w:rPr>
            </w:pPr>
            <w:r>
              <w:rPr>
                <w:color w:val="005DA1"/>
                <w:spacing w:val="-2"/>
                <w:sz w:val="14"/>
                <w:u w:val="single" w:color="005DA1"/>
              </w:rPr>
              <w:t>1035</w:t>
            </w:r>
            <w:r>
              <w:rPr>
                <w:spacing w:val="-2"/>
                <w:sz w:val="14"/>
              </w:rPr>
              <w:t>.</w:t>
            </w:r>
          </w:p>
        </w:tc>
        <w:tc>
          <w:tcPr>
            <w:tcW w:w="8620" w:type="dxa"/>
          </w:tcPr>
          <w:p>
            <w:pPr>
              <w:pStyle w:val="TableParagraph"/>
              <w:spacing w:before="114"/>
              <w:ind w:left="94" w:right="0"/>
              <w:rPr>
                <w:sz w:val="20"/>
              </w:rPr>
            </w:pPr>
            <w:r>
              <w:rPr>
                <w:rFonts w:ascii="Arial"/>
                <w:i/>
                <w:sz w:val="20"/>
              </w:rPr>
              <w:t>[2013] UKSC 29, [2013] 2 A.C. </w:t>
            </w:r>
            <w:r>
              <w:rPr>
                <w:rFonts w:ascii="Arial"/>
                <w:i/>
                <w:spacing w:val="-4"/>
                <w:sz w:val="20"/>
              </w:rPr>
              <w:t>163</w:t>
            </w:r>
            <w:r>
              <w:rPr>
                <w:spacing w:val="-4"/>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1036</w:t>
            </w:r>
            <w:r>
              <w:rPr>
                <w:spacing w:val="-2"/>
                <w:sz w:val="14"/>
              </w:rPr>
              <w:t>.</w:t>
            </w:r>
          </w:p>
        </w:tc>
        <w:tc>
          <w:tcPr>
            <w:tcW w:w="8620" w:type="dxa"/>
          </w:tcPr>
          <w:p>
            <w:pPr>
              <w:pStyle w:val="TableParagraph"/>
              <w:spacing w:before="114"/>
              <w:ind w:left="94" w:right="0"/>
              <w:rPr>
                <w:sz w:val="20"/>
              </w:rPr>
            </w:pPr>
            <w:r>
              <w:rPr>
                <w:rFonts w:ascii="Arial"/>
                <w:i/>
                <w:sz w:val="20"/>
              </w:rPr>
              <w:t>[2011] EWCA Civ 1581, [2012] 2 All E.R. </w:t>
            </w:r>
            <w:r>
              <w:rPr>
                <w:rFonts w:ascii="Arial"/>
                <w:i/>
                <w:spacing w:val="-4"/>
                <w:sz w:val="20"/>
              </w:rPr>
              <w:t>934</w:t>
            </w:r>
            <w:r>
              <w:rPr>
                <w:spacing w:val="-4"/>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1037</w:t>
            </w:r>
            <w:r>
              <w:rPr>
                <w:spacing w:val="-2"/>
                <w:sz w:val="14"/>
              </w:rPr>
              <w:t>.</w:t>
            </w:r>
          </w:p>
        </w:tc>
        <w:tc>
          <w:tcPr>
            <w:tcW w:w="8620" w:type="dxa"/>
          </w:tcPr>
          <w:p>
            <w:pPr>
              <w:pStyle w:val="TableParagraph"/>
              <w:spacing w:before="114"/>
              <w:ind w:left="94" w:right="0"/>
              <w:rPr>
                <w:sz w:val="20"/>
              </w:rPr>
            </w:pPr>
            <w:r>
              <w:rPr>
                <w:sz w:val="20"/>
              </w:rPr>
              <w:t>Under s.94 of the Employment Rights Act </w:t>
            </w:r>
            <w:r>
              <w:rPr>
                <w:spacing w:val="-2"/>
                <w:sz w:val="20"/>
              </w:rPr>
              <w:t>1996.</w:t>
            </w:r>
          </w:p>
        </w:tc>
      </w:tr>
      <w:tr>
        <w:trPr>
          <w:trHeight w:val="465" w:hRule="atLeast"/>
        </w:trPr>
        <w:tc>
          <w:tcPr>
            <w:tcW w:w="496" w:type="dxa"/>
          </w:tcPr>
          <w:p>
            <w:pPr>
              <w:pStyle w:val="TableParagraph"/>
              <w:jc w:val="center"/>
              <w:rPr>
                <w:sz w:val="14"/>
              </w:rPr>
            </w:pPr>
            <w:r>
              <w:rPr>
                <w:color w:val="005DA1"/>
                <w:spacing w:val="-2"/>
                <w:sz w:val="14"/>
                <w:u w:val="single" w:color="005DA1"/>
              </w:rPr>
              <w:t>1038</w:t>
            </w:r>
            <w:r>
              <w:rPr>
                <w:spacing w:val="-2"/>
                <w:sz w:val="14"/>
              </w:rPr>
              <w:t>.</w:t>
            </w:r>
          </w:p>
        </w:tc>
        <w:tc>
          <w:tcPr>
            <w:tcW w:w="8620" w:type="dxa"/>
          </w:tcPr>
          <w:p>
            <w:pPr>
              <w:pStyle w:val="TableParagraph"/>
              <w:spacing w:before="114"/>
              <w:ind w:left="94" w:right="0"/>
              <w:rPr>
                <w:sz w:val="20"/>
              </w:rPr>
            </w:pPr>
            <w:r>
              <w:rPr>
                <w:sz w:val="20"/>
              </w:rPr>
              <w:t>Within s.230 of the Employment Rights Act </w:t>
            </w:r>
            <w:r>
              <w:rPr>
                <w:spacing w:val="-2"/>
                <w:sz w:val="20"/>
              </w:rPr>
              <w:t>1996.</w:t>
            </w:r>
          </w:p>
        </w:tc>
      </w:tr>
      <w:tr>
        <w:trPr>
          <w:trHeight w:val="465" w:hRule="atLeast"/>
        </w:trPr>
        <w:tc>
          <w:tcPr>
            <w:tcW w:w="496" w:type="dxa"/>
          </w:tcPr>
          <w:p>
            <w:pPr>
              <w:pStyle w:val="TableParagraph"/>
              <w:jc w:val="center"/>
              <w:rPr>
                <w:sz w:val="14"/>
              </w:rPr>
            </w:pPr>
            <w:r>
              <w:rPr>
                <w:color w:val="005DA1"/>
                <w:spacing w:val="-2"/>
                <w:sz w:val="14"/>
                <w:u w:val="single" w:color="005DA1"/>
              </w:rPr>
              <w:t>1039</w:t>
            </w:r>
            <w:r>
              <w:rPr>
                <w:spacing w:val="-2"/>
                <w:sz w:val="14"/>
              </w:rPr>
              <w:t>.</w:t>
            </w:r>
          </w:p>
        </w:tc>
        <w:tc>
          <w:tcPr>
            <w:tcW w:w="8620" w:type="dxa"/>
          </w:tcPr>
          <w:p>
            <w:pPr>
              <w:pStyle w:val="TableParagraph"/>
              <w:spacing w:before="114"/>
              <w:ind w:left="94" w:right="0"/>
              <w:rPr>
                <w:sz w:val="20"/>
              </w:rPr>
            </w:pPr>
            <w:r>
              <w:rPr>
                <w:rFonts w:ascii="Arial"/>
                <w:i/>
                <w:sz w:val="20"/>
              </w:rPr>
              <w:t>[2013] UKSC 29</w:t>
            </w:r>
            <w:r>
              <w:rPr>
                <w:rFonts w:ascii="Arial"/>
                <w:i/>
                <w:spacing w:val="-1"/>
                <w:sz w:val="20"/>
              </w:rPr>
              <w:t> </w:t>
            </w:r>
            <w:r>
              <w:rPr>
                <w:sz w:val="20"/>
              </w:rPr>
              <w:t>at </w:t>
            </w:r>
            <w:r>
              <w:rPr>
                <w:spacing w:val="-2"/>
                <w:sz w:val="20"/>
              </w:rPr>
              <w:t>[26].</w:t>
            </w:r>
          </w:p>
        </w:tc>
      </w:tr>
      <w:tr>
        <w:trPr>
          <w:trHeight w:val="465" w:hRule="atLeast"/>
        </w:trPr>
        <w:tc>
          <w:tcPr>
            <w:tcW w:w="496" w:type="dxa"/>
          </w:tcPr>
          <w:p>
            <w:pPr>
              <w:pStyle w:val="TableParagraph"/>
              <w:jc w:val="center"/>
              <w:rPr>
                <w:sz w:val="14"/>
              </w:rPr>
            </w:pPr>
            <w:r>
              <w:rPr>
                <w:color w:val="005DA1"/>
                <w:spacing w:val="-2"/>
                <w:sz w:val="14"/>
                <w:u w:val="single" w:color="005DA1"/>
              </w:rPr>
              <w:t>1040</w:t>
            </w:r>
            <w:r>
              <w:rPr>
                <w:spacing w:val="-2"/>
                <w:sz w:val="14"/>
              </w:rPr>
              <w:t>.</w:t>
            </w:r>
          </w:p>
        </w:tc>
        <w:tc>
          <w:tcPr>
            <w:tcW w:w="8620" w:type="dxa"/>
          </w:tcPr>
          <w:p>
            <w:pPr>
              <w:pStyle w:val="TableParagraph"/>
              <w:spacing w:before="114"/>
              <w:ind w:left="94" w:right="0"/>
              <w:rPr>
                <w:sz w:val="20"/>
              </w:rPr>
            </w:pPr>
            <w:r>
              <w:rPr>
                <w:rFonts w:ascii="Arial"/>
                <w:i/>
                <w:sz w:val="20"/>
              </w:rPr>
              <w:t>[2013] UKSC 29</w:t>
            </w:r>
            <w:r>
              <w:rPr>
                <w:rFonts w:ascii="Arial"/>
                <w:i/>
                <w:spacing w:val="-1"/>
                <w:sz w:val="20"/>
              </w:rPr>
              <w:t> </w:t>
            </w:r>
            <w:r>
              <w:rPr>
                <w:sz w:val="20"/>
              </w:rPr>
              <w:t>at [11] and </w:t>
            </w:r>
            <w:r>
              <w:rPr>
                <w:spacing w:val="-2"/>
                <w:sz w:val="20"/>
              </w:rPr>
              <w:t>[920].</w:t>
            </w:r>
          </w:p>
        </w:tc>
      </w:tr>
      <w:tr>
        <w:trPr>
          <w:trHeight w:val="465" w:hRule="atLeast"/>
        </w:trPr>
        <w:tc>
          <w:tcPr>
            <w:tcW w:w="496" w:type="dxa"/>
          </w:tcPr>
          <w:p>
            <w:pPr>
              <w:pStyle w:val="TableParagraph"/>
              <w:jc w:val="center"/>
              <w:rPr>
                <w:sz w:val="14"/>
              </w:rPr>
            </w:pPr>
            <w:r>
              <w:rPr>
                <w:color w:val="005DA1"/>
                <w:spacing w:val="-2"/>
                <w:sz w:val="14"/>
                <w:u w:val="single" w:color="005DA1"/>
              </w:rPr>
              <w:t>1041</w:t>
            </w:r>
            <w:r>
              <w:rPr>
                <w:spacing w:val="-2"/>
                <w:sz w:val="14"/>
              </w:rPr>
              <w:t>.</w:t>
            </w:r>
          </w:p>
        </w:tc>
        <w:tc>
          <w:tcPr>
            <w:tcW w:w="8620" w:type="dxa"/>
          </w:tcPr>
          <w:p>
            <w:pPr>
              <w:pStyle w:val="TableParagraph"/>
              <w:spacing w:before="114"/>
              <w:ind w:left="94" w:right="0"/>
              <w:rPr>
                <w:sz w:val="20"/>
              </w:rPr>
            </w:pPr>
            <w:r>
              <w:rPr>
                <w:rFonts w:ascii="Arial"/>
                <w:i/>
                <w:sz w:val="20"/>
              </w:rPr>
              <w:t>[2013] UKSC 29</w:t>
            </w:r>
            <w:r>
              <w:rPr>
                <w:rFonts w:ascii="Arial"/>
                <w:i/>
                <w:spacing w:val="-1"/>
                <w:sz w:val="20"/>
              </w:rPr>
              <w:t> </w:t>
            </w:r>
            <w:r>
              <w:rPr>
                <w:sz w:val="20"/>
              </w:rPr>
              <w:t>at [20], see also at [19] for this </w:t>
            </w:r>
            <w:r>
              <w:rPr>
                <w:spacing w:val="-2"/>
                <w:sz w:val="20"/>
              </w:rPr>
              <w:t>characterisation.</w:t>
            </w:r>
          </w:p>
        </w:tc>
      </w:tr>
      <w:tr>
        <w:trPr>
          <w:trHeight w:val="465" w:hRule="atLeast"/>
        </w:trPr>
        <w:tc>
          <w:tcPr>
            <w:tcW w:w="496" w:type="dxa"/>
          </w:tcPr>
          <w:p>
            <w:pPr>
              <w:pStyle w:val="TableParagraph"/>
              <w:jc w:val="center"/>
              <w:rPr>
                <w:sz w:val="14"/>
              </w:rPr>
            </w:pPr>
            <w:r>
              <w:rPr>
                <w:color w:val="005DA1"/>
                <w:spacing w:val="-2"/>
                <w:sz w:val="14"/>
                <w:u w:val="single" w:color="005DA1"/>
              </w:rPr>
              <w:t>1042</w:t>
            </w:r>
            <w:r>
              <w:rPr>
                <w:spacing w:val="-2"/>
                <w:sz w:val="14"/>
              </w:rPr>
              <w:t>.</w:t>
            </w:r>
          </w:p>
        </w:tc>
        <w:tc>
          <w:tcPr>
            <w:tcW w:w="8620" w:type="dxa"/>
          </w:tcPr>
          <w:p>
            <w:pPr>
              <w:pStyle w:val="TableParagraph"/>
              <w:spacing w:before="114"/>
              <w:ind w:left="94" w:right="0"/>
              <w:rPr>
                <w:sz w:val="20"/>
              </w:rPr>
            </w:pPr>
            <w:r>
              <w:rPr>
                <w:rFonts w:ascii="Arial" w:hAnsi="Arial"/>
                <w:i/>
                <w:sz w:val="20"/>
              </w:rPr>
              <w:t>[2013] UKSC 29</w:t>
            </w:r>
            <w:r>
              <w:rPr>
                <w:rFonts w:ascii="Arial" w:hAnsi="Arial"/>
                <w:i/>
                <w:spacing w:val="-1"/>
                <w:sz w:val="20"/>
              </w:rPr>
              <w:t> </w:t>
            </w:r>
            <w:r>
              <w:rPr>
                <w:sz w:val="20"/>
              </w:rPr>
              <w:t>at [26] see also Lord Hope’s concurring judgment at </w:t>
            </w:r>
            <w:r>
              <w:rPr>
                <w:spacing w:val="-2"/>
                <w:sz w:val="20"/>
              </w:rPr>
              <w:t>[32].</w:t>
            </w:r>
          </w:p>
        </w:tc>
      </w:tr>
      <w:tr>
        <w:trPr>
          <w:trHeight w:val="465" w:hRule="atLeast"/>
        </w:trPr>
        <w:tc>
          <w:tcPr>
            <w:tcW w:w="496" w:type="dxa"/>
          </w:tcPr>
          <w:p>
            <w:pPr>
              <w:pStyle w:val="TableParagraph"/>
              <w:jc w:val="center"/>
              <w:rPr>
                <w:sz w:val="14"/>
              </w:rPr>
            </w:pPr>
            <w:r>
              <w:rPr>
                <w:color w:val="005DA1"/>
                <w:spacing w:val="-2"/>
                <w:sz w:val="14"/>
                <w:u w:val="single" w:color="005DA1"/>
              </w:rPr>
              <w:t>1043</w:t>
            </w:r>
            <w:r>
              <w:rPr>
                <w:spacing w:val="-2"/>
                <w:sz w:val="14"/>
              </w:rPr>
              <w:t>.</w:t>
            </w:r>
          </w:p>
        </w:tc>
        <w:tc>
          <w:tcPr>
            <w:tcW w:w="8620" w:type="dxa"/>
          </w:tcPr>
          <w:p>
            <w:pPr>
              <w:pStyle w:val="TableParagraph"/>
              <w:spacing w:before="114"/>
              <w:ind w:left="94" w:right="0"/>
              <w:rPr>
                <w:sz w:val="20"/>
              </w:rPr>
            </w:pPr>
            <w:r>
              <w:rPr>
                <w:sz w:val="20"/>
              </w:rPr>
              <w:t>Employment Rights Act 1996 ss.94(1), 230(1) and </w:t>
            </w:r>
            <w:r>
              <w:rPr>
                <w:spacing w:val="-4"/>
                <w:sz w:val="20"/>
              </w:rPr>
              <w:t>(2).</w:t>
            </w:r>
          </w:p>
        </w:tc>
      </w:tr>
      <w:tr>
        <w:trPr>
          <w:trHeight w:val="465" w:hRule="atLeast"/>
        </w:trPr>
        <w:tc>
          <w:tcPr>
            <w:tcW w:w="496" w:type="dxa"/>
          </w:tcPr>
          <w:p>
            <w:pPr>
              <w:pStyle w:val="TableParagraph"/>
              <w:jc w:val="center"/>
              <w:rPr>
                <w:sz w:val="14"/>
              </w:rPr>
            </w:pPr>
            <w:r>
              <w:rPr>
                <w:color w:val="005DA1"/>
                <w:spacing w:val="-2"/>
                <w:sz w:val="14"/>
                <w:u w:val="single" w:color="005DA1"/>
              </w:rPr>
              <w:t>1044</w:t>
            </w:r>
            <w:r>
              <w:rPr>
                <w:spacing w:val="-2"/>
                <w:sz w:val="14"/>
              </w:rPr>
              <w:t>.</w:t>
            </w:r>
          </w:p>
        </w:tc>
        <w:tc>
          <w:tcPr>
            <w:tcW w:w="8620" w:type="dxa"/>
          </w:tcPr>
          <w:p>
            <w:pPr>
              <w:pStyle w:val="TableParagraph"/>
              <w:spacing w:before="114"/>
              <w:ind w:left="94" w:right="0"/>
              <w:rPr>
                <w:sz w:val="20"/>
              </w:rPr>
            </w:pPr>
            <w:r>
              <w:rPr>
                <w:rFonts w:ascii="Arial"/>
                <w:i/>
                <w:sz w:val="20"/>
              </w:rPr>
              <w:t>[2011] EWHC 2871 (QB), [2012] 1 All E.R. </w:t>
            </w:r>
            <w:r>
              <w:rPr>
                <w:rFonts w:ascii="Arial"/>
                <w:i/>
                <w:spacing w:val="-4"/>
                <w:sz w:val="20"/>
              </w:rPr>
              <w:t>723</w:t>
            </w:r>
            <w:r>
              <w:rPr>
                <w:spacing w:val="-4"/>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1045</w:t>
            </w:r>
            <w:r>
              <w:rPr>
                <w:spacing w:val="-2"/>
                <w:sz w:val="14"/>
              </w:rPr>
              <w:t>.</w:t>
            </w:r>
          </w:p>
        </w:tc>
        <w:tc>
          <w:tcPr>
            <w:tcW w:w="8620" w:type="dxa"/>
          </w:tcPr>
          <w:p>
            <w:pPr>
              <w:pStyle w:val="TableParagraph"/>
              <w:spacing w:before="114"/>
              <w:ind w:left="94" w:right="0"/>
              <w:rPr>
                <w:sz w:val="20"/>
              </w:rPr>
            </w:pPr>
            <w:r>
              <w:rPr>
                <w:rFonts w:ascii="Arial"/>
                <w:i/>
                <w:sz w:val="20"/>
              </w:rPr>
              <w:t>[2011] EWHC 2871 (QB)</w:t>
            </w:r>
            <w:r>
              <w:rPr>
                <w:rFonts w:ascii="Arial"/>
                <w:i/>
                <w:spacing w:val="-1"/>
                <w:sz w:val="20"/>
              </w:rPr>
              <w:t> </w:t>
            </w:r>
            <w:r>
              <w:rPr>
                <w:sz w:val="20"/>
              </w:rPr>
              <w:t>at [28], [30], </w:t>
            </w:r>
            <w:r>
              <w:rPr>
                <w:spacing w:val="-2"/>
                <w:sz w:val="20"/>
              </w:rPr>
              <w:t>[36].</w:t>
            </w:r>
          </w:p>
        </w:tc>
      </w:tr>
      <w:tr>
        <w:trPr>
          <w:trHeight w:val="465" w:hRule="atLeast"/>
        </w:trPr>
        <w:tc>
          <w:tcPr>
            <w:tcW w:w="496" w:type="dxa"/>
          </w:tcPr>
          <w:p>
            <w:pPr>
              <w:pStyle w:val="TableParagraph"/>
              <w:jc w:val="center"/>
              <w:rPr>
                <w:sz w:val="14"/>
              </w:rPr>
            </w:pPr>
            <w:r>
              <w:rPr>
                <w:color w:val="005DA1"/>
                <w:spacing w:val="-2"/>
                <w:sz w:val="14"/>
                <w:u w:val="single" w:color="005DA1"/>
              </w:rPr>
              <w:t>1046</w:t>
            </w:r>
            <w:r>
              <w:rPr>
                <w:spacing w:val="-2"/>
                <w:sz w:val="14"/>
              </w:rPr>
              <w:t>.</w:t>
            </w:r>
          </w:p>
        </w:tc>
        <w:tc>
          <w:tcPr>
            <w:tcW w:w="8620" w:type="dxa"/>
          </w:tcPr>
          <w:p>
            <w:pPr>
              <w:pStyle w:val="TableParagraph"/>
              <w:spacing w:before="114"/>
              <w:ind w:left="94" w:right="0"/>
              <w:rPr>
                <w:sz w:val="20"/>
              </w:rPr>
            </w:pPr>
            <w:r>
              <w:rPr>
                <w:rFonts w:ascii="Arial"/>
                <w:i/>
                <w:sz w:val="20"/>
              </w:rPr>
              <w:t>[2012] EWCA Civ 938, [2012] 4 All E.R. </w:t>
            </w:r>
            <w:r>
              <w:rPr>
                <w:rFonts w:ascii="Arial"/>
                <w:i/>
                <w:spacing w:val="-2"/>
                <w:sz w:val="20"/>
              </w:rPr>
              <w:t>1152</w:t>
            </w:r>
            <w:r>
              <w:rPr>
                <w:spacing w:val="-2"/>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1047</w:t>
            </w:r>
            <w:r>
              <w:rPr>
                <w:spacing w:val="-2"/>
                <w:sz w:val="14"/>
              </w:rPr>
              <w:t>.</w:t>
            </w:r>
          </w:p>
        </w:tc>
        <w:tc>
          <w:tcPr>
            <w:tcW w:w="8620" w:type="dxa"/>
          </w:tcPr>
          <w:p>
            <w:pPr>
              <w:pStyle w:val="TableParagraph"/>
              <w:spacing w:before="114"/>
              <w:ind w:left="94" w:right="0"/>
              <w:rPr>
                <w:sz w:val="20"/>
              </w:rPr>
            </w:pPr>
            <w:r>
              <w:rPr>
                <w:rFonts w:ascii="Arial" w:hAnsi="Arial"/>
                <w:i/>
                <w:sz w:val="20"/>
              </w:rPr>
              <w:t>[2012] EWCA Civ 938</w:t>
            </w:r>
            <w:r>
              <w:rPr>
                <w:rFonts w:ascii="Arial" w:hAnsi="Arial"/>
                <w:i/>
                <w:spacing w:val="-1"/>
                <w:sz w:val="20"/>
              </w:rPr>
              <w:t> </w:t>
            </w:r>
            <w:r>
              <w:rPr>
                <w:sz w:val="20"/>
              </w:rPr>
              <w:t>at </w:t>
            </w:r>
            <w:r>
              <w:rPr>
                <w:spacing w:val="-2"/>
                <w:sz w:val="20"/>
              </w:rPr>
              <w:t>[24]–[28].</w:t>
            </w:r>
          </w:p>
        </w:tc>
      </w:tr>
      <w:tr>
        <w:trPr>
          <w:trHeight w:val="465" w:hRule="atLeast"/>
        </w:trPr>
        <w:tc>
          <w:tcPr>
            <w:tcW w:w="496" w:type="dxa"/>
          </w:tcPr>
          <w:p>
            <w:pPr>
              <w:pStyle w:val="TableParagraph"/>
              <w:jc w:val="center"/>
              <w:rPr>
                <w:sz w:val="14"/>
              </w:rPr>
            </w:pPr>
            <w:r>
              <w:rPr>
                <w:color w:val="005DA1"/>
                <w:spacing w:val="-2"/>
                <w:sz w:val="14"/>
                <w:u w:val="single" w:color="005DA1"/>
              </w:rPr>
              <w:t>1048</w:t>
            </w:r>
            <w:r>
              <w:rPr>
                <w:spacing w:val="-2"/>
                <w:sz w:val="14"/>
              </w:rPr>
              <w:t>.</w:t>
            </w:r>
          </w:p>
        </w:tc>
        <w:tc>
          <w:tcPr>
            <w:tcW w:w="8620" w:type="dxa"/>
          </w:tcPr>
          <w:p>
            <w:pPr>
              <w:pStyle w:val="TableParagraph"/>
              <w:spacing w:before="114"/>
              <w:ind w:left="94" w:right="0"/>
              <w:rPr>
                <w:sz w:val="20"/>
              </w:rPr>
            </w:pPr>
            <w:r>
              <w:rPr>
                <w:rFonts w:ascii="Arial" w:hAnsi="Arial"/>
                <w:i/>
                <w:sz w:val="20"/>
              </w:rPr>
              <w:t>[2012] EWCA Civ 938</w:t>
            </w:r>
            <w:r>
              <w:rPr>
                <w:rFonts w:ascii="Arial" w:hAnsi="Arial"/>
                <w:i/>
                <w:spacing w:val="-1"/>
                <w:sz w:val="20"/>
              </w:rPr>
              <w:t> </w:t>
            </w:r>
            <w:r>
              <w:rPr>
                <w:sz w:val="20"/>
              </w:rPr>
              <w:t>at </w:t>
            </w:r>
            <w:r>
              <w:rPr>
                <w:spacing w:val="-2"/>
                <w:sz w:val="20"/>
              </w:rPr>
              <w:t>[29]–[30].</w:t>
            </w:r>
          </w:p>
        </w:tc>
      </w:tr>
      <w:tr>
        <w:trPr>
          <w:trHeight w:val="465" w:hRule="atLeast"/>
        </w:trPr>
        <w:tc>
          <w:tcPr>
            <w:tcW w:w="496" w:type="dxa"/>
          </w:tcPr>
          <w:p>
            <w:pPr>
              <w:pStyle w:val="TableParagraph"/>
              <w:jc w:val="center"/>
              <w:rPr>
                <w:sz w:val="14"/>
              </w:rPr>
            </w:pPr>
            <w:r>
              <w:rPr>
                <w:color w:val="005DA1"/>
                <w:spacing w:val="-2"/>
                <w:sz w:val="14"/>
                <w:u w:val="single" w:color="005DA1"/>
              </w:rPr>
              <w:t>1049</w:t>
            </w:r>
            <w:r>
              <w:rPr>
                <w:spacing w:val="-2"/>
                <w:sz w:val="14"/>
              </w:rPr>
              <w:t>.</w:t>
            </w:r>
          </w:p>
        </w:tc>
        <w:tc>
          <w:tcPr>
            <w:tcW w:w="8620" w:type="dxa"/>
          </w:tcPr>
          <w:p>
            <w:pPr>
              <w:pStyle w:val="TableParagraph"/>
              <w:spacing w:before="114"/>
              <w:ind w:left="94" w:right="0"/>
              <w:rPr>
                <w:sz w:val="20"/>
              </w:rPr>
            </w:pPr>
            <w:r>
              <w:rPr>
                <w:rFonts w:ascii="Arial"/>
                <w:i/>
                <w:sz w:val="20"/>
              </w:rPr>
              <w:t>[2012] EWCA Civ 938</w:t>
            </w:r>
            <w:r>
              <w:rPr>
                <w:rFonts w:ascii="Arial"/>
                <w:i/>
                <w:spacing w:val="-1"/>
                <w:sz w:val="20"/>
              </w:rPr>
              <w:t> </w:t>
            </w:r>
            <w:r>
              <w:rPr>
                <w:sz w:val="20"/>
              </w:rPr>
              <w:t>at </w:t>
            </w:r>
            <w:r>
              <w:rPr>
                <w:spacing w:val="-2"/>
                <w:sz w:val="20"/>
              </w:rPr>
              <w:t>[119].</w:t>
            </w:r>
          </w:p>
        </w:tc>
      </w:tr>
      <w:tr>
        <w:trPr>
          <w:trHeight w:val="465" w:hRule="atLeast"/>
        </w:trPr>
        <w:tc>
          <w:tcPr>
            <w:tcW w:w="496" w:type="dxa"/>
          </w:tcPr>
          <w:p>
            <w:pPr>
              <w:pStyle w:val="TableParagraph"/>
              <w:jc w:val="center"/>
              <w:rPr>
                <w:sz w:val="14"/>
              </w:rPr>
            </w:pPr>
            <w:r>
              <w:rPr>
                <w:color w:val="005DA1"/>
                <w:spacing w:val="-2"/>
                <w:sz w:val="14"/>
                <w:u w:val="single" w:color="005DA1"/>
              </w:rPr>
              <w:t>1050</w:t>
            </w:r>
            <w:r>
              <w:rPr>
                <w:spacing w:val="-2"/>
                <w:sz w:val="14"/>
              </w:rPr>
              <w:t>.</w:t>
            </w:r>
          </w:p>
        </w:tc>
        <w:tc>
          <w:tcPr>
            <w:tcW w:w="8620" w:type="dxa"/>
          </w:tcPr>
          <w:p>
            <w:pPr>
              <w:pStyle w:val="TableParagraph"/>
              <w:spacing w:before="114"/>
              <w:ind w:left="94" w:right="0"/>
              <w:rPr>
                <w:sz w:val="20"/>
              </w:rPr>
            </w:pPr>
            <w:r>
              <w:rPr>
                <w:rFonts w:ascii="Arial"/>
                <w:i/>
                <w:sz w:val="20"/>
              </w:rPr>
              <w:t>[2012] UKSC 56, [2013] 2 A.C. 1</w:t>
            </w:r>
            <w:r>
              <w:rPr>
                <w:rFonts w:ascii="Arial"/>
                <w:i/>
                <w:spacing w:val="-1"/>
                <w:sz w:val="20"/>
              </w:rPr>
              <w:t> </w:t>
            </w:r>
            <w:r>
              <w:rPr>
                <w:sz w:val="20"/>
              </w:rPr>
              <w:t>at [4], [56] and </w:t>
            </w:r>
            <w:r>
              <w:rPr>
                <w:spacing w:val="-4"/>
                <w:sz w:val="20"/>
              </w:rPr>
              <w:t>[57].</w:t>
            </w:r>
          </w:p>
        </w:tc>
      </w:tr>
      <w:tr>
        <w:trPr>
          <w:trHeight w:val="465" w:hRule="atLeast"/>
        </w:trPr>
        <w:tc>
          <w:tcPr>
            <w:tcW w:w="496" w:type="dxa"/>
          </w:tcPr>
          <w:p>
            <w:pPr>
              <w:pStyle w:val="TableParagraph"/>
              <w:jc w:val="center"/>
              <w:rPr>
                <w:sz w:val="14"/>
              </w:rPr>
            </w:pPr>
            <w:r>
              <w:rPr>
                <w:color w:val="005DA1"/>
                <w:spacing w:val="-2"/>
                <w:sz w:val="14"/>
                <w:u w:val="single" w:color="005DA1"/>
              </w:rPr>
              <w:t>1051</w:t>
            </w:r>
            <w:r>
              <w:rPr>
                <w:spacing w:val="-2"/>
                <w:sz w:val="14"/>
              </w:rPr>
              <w:t>.</w:t>
            </w:r>
          </w:p>
        </w:tc>
        <w:tc>
          <w:tcPr>
            <w:tcW w:w="8620" w:type="dxa"/>
          </w:tcPr>
          <w:p>
            <w:pPr>
              <w:pStyle w:val="TableParagraph"/>
              <w:spacing w:before="114"/>
              <w:ind w:left="94" w:right="0"/>
              <w:rPr>
                <w:sz w:val="20"/>
              </w:rPr>
            </w:pPr>
            <w:r>
              <w:rPr>
                <w:rFonts w:ascii="Arial"/>
                <w:i/>
                <w:sz w:val="20"/>
              </w:rPr>
              <w:t>[2013] UKSC </w:t>
            </w:r>
            <w:r>
              <w:rPr>
                <w:rFonts w:ascii="Arial"/>
                <w:i/>
                <w:spacing w:val="-5"/>
                <w:sz w:val="20"/>
              </w:rPr>
              <w:t>29</w:t>
            </w:r>
            <w:r>
              <w:rPr>
                <w:spacing w:val="-5"/>
                <w:sz w:val="20"/>
              </w:rPr>
              <w:t>.</w:t>
            </w:r>
          </w:p>
        </w:tc>
      </w:tr>
      <w:tr>
        <w:trPr>
          <w:trHeight w:val="690" w:hRule="atLeast"/>
        </w:trPr>
        <w:tc>
          <w:tcPr>
            <w:tcW w:w="496" w:type="dxa"/>
          </w:tcPr>
          <w:p>
            <w:pPr>
              <w:pStyle w:val="TableParagraph"/>
              <w:jc w:val="center"/>
              <w:rPr>
                <w:sz w:val="14"/>
              </w:rPr>
            </w:pPr>
            <w:r>
              <w:rPr>
                <w:color w:val="005DA1"/>
                <w:spacing w:val="-2"/>
                <w:sz w:val="14"/>
                <w:u w:val="single" w:color="005DA1"/>
              </w:rPr>
              <w:t>1052</w:t>
            </w:r>
            <w:r>
              <w:rPr>
                <w:spacing w:val="-2"/>
                <w:sz w:val="14"/>
              </w:rPr>
              <w:t>.</w:t>
            </w:r>
          </w:p>
        </w:tc>
        <w:tc>
          <w:tcPr>
            <w:tcW w:w="8620" w:type="dxa"/>
          </w:tcPr>
          <w:p>
            <w:pPr>
              <w:pStyle w:val="TableParagraph"/>
              <w:spacing w:line="227" w:lineRule="exact" w:before="114"/>
              <w:ind w:left="94" w:right="0"/>
              <w:rPr>
                <w:rFonts w:ascii="Arial"/>
                <w:i/>
                <w:sz w:val="20"/>
              </w:rPr>
            </w:pPr>
            <w:r>
              <w:rPr>
                <w:rFonts w:ascii="Arial"/>
                <w:i/>
                <w:sz w:val="20"/>
              </w:rPr>
              <w:t>R.</w:t>
            </w:r>
            <w:r>
              <w:rPr>
                <w:rFonts w:ascii="Arial"/>
                <w:i/>
                <w:spacing w:val="1"/>
                <w:sz w:val="20"/>
              </w:rPr>
              <w:t> </w:t>
            </w:r>
            <w:r>
              <w:rPr>
                <w:rFonts w:ascii="Arial"/>
                <w:i/>
                <w:sz w:val="20"/>
              </w:rPr>
              <w:t>v</w:t>
            </w:r>
            <w:r>
              <w:rPr>
                <w:rFonts w:ascii="Arial"/>
                <w:i/>
                <w:spacing w:val="1"/>
                <w:sz w:val="20"/>
              </w:rPr>
              <w:t> </w:t>
            </w:r>
            <w:r>
              <w:rPr>
                <w:rFonts w:ascii="Arial"/>
                <w:i/>
                <w:sz w:val="20"/>
              </w:rPr>
              <w:t>Civil</w:t>
            </w:r>
            <w:r>
              <w:rPr>
                <w:rFonts w:ascii="Arial"/>
                <w:i/>
                <w:spacing w:val="1"/>
                <w:sz w:val="20"/>
              </w:rPr>
              <w:t> </w:t>
            </w:r>
            <w:r>
              <w:rPr>
                <w:rFonts w:ascii="Arial"/>
                <w:i/>
                <w:sz w:val="20"/>
              </w:rPr>
              <w:t>Service</w:t>
            </w:r>
            <w:r>
              <w:rPr>
                <w:rFonts w:ascii="Arial"/>
                <w:i/>
                <w:spacing w:val="1"/>
                <w:sz w:val="20"/>
              </w:rPr>
              <w:t> </w:t>
            </w:r>
            <w:r>
              <w:rPr>
                <w:rFonts w:ascii="Arial"/>
                <w:i/>
                <w:sz w:val="20"/>
              </w:rPr>
              <w:t>Appeal</w:t>
            </w:r>
            <w:r>
              <w:rPr>
                <w:rFonts w:ascii="Arial"/>
                <w:i/>
                <w:spacing w:val="1"/>
                <w:sz w:val="20"/>
              </w:rPr>
              <w:t> </w:t>
            </w:r>
            <w:r>
              <w:rPr>
                <w:rFonts w:ascii="Arial"/>
                <w:i/>
                <w:sz w:val="20"/>
              </w:rPr>
              <w:t>Board</w:t>
            </w:r>
            <w:r>
              <w:rPr>
                <w:rFonts w:ascii="Arial"/>
                <w:i/>
                <w:spacing w:val="1"/>
                <w:sz w:val="20"/>
              </w:rPr>
              <w:t> </w:t>
            </w:r>
            <w:r>
              <w:rPr>
                <w:rFonts w:ascii="Arial"/>
                <w:i/>
                <w:sz w:val="20"/>
              </w:rPr>
              <w:t>Ex</w:t>
            </w:r>
            <w:r>
              <w:rPr>
                <w:rFonts w:ascii="Arial"/>
                <w:i/>
                <w:spacing w:val="1"/>
                <w:sz w:val="20"/>
              </w:rPr>
              <w:t> </w:t>
            </w:r>
            <w:r>
              <w:rPr>
                <w:rFonts w:ascii="Arial"/>
                <w:i/>
                <w:sz w:val="20"/>
              </w:rPr>
              <w:t>p.</w:t>
            </w:r>
            <w:r>
              <w:rPr>
                <w:rFonts w:ascii="Arial"/>
                <w:i/>
                <w:spacing w:val="1"/>
                <w:sz w:val="20"/>
              </w:rPr>
              <w:t> </w:t>
            </w:r>
            <w:r>
              <w:rPr>
                <w:rFonts w:ascii="Arial"/>
                <w:i/>
                <w:sz w:val="20"/>
              </w:rPr>
              <w:t>Bruce</w:t>
            </w:r>
            <w:r>
              <w:rPr>
                <w:rFonts w:ascii="Arial"/>
                <w:i/>
                <w:spacing w:val="1"/>
                <w:sz w:val="20"/>
              </w:rPr>
              <w:t> </w:t>
            </w:r>
            <w:r>
              <w:rPr>
                <w:rFonts w:ascii="Arial"/>
                <w:i/>
                <w:sz w:val="20"/>
              </w:rPr>
              <w:t>[1988]</w:t>
            </w:r>
            <w:r>
              <w:rPr>
                <w:rFonts w:ascii="Arial"/>
                <w:i/>
                <w:spacing w:val="1"/>
                <w:sz w:val="20"/>
              </w:rPr>
              <w:t> </w:t>
            </w:r>
            <w:r>
              <w:rPr>
                <w:rFonts w:ascii="Arial"/>
                <w:i/>
                <w:sz w:val="20"/>
              </w:rPr>
              <w:t>I.C.R.</w:t>
            </w:r>
            <w:r>
              <w:rPr>
                <w:rFonts w:ascii="Arial"/>
                <w:i/>
                <w:spacing w:val="1"/>
                <w:sz w:val="20"/>
              </w:rPr>
              <w:t> </w:t>
            </w:r>
            <w:r>
              <w:rPr>
                <w:rFonts w:ascii="Arial"/>
                <w:i/>
                <w:sz w:val="20"/>
              </w:rPr>
              <w:t>649;</w:t>
            </w:r>
            <w:r>
              <w:rPr>
                <w:rFonts w:ascii="Arial"/>
                <w:i/>
                <w:spacing w:val="1"/>
                <w:sz w:val="20"/>
              </w:rPr>
              <w:t> </w:t>
            </w:r>
            <w:r>
              <w:rPr>
                <w:rFonts w:ascii="Arial"/>
                <w:i/>
                <w:sz w:val="20"/>
              </w:rPr>
              <w:t>affirmed</w:t>
            </w:r>
            <w:r>
              <w:rPr>
                <w:rFonts w:ascii="Arial"/>
                <w:i/>
                <w:spacing w:val="1"/>
                <w:sz w:val="20"/>
              </w:rPr>
              <w:t> </w:t>
            </w:r>
            <w:r>
              <w:rPr>
                <w:rFonts w:ascii="Arial"/>
                <w:i/>
                <w:sz w:val="20"/>
              </w:rPr>
              <w:t>on</w:t>
            </w:r>
            <w:r>
              <w:rPr>
                <w:rFonts w:ascii="Arial"/>
                <w:i/>
                <w:spacing w:val="1"/>
                <w:sz w:val="20"/>
              </w:rPr>
              <w:t> </w:t>
            </w:r>
            <w:r>
              <w:rPr>
                <w:rFonts w:ascii="Arial"/>
                <w:i/>
                <w:sz w:val="20"/>
              </w:rPr>
              <w:t>other</w:t>
            </w:r>
            <w:r>
              <w:rPr>
                <w:rFonts w:ascii="Arial"/>
                <w:i/>
                <w:spacing w:val="1"/>
                <w:sz w:val="20"/>
              </w:rPr>
              <w:t> </w:t>
            </w:r>
            <w:r>
              <w:rPr>
                <w:rFonts w:ascii="Arial"/>
                <w:i/>
                <w:sz w:val="20"/>
              </w:rPr>
              <w:t>grounds</w:t>
            </w:r>
            <w:r>
              <w:rPr>
                <w:rFonts w:ascii="Arial"/>
                <w:i/>
                <w:spacing w:val="1"/>
                <w:sz w:val="20"/>
              </w:rPr>
              <w:t> </w:t>
            </w:r>
            <w:r>
              <w:rPr>
                <w:rFonts w:ascii="Arial"/>
                <w:i/>
                <w:spacing w:val="-2"/>
                <w:sz w:val="20"/>
              </w:rPr>
              <w:t>[1989]</w:t>
            </w:r>
          </w:p>
          <w:p>
            <w:pPr>
              <w:pStyle w:val="TableParagraph"/>
              <w:spacing w:line="227" w:lineRule="exact" w:before="0"/>
              <w:ind w:left="94" w:right="0"/>
              <w:rPr>
                <w:sz w:val="20"/>
              </w:rPr>
            </w:pPr>
            <w:r>
              <w:rPr>
                <w:rFonts w:ascii="Arial"/>
                <w:i/>
                <w:sz w:val="20"/>
              </w:rPr>
              <w:t>I.C.R.</w:t>
            </w:r>
            <w:r>
              <w:rPr>
                <w:rFonts w:ascii="Arial"/>
                <w:i/>
                <w:spacing w:val="-3"/>
                <w:sz w:val="20"/>
              </w:rPr>
              <w:t> </w:t>
            </w:r>
            <w:r>
              <w:rPr>
                <w:rFonts w:ascii="Arial"/>
                <w:i/>
                <w:sz w:val="20"/>
              </w:rPr>
              <w:t>171</w:t>
            </w:r>
            <w:r>
              <w:rPr>
                <w:sz w:val="20"/>
              </w:rPr>
              <w:t>; </w:t>
            </w:r>
            <w:r>
              <w:rPr>
                <w:rFonts w:ascii="Arial"/>
                <w:i/>
                <w:sz w:val="20"/>
              </w:rPr>
              <w:t>Mclaren v Home Office, The Times, May 18, </w:t>
            </w:r>
            <w:r>
              <w:rPr>
                <w:rFonts w:ascii="Arial"/>
                <w:i/>
                <w:spacing w:val="-2"/>
                <w:sz w:val="20"/>
              </w:rPr>
              <w:t>1989</w:t>
            </w:r>
            <w:r>
              <w:rPr>
                <w:spacing w:val="-2"/>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1053</w:t>
            </w:r>
            <w:r>
              <w:rPr>
                <w:spacing w:val="-2"/>
                <w:sz w:val="14"/>
              </w:rPr>
              <w:t>.</w:t>
            </w:r>
          </w:p>
        </w:tc>
        <w:tc>
          <w:tcPr>
            <w:tcW w:w="8620" w:type="dxa"/>
          </w:tcPr>
          <w:p>
            <w:pPr>
              <w:pStyle w:val="TableParagraph"/>
              <w:spacing w:before="114"/>
              <w:ind w:left="94" w:right="0"/>
              <w:rPr>
                <w:sz w:val="20"/>
              </w:rPr>
            </w:pPr>
            <w:r>
              <w:rPr>
                <w:rFonts w:ascii="Arial"/>
                <w:i/>
                <w:sz w:val="20"/>
              </w:rPr>
              <w:t>R. v Civil Service Appeal Board Ex p. Bruce 1988] I.C.R. 649</w:t>
            </w:r>
            <w:r>
              <w:rPr>
                <w:rFonts w:ascii="Arial"/>
                <w:i/>
                <w:spacing w:val="-1"/>
                <w:sz w:val="20"/>
              </w:rPr>
              <w:t> </w:t>
            </w:r>
            <w:r>
              <w:rPr>
                <w:sz w:val="20"/>
              </w:rPr>
              <w:t>at </w:t>
            </w:r>
            <w:r>
              <w:rPr>
                <w:spacing w:val="-4"/>
                <w:sz w:val="20"/>
              </w:rPr>
              <w:t>659.</w:t>
            </w:r>
          </w:p>
        </w:tc>
      </w:tr>
      <w:tr>
        <w:trPr>
          <w:trHeight w:val="915" w:hRule="atLeast"/>
        </w:trPr>
        <w:tc>
          <w:tcPr>
            <w:tcW w:w="496" w:type="dxa"/>
          </w:tcPr>
          <w:p>
            <w:pPr>
              <w:pStyle w:val="TableParagraph"/>
              <w:jc w:val="center"/>
              <w:rPr>
                <w:sz w:val="14"/>
              </w:rPr>
            </w:pPr>
            <w:r>
              <w:rPr>
                <w:color w:val="005DA1"/>
                <w:spacing w:val="-2"/>
                <w:sz w:val="14"/>
                <w:u w:val="single" w:color="005DA1"/>
              </w:rPr>
              <w:t>1054</w:t>
            </w:r>
            <w:r>
              <w:rPr>
                <w:spacing w:val="-2"/>
                <w:sz w:val="14"/>
              </w:rPr>
              <w:t>.</w:t>
            </w:r>
          </w:p>
        </w:tc>
        <w:tc>
          <w:tcPr>
            <w:tcW w:w="8620" w:type="dxa"/>
          </w:tcPr>
          <w:p>
            <w:pPr>
              <w:pStyle w:val="TableParagraph"/>
              <w:spacing w:line="235" w:lineRule="auto" w:before="118"/>
              <w:ind w:left="94" w:right="48"/>
              <w:jc w:val="both"/>
              <w:rPr>
                <w:sz w:val="20"/>
              </w:rPr>
            </w:pPr>
            <w:r>
              <w:rPr>
                <w:rFonts w:ascii="Arial" w:hAnsi="Arial"/>
                <w:i/>
                <w:sz w:val="20"/>
              </w:rPr>
              <w:t>R. v Lord Chancellor’s Department Ex p. Nangle [1991] I.C.R. 743</w:t>
            </w:r>
            <w:r>
              <w:rPr>
                <w:sz w:val="20"/>
              </w:rPr>
              <w:t>; cf. Trade Union and </w:t>
            </w:r>
            <w:r>
              <w:rPr>
                <w:sz w:val="20"/>
              </w:rPr>
              <w:t>Labour Relations (Consolidation)</w:t>
            </w:r>
            <w:r>
              <w:rPr>
                <w:spacing w:val="-1"/>
                <w:sz w:val="20"/>
              </w:rPr>
              <w:t> </w:t>
            </w:r>
            <w:r>
              <w:rPr>
                <w:sz w:val="20"/>
              </w:rPr>
              <w:t>Act 1992</w:t>
            </w:r>
            <w:r>
              <w:rPr>
                <w:spacing w:val="-1"/>
                <w:sz w:val="20"/>
              </w:rPr>
              <w:t> </w:t>
            </w:r>
            <w:r>
              <w:rPr>
                <w:sz w:val="20"/>
              </w:rPr>
              <w:t>ss.62(7), 245:</w:t>
            </w:r>
            <w:r>
              <w:rPr>
                <w:spacing w:val="-1"/>
                <w:sz w:val="20"/>
              </w:rPr>
              <w:t> </w:t>
            </w:r>
            <w:r>
              <w:rPr>
                <w:sz w:val="20"/>
              </w:rPr>
              <w:t>“deemed [for</w:t>
            </w:r>
            <w:r>
              <w:rPr>
                <w:spacing w:val="-1"/>
                <w:sz w:val="20"/>
              </w:rPr>
              <w:t> </w:t>
            </w:r>
            <w:r>
              <w:rPr>
                <w:sz w:val="20"/>
              </w:rPr>
              <w:t>certain purposes]</w:t>
            </w:r>
            <w:r>
              <w:rPr>
                <w:spacing w:val="-1"/>
                <w:sz w:val="20"/>
              </w:rPr>
              <w:t> </w:t>
            </w:r>
            <w:r>
              <w:rPr>
                <w:sz w:val="20"/>
              </w:rPr>
              <w:t>to constitute</w:t>
            </w:r>
            <w:r>
              <w:rPr>
                <w:spacing w:val="-1"/>
                <w:sz w:val="20"/>
              </w:rPr>
              <w:t> </w:t>
            </w:r>
            <w:r>
              <w:rPr>
                <w:sz w:val="20"/>
              </w:rPr>
              <w:t>a </w:t>
            </w:r>
            <w:r>
              <w:rPr>
                <w:spacing w:val="-2"/>
                <w:sz w:val="20"/>
              </w:rPr>
              <w:t>contract.”</w:t>
            </w:r>
          </w:p>
        </w:tc>
      </w:tr>
      <w:tr>
        <w:trPr>
          <w:trHeight w:val="690" w:hRule="atLeast"/>
        </w:trPr>
        <w:tc>
          <w:tcPr>
            <w:tcW w:w="496" w:type="dxa"/>
          </w:tcPr>
          <w:p>
            <w:pPr>
              <w:pStyle w:val="TableParagraph"/>
              <w:jc w:val="center"/>
              <w:rPr>
                <w:sz w:val="14"/>
              </w:rPr>
            </w:pPr>
            <w:r>
              <w:rPr>
                <w:color w:val="005DA1"/>
                <w:spacing w:val="-2"/>
                <w:sz w:val="14"/>
                <w:u w:val="single" w:color="005DA1"/>
              </w:rPr>
              <w:t>1055</w:t>
            </w:r>
            <w:r>
              <w:rPr>
                <w:spacing w:val="-2"/>
                <w:sz w:val="14"/>
              </w:rPr>
              <w:t>.</w:t>
            </w:r>
          </w:p>
        </w:tc>
        <w:tc>
          <w:tcPr>
            <w:tcW w:w="8620" w:type="dxa"/>
          </w:tcPr>
          <w:p>
            <w:pPr>
              <w:pStyle w:val="TableParagraph"/>
              <w:spacing w:line="235" w:lineRule="auto" w:before="118"/>
              <w:ind w:left="94" w:right="0"/>
              <w:rPr>
                <w:sz w:val="20"/>
              </w:rPr>
            </w:pPr>
            <w:r>
              <w:rPr>
                <w:sz w:val="20"/>
              </w:rPr>
              <w:t>s.83(2)(b);</w:t>
            </w:r>
            <w:r>
              <w:rPr>
                <w:spacing w:val="19"/>
                <w:sz w:val="20"/>
              </w:rPr>
              <w:t> </w:t>
            </w:r>
            <w:r>
              <w:rPr>
                <w:sz w:val="20"/>
              </w:rPr>
              <w:t>it</w:t>
            </w:r>
            <w:r>
              <w:rPr>
                <w:spacing w:val="19"/>
                <w:sz w:val="20"/>
              </w:rPr>
              <w:t> </w:t>
            </w:r>
            <w:r>
              <w:rPr>
                <w:sz w:val="20"/>
              </w:rPr>
              <w:t>is</w:t>
            </w:r>
            <w:r>
              <w:rPr>
                <w:spacing w:val="19"/>
                <w:sz w:val="20"/>
              </w:rPr>
              <w:t> </w:t>
            </w:r>
            <w:r>
              <w:rPr>
                <w:sz w:val="20"/>
              </w:rPr>
              <w:t>not</w:t>
            </w:r>
            <w:r>
              <w:rPr>
                <w:spacing w:val="19"/>
                <w:sz w:val="20"/>
              </w:rPr>
              <w:t> </w:t>
            </w:r>
            <w:r>
              <w:rPr>
                <w:sz w:val="20"/>
              </w:rPr>
              <w:t>entirely</w:t>
            </w:r>
            <w:r>
              <w:rPr>
                <w:spacing w:val="19"/>
                <w:sz w:val="20"/>
              </w:rPr>
              <w:t> </w:t>
            </w:r>
            <w:r>
              <w:rPr>
                <w:sz w:val="20"/>
              </w:rPr>
              <w:t>clear</w:t>
            </w:r>
            <w:r>
              <w:rPr>
                <w:spacing w:val="19"/>
                <w:sz w:val="20"/>
              </w:rPr>
              <w:t> </w:t>
            </w:r>
            <w:r>
              <w:rPr>
                <w:sz w:val="20"/>
              </w:rPr>
              <w:t>from</w:t>
            </w:r>
            <w:r>
              <w:rPr>
                <w:spacing w:val="19"/>
                <w:sz w:val="20"/>
              </w:rPr>
              <w:t> </w:t>
            </w:r>
            <w:r>
              <w:rPr>
                <w:sz w:val="20"/>
              </w:rPr>
              <w:t>the</w:t>
            </w:r>
            <w:r>
              <w:rPr>
                <w:spacing w:val="19"/>
                <w:sz w:val="20"/>
              </w:rPr>
              <w:t> </w:t>
            </w:r>
            <w:r>
              <w:rPr>
                <w:sz w:val="20"/>
              </w:rPr>
              <w:t>structure</w:t>
            </w:r>
            <w:r>
              <w:rPr>
                <w:spacing w:val="19"/>
                <w:sz w:val="20"/>
              </w:rPr>
              <w:t> </w:t>
            </w:r>
            <w:r>
              <w:rPr>
                <w:sz w:val="20"/>
              </w:rPr>
              <w:t>of</w:t>
            </w:r>
            <w:r>
              <w:rPr>
                <w:spacing w:val="19"/>
                <w:sz w:val="20"/>
              </w:rPr>
              <w:t> </w:t>
            </w:r>
            <w:r>
              <w:rPr>
                <w:sz w:val="20"/>
              </w:rPr>
              <w:t>s.83(2)</w:t>
            </w:r>
            <w:r>
              <w:rPr>
                <w:spacing w:val="19"/>
                <w:sz w:val="20"/>
              </w:rPr>
              <w:t> </w:t>
            </w:r>
            <w:r>
              <w:rPr>
                <w:sz w:val="20"/>
              </w:rPr>
              <w:t>whether</w:t>
            </w:r>
            <w:r>
              <w:rPr>
                <w:spacing w:val="19"/>
                <w:sz w:val="20"/>
              </w:rPr>
              <w:t> </w:t>
            </w:r>
            <w:r>
              <w:rPr>
                <w:sz w:val="20"/>
              </w:rPr>
              <w:t>the</w:t>
            </w:r>
            <w:r>
              <w:rPr>
                <w:spacing w:val="19"/>
                <w:sz w:val="20"/>
              </w:rPr>
              <w:t> </w:t>
            </w:r>
            <w:r>
              <w:rPr>
                <w:sz w:val="20"/>
              </w:rPr>
              <w:t>words</w:t>
            </w:r>
            <w:r>
              <w:rPr>
                <w:spacing w:val="19"/>
                <w:sz w:val="20"/>
              </w:rPr>
              <w:t> </w:t>
            </w:r>
            <w:r>
              <w:rPr>
                <w:sz w:val="20"/>
              </w:rPr>
              <w:t>in</w:t>
            </w:r>
            <w:r>
              <w:rPr>
                <w:spacing w:val="19"/>
                <w:sz w:val="20"/>
              </w:rPr>
              <w:t> </w:t>
            </w:r>
            <w:r>
              <w:rPr>
                <w:sz w:val="20"/>
              </w:rPr>
              <w:t>s.83(2)(a) quoted in n.1034 below apply for the purpose of s.83(2)(b).</w:t>
            </w:r>
          </w:p>
        </w:tc>
      </w:tr>
      <w:tr>
        <w:trPr>
          <w:trHeight w:val="915" w:hRule="atLeast"/>
        </w:trPr>
        <w:tc>
          <w:tcPr>
            <w:tcW w:w="496" w:type="dxa"/>
          </w:tcPr>
          <w:p>
            <w:pPr>
              <w:pStyle w:val="TableParagraph"/>
              <w:jc w:val="center"/>
              <w:rPr>
                <w:sz w:val="14"/>
              </w:rPr>
            </w:pPr>
            <w:r>
              <w:rPr>
                <w:color w:val="005DA1"/>
                <w:spacing w:val="-2"/>
                <w:sz w:val="14"/>
                <w:u w:val="single" w:color="005DA1"/>
              </w:rPr>
              <w:t>1056</w:t>
            </w:r>
            <w:r>
              <w:rPr>
                <w:spacing w:val="-2"/>
                <w:sz w:val="14"/>
              </w:rPr>
              <w:t>.</w:t>
            </w:r>
          </w:p>
        </w:tc>
        <w:tc>
          <w:tcPr>
            <w:tcW w:w="8620" w:type="dxa"/>
          </w:tcPr>
          <w:p>
            <w:pPr>
              <w:pStyle w:val="TableParagraph"/>
              <w:spacing w:line="235" w:lineRule="auto" w:before="118"/>
              <w:ind w:left="94" w:right="49"/>
              <w:jc w:val="both"/>
              <w:rPr>
                <w:sz w:val="20"/>
              </w:rPr>
            </w:pPr>
            <w:r>
              <w:rPr>
                <w:rFonts w:ascii="Arial" w:hAnsi="Arial"/>
                <w:i/>
                <w:sz w:val="20"/>
              </w:rPr>
              <w:t>White v Chief Constable of the South Yorkshire Police [1999] A.C. 455 </w:t>
            </w:r>
            <w:r>
              <w:rPr>
                <w:sz w:val="20"/>
              </w:rPr>
              <w:t>at 481. cf. </w:t>
            </w:r>
            <w:r>
              <w:rPr>
                <w:rFonts w:ascii="Arial" w:hAnsi="Arial"/>
                <w:i/>
                <w:sz w:val="20"/>
              </w:rPr>
              <w:t>Essex Strategic Health Authority v David-John [2003] Lloyd’s Rep. Med. 586 </w:t>
            </w:r>
            <w:r>
              <w:rPr>
                <w:sz w:val="20"/>
              </w:rPr>
              <w:t>(relationship between general practitioner and Health Authority not contractual).</w:t>
            </w:r>
          </w:p>
        </w:tc>
      </w:tr>
      <w:tr>
        <w:trPr>
          <w:trHeight w:val="465" w:hRule="atLeast"/>
        </w:trPr>
        <w:tc>
          <w:tcPr>
            <w:tcW w:w="496" w:type="dxa"/>
          </w:tcPr>
          <w:p>
            <w:pPr>
              <w:pStyle w:val="TableParagraph"/>
              <w:jc w:val="center"/>
              <w:rPr>
                <w:sz w:val="14"/>
              </w:rPr>
            </w:pPr>
            <w:r>
              <w:rPr>
                <w:color w:val="005DA1"/>
                <w:spacing w:val="-2"/>
                <w:sz w:val="14"/>
                <w:u w:val="single" w:color="005DA1"/>
              </w:rPr>
              <w:t>1057</w:t>
            </w:r>
            <w:r>
              <w:rPr>
                <w:spacing w:val="-2"/>
                <w:sz w:val="14"/>
              </w:rPr>
              <w:t>.</w:t>
            </w:r>
          </w:p>
        </w:tc>
        <w:tc>
          <w:tcPr>
            <w:tcW w:w="8620" w:type="dxa"/>
          </w:tcPr>
          <w:p>
            <w:pPr>
              <w:pStyle w:val="TableParagraph"/>
              <w:spacing w:before="114"/>
              <w:ind w:left="94" w:right="0"/>
              <w:rPr>
                <w:sz w:val="20"/>
              </w:rPr>
            </w:pPr>
            <w:r>
              <w:rPr>
                <w:rFonts w:ascii="Arial"/>
                <w:i/>
                <w:sz w:val="20"/>
              </w:rPr>
              <w:t>White v Chief Constable of the South Yorkshire Police [1999] A.C. 455</w:t>
            </w:r>
            <w:r>
              <w:rPr>
                <w:rFonts w:ascii="Arial"/>
                <w:i/>
                <w:spacing w:val="-1"/>
                <w:sz w:val="20"/>
              </w:rPr>
              <w:t> </w:t>
            </w:r>
            <w:r>
              <w:rPr>
                <w:sz w:val="20"/>
              </w:rPr>
              <w:t>at </w:t>
            </w:r>
            <w:r>
              <w:rPr>
                <w:spacing w:val="-4"/>
                <w:sz w:val="20"/>
              </w:rPr>
              <w:t>497.</w:t>
            </w:r>
          </w:p>
        </w:tc>
      </w:tr>
      <w:tr>
        <w:trPr>
          <w:trHeight w:val="690" w:hRule="atLeast"/>
        </w:trPr>
        <w:tc>
          <w:tcPr>
            <w:tcW w:w="496" w:type="dxa"/>
          </w:tcPr>
          <w:p>
            <w:pPr>
              <w:pStyle w:val="TableParagraph"/>
              <w:jc w:val="center"/>
              <w:rPr>
                <w:sz w:val="14"/>
              </w:rPr>
            </w:pPr>
            <w:r>
              <w:rPr>
                <w:color w:val="005DA1"/>
                <w:spacing w:val="-2"/>
                <w:sz w:val="14"/>
                <w:u w:val="single" w:color="005DA1"/>
              </w:rPr>
              <w:t>1058</w:t>
            </w:r>
            <w:r>
              <w:rPr>
                <w:spacing w:val="-2"/>
                <w:sz w:val="14"/>
              </w:rPr>
              <w:t>.</w:t>
            </w:r>
          </w:p>
        </w:tc>
        <w:tc>
          <w:tcPr>
            <w:tcW w:w="8620" w:type="dxa"/>
          </w:tcPr>
          <w:p>
            <w:pPr>
              <w:pStyle w:val="TableParagraph"/>
              <w:spacing w:line="235" w:lineRule="auto" w:before="118"/>
              <w:ind w:left="94" w:right="49"/>
              <w:rPr>
                <w:sz w:val="20"/>
              </w:rPr>
            </w:pPr>
            <w:r>
              <w:rPr>
                <w:rFonts w:ascii="Arial"/>
                <w:i/>
                <w:sz w:val="20"/>
              </w:rPr>
              <w:t>White v Chief Constable of the South Yorkshire Police [1999] A.C. 455 </w:t>
            </w:r>
            <w:r>
              <w:rPr>
                <w:sz w:val="20"/>
              </w:rPr>
              <w:t>at 497; see also </w:t>
            </w:r>
            <w:r>
              <w:rPr>
                <w:rFonts w:ascii="Arial"/>
                <w:i/>
                <w:sz w:val="20"/>
              </w:rPr>
              <w:t>Waters v Commissioner of Police to the Metropolis [2000] 1 W.L.R. 1607, 1616</w:t>
            </w:r>
            <w:r>
              <w:rPr>
                <w:sz w:val="20"/>
              </w:rPr>
              <w:t>.</w:t>
            </w:r>
          </w:p>
        </w:tc>
      </w:tr>
      <w:tr>
        <w:trPr>
          <w:trHeight w:val="344" w:hRule="atLeast"/>
        </w:trPr>
        <w:tc>
          <w:tcPr>
            <w:tcW w:w="496" w:type="dxa"/>
          </w:tcPr>
          <w:p>
            <w:pPr>
              <w:pStyle w:val="TableParagraph"/>
              <w:jc w:val="center"/>
              <w:rPr>
                <w:sz w:val="14"/>
              </w:rPr>
            </w:pPr>
            <w:bookmarkStart w:name="_bookmark1848" w:id="1850"/>
            <w:bookmarkEnd w:id="1850"/>
            <w:r>
              <w:rPr/>
            </w:r>
            <w:r>
              <w:rPr>
                <w:color w:val="005DA1"/>
                <w:spacing w:val="-2"/>
                <w:sz w:val="14"/>
                <w:u w:val="single" w:color="005DA1"/>
              </w:rPr>
              <w:t>1059</w:t>
            </w:r>
            <w:r>
              <w:rPr>
                <w:spacing w:val="-2"/>
                <w:sz w:val="14"/>
              </w:rPr>
              <w:t>.</w:t>
            </w:r>
          </w:p>
        </w:tc>
        <w:tc>
          <w:tcPr>
            <w:tcW w:w="8620" w:type="dxa"/>
          </w:tcPr>
          <w:p>
            <w:pPr>
              <w:pStyle w:val="TableParagraph"/>
              <w:spacing w:line="210" w:lineRule="exact" w:before="114"/>
              <w:ind w:left="94" w:right="0"/>
              <w:rPr>
                <w:sz w:val="20"/>
              </w:rPr>
            </w:pPr>
            <w:r>
              <w:rPr>
                <w:sz w:val="20"/>
              </w:rPr>
              <w:t>s.42(1);</w:t>
            </w:r>
            <w:r>
              <w:rPr>
                <w:spacing w:val="5"/>
                <w:sz w:val="20"/>
              </w:rPr>
              <w:t> </w:t>
            </w:r>
            <w:r>
              <w:rPr>
                <w:sz w:val="20"/>
              </w:rPr>
              <w:t>employment</w:t>
            </w:r>
            <w:r>
              <w:rPr>
                <w:spacing w:val="5"/>
                <w:sz w:val="20"/>
              </w:rPr>
              <w:t> </w:t>
            </w:r>
            <w:r>
              <w:rPr>
                <w:sz w:val="20"/>
              </w:rPr>
              <w:t>in</w:t>
            </w:r>
            <w:r>
              <w:rPr>
                <w:spacing w:val="5"/>
                <w:sz w:val="20"/>
              </w:rPr>
              <w:t> </w:t>
            </w:r>
            <w:r>
              <w:rPr>
                <w:sz w:val="20"/>
              </w:rPr>
              <w:t>Pt</w:t>
            </w:r>
            <w:r>
              <w:rPr>
                <w:spacing w:val="5"/>
                <w:sz w:val="20"/>
              </w:rPr>
              <w:t> </w:t>
            </w:r>
            <w:r>
              <w:rPr>
                <w:sz w:val="20"/>
              </w:rPr>
              <w:t>5</w:t>
            </w:r>
            <w:r>
              <w:rPr>
                <w:spacing w:val="5"/>
                <w:sz w:val="20"/>
              </w:rPr>
              <w:t> </w:t>
            </w:r>
            <w:r>
              <w:rPr>
                <w:sz w:val="20"/>
              </w:rPr>
              <w:t>of</w:t>
            </w:r>
            <w:r>
              <w:rPr>
                <w:spacing w:val="5"/>
                <w:sz w:val="20"/>
              </w:rPr>
              <w:t> </w:t>
            </w:r>
            <w:r>
              <w:rPr>
                <w:sz w:val="20"/>
              </w:rPr>
              <w:t>the</w:t>
            </w:r>
            <w:r>
              <w:rPr>
                <w:spacing w:val="5"/>
                <w:sz w:val="20"/>
              </w:rPr>
              <w:t> </w:t>
            </w:r>
            <w:r>
              <w:rPr>
                <w:sz w:val="20"/>
              </w:rPr>
              <w:t>2010</w:t>
            </w:r>
            <w:r>
              <w:rPr>
                <w:spacing w:val="5"/>
                <w:sz w:val="20"/>
              </w:rPr>
              <w:t> </w:t>
            </w:r>
            <w:r>
              <w:rPr>
                <w:sz w:val="20"/>
              </w:rPr>
              <w:t>Act</w:t>
            </w:r>
            <w:r>
              <w:rPr>
                <w:spacing w:val="5"/>
                <w:sz w:val="20"/>
              </w:rPr>
              <w:t> </w:t>
            </w:r>
            <w:r>
              <w:rPr>
                <w:sz w:val="20"/>
              </w:rPr>
              <w:t>means</w:t>
            </w:r>
            <w:r>
              <w:rPr>
                <w:spacing w:val="5"/>
                <w:sz w:val="20"/>
              </w:rPr>
              <w:t> </w:t>
            </w:r>
            <w:r>
              <w:rPr>
                <w:sz w:val="20"/>
              </w:rPr>
              <w:t>(inter</w:t>
            </w:r>
            <w:r>
              <w:rPr>
                <w:spacing w:val="5"/>
                <w:sz w:val="20"/>
              </w:rPr>
              <w:t> </w:t>
            </w:r>
            <w:r>
              <w:rPr>
                <w:sz w:val="20"/>
              </w:rPr>
              <w:t>alia)</w:t>
            </w:r>
            <w:r>
              <w:rPr>
                <w:spacing w:val="5"/>
                <w:sz w:val="20"/>
              </w:rPr>
              <w:t> </w:t>
            </w:r>
            <w:r>
              <w:rPr>
                <w:sz w:val="20"/>
              </w:rPr>
              <w:t>“employment</w:t>
            </w:r>
            <w:r>
              <w:rPr>
                <w:spacing w:val="5"/>
                <w:sz w:val="20"/>
              </w:rPr>
              <w:t> </w:t>
            </w:r>
            <w:r>
              <w:rPr>
                <w:sz w:val="20"/>
              </w:rPr>
              <w:t>under</w:t>
            </w:r>
            <w:r>
              <w:rPr>
                <w:spacing w:val="5"/>
                <w:sz w:val="20"/>
              </w:rPr>
              <w:t> </w:t>
            </w:r>
            <w:r>
              <w:rPr>
                <w:sz w:val="20"/>
              </w:rPr>
              <w:t>a</w:t>
            </w:r>
            <w:r>
              <w:rPr>
                <w:spacing w:val="5"/>
                <w:sz w:val="20"/>
              </w:rPr>
              <w:t> </w:t>
            </w:r>
            <w:r>
              <w:rPr>
                <w:sz w:val="20"/>
              </w:rPr>
              <w:t>contract</w:t>
            </w:r>
            <w:r>
              <w:rPr>
                <w:spacing w:val="5"/>
                <w:sz w:val="20"/>
              </w:rPr>
              <w:t> </w:t>
            </w:r>
            <w:r>
              <w:rPr>
                <w:spacing w:val="-5"/>
                <w:sz w:val="20"/>
              </w:rPr>
              <w:t>of</w:t>
            </w:r>
          </w:p>
        </w:tc>
      </w:tr>
    </w:tbl>
    <w:p>
      <w:pPr>
        <w:pStyle w:val="TableParagraph"/>
        <w:spacing w:after="0" w:line="210" w:lineRule="exact"/>
        <w:rPr>
          <w:sz w:val="20"/>
        </w:rPr>
        <w:sectPr>
          <w:pgSz w:w="11900" w:h="16840"/>
          <w:pgMar w:header="971" w:footer="0" w:top="1300" w:bottom="280" w:left="1275" w:right="1275"/>
        </w:sectPr>
      </w:pPr>
    </w:p>
    <w:p>
      <w:pPr>
        <w:pStyle w:val="BodyText"/>
        <w:spacing w:before="166"/>
        <w:ind w:left="705"/>
      </w:pPr>
      <w:r>
        <w:rPr/>
        <w:t>employment”: </w:t>
      </w:r>
      <w:r>
        <w:rPr>
          <w:spacing w:val="-2"/>
        </w:rPr>
        <w:t>s.83(2)(a).</w:t>
      </w:r>
    </w:p>
    <w:p>
      <w:pPr>
        <w:pStyle w:val="BodyText"/>
        <w:spacing w:before="5"/>
      </w:pPr>
    </w:p>
    <w:p>
      <w:pPr>
        <w:spacing w:line="227" w:lineRule="exact" w:before="1"/>
        <w:ind w:left="165" w:right="0" w:firstLine="0"/>
        <w:jc w:val="left"/>
        <w:rPr>
          <w:sz w:val="20"/>
        </w:rPr>
      </w:pPr>
      <w:r>
        <w:rPr>
          <w:color w:val="005DA1"/>
          <w:position w:val="5"/>
          <w:sz w:val="14"/>
          <w:u w:val="single" w:color="005DA1"/>
        </w:rPr>
        <w:t>1060</w:t>
      </w:r>
      <w:r>
        <w:rPr>
          <w:position w:val="5"/>
          <w:sz w:val="14"/>
        </w:rPr>
        <w:t>.</w:t>
      </w:r>
      <w:r>
        <w:rPr>
          <w:spacing w:val="55"/>
          <w:position w:val="5"/>
          <w:sz w:val="14"/>
        </w:rPr>
        <w:t>  </w:t>
      </w:r>
      <w:r>
        <w:rPr>
          <w:rFonts w:ascii="Arial"/>
          <w:i/>
          <w:sz w:val="20"/>
        </w:rPr>
        <w:t>Vaughan</w:t>
      </w:r>
      <w:r>
        <w:rPr>
          <w:rFonts w:ascii="Arial"/>
          <w:i/>
          <w:spacing w:val="49"/>
          <w:sz w:val="20"/>
        </w:rPr>
        <w:t> </w:t>
      </w:r>
      <w:r>
        <w:rPr>
          <w:rFonts w:ascii="Arial"/>
          <w:i/>
          <w:sz w:val="20"/>
        </w:rPr>
        <w:t>v</w:t>
      </w:r>
      <w:r>
        <w:rPr>
          <w:rFonts w:ascii="Arial"/>
          <w:i/>
          <w:spacing w:val="48"/>
          <w:sz w:val="20"/>
        </w:rPr>
        <w:t> </w:t>
      </w:r>
      <w:r>
        <w:rPr>
          <w:rFonts w:ascii="Arial"/>
          <w:i/>
          <w:sz w:val="20"/>
        </w:rPr>
        <w:t>Vaughan</w:t>
      </w:r>
      <w:r>
        <w:rPr>
          <w:rFonts w:ascii="Arial"/>
          <w:i/>
          <w:spacing w:val="48"/>
          <w:sz w:val="20"/>
        </w:rPr>
        <w:t> </w:t>
      </w:r>
      <w:r>
        <w:rPr>
          <w:rFonts w:ascii="Arial"/>
          <w:i/>
          <w:sz w:val="20"/>
        </w:rPr>
        <w:t>[1953]</w:t>
      </w:r>
      <w:r>
        <w:rPr>
          <w:rFonts w:ascii="Arial"/>
          <w:i/>
          <w:spacing w:val="48"/>
          <w:sz w:val="20"/>
        </w:rPr>
        <w:t> </w:t>
      </w:r>
      <w:r>
        <w:rPr>
          <w:rFonts w:ascii="Arial"/>
          <w:i/>
          <w:sz w:val="20"/>
        </w:rPr>
        <w:t>1</w:t>
      </w:r>
      <w:r>
        <w:rPr>
          <w:rFonts w:ascii="Arial"/>
          <w:i/>
          <w:spacing w:val="48"/>
          <w:sz w:val="20"/>
        </w:rPr>
        <w:t> </w:t>
      </w:r>
      <w:r>
        <w:rPr>
          <w:rFonts w:ascii="Arial"/>
          <w:i/>
          <w:sz w:val="20"/>
        </w:rPr>
        <w:t>Q.B.</w:t>
      </w:r>
      <w:r>
        <w:rPr>
          <w:rFonts w:ascii="Arial"/>
          <w:i/>
          <w:spacing w:val="48"/>
          <w:sz w:val="20"/>
        </w:rPr>
        <w:t> </w:t>
      </w:r>
      <w:r>
        <w:rPr>
          <w:rFonts w:ascii="Arial"/>
          <w:i/>
          <w:sz w:val="20"/>
        </w:rPr>
        <w:t>762,</w:t>
      </w:r>
      <w:r>
        <w:rPr>
          <w:rFonts w:ascii="Arial"/>
          <w:i/>
          <w:spacing w:val="48"/>
          <w:sz w:val="20"/>
        </w:rPr>
        <w:t> </w:t>
      </w:r>
      <w:r>
        <w:rPr>
          <w:rFonts w:ascii="Arial"/>
          <w:i/>
          <w:sz w:val="20"/>
        </w:rPr>
        <w:t>765</w:t>
      </w:r>
      <w:r>
        <w:rPr>
          <w:sz w:val="20"/>
        </w:rPr>
        <w:t>;</w:t>
      </w:r>
      <w:r>
        <w:rPr>
          <w:spacing w:val="48"/>
          <w:sz w:val="20"/>
        </w:rPr>
        <w:t> </w:t>
      </w:r>
      <w:r>
        <w:rPr>
          <w:sz w:val="20"/>
        </w:rPr>
        <w:t>cf.</w:t>
      </w:r>
      <w:r>
        <w:rPr>
          <w:spacing w:val="48"/>
          <w:sz w:val="20"/>
        </w:rPr>
        <w:t> </w:t>
      </w:r>
      <w:r>
        <w:rPr>
          <w:rFonts w:ascii="Arial"/>
          <w:i/>
          <w:sz w:val="20"/>
        </w:rPr>
        <w:t>Booker</w:t>
      </w:r>
      <w:r>
        <w:rPr>
          <w:rFonts w:ascii="Arial"/>
          <w:i/>
          <w:spacing w:val="48"/>
          <w:sz w:val="20"/>
        </w:rPr>
        <w:t> </w:t>
      </w:r>
      <w:r>
        <w:rPr>
          <w:rFonts w:ascii="Arial"/>
          <w:i/>
          <w:sz w:val="20"/>
        </w:rPr>
        <w:t>v</w:t>
      </w:r>
      <w:r>
        <w:rPr>
          <w:rFonts w:ascii="Arial"/>
          <w:i/>
          <w:spacing w:val="48"/>
          <w:sz w:val="20"/>
        </w:rPr>
        <w:t> </w:t>
      </w:r>
      <w:r>
        <w:rPr>
          <w:rFonts w:ascii="Arial"/>
          <w:i/>
          <w:sz w:val="20"/>
        </w:rPr>
        <w:t>Palmer</w:t>
      </w:r>
      <w:r>
        <w:rPr>
          <w:rFonts w:ascii="Arial"/>
          <w:i/>
          <w:spacing w:val="48"/>
          <w:sz w:val="20"/>
        </w:rPr>
        <w:t> </w:t>
      </w:r>
      <w:r>
        <w:rPr>
          <w:rFonts w:ascii="Arial"/>
          <w:i/>
          <w:sz w:val="20"/>
        </w:rPr>
        <w:t>[1942]</w:t>
      </w:r>
      <w:r>
        <w:rPr>
          <w:rFonts w:ascii="Arial"/>
          <w:i/>
          <w:spacing w:val="48"/>
          <w:sz w:val="20"/>
        </w:rPr>
        <w:t> </w:t>
      </w:r>
      <w:r>
        <w:rPr>
          <w:rFonts w:ascii="Arial"/>
          <w:i/>
          <w:sz w:val="20"/>
        </w:rPr>
        <w:t>2</w:t>
      </w:r>
      <w:r>
        <w:rPr>
          <w:rFonts w:ascii="Arial"/>
          <w:i/>
          <w:spacing w:val="48"/>
          <w:sz w:val="20"/>
        </w:rPr>
        <w:t> </w:t>
      </w:r>
      <w:r>
        <w:rPr>
          <w:rFonts w:ascii="Arial"/>
          <w:i/>
          <w:sz w:val="20"/>
        </w:rPr>
        <w:t>All</w:t>
      </w:r>
      <w:r>
        <w:rPr>
          <w:rFonts w:ascii="Arial"/>
          <w:i/>
          <w:spacing w:val="48"/>
          <w:sz w:val="20"/>
        </w:rPr>
        <w:t> </w:t>
      </w:r>
      <w:r>
        <w:rPr>
          <w:rFonts w:ascii="Arial"/>
          <w:i/>
          <w:sz w:val="20"/>
        </w:rPr>
        <w:t>E.R.</w:t>
      </w:r>
      <w:r>
        <w:rPr>
          <w:rFonts w:ascii="Arial"/>
          <w:i/>
          <w:spacing w:val="48"/>
          <w:sz w:val="20"/>
        </w:rPr>
        <w:t> </w:t>
      </w:r>
      <w:r>
        <w:rPr>
          <w:rFonts w:ascii="Arial"/>
          <w:i/>
          <w:spacing w:val="-4"/>
          <w:sz w:val="20"/>
        </w:rPr>
        <w:t>674</w:t>
      </w:r>
      <w:r>
        <w:rPr>
          <w:spacing w:val="-4"/>
          <w:sz w:val="20"/>
        </w:rPr>
        <w:t>;</w:t>
      </w:r>
    </w:p>
    <w:p>
      <w:pPr>
        <w:spacing w:line="227" w:lineRule="exact" w:before="0"/>
        <w:ind w:left="705" w:right="0" w:firstLine="0"/>
        <w:jc w:val="left"/>
        <w:rPr>
          <w:sz w:val="20"/>
        </w:rPr>
      </w:pPr>
      <w:r>
        <w:rPr>
          <w:rFonts w:ascii="Arial"/>
          <w:i/>
          <w:sz w:val="20"/>
        </w:rPr>
        <w:t>Horrocks</w:t>
      </w:r>
      <w:r>
        <w:rPr>
          <w:rFonts w:ascii="Arial"/>
          <w:i/>
          <w:spacing w:val="-1"/>
          <w:sz w:val="20"/>
        </w:rPr>
        <w:t> </w:t>
      </w:r>
      <w:r>
        <w:rPr>
          <w:rFonts w:ascii="Arial"/>
          <w:i/>
          <w:sz w:val="20"/>
        </w:rPr>
        <w:t>v Forray [1976] 1 W.L.R. 230</w:t>
      </w:r>
      <w:r>
        <w:rPr>
          <w:sz w:val="20"/>
        </w:rPr>
        <w:t>; </w:t>
      </w:r>
      <w:r>
        <w:rPr>
          <w:rFonts w:ascii="Arial"/>
          <w:i/>
          <w:sz w:val="20"/>
        </w:rPr>
        <w:t>Windeler v Whitehall [1990] 2 F.L.R. </w:t>
      </w:r>
      <w:r>
        <w:rPr>
          <w:rFonts w:ascii="Arial"/>
          <w:i/>
          <w:spacing w:val="-4"/>
          <w:sz w:val="20"/>
        </w:rPr>
        <w:t>505</w:t>
      </w:r>
      <w:r>
        <w:rPr>
          <w:spacing w:val="-4"/>
          <w:sz w:val="20"/>
        </w:rPr>
        <w:t>.</w:t>
      </w:r>
    </w:p>
    <w:p>
      <w:pPr>
        <w:pStyle w:val="BodyText"/>
        <w:spacing w:before="8"/>
      </w:pPr>
    </w:p>
    <w:p>
      <w:pPr>
        <w:spacing w:line="235" w:lineRule="auto" w:before="0"/>
        <w:ind w:left="705" w:right="202" w:hanging="541"/>
        <w:jc w:val="left"/>
        <w:rPr>
          <w:sz w:val="20"/>
        </w:rPr>
      </w:pPr>
      <w:r>
        <w:rPr>
          <w:color w:val="005DA1"/>
          <w:position w:val="5"/>
          <w:sz w:val="14"/>
          <w:u w:val="single" w:color="005DA1"/>
        </w:rPr>
        <w:t>1061</w:t>
      </w:r>
      <w:r>
        <w:rPr>
          <w:position w:val="5"/>
          <w:sz w:val="14"/>
        </w:rPr>
        <w:t>.</w:t>
      </w:r>
      <w:r>
        <w:rPr>
          <w:spacing w:val="53"/>
          <w:position w:val="5"/>
          <w:sz w:val="14"/>
        </w:rPr>
        <w:t>  </w:t>
      </w:r>
      <w:r>
        <w:rPr>
          <w:sz w:val="20"/>
        </w:rPr>
        <w:t>cf. </w:t>
      </w:r>
      <w:r>
        <w:rPr>
          <w:rFonts w:ascii="Arial"/>
          <w:i/>
          <w:sz w:val="20"/>
        </w:rPr>
        <w:t>Jones v Padavatton [1969] 1 W.L.R. 328</w:t>
      </w:r>
      <w:r>
        <w:rPr>
          <w:sz w:val="20"/>
        </w:rPr>
        <w:t>; and see </w:t>
      </w:r>
      <w:r>
        <w:rPr>
          <w:rFonts w:ascii="Arial"/>
          <w:i/>
          <w:sz w:val="20"/>
        </w:rPr>
        <w:t>Gould v Gould [1970] 1 Q.B. 275</w:t>
      </w:r>
      <w:r>
        <w:rPr>
          <w:sz w:val="20"/>
        </w:rPr>
        <w:t>; </w:t>
      </w:r>
      <w:r>
        <w:rPr>
          <w:rFonts w:ascii="Arial"/>
          <w:i/>
          <w:sz w:val="20"/>
        </w:rPr>
        <w:t>Layton</w:t>
      </w:r>
      <w:r>
        <w:rPr>
          <w:rFonts w:ascii="Arial"/>
          <w:i/>
          <w:spacing w:val="40"/>
          <w:sz w:val="20"/>
        </w:rPr>
        <w:t> </w:t>
      </w:r>
      <w:r>
        <w:rPr>
          <w:rFonts w:ascii="Arial"/>
          <w:i/>
          <w:sz w:val="20"/>
        </w:rPr>
        <w:t>v Morris, The Times, December 11, 1985</w:t>
      </w:r>
      <w:r>
        <w:rPr>
          <w:sz w:val="20"/>
        </w:rPr>
        <w:t>.</w:t>
      </w:r>
    </w:p>
    <w:p>
      <w:pPr>
        <w:pStyle w:val="BodyText"/>
        <w:spacing w:before="6"/>
      </w:pPr>
    </w:p>
    <w:p>
      <w:pPr>
        <w:spacing w:before="0"/>
        <w:ind w:left="165" w:right="0" w:firstLine="0"/>
        <w:jc w:val="left"/>
        <w:rPr>
          <w:sz w:val="20"/>
        </w:rPr>
      </w:pPr>
      <w:r>
        <w:rPr>
          <w:color w:val="005DA1"/>
          <w:position w:val="5"/>
          <w:sz w:val="14"/>
          <w:u w:val="single" w:color="005DA1"/>
        </w:rPr>
        <w:t>1062</w:t>
      </w:r>
      <w:r>
        <w:rPr>
          <w:position w:val="5"/>
          <w:sz w:val="14"/>
        </w:rPr>
        <w:t>.</w:t>
      </w:r>
      <w:r>
        <w:rPr>
          <w:spacing w:val="55"/>
          <w:position w:val="5"/>
          <w:sz w:val="14"/>
        </w:rPr>
        <w:t>  </w:t>
      </w:r>
      <w:r>
        <w:rPr>
          <w:rFonts w:ascii="Arial"/>
          <w:i/>
          <w:sz w:val="20"/>
        </w:rPr>
        <w:t>J.H.</w:t>
      </w:r>
      <w:r>
        <w:rPr>
          <w:rFonts w:ascii="Arial"/>
          <w:i/>
          <w:spacing w:val="1"/>
          <w:sz w:val="20"/>
        </w:rPr>
        <w:t> </w:t>
      </w:r>
      <w:r>
        <w:rPr>
          <w:rFonts w:ascii="Arial"/>
          <w:i/>
          <w:sz w:val="20"/>
        </w:rPr>
        <w:t>Milner &amp; Son v Percy Bilton Ltd [1966] 1 W.L.R. </w:t>
      </w:r>
      <w:r>
        <w:rPr>
          <w:rFonts w:ascii="Arial"/>
          <w:i/>
          <w:spacing w:val="-2"/>
          <w:sz w:val="20"/>
        </w:rPr>
        <w:t>1582</w:t>
      </w:r>
      <w:r>
        <w:rPr>
          <w:spacing w:val="-2"/>
          <w:sz w:val="20"/>
        </w:rPr>
        <w:t>.</w:t>
      </w:r>
    </w:p>
    <w:p>
      <w:pPr>
        <w:pStyle w:val="BodyText"/>
        <w:spacing w:before="5"/>
      </w:pPr>
    </w:p>
    <w:p>
      <w:pPr>
        <w:spacing w:before="0"/>
        <w:ind w:left="165" w:right="0" w:firstLine="0"/>
        <w:jc w:val="left"/>
        <w:rPr>
          <w:sz w:val="20"/>
        </w:rPr>
      </w:pPr>
      <w:r>
        <w:rPr>
          <w:color w:val="005DA1"/>
          <w:position w:val="5"/>
          <w:sz w:val="14"/>
          <w:u w:val="single" w:color="005DA1"/>
        </w:rPr>
        <w:t>1063</w:t>
      </w:r>
      <w:r>
        <w:rPr>
          <w:position w:val="5"/>
          <w:sz w:val="14"/>
        </w:rPr>
        <w:t>.</w:t>
      </w:r>
      <w:r>
        <w:rPr>
          <w:spacing w:val="55"/>
          <w:position w:val="5"/>
          <w:sz w:val="14"/>
        </w:rPr>
        <w:t>  </w:t>
      </w:r>
      <w:r>
        <w:rPr>
          <w:sz w:val="20"/>
        </w:rPr>
        <w:t>Above,</w:t>
      </w:r>
      <w:r>
        <w:rPr>
          <w:spacing w:val="1"/>
          <w:sz w:val="20"/>
        </w:rPr>
        <w:t> </w:t>
      </w:r>
      <w:r>
        <w:rPr>
          <w:sz w:val="20"/>
        </w:rPr>
        <w:t>para.2-</w:t>
      </w:r>
      <w:r>
        <w:rPr>
          <w:spacing w:val="-4"/>
          <w:sz w:val="20"/>
        </w:rPr>
        <w:t>132.</w:t>
      </w:r>
    </w:p>
    <w:p>
      <w:pPr>
        <w:pStyle w:val="BodyText"/>
        <w:spacing w:before="8"/>
      </w:pPr>
    </w:p>
    <w:p>
      <w:pPr>
        <w:spacing w:line="235" w:lineRule="auto" w:before="1"/>
        <w:ind w:left="705" w:right="167" w:hanging="541"/>
        <w:jc w:val="both"/>
        <w:rPr>
          <w:sz w:val="20"/>
        </w:rPr>
      </w:pPr>
      <w:r>
        <w:rPr>
          <w:color w:val="005DA1"/>
          <w:position w:val="5"/>
          <w:sz w:val="14"/>
          <w:u w:val="single" w:color="005DA1"/>
        </w:rPr>
        <w:t>1064</w:t>
      </w:r>
      <w:r>
        <w:rPr>
          <w:position w:val="5"/>
          <w:sz w:val="14"/>
        </w:rPr>
        <w:t>.</w:t>
      </w:r>
      <w:r>
        <w:rPr>
          <w:spacing w:val="80"/>
          <w:w w:val="150"/>
          <w:position w:val="5"/>
          <w:sz w:val="14"/>
        </w:rPr>
        <w:t> </w:t>
      </w:r>
      <w:r>
        <w:rPr>
          <w:rFonts w:ascii="Arial" w:hAnsi="Arial"/>
          <w:i/>
          <w:sz w:val="20"/>
        </w:rPr>
        <w:t>Kleinwort</w:t>
      </w:r>
      <w:r>
        <w:rPr>
          <w:rFonts w:ascii="Arial" w:hAnsi="Arial"/>
          <w:i/>
          <w:spacing w:val="-2"/>
          <w:sz w:val="20"/>
        </w:rPr>
        <w:t> </w:t>
      </w:r>
      <w:r>
        <w:rPr>
          <w:rFonts w:ascii="Arial" w:hAnsi="Arial"/>
          <w:i/>
          <w:sz w:val="20"/>
        </w:rPr>
        <w:t>Benson</w:t>
      </w:r>
      <w:r>
        <w:rPr>
          <w:rFonts w:ascii="Arial" w:hAnsi="Arial"/>
          <w:i/>
          <w:spacing w:val="-2"/>
          <w:sz w:val="20"/>
        </w:rPr>
        <w:t> </w:t>
      </w:r>
      <w:r>
        <w:rPr>
          <w:rFonts w:ascii="Arial" w:hAnsi="Arial"/>
          <w:i/>
          <w:sz w:val="20"/>
        </w:rPr>
        <w:t>Ltd</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Malaysian</w:t>
      </w:r>
      <w:r>
        <w:rPr>
          <w:rFonts w:ascii="Arial" w:hAnsi="Arial"/>
          <w:i/>
          <w:spacing w:val="-2"/>
          <w:sz w:val="20"/>
        </w:rPr>
        <w:t> </w:t>
      </w:r>
      <w:r>
        <w:rPr>
          <w:rFonts w:ascii="Arial" w:hAnsi="Arial"/>
          <w:i/>
          <w:sz w:val="20"/>
        </w:rPr>
        <w:t>Mining</w:t>
      </w:r>
      <w:r>
        <w:rPr>
          <w:rFonts w:ascii="Arial" w:hAnsi="Arial"/>
          <w:i/>
          <w:spacing w:val="-2"/>
          <w:sz w:val="20"/>
        </w:rPr>
        <w:t> </w:t>
      </w:r>
      <w:r>
        <w:rPr>
          <w:rFonts w:ascii="Arial" w:hAnsi="Arial"/>
          <w:i/>
          <w:sz w:val="20"/>
        </w:rPr>
        <w:t>Corp</w:t>
      </w:r>
      <w:r>
        <w:rPr>
          <w:rFonts w:ascii="Arial" w:hAnsi="Arial"/>
          <w:i/>
          <w:spacing w:val="-2"/>
          <w:sz w:val="20"/>
        </w:rPr>
        <w:t> </w:t>
      </w:r>
      <w:r>
        <w:rPr>
          <w:rFonts w:ascii="Arial" w:hAnsi="Arial"/>
          <w:i/>
          <w:sz w:val="20"/>
        </w:rPr>
        <w:t>[1989]</w:t>
      </w:r>
      <w:r>
        <w:rPr>
          <w:rFonts w:ascii="Arial" w:hAnsi="Arial"/>
          <w:i/>
          <w:spacing w:val="-2"/>
          <w:sz w:val="20"/>
        </w:rPr>
        <w:t> </w:t>
      </w:r>
      <w:r>
        <w:rPr>
          <w:rFonts w:ascii="Arial" w:hAnsi="Arial"/>
          <w:i/>
          <w:sz w:val="20"/>
        </w:rPr>
        <w:t>1</w:t>
      </w:r>
      <w:r>
        <w:rPr>
          <w:rFonts w:ascii="Arial" w:hAnsi="Arial"/>
          <w:i/>
          <w:spacing w:val="-2"/>
          <w:sz w:val="20"/>
        </w:rPr>
        <w:t> </w:t>
      </w:r>
      <w:r>
        <w:rPr>
          <w:rFonts w:ascii="Arial" w:hAnsi="Arial"/>
          <w:i/>
          <w:sz w:val="20"/>
        </w:rPr>
        <w:t>W.L.R.</w:t>
      </w:r>
      <w:r>
        <w:rPr>
          <w:rFonts w:ascii="Arial" w:hAnsi="Arial"/>
          <w:i/>
          <w:spacing w:val="-2"/>
          <w:sz w:val="20"/>
        </w:rPr>
        <w:t> </w:t>
      </w:r>
      <w:r>
        <w:rPr>
          <w:rFonts w:ascii="Arial" w:hAnsi="Arial"/>
          <w:i/>
          <w:sz w:val="20"/>
        </w:rPr>
        <w:t>379</w:t>
      </w:r>
      <w:r>
        <w:rPr>
          <w:sz w:val="20"/>
        </w:rPr>
        <w:t>;</w:t>
      </w:r>
      <w:r>
        <w:rPr>
          <w:spacing w:val="-2"/>
          <w:sz w:val="20"/>
        </w:rPr>
        <w:t> </w:t>
      </w:r>
      <w:r>
        <w:rPr>
          <w:sz w:val="20"/>
        </w:rPr>
        <w:t>see</w:t>
      </w:r>
      <w:r>
        <w:rPr>
          <w:spacing w:val="-2"/>
          <w:sz w:val="20"/>
        </w:rPr>
        <w:t> </w:t>
      </w:r>
      <w:r>
        <w:rPr>
          <w:sz w:val="20"/>
        </w:rPr>
        <w:t>also</w:t>
      </w:r>
      <w:r>
        <w:rPr>
          <w:spacing w:val="-2"/>
          <w:sz w:val="20"/>
        </w:rPr>
        <w:t> </w:t>
      </w:r>
      <w:r>
        <w:rPr>
          <w:rFonts w:ascii="Arial" w:hAnsi="Arial"/>
          <w:i/>
          <w:sz w:val="20"/>
        </w:rPr>
        <w:t>Associated</w:t>
      </w:r>
      <w:r>
        <w:rPr>
          <w:rFonts w:ascii="Arial" w:hAnsi="Arial"/>
          <w:i/>
          <w:spacing w:val="-2"/>
          <w:sz w:val="20"/>
        </w:rPr>
        <w:t> </w:t>
      </w:r>
      <w:r>
        <w:rPr>
          <w:rFonts w:ascii="Arial" w:hAnsi="Arial"/>
          <w:i/>
          <w:sz w:val="20"/>
        </w:rPr>
        <w:t>British Ports v Ferryways NV [2009] EWCA Civ 189, [2009] 1 Lloyd’s Rep. 595</w:t>
      </w:r>
      <w:r>
        <w:rPr>
          <w:sz w:val="20"/>
        </w:rPr>
        <w:t>, above para.2-132 (where a “letter of comfort” was held to have given rise to a legally binding contract, though that contract had later been discharged).</w:t>
      </w:r>
    </w:p>
    <w:p>
      <w:pPr>
        <w:pStyle w:val="BodyText"/>
        <w:spacing w:before="8"/>
      </w:pPr>
    </w:p>
    <w:p>
      <w:pPr>
        <w:spacing w:line="235" w:lineRule="auto" w:before="0"/>
        <w:ind w:left="705" w:right="167" w:hanging="541"/>
        <w:jc w:val="both"/>
        <w:rPr>
          <w:sz w:val="20"/>
        </w:rPr>
      </w:pPr>
      <w:r>
        <w:rPr>
          <w:color w:val="005DA1"/>
          <w:position w:val="5"/>
          <w:sz w:val="14"/>
          <w:u w:val="single" w:color="005DA1"/>
        </w:rPr>
        <w:t>1065</w:t>
      </w:r>
      <w:r>
        <w:rPr>
          <w:position w:val="5"/>
          <w:sz w:val="14"/>
        </w:rPr>
        <w:t>.</w:t>
      </w:r>
      <w:r>
        <w:rPr>
          <w:spacing w:val="80"/>
          <w:w w:val="150"/>
          <w:position w:val="5"/>
          <w:sz w:val="14"/>
        </w:rPr>
        <w:t> </w:t>
      </w:r>
      <w:r>
        <w:rPr>
          <w:sz w:val="20"/>
        </w:rPr>
        <w:t>cf. </w:t>
      </w:r>
      <w:r>
        <w:rPr>
          <w:rFonts w:ascii="Arial" w:hAnsi="Arial"/>
          <w:i/>
          <w:sz w:val="20"/>
        </w:rPr>
        <w:t>Snelling v John G. Snelling Ltd [1973] 1 Q.B. 87, 93</w:t>
      </w:r>
      <w:r>
        <w:rPr>
          <w:sz w:val="20"/>
        </w:rPr>
        <w:t>; </w:t>
      </w:r>
      <w:r>
        <w:rPr>
          <w:rFonts w:ascii="Arial" w:hAnsi="Arial"/>
          <w:i/>
          <w:sz w:val="20"/>
        </w:rPr>
        <w:t>Montreal Gas Co v Vasey [1900] A.C. 595</w:t>
      </w:r>
      <w:r>
        <w:rPr>
          <w:sz w:val="20"/>
        </w:rPr>
        <w:t>; </w:t>
      </w:r>
      <w:r>
        <w:rPr>
          <w:rFonts w:ascii="Arial" w:hAnsi="Arial"/>
          <w:i/>
          <w:sz w:val="20"/>
        </w:rPr>
        <w:t>B.S.C. v Cleveland Bridge &amp; Engineering Co Ltd [1984] 1 All E.R. 504</w:t>
      </w:r>
      <w:r>
        <w:rPr>
          <w:sz w:val="20"/>
        </w:rPr>
        <w:t>; cf. </w:t>
      </w:r>
      <w:r>
        <w:rPr>
          <w:rFonts w:ascii="Arial" w:hAnsi="Arial"/>
          <w:i/>
          <w:sz w:val="20"/>
        </w:rPr>
        <w:t>Turiff Construction Ltd v Regalia Knitting Mills (1971) 222 E.G. 169 </w:t>
      </w:r>
      <w:r>
        <w:rPr>
          <w:sz w:val="20"/>
        </w:rPr>
        <w:t>(letter of intent held to be a collateral contract to pay for preliminary work); </w:t>
      </w:r>
      <w:r>
        <w:rPr>
          <w:rFonts w:ascii="Arial" w:hAnsi="Arial"/>
          <w:i/>
          <w:sz w:val="20"/>
        </w:rPr>
        <w:t>Diamond Build Ltd v Clapham Park Homes Ltd [2008] EWHC 1439 (TCC), 119 Con. L.R. 32 </w:t>
      </w:r>
      <w:r>
        <w:rPr>
          <w:sz w:val="20"/>
        </w:rPr>
        <w:t>(binding letter of intent: above, para.2-</w:t>
      </w:r>
      <w:r>
        <w:rPr>
          <w:sz w:val="20"/>
        </w:rPr>
        <w:t>132).</w:t>
      </w:r>
      <w:r>
        <w:rPr>
          <w:spacing w:val="40"/>
          <w:sz w:val="20"/>
        </w:rPr>
        <w:t> </w:t>
      </w:r>
      <w:r>
        <w:rPr>
          <w:rFonts w:ascii="Arial" w:hAnsi="Arial"/>
          <w:i/>
          <w:sz w:val="20"/>
        </w:rPr>
        <w:t>Wilson Smithett &amp; Cope (Sugar) Ltd v Bangladesh Sugar Industries Ltd [1986] 1 Lloyd’s Rep. 378 </w:t>
      </w:r>
      <w:r>
        <w:rPr>
          <w:sz w:val="20"/>
        </w:rPr>
        <w:t>(letter of intent held to be an acceptance).</w:t>
      </w:r>
    </w:p>
    <w:p>
      <w:pPr>
        <w:pStyle w:val="BodyText"/>
        <w:spacing w:before="4"/>
      </w:pPr>
    </w:p>
    <w:p>
      <w:pPr>
        <w:spacing w:before="0"/>
        <w:ind w:left="165" w:right="0" w:firstLine="0"/>
        <w:jc w:val="left"/>
        <w:rPr>
          <w:sz w:val="20"/>
        </w:rPr>
      </w:pPr>
      <w:r>
        <w:rPr>
          <w:color w:val="005DA1"/>
          <w:position w:val="5"/>
          <w:sz w:val="14"/>
          <w:u w:val="single" w:color="005DA1"/>
        </w:rPr>
        <w:t>1066</w:t>
      </w:r>
      <w:r>
        <w:rPr>
          <w:position w:val="5"/>
          <w:sz w:val="14"/>
        </w:rPr>
        <w:t>.</w:t>
      </w:r>
      <w:r>
        <w:rPr>
          <w:spacing w:val="55"/>
          <w:position w:val="5"/>
          <w:sz w:val="14"/>
        </w:rPr>
        <w:t>  </w:t>
      </w:r>
      <w:r>
        <w:rPr>
          <w:sz w:val="20"/>
        </w:rPr>
        <w:t>Above,</w:t>
      </w:r>
      <w:r>
        <w:rPr>
          <w:spacing w:val="1"/>
          <w:sz w:val="20"/>
        </w:rPr>
        <w:t> </w:t>
      </w:r>
      <w:r>
        <w:rPr>
          <w:sz w:val="20"/>
        </w:rPr>
        <w:t>para.2-</w:t>
      </w:r>
      <w:r>
        <w:rPr>
          <w:spacing w:val="-4"/>
          <w:sz w:val="20"/>
        </w:rPr>
        <w:t>147.</w:t>
      </w:r>
    </w:p>
    <w:p>
      <w:pPr>
        <w:pStyle w:val="BodyText"/>
        <w:spacing w:before="8"/>
      </w:pPr>
    </w:p>
    <w:p>
      <w:pPr>
        <w:spacing w:line="235" w:lineRule="auto" w:before="1"/>
        <w:ind w:left="705" w:right="167" w:hanging="541"/>
        <w:jc w:val="both"/>
        <w:rPr>
          <w:sz w:val="20"/>
        </w:rPr>
      </w:pPr>
      <w:r>
        <w:rPr>
          <w:color w:val="005DA1"/>
          <w:position w:val="5"/>
          <w:sz w:val="14"/>
          <w:u w:val="single" w:color="005DA1"/>
        </w:rPr>
        <w:t>1067</w:t>
      </w:r>
      <w:r>
        <w:rPr>
          <w:position w:val="5"/>
          <w:sz w:val="14"/>
        </w:rPr>
        <w:t>.</w:t>
      </w:r>
      <w:r>
        <w:rPr>
          <w:spacing w:val="80"/>
          <w:position w:val="5"/>
          <w:sz w:val="14"/>
        </w:rPr>
        <w:t> </w:t>
      </w:r>
      <w:r>
        <w:rPr>
          <w:sz w:val="20"/>
        </w:rPr>
        <w:t>See </w:t>
      </w:r>
      <w:r>
        <w:rPr>
          <w:rFonts w:ascii="Arial" w:hAnsi="Arial"/>
          <w:i/>
          <w:sz w:val="20"/>
        </w:rPr>
        <w:t>Re Goodchild [1997] 1 W.L.R. 1216 </w:t>
      </w:r>
      <w:r>
        <w:rPr>
          <w:sz w:val="20"/>
        </w:rPr>
        <w:t>where it is said at 1226 that one of the parties to</w:t>
      </w:r>
      <w:r>
        <w:rPr>
          <w:spacing w:val="40"/>
          <w:sz w:val="20"/>
        </w:rPr>
        <w:t> </w:t>
      </w:r>
      <w:r>
        <w:rPr>
          <w:sz w:val="20"/>
        </w:rPr>
        <w:t>alleged mutual wills “regarded the arrangement as irrevocable, but … [the other] did not”; cf. </w:t>
      </w:r>
      <w:r>
        <w:rPr>
          <w:rFonts w:ascii="Arial" w:hAnsi="Arial"/>
          <w:i/>
          <w:sz w:val="20"/>
        </w:rPr>
        <w:t>Taylor v Dickens [1998] 1 F.L.R. 806 </w:t>
      </w:r>
      <w:r>
        <w:rPr>
          <w:sz w:val="20"/>
        </w:rPr>
        <w:t>(the reasoning of this case is doubted, but not on the</w:t>
      </w:r>
      <w:r>
        <w:rPr>
          <w:spacing w:val="40"/>
          <w:sz w:val="20"/>
        </w:rPr>
        <w:t> </w:t>
      </w:r>
      <w:r>
        <w:rPr>
          <w:sz w:val="20"/>
        </w:rPr>
        <w:t>issue of contractual intention, in </w:t>
      </w:r>
      <w:r>
        <w:rPr>
          <w:rFonts w:ascii="Arial" w:hAnsi="Arial"/>
          <w:i/>
          <w:sz w:val="20"/>
        </w:rPr>
        <w:t>Gillett v Holt [2001] Ch. 210</w:t>
      </w:r>
      <w:r>
        <w:rPr>
          <w:sz w:val="20"/>
        </w:rPr>
        <w:t>). See also </w:t>
      </w:r>
      <w:r>
        <w:rPr>
          <w:rFonts w:ascii="Arial" w:hAnsi="Arial"/>
          <w:i/>
          <w:sz w:val="20"/>
        </w:rPr>
        <w:t>Judge v Crown </w:t>
      </w:r>
      <w:r>
        <w:rPr>
          <w:rFonts w:ascii="Arial" w:hAnsi="Arial"/>
          <w:i/>
          <w:sz w:val="20"/>
        </w:rPr>
        <w:t>Leisure Ltd [2005] EWCA Civ 571, [2005] I.R.L.R. 823 </w:t>
      </w:r>
      <w:r>
        <w:rPr>
          <w:sz w:val="20"/>
        </w:rPr>
        <w:t>(above, para.2-147) at [23], distinguishing between the two issues; and </w:t>
      </w:r>
      <w:r>
        <w:rPr>
          <w:rFonts w:ascii="Arial" w:hAnsi="Arial"/>
          <w:i/>
          <w:sz w:val="20"/>
        </w:rPr>
        <w:t>Bear Stearns Bank Plc v Forum Global Equity Ltd [2007] EWHC 1576 </w:t>
      </w:r>
      <w:r>
        <w:rPr>
          <w:sz w:val="20"/>
        </w:rPr>
        <w:t>at [152], [170] and [171], where certainty and intention to create legal relations were treated as separate requirements, both of which were satisfied. See also below at n.1052.</w:t>
      </w:r>
    </w:p>
    <w:p>
      <w:pPr>
        <w:pStyle w:val="BodyText"/>
        <w:spacing w:before="6"/>
      </w:pPr>
    </w:p>
    <w:p>
      <w:pPr>
        <w:pStyle w:val="BodyText"/>
        <w:spacing w:line="235" w:lineRule="auto" w:before="1"/>
        <w:ind w:left="705" w:right="167" w:hanging="541"/>
        <w:jc w:val="both"/>
      </w:pPr>
      <w:r>
        <w:rPr>
          <w:color w:val="005DA1"/>
          <w:position w:val="5"/>
          <w:sz w:val="14"/>
          <w:u w:val="single" w:color="005DA1"/>
        </w:rPr>
        <w:t>1068</w:t>
      </w:r>
      <w:r>
        <w:rPr>
          <w:position w:val="5"/>
          <w:sz w:val="14"/>
        </w:rPr>
        <w:t>.</w:t>
      </w:r>
      <w:r>
        <w:rPr>
          <w:spacing w:val="80"/>
          <w:position w:val="5"/>
          <w:sz w:val="14"/>
        </w:rPr>
        <w:t> </w:t>
      </w:r>
      <w:r>
        <w:rPr/>
        <w:t>Above, paras 2-125, 2-171. The terms of such agreements may be elaborated in </w:t>
      </w:r>
      <w:r>
        <w:rPr/>
        <w:t>considerable detail, but contractual intention is generally negatived until the requirement of “exchange of contracts” (above, para.2-125) is satisfied.</w:t>
      </w:r>
    </w:p>
    <w:p>
      <w:pPr>
        <w:pStyle w:val="BodyText"/>
        <w:spacing w:before="4"/>
      </w:pPr>
    </w:p>
    <w:p>
      <w:pPr>
        <w:spacing w:before="1"/>
        <w:ind w:left="165" w:right="0" w:firstLine="0"/>
        <w:jc w:val="left"/>
        <w:rPr>
          <w:sz w:val="20"/>
        </w:rPr>
      </w:pPr>
      <w:r>
        <w:rPr>
          <w:color w:val="005DA1"/>
          <w:position w:val="5"/>
          <w:sz w:val="14"/>
          <w:u w:val="single" w:color="005DA1"/>
        </w:rPr>
        <w:t>1069</w:t>
      </w:r>
      <w:r>
        <w:rPr>
          <w:position w:val="5"/>
          <w:sz w:val="14"/>
        </w:rPr>
        <w:t>.</w:t>
      </w:r>
      <w:r>
        <w:rPr>
          <w:spacing w:val="55"/>
          <w:position w:val="5"/>
          <w:sz w:val="14"/>
        </w:rPr>
        <w:t>  </w:t>
      </w:r>
      <w:r>
        <w:rPr>
          <w:rFonts w:ascii="Arial"/>
          <w:i/>
          <w:sz w:val="20"/>
        </w:rPr>
        <w:t>Dhanani</w:t>
      </w:r>
      <w:r>
        <w:rPr>
          <w:rFonts w:ascii="Arial"/>
          <w:i/>
          <w:spacing w:val="1"/>
          <w:sz w:val="20"/>
        </w:rPr>
        <w:t> </w:t>
      </w:r>
      <w:r>
        <w:rPr>
          <w:rFonts w:ascii="Arial"/>
          <w:i/>
          <w:sz w:val="20"/>
        </w:rPr>
        <w:t>v Crasnianski [2011] EWHC 926 (Comm), [2011] 2 All E.R. (Comm) </w:t>
      </w:r>
      <w:r>
        <w:rPr>
          <w:rFonts w:ascii="Arial"/>
          <w:i/>
          <w:spacing w:val="-4"/>
          <w:sz w:val="20"/>
        </w:rPr>
        <w:t>799</w:t>
      </w:r>
      <w:r>
        <w:rPr>
          <w:spacing w:val="-4"/>
          <w:sz w:val="20"/>
        </w:rPr>
        <w:t>.</w:t>
      </w:r>
    </w:p>
    <w:p>
      <w:pPr>
        <w:pStyle w:val="BodyText"/>
        <w:spacing w:before="4"/>
      </w:pPr>
    </w:p>
    <w:p>
      <w:pPr>
        <w:spacing w:before="1"/>
        <w:ind w:left="165" w:right="0" w:firstLine="0"/>
        <w:jc w:val="left"/>
        <w:rPr>
          <w:sz w:val="20"/>
        </w:rPr>
      </w:pPr>
      <w:r>
        <w:rPr>
          <w:color w:val="005DA1"/>
          <w:position w:val="5"/>
          <w:sz w:val="14"/>
          <w:u w:val="single" w:color="005DA1"/>
        </w:rPr>
        <w:t>1070</w:t>
      </w:r>
      <w:r>
        <w:rPr>
          <w:position w:val="5"/>
          <w:sz w:val="14"/>
        </w:rPr>
        <w:t>.</w:t>
      </w:r>
      <w:r>
        <w:rPr>
          <w:spacing w:val="55"/>
          <w:position w:val="5"/>
          <w:sz w:val="14"/>
        </w:rPr>
        <w:t>  </w:t>
      </w:r>
      <w:r>
        <w:rPr>
          <w:sz w:val="20"/>
        </w:rPr>
        <w:t>At</w:t>
      </w:r>
      <w:r>
        <w:rPr>
          <w:spacing w:val="1"/>
          <w:sz w:val="20"/>
        </w:rPr>
        <w:t> </w:t>
      </w:r>
      <w:r>
        <w:rPr>
          <w:sz w:val="20"/>
        </w:rPr>
        <w:t>[75], [80], [81], </w:t>
      </w:r>
      <w:r>
        <w:rPr>
          <w:spacing w:val="-2"/>
          <w:sz w:val="20"/>
        </w:rPr>
        <w:t>[89].</w:t>
      </w:r>
    </w:p>
    <w:p>
      <w:pPr>
        <w:pStyle w:val="BodyText"/>
        <w:spacing w:before="5"/>
      </w:pPr>
    </w:p>
    <w:p>
      <w:pPr>
        <w:spacing w:before="0"/>
        <w:ind w:left="165" w:right="0" w:firstLine="0"/>
        <w:jc w:val="left"/>
        <w:rPr>
          <w:sz w:val="20"/>
        </w:rPr>
      </w:pPr>
      <w:r>
        <w:rPr>
          <w:color w:val="005DA1"/>
          <w:position w:val="5"/>
          <w:sz w:val="14"/>
          <w:u w:val="single" w:color="005DA1"/>
        </w:rPr>
        <w:t>1071</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EWHC 926 (Comm)</w:t>
      </w:r>
      <w:r>
        <w:rPr>
          <w:rFonts w:ascii="Arial"/>
          <w:i/>
          <w:spacing w:val="-1"/>
          <w:sz w:val="20"/>
        </w:rPr>
        <w:t> </w:t>
      </w:r>
      <w:r>
        <w:rPr>
          <w:sz w:val="20"/>
        </w:rPr>
        <w:t>at [95]; see above para.2-143 for such </w:t>
      </w:r>
      <w:r>
        <w:rPr>
          <w:spacing w:val="-2"/>
          <w:sz w:val="20"/>
        </w:rPr>
        <w:t>agreements.</w:t>
      </w:r>
    </w:p>
    <w:p>
      <w:pPr>
        <w:pStyle w:val="BodyText"/>
        <w:spacing w:before="5"/>
      </w:pPr>
    </w:p>
    <w:p>
      <w:pPr>
        <w:spacing w:before="0"/>
        <w:ind w:left="165" w:right="0" w:firstLine="0"/>
        <w:jc w:val="left"/>
        <w:rPr>
          <w:sz w:val="20"/>
        </w:rPr>
      </w:pPr>
      <w:r>
        <w:rPr>
          <w:color w:val="005DA1"/>
          <w:position w:val="5"/>
          <w:sz w:val="14"/>
          <w:u w:val="single" w:color="005DA1"/>
        </w:rPr>
        <w:t>1072</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EWHC 926 (Comm)</w:t>
      </w:r>
      <w:r>
        <w:rPr>
          <w:rFonts w:ascii="Arial"/>
          <w:i/>
          <w:spacing w:val="-1"/>
          <w:sz w:val="20"/>
        </w:rPr>
        <w:t> </w:t>
      </w:r>
      <w:r>
        <w:rPr>
          <w:sz w:val="20"/>
        </w:rPr>
        <w:t>at </w:t>
      </w:r>
      <w:r>
        <w:rPr>
          <w:spacing w:val="-2"/>
          <w:sz w:val="20"/>
        </w:rPr>
        <w:t>[105].</w:t>
      </w:r>
    </w:p>
    <w:p>
      <w:pPr>
        <w:pStyle w:val="BodyText"/>
        <w:spacing w:before="5"/>
      </w:pPr>
    </w:p>
    <w:p>
      <w:pPr>
        <w:spacing w:before="0"/>
        <w:ind w:left="165" w:right="0" w:firstLine="0"/>
        <w:jc w:val="left"/>
        <w:rPr>
          <w:sz w:val="20"/>
        </w:rPr>
      </w:pPr>
      <w:r>
        <w:rPr>
          <w:color w:val="005DA1"/>
          <w:position w:val="5"/>
          <w:sz w:val="14"/>
          <w:u w:val="single" w:color="005DA1"/>
        </w:rPr>
        <w:t>1073</w:t>
      </w:r>
      <w:r>
        <w:rPr>
          <w:position w:val="5"/>
          <w:sz w:val="14"/>
        </w:rPr>
        <w:t>.</w:t>
      </w:r>
      <w:r>
        <w:rPr>
          <w:spacing w:val="55"/>
          <w:position w:val="5"/>
          <w:sz w:val="14"/>
        </w:rPr>
        <w:t>  </w:t>
      </w:r>
      <w:r>
        <w:rPr>
          <w:rFonts w:ascii="Arial"/>
          <w:i/>
          <w:sz w:val="20"/>
        </w:rPr>
        <w:t>[2011]</w:t>
      </w:r>
      <w:r>
        <w:rPr>
          <w:rFonts w:ascii="Arial"/>
          <w:i/>
          <w:spacing w:val="1"/>
          <w:sz w:val="20"/>
        </w:rPr>
        <w:t> </w:t>
      </w:r>
      <w:r>
        <w:rPr>
          <w:rFonts w:ascii="Arial"/>
          <w:i/>
          <w:sz w:val="20"/>
        </w:rPr>
        <w:t>EWHC 926 (Comm)</w:t>
      </w:r>
      <w:r>
        <w:rPr>
          <w:rFonts w:ascii="Arial"/>
          <w:i/>
          <w:spacing w:val="-1"/>
          <w:sz w:val="20"/>
        </w:rPr>
        <w:t> </w:t>
      </w:r>
      <w:r>
        <w:rPr>
          <w:sz w:val="20"/>
        </w:rPr>
        <w:t>at </w:t>
      </w:r>
      <w:r>
        <w:rPr>
          <w:spacing w:val="-2"/>
          <w:sz w:val="20"/>
        </w:rPr>
        <w:t>[94].</w:t>
      </w:r>
    </w:p>
    <w:p>
      <w:pPr>
        <w:pStyle w:val="BodyText"/>
        <w:spacing w:before="8"/>
      </w:pPr>
    </w:p>
    <w:p>
      <w:pPr>
        <w:spacing w:line="235" w:lineRule="auto" w:before="1"/>
        <w:ind w:left="705" w:right="167" w:hanging="541"/>
        <w:jc w:val="both"/>
        <w:rPr>
          <w:sz w:val="20"/>
        </w:rPr>
      </w:pPr>
      <w:r>
        <w:rPr>
          <w:color w:val="005DA1"/>
          <w:position w:val="5"/>
          <w:sz w:val="14"/>
          <w:u w:val="single" w:color="005DA1"/>
        </w:rPr>
        <w:t>1074</w:t>
      </w:r>
      <w:r>
        <w:rPr>
          <w:position w:val="5"/>
          <w:sz w:val="14"/>
        </w:rPr>
        <w:t>.</w:t>
      </w:r>
      <w:r>
        <w:rPr>
          <w:spacing w:val="80"/>
          <w:w w:val="150"/>
          <w:position w:val="5"/>
          <w:sz w:val="14"/>
        </w:rPr>
        <w:t> </w:t>
      </w:r>
      <w:r>
        <w:rPr>
          <w:rFonts w:ascii="Arial" w:hAnsi="Arial"/>
          <w:i/>
          <w:sz w:val="20"/>
        </w:rPr>
        <w:t>[2011] EWHC 926 (Comm) </w:t>
      </w:r>
      <w:r>
        <w:rPr>
          <w:sz w:val="20"/>
        </w:rPr>
        <w:t>at [104]; for similar reasoning, see </w:t>
      </w:r>
      <w:r>
        <w:rPr>
          <w:rFonts w:ascii="Arial" w:hAnsi="Arial"/>
          <w:i/>
          <w:sz w:val="20"/>
        </w:rPr>
        <w:t>Shaker v VistaJet Group </w:t>
      </w:r>
      <w:r>
        <w:rPr>
          <w:rFonts w:ascii="Arial" w:hAnsi="Arial"/>
          <w:i/>
          <w:sz w:val="20"/>
        </w:rPr>
        <w:t>Holding SA [2012] EWHC 1329 (Comm), [2012] 2 Lloyd’s Rep. 93 </w:t>
      </w:r>
      <w:r>
        <w:rPr>
          <w:sz w:val="20"/>
        </w:rPr>
        <w:t>at [7], where an “agreement to use reasonable endeavours to agree” was held to be unenforceable because there were “no objective criteria by which the court can decide whether a party has acted unreasonably” (i.e. in relation to those endeavours); for such criteria, cf. above, paras 2-125, 2-135, 2-150.</w:t>
      </w:r>
    </w:p>
    <w:p>
      <w:pPr>
        <w:pStyle w:val="BodyText"/>
        <w:spacing w:before="4"/>
      </w:pPr>
    </w:p>
    <w:p>
      <w:pPr>
        <w:spacing w:before="0"/>
        <w:ind w:left="165" w:right="0" w:firstLine="0"/>
        <w:jc w:val="left"/>
        <w:rPr>
          <w:sz w:val="20"/>
        </w:rPr>
      </w:pPr>
      <w:r>
        <w:rPr>
          <w:color w:val="005DA1"/>
          <w:position w:val="5"/>
          <w:sz w:val="14"/>
          <w:u w:val="single" w:color="005DA1"/>
        </w:rPr>
        <w:t>1075</w:t>
      </w:r>
      <w:r>
        <w:rPr>
          <w:position w:val="5"/>
          <w:sz w:val="14"/>
        </w:rPr>
        <w:t>.</w:t>
      </w:r>
      <w:r>
        <w:rPr>
          <w:spacing w:val="55"/>
          <w:position w:val="5"/>
          <w:sz w:val="14"/>
        </w:rPr>
        <w:t>  </w:t>
      </w:r>
      <w:r>
        <w:rPr>
          <w:rFonts w:ascii="Arial"/>
          <w:i/>
          <w:sz w:val="20"/>
        </w:rPr>
        <w:t>[2012]</w:t>
      </w:r>
      <w:r>
        <w:rPr>
          <w:rFonts w:ascii="Arial"/>
          <w:i/>
          <w:spacing w:val="1"/>
          <w:sz w:val="20"/>
        </w:rPr>
        <w:t> </w:t>
      </w:r>
      <w:r>
        <w:rPr>
          <w:rFonts w:ascii="Arial"/>
          <w:i/>
          <w:sz w:val="20"/>
        </w:rPr>
        <w:t>EWCA Civ </w:t>
      </w:r>
      <w:r>
        <w:rPr>
          <w:rFonts w:ascii="Arial"/>
          <w:i/>
          <w:spacing w:val="-4"/>
          <w:sz w:val="20"/>
        </w:rPr>
        <w:t>548</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1076</w:t>
      </w:r>
      <w:r>
        <w:rPr>
          <w:position w:val="5"/>
          <w:sz w:val="14"/>
        </w:rPr>
        <w:t>.</w:t>
      </w:r>
      <w:r>
        <w:rPr>
          <w:spacing w:val="55"/>
          <w:position w:val="5"/>
          <w:sz w:val="14"/>
        </w:rPr>
        <w:t>  </w:t>
      </w:r>
      <w:r>
        <w:rPr>
          <w:rFonts w:ascii="Arial"/>
          <w:i/>
          <w:sz w:val="20"/>
        </w:rPr>
        <w:t>[2012]</w:t>
      </w:r>
      <w:r>
        <w:rPr>
          <w:rFonts w:ascii="Arial"/>
          <w:i/>
          <w:spacing w:val="1"/>
          <w:sz w:val="20"/>
        </w:rPr>
        <w:t> </w:t>
      </w:r>
      <w:r>
        <w:rPr>
          <w:rFonts w:ascii="Arial"/>
          <w:i/>
          <w:sz w:val="20"/>
        </w:rPr>
        <w:t>EWCA Civ 548</w:t>
      </w:r>
      <w:r>
        <w:rPr>
          <w:rFonts w:ascii="Arial"/>
          <w:i/>
          <w:spacing w:val="-1"/>
          <w:sz w:val="20"/>
        </w:rPr>
        <w:t> </w:t>
      </w:r>
      <w:r>
        <w:rPr>
          <w:sz w:val="20"/>
        </w:rPr>
        <w:t>at </w:t>
      </w:r>
      <w:r>
        <w:rPr>
          <w:spacing w:val="-2"/>
          <w:sz w:val="20"/>
        </w:rPr>
        <w:t>[37].</w:t>
      </w:r>
    </w:p>
    <w:p>
      <w:pPr>
        <w:spacing w:after="0"/>
        <w:jc w:val="left"/>
        <w:rPr>
          <w:sz w:val="20"/>
        </w:rPr>
        <w:sectPr>
          <w:pgSz w:w="11900" w:h="16840"/>
          <w:pgMar w:header="971" w:footer="0" w:top="1300" w:bottom="280" w:left="1275" w:right="1275"/>
        </w:sectPr>
      </w:pPr>
    </w:p>
    <w:p>
      <w:pPr>
        <w:spacing w:before="166"/>
        <w:ind w:left="165" w:right="0" w:firstLine="0"/>
        <w:jc w:val="left"/>
        <w:rPr>
          <w:sz w:val="20"/>
        </w:rPr>
      </w:pPr>
      <w:bookmarkStart w:name="_bookmark1849" w:id="1851"/>
      <w:bookmarkEnd w:id="1851"/>
      <w:r>
        <w:rPr/>
      </w:r>
      <w:r>
        <w:rPr>
          <w:color w:val="005DA1"/>
          <w:position w:val="5"/>
          <w:sz w:val="14"/>
          <w:u w:val="single" w:color="005DA1"/>
        </w:rPr>
        <w:t>1077</w:t>
      </w:r>
      <w:r>
        <w:rPr>
          <w:position w:val="5"/>
          <w:sz w:val="14"/>
        </w:rPr>
        <w:t>.</w:t>
      </w:r>
      <w:r>
        <w:rPr>
          <w:spacing w:val="55"/>
          <w:position w:val="5"/>
          <w:sz w:val="14"/>
        </w:rPr>
        <w:t>  </w:t>
      </w:r>
      <w:r>
        <w:rPr>
          <w:rFonts w:ascii="Arial"/>
          <w:i/>
          <w:sz w:val="20"/>
        </w:rPr>
        <w:t>[2012]</w:t>
      </w:r>
      <w:r>
        <w:rPr>
          <w:rFonts w:ascii="Arial"/>
          <w:i/>
          <w:spacing w:val="1"/>
          <w:sz w:val="20"/>
        </w:rPr>
        <w:t> </w:t>
      </w:r>
      <w:r>
        <w:rPr>
          <w:rFonts w:ascii="Arial"/>
          <w:i/>
          <w:sz w:val="20"/>
        </w:rPr>
        <w:t>EWCA Civ 548</w:t>
      </w:r>
      <w:r>
        <w:rPr>
          <w:rFonts w:ascii="Arial"/>
          <w:i/>
          <w:spacing w:val="-1"/>
          <w:sz w:val="20"/>
        </w:rPr>
        <w:t> </w:t>
      </w:r>
      <w:r>
        <w:rPr>
          <w:sz w:val="20"/>
        </w:rPr>
        <w:t>at </w:t>
      </w:r>
      <w:r>
        <w:rPr>
          <w:spacing w:val="-2"/>
          <w:sz w:val="20"/>
        </w:rPr>
        <w:t>[44].</w:t>
      </w:r>
    </w:p>
    <w:p>
      <w:pPr>
        <w:pStyle w:val="BodyText"/>
        <w:spacing w:before="5"/>
      </w:pPr>
    </w:p>
    <w:p>
      <w:pPr>
        <w:spacing w:before="1"/>
        <w:ind w:left="165" w:right="0" w:firstLine="0"/>
        <w:jc w:val="left"/>
        <w:rPr>
          <w:sz w:val="20"/>
        </w:rPr>
      </w:pPr>
      <w:r>
        <w:rPr>
          <w:color w:val="005DA1"/>
          <w:position w:val="5"/>
          <w:sz w:val="14"/>
          <w:u w:val="single" w:color="005DA1"/>
        </w:rPr>
        <w:t>1078</w:t>
      </w:r>
      <w:r>
        <w:rPr>
          <w:position w:val="5"/>
          <w:sz w:val="14"/>
        </w:rPr>
        <w:t>.</w:t>
      </w:r>
      <w:r>
        <w:rPr>
          <w:spacing w:val="55"/>
          <w:position w:val="5"/>
          <w:sz w:val="14"/>
        </w:rPr>
        <w:t>  </w:t>
      </w:r>
      <w:r>
        <w:rPr>
          <w:rFonts w:ascii="Arial"/>
          <w:i/>
          <w:sz w:val="20"/>
        </w:rPr>
        <w:t>[2012]</w:t>
      </w:r>
      <w:r>
        <w:rPr>
          <w:rFonts w:ascii="Arial"/>
          <w:i/>
          <w:spacing w:val="1"/>
          <w:sz w:val="20"/>
        </w:rPr>
        <w:t> </w:t>
      </w:r>
      <w:r>
        <w:rPr>
          <w:rFonts w:ascii="Arial"/>
          <w:i/>
          <w:sz w:val="20"/>
        </w:rPr>
        <w:t>EWCA Civ 548</w:t>
      </w:r>
      <w:r>
        <w:rPr>
          <w:rFonts w:ascii="Arial"/>
          <w:i/>
          <w:spacing w:val="-1"/>
          <w:sz w:val="20"/>
        </w:rPr>
        <w:t> </w:t>
      </w:r>
      <w:r>
        <w:rPr>
          <w:sz w:val="20"/>
        </w:rPr>
        <w:t>at </w:t>
      </w:r>
      <w:r>
        <w:rPr>
          <w:spacing w:val="-2"/>
          <w:sz w:val="20"/>
        </w:rPr>
        <w:t>[52].</w:t>
      </w:r>
    </w:p>
    <w:p>
      <w:pPr>
        <w:pStyle w:val="BodyText"/>
        <w:spacing w:before="8"/>
      </w:pPr>
    </w:p>
    <w:p>
      <w:pPr>
        <w:spacing w:line="235" w:lineRule="auto" w:before="0"/>
        <w:ind w:left="705" w:right="167" w:hanging="541"/>
        <w:jc w:val="both"/>
        <w:rPr>
          <w:sz w:val="20"/>
        </w:rPr>
      </w:pPr>
      <w:r>
        <w:rPr>
          <w:color w:val="005DA1"/>
          <w:position w:val="5"/>
          <w:sz w:val="14"/>
          <w:u w:val="single" w:color="005DA1"/>
        </w:rPr>
        <w:t>1079</w:t>
      </w:r>
      <w:r>
        <w:rPr>
          <w:position w:val="5"/>
          <w:sz w:val="14"/>
        </w:rPr>
        <w:t>.</w:t>
      </w:r>
      <w:r>
        <w:rPr>
          <w:spacing w:val="80"/>
          <w:w w:val="150"/>
          <w:position w:val="5"/>
          <w:sz w:val="14"/>
        </w:rPr>
        <w:t> </w:t>
      </w:r>
      <w:r>
        <w:rPr>
          <w:sz w:val="20"/>
        </w:rPr>
        <w:t>This</w:t>
      </w:r>
      <w:r>
        <w:rPr>
          <w:spacing w:val="-2"/>
          <w:sz w:val="20"/>
        </w:rPr>
        <w:t> </w:t>
      </w:r>
      <w:r>
        <w:rPr>
          <w:sz w:val="20"/>
        </w:rPr>
        <w:t>view</w:t>
      </w:r>
      <w:r>
        <w:rPr>
          <w:spacing w:val="-2"/>
          <w:sz w:val="20"/>
        </w:rPr>
        <w:t> </w:t>
      </w:r>
      <w:r>
        <w:rPr>
          <w:sz w:val="20"/>
        </w:rPr>
        <w:t>is</w:t>
      </w:r>
      <w:r>
        <w:rPr>
          <w:spacing w:val="-2"/>
          <w:sz w:val="20"/>
        </w:rPr>
        <w:t> </w:t>
      </w:r>
      <w:r>
        <w:rPr>
          <w:sz w:val="20"/>
        </w:rPr>
        <w:t>supported</w:t>
      </w:r>
      <w:r>
        <w:rPr>
          <w:spacing w:val="-2"/>
          <w:sz w:val="20"/>
        </w:rPr>
        <w:t> </w:t>
      </w:r>
      <w:r>
        <w:rPr>
          <w:sz w:val="20"/>
        </w:rPr>
        <w:t>by</w:t>
      </w:r>
      <w:r>
        <w:rPr>
          <w:spacing w:val="-2"/>
          <w:sz w:val="20"/>
        </w:rPr>
        <w:t> </w:t>
      </w:r>
      <w:r>
        <w:rPr>
          <w:sz w:val="20"/>
        </w:rPr>
        <w:t>passages</w:t>
      </w:r>
      <w:r>
        <w:rPr>
          <w:spacing w:val="-2"/>
          <w:sz w:val="20"/>
        </w:rPr>
        <w:t> </w:t>
      </w:r>
      <w:r>
        <w:rPr>
          <w:sz w:val="20"/>
        </w:rPr>
        <w:t>in</w:t>
      </w:r>
      <w:r>
        <w:rPr>
          <w:spacing w:val="-2"/>
          <w:sz w:val="20"/>
        </w:rPr>
        <w:t> </w:t>
      </w:r>
      <w:r>
        <w:rPr>
          <w:rFonts w:ascii="Arial" w:hAnsi="Arial"/>
          <w:i/>
          <w:sz w:val="20"/>
        </w:rPr>
        <w:t>Judge</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Crown</w:t>
      </w:r>
      <w:r>
        <w:rPr>
          <w:rFonts w:ascii="Arial" w:hAnsi="Arial"/>
          <w:i/>
          <w:spacing w:val="-2"/>
          <w:sz w:val="20"/>
        </w:rPr>
        <w:t> </w:t>
      </w:r>
      <w:r>
        <w:rPr>
          <w:rFonts w:ascii="Arial" w:hAnsi="Arial"/>
          <w:i/>
          <w:sz w:val="20"/>
        </w:rPr>
        <w:t>Leisure</w:t>
      </w:r>
      <w:r>
        <w:rPr>
          <w:rFonts w:ascii="Arial" w:hAnsi="Arial"/>
          <w:i/>
          <w:spacing w:val="-2"/>
          <w:sz w:val="20"/>
        </w:rPr>
        <w:t> </w:t>
      </w:r>
      <w:r>
        <w:rPr>
          <w:rFonts w:ascii="Arial" w:hAnsi="Arial"/>
          <w:i/>
          <w:sz w:val="20"/>
        </w:rPr>
        <w:t>Ltd</w:t>
      </w:r>
      <w:r>
        <w:rPr>
          <w:sz w:val="20"/>
        </w:rPr>
        <w:t>,</w:t>
      </w:r>
      <w:r>
        <w:rPr>
          <w:spacing w:val="-2"/>
          <w:sz w:val="20"/>
        </w:rPr>
        <w:t> </w:t>
      </w:r>
      <w:r>
        <w:rPr>
          <w:sz w:val="20"/>
        </w:rPr>
        <w:t>above</w:t>
      </w:r>
      <w:r>
        <w:rPr>
          <w:spacing w:val="-2"/>
          <w:sz w:val="20"/>
        </w:rPr>
        <w:t> </w:t>
      </w:r>
      <w:r>
        <w:rPr>
          <w:sz w:val="20"/>
        </w:rPr>
        <w:t>n.1042</w:t>
      </w:r>
      <w:r>
        <w:rPr>
          <w:spacing w:val="-2"/>
          <w:sz w:val="20"/>
        </w:rPr>
        <w:t> </w:t>
      </w:r>
      <w:r>
        <w:rPr>
          <w:sz w:val="20"/>
        </w:rPr>
        <w:t>at</w:t>
      </w:r>
      <w:r>
        <w:rPr>
          <w:spacing w:val="-2"/>
          <w:sz w:val="20"/>
        </w:rPr>
        <w:t> </w:t>
      </w:r>
      <w:r>
        <w:rPr>
          <w:sz w:val="20"/>
        </w:rPr>
        <w:t>[9]</w:t>
      </w:r>
      <w:r>
        <w:rPr>
          <w:spacing w:val="-2"/>
          <w:sz w:val="20"/>
        </w:rPr>
        <w:t> </w:t>
      </w:r>
      <w:r>
        <w:rPr>
          <w:sz w:val="20"/>
        </w:rPr>
        <w:t>and</w:t>
      </w:r>
      <w:r>
        <w:rPr>
          <w:spacing w:val="-2"/>
          <w:sz w:val="20"/>
        </w:rPr>
        <w:t> </w:t>
      </w:r>
      <w:r>
        <w:rPr>
          <w:sz w:val="20"/>
        </w:rPr>
        <w:t>[24]. For another borderline case, see </w:t>
      </w:r>
      <w:r>
        <w:rPr>
          <w:rFonts w:ascii="Arial" w:hAnsi="Arial"/>
          <w:i/>
          <w:sz w:val="20"/>
        </w:rPr>
        <w:t>Monovan Construction Ltd v Davenport [2006] EWHC 1094, 108</w:t>
      </w:r>
      <w:r>
        <w:rPr>
          <w:rFonts w:ascii="Arial" w:hAnsi="Arial"/>
          <w:i/>
          <w:spacing w:val="28"/>
          <w:sz w:val="20"/>
        </w:rPr>
        <w:t> </w:t>
      </w:r>
      <w:r>
        <w:rPr>
          <w:rFonts w:ascii="Arial" w:hAnsi="Arial"/>
          <w:i/>
          <w:sz w:val="20"/>
        </w:rPr>
        <w:t>Con.</w:t>
      </w:r>
      <w:r>
        <w:rPr>
          <w:rFonts w:ascii="Arial" w:hAnsi="Arial"/>
          <w:i/>
          <w:spacing w:val="30"/>
          <w:sz w:val="20"/>
        </w:rPr>
        <w:t> </w:t>
      </w:r>
      <w:r>
        <w:rPr>
          <w:rFonts w:ascii="Arial" w:hAnsi="Arial"/>
          <w:i/>
          <w:sz w:val="20"/>
        </w:rPr>
        <w:t>L.R.</w:t>
      </w:r>
      <w:r>
        <w:rPr>
          <w:rFonts w:ascii="Arial" w:hAnsi="Arial"/>
          <w:i/>
          <w:spacing w:val="30"/>
          <w:sz w:val="20"/>
        </w:rPr>
        <w:t> </w:t>
      </w:r>
      <w:r>
        <w:rPr>
          <w:rFonts w:ascii="Arial" w:hAnsi="Arial"/>
          <w:i/>
          <w:sz w:val="20"/>
        </w:rPr>
        <w:t>15</w:t>
      </w:r>
      <w:r>
        <w:rPr>
          <w:rFonts w:ascii="Arial" w:hAnsi="Arial"/>
          <w:i/>
          <w:spacing w:val="30"/>
          <w:sz w:val="20"/>
        </w:rPr>
        <w:t> </w:t>
      </w:r>
      <w:r>
        <w:rPr>
          <w:sz w:val="20"/>
        </w:rPr>
        <w:t>where</w:t>
      </w:r>
      <w:r>
        <w:rPr>
          <w:spacing w:val="30"/>
          <w:sz w:val="20"/>
        </w:rPr>
        <w:t> </w:t>
      </w:r>
      <w:r>
        <w:rPr>
          <w:sz w:val="20"/>
        </w:rPr>
        <w:t>an</w:t>
      </w:r>
      <w:r>
        <w:rPr>
          <w:spacing w:val="30"/>
          <w:sz w:val="20"/>
        </w:rPr>
        <w:t> </w:t>
      </w:r>
      <w:r>
        <w:rPr>
          <w:sz w:val="20"/>
        </w:rPr>
        <w:t>agreement</w:t>
      </w:r>
      <w:r>
        <w:rPr>
          <w:spacing w:val="30"/>
          <w:sz w:val="20"/>
        </w:rPr>
        <w:t> </w:t>
      </w:r>
      <w:r>
        <w:rPr>
          <w:sz w:val="20"/>
        </w:rPr>
        <w:t>to</w:t>
      </w:r>
      <w:r>
        <w:rPr>
          <w:spacing w:val="30"/>
          <w:sz w:val="20"/>
        </w:rPr>
        <w:t> </w:t>
      </w:r>
      <w:r>
        <w:rPr>
          <w:sz w:val="20"/>
        </w:rPr>
        <w:t>do</w:t>
      </w:r>
      <w:r>
        <w:rPr>
          <w:spacing w:val="30"/>
          <w:sz w:val="20"/>
        </w:rPr>
        <w:t> </w:t>
      </w:r>
      <w:r>
        <w:rPr>
          <w:sz w:val="20"/>
        </w:rPr>
        <w:t>building</w:t>
      </w:r>
      <w:r>
        <w:rPr>
          <w:spacing w:val="30"/>
          <w:sz w:val="20"/>
        </w:rPr>
        <w:t> </w:t>
      </w:r>
      <w:r>
        <w:rPr>
          <w:sz w:val="20"/>
        </w:rPr>
        <w:t>work</w:t>
      </w:r>
      <w:r>
        <w:rPr>
          <w:spacing w:val="30"/>
          <w:sz w:val="20"/>
        </w:rPr>
        <w:t> </w:t>
      </w:r>
      <w:r>
        <w:rPr>
          <w:sz w:val="20"/>
        </w:rPr>
        <w:t>for</w:t>
      </w:r>
      <w:r>
        <w:rPr>
          <w:spacing w:val="30"/>
          <w:sz w:val="20"/>
        </w:rPr>
        <w:t> </w:t>
      </w:r>
      <w:r>
        <w:rPr>
          <w:sz w:val="20"/>
        </w:rPr>
        <w:t>a</w:t>
      </w:r>
      <w:r>
        <w:rPr>
          <w:spacing w:val="30"/>
          <w:sz w:val="20"/>
        </w:rPr>
        <w:t> </w:t>
      </w:r>
      <w:r>
        <w:rPr>
          <w:sz w:val="20"/>
        </w:rPr>
        <w:t>“provisional</w:t>
      </w:r>
      <w:r>
        <w:rPr>
          <w:spacing w:val="30"/>
          <w:sz w:val="20"/>
        </w:rPr>
        <w:t> </w:t>
      </w:r>
      <w:r>
        <w:rPr>
          <w:sz w:val="20"/>
        </w:rPr>
        <w:t>guide</w:t>
      </w:r>
      <w:r>
        <w:rPr>
          <w:spacing w:val="30"/>
          <w:sz w:val="20"/>
        </w:rPr>
        <w:t> </w:t>
      </w:r>
      <w:r>
        <w:rPr>
          <w:sz w:val="20"/>
        </w:rPr>
        <w:t>price”</w:t>
      </w:r>
      <w:r>
        <w:rPr>
          <w:spacing w:val="30"/>
          <w:sz w:val="20"/>
        </w:rPr>
        <w:t> </w:t>
      </w:r>
      <w:r>
        <w:rPr>
          <w:spacing w:val="-7"/>
          <w:sz w:val="20"/>
        </w:rPr>
        <w:t>of</w:t>
      </w:r>
    </w:p>
    <w:p>
      <w:pPr>
        <w:pStyle w:val="BodyText"/>
        <w:spacing w:line="235" w:lineRule="auto"/>
        <w:ind w:left="705" w:right="167"/>
        <w:jc w:val="both"/>
      </w:pPr>
      <w:r>
        <w:rPr/>
        <w:t>£100,000 failed to specify the exact scope of the work and was said not to be </w:t>
      </w:r>
      <w:r>
        <w:rPr/>
        <w:t>legally enforceable as it was not intended to have contractual effect (at [17]).</w:t>
      </w:r>
    </w:p>
    <w:p>
      <w:pPr>
        <w:pStyle w:val="BodyText"/>
        <w:spacing w:before="8"/>
      </w:pPr>
    </w:p>
    <w:p>
      <w:pPr>
        <w:spacing w:line="235" w:lineRule="auto" w:before="0"/>
        <w:ind w:left="705" w:right="0" w:hanging="541"/>
        <w:jc w:val="left"/>
        <w:rPr>
          <w:sz w:val="20"/>
        </w:rPr>
      </w:pPr>
      <w:r>
        <w:rPr>
          <w:color w:val="005DA1"/>
          <w:position w:val="5"/>
          <w:sz w:val="14"/>
          <w:u w:val="single" w:color="005DA1"/>
        </w:rPr>
        <w:t>1080</w:t>
      </w:r>
      <w:r>
        <w:rPr>
          <w:position w:val="5"/>
          <w:sz w:val="14"/>
        </w:rPr>
        <w:t>.</w:t>
      </w:r>
      <w:r>
        <w:rPr>
          <w:spacing w:val="40"/>
          <w:position w:val="5"/>
          <w:sz w:val="14"/>
        </w:rPr>
        <w:t>  </w:t>
      </w:r>
      <w:r>
        <w:rPr>
          <w:rFonts w:ascii="Arial"/>
          <w:i/>
          <w:sz w:val="20"/>
        </w:rPr>
        <w:t>Baird</w:t>
      </w:r>
      <w:r>
        <w:rPr>
          <w:rFonts w:ascii="Arial"/>
          <w:i/>
          <w:spacing w:val="32"/>
          <w:sz w:val="20"/>
        </w:rPr>
        <w:t> </w:t>
      </w:r>
      <w:r>
        <w:rPr>
          <w:rFonts w:ascii="Arial"/>
          <w:i/>
          <w:sz w:val="20"/>
        </w:rPr>
        <w:t>Textile</w:t>
      </w:r>
      <w:r>
        <w:rPr>
          <w:rFonts w:ascii="Arial"/>
          <w:i/>
          <w:spacing w:val="32"/>
          <w:sz w:val="20"/>
        </w:rPr>
        <w:t> </w:t>
      </w:r>
      <w:r>
        <w:rPr>
          <w:rFonts w:ascii="Arial"/>
          <w:i/>
          <w:sz w:val="20"/>
        </w:rPr>
        <w:t>Holdings</w:t>
      </w:r>
      <w:r>
        <w:rPr>
          <w:rFonts w:ascii="Arial"/>
          <w:i/>
          <w:spacing w:val="32"/>
          <w:sz w:val="20"/>
        </w:rPr>
        <w:t> </w:t>
      </w:r>
      <w:r>
        <w:rPr>
          <w:rFonts w:ascii="Arial"/>
          <w:i/>
          <w:sz w:val="20"/>
        </w:rPr>
        <w:t>Ltd</w:t>
      </w:r>
      <w:r>
        <w:rPr>
          <w:rFonts w:ascii="Arial"/>
          <w:i/>
          <w:spacing w:val="32"/>
          <w:sz w:val="20"/>
        </w:rPr>
        <w:t> </w:t>
      </w:r>
      <w:r>
        <w:rPr>
          <w:rFonts w:ascii="Arial"/>
          <w:i/>
          <w:sz w:val="20"/>
        </w:rPr>
        <w:t>v</w:t>
      </w:r>
      <w:r>
        <w:rPr>
          <w:rFonts w:ascii="Arial"/>
          <w:i/>
          <w:spacing w:val="32"/>
          <w:sz w:val="20"/>
        </w:rPr>
        <w:t> </w:t>
      </w:r>
      <w:r>
        <w:rPr>
          <w:rFonts w:ascii="Arial"/>
          <w:i/>
          <w:sz w:val="20"/>
        </w:rPr>
        <w:t>Marks</w:t>
      </w:r>
      <w:r>
        <w:rPr>
          <w:rFonts w:ascii="Arial"/>
          <w:i/>
          <w:spacing w:val="32"/>
          <w:sz w:val="20"/>
        </w:rPr>
        <w:t> </w:t>
      </w:r>
      <w:r>
        <w:rPr>
          <w:rFonts w:ascii="Arial"/>
          <w:i/>
          <w:sz w:val="20"/>
        </w:rPr>
        <w:t>&amp;</w:t>
      </w:r>
      <w:r>
        <w:rPr>
          <w:rFonts w:ascii="Arial"/>
          <w:i/>
          <w:spacing w:val="32"/>
          <w:sz w:val="20"/>
        </w:rPr>
        <w:t> </w:t>
      </w:r>
      <w:r>
        <w:rPr>
          <w:rFonts w:ascii="Arial"/>
          <w:i/>
          <w:sz w:val="20"/>
        </w:rPr>
        <w:t>Spencer</w:t>
      </w:r>
      <w:r>
        <w:rPr>
          <w:rFonts w:ascii="Arial"/>
          <w:i/>
          <w:spacing w:val="32"/>
          <w:sz w:val="20"/>
        </w:rPr>
        <w:t> </w:t>
      </w:r>
      <w:r>
        <w:rPr>
          <w:rFonts w:ascii="Arial"/>
          <w:i/>
          <w:sz w:val="20"/>
        </w:rPr>
        <w:t>Plc</w:t>
      </w:r>
      <w:r>
        <w:rPr>
          <w:rFonts w:ascii="Arial"/>
          <w:i/>
          <w:spacing w:val="32"/>
          <w:sz w:val="20"/>
        </w:rPr>
        <w:t> </w:t>
      </w:r>
      <w:r>
        <w:rPr>
          <w:rFonts w:ascii="Arial"/>
          <w:i/>
          <w:sz w:val="20"/>
        </w:rPr>
        <w:t>[2001]</w:t>
      </w:r>
      <w:r>
        <w:rPr>
          <w:rFonts w:ascii="Arial"/>
          <w:i/>
          <w:spacing w:val="32"/>
          <w:sz w:val="20"/>
        </w:rPr>
        <w:t> </w:t>
      </w:r>
      <w:r>
        <w:rPr>
          <w:rFonts w:ascii="Arial"/>
          <w:i/>
          <w:sz w:val="20"/>
        </w:rPr>
        <w:t>EWCA</w:t>
      </w:r>
      <w:r>
        <w:rPr>
          <w:rFonts w:ascii="Arial"/>
          <w:i/>
          <w:spacing w:val="32"/>
          <w:sz w:val="20"/>
        </w:rPr>
        <w:t> </w:t>
      </w:r>
      <w:r>
        <w:rPr>
          <w:rFonts w:ascii="Arial"/>
          <w:i/>
          <w:sz w:val="20"/>
        </w:rPr>
        <w:t>Civ</w:t>
      </w:r>
      <w:r>
        <w:rPr>
          <w:rFonts w:ascii="Arial"/>
          <w:i/>
          <w:spacing w:val="32"/>
          <w:sz w:val="20"/>
        </w:rPr>
        <w:t> </w:t>
      </w:r>
      <w:r>
        <w:rPr>
          <w:rFonts w:ascii="Arial"/>
          <w:i/>
          <w:sz w:val="20"/>
        </w:rPr>
        <w:t>274,</w:t>
      </w:r>
      <w:r>
        <w:rPr>
          <w:rFonts w:ascii="Arial"/>
          <w:i/>
          <w:spacing w:val="32"/>
          <w:sz w:val="20"/>
        </w:rPr>
        <w:t> </w:t>
      </w:r>
      <w:r>
        <w:rPr>
          <w:rFonts w:ascii="Arial"/>
          <w:i/>
          <w:sz w:val="20"/>
        </w:rPr>
        <w:t>[2002]</w:t>
      </w:r>
      <w:r>
        <w:rPr>
          <w:rFonts w:ascii="Arial"/>
          <w:i/>
          <w:spacing w:val="32"/>
          <w:sz w:val="20"/>
        </w:rPr>
        <w:t> </w:t>
      </w:r>
      <w:r>
        <w:rPr>
          <w:rFonts w:ascii="Arial"/>
          <w:i/>
          <w:sz w:val="20"/>
        </w:rPr>
        <w:t>1</w:t>
      </w:r>
      <w:r>
        <w:rPr>
          <w:rFonts w:ascii="Arial"/>
          <w:i/>
          <w:spacing w:val="32"/>
          <w:sz w:val="20"/>
        </w:rPr>
        <w:t> </w:t>
      </w:r>
      <w:r>
        <w:rPr>
          <w:rFonts w:ascii="Arial"/>
          <w:i/>
          <w:sz w:val="20"/>
        </w:rPr>
        <w:t>All</w:t>
      </w:r>
      <w:r>
        <w:rPr>
          <w:rFonts w:ascii="Arial"/>
          <w:i/>
          <w:spacing w:val="32"/>
          <w:sz w:val="20"/>
        </w:rPr>
        <w:t> </w:t>
      </w:r>
      <w:r>
        <w:rPr>
          <w:rFonts w:ascii="Arial"/>
          <w:i/>
          <w:sz w:val="20"/>
        </w:rPr>
        <w:t>E.R. (Comm) 737 </w:t>
      </w:r>
      <w:r>
        <w:rPr>
          <w:sz w:val="20"/>
        </w:rPr>
        <w:t>at [30]; and see above, paras 2-150, 2-172.</w:t>
      </w:r>
    </w:p>
    <w:p>
      <w:pPr>
        <w:pStyle w:val="BodyText"/>
        <w:spacing w:before="6"/>
      </w:pPr>
    </w:p>
    <w:p>
      <w:pPr>
        <w:spacing w:before="0"/>
        <w:ind w:left="165" w:right="0" w:firstLine="0"/>
        <w:jc w:val="left"/>
        <w:rPr>
          <w:sz w:val="20"/>
        </w:rPr>
      </w:pPr>
      <w:r>
        <w:rPr>
          <w:color w:val="005DA1"/>
          <w:position w:val="5"/>
          <w:sz w:val="14"/>
          <w:u w:val="single" w:color="005DA1"/>
        </w:rPr>
        <w:t>1081</w:t>
      </w:r>
      <w:r>
        <w:rPr>
          <w:position w:val="5"/>
          <w:sz w:val="14"/>
        </w:rPr>
        <w:t>.</w:t>
      </w:r>
      <w:r>
        <w:rPr>
          <w:spacing w:val="55"/>
          <w:position w:val="5"/>
          <w:sz w:val="14"/>
        </w:rPr>
        <w:t>  </w:t>
      </w:r>
      <w:r>
        <w:rPr>
          <w:sz w:val="20"/>
        </w:rPr>
        <w:t>As</w:t>
      </w:r>
      <w:r>
        <w:rPr>
          <w:spacing w:val="1"/>
          <w:sz w:val="20"/>
        </w:rPr>
        <w:t> </w:t>
      </w:r>
      <w:r>
        <w:rPr>
          <w:sz w:val="20"/>
        </w:rPr>
        <w:t>in the</w:t>
      </w:r>
      <w:r>
        <w:rPr>
          <w:spacing w:val="-1"/>
          <w:sz w:val="20"/>
        </w:rPr>
        <w:t> </w:t>
      </w:r>
      <w:r>
        <w:rPr>
          <w:rFonts w:ascii="Arial"/>
          <w:i/>
          <w:sz w:val="20"/>
        </w:rPr>
        <w:t>Baird</w:t>
      </w:r>
      <w:r>
        <w:rPr>
          <w:rFonts w:ascii="Arial"/>
          <w:i/>
          <w:spacing w:val="-1"/>
          <w:sz w:val="20"/>
        </w:rPr>
        <w:t> </w:t>
      </w:r>
      <w:r>
        <w:rPr>
          <w:sz w:val="20"/>
        </w:rPr>
        <w:t>case, n.1055 </w:t>
      </w:r>
      <w:r>
        <w:rPr>
          <w:spacing w:val="-2"/>
          <w:sz w:val="20"/>
        </w:rPr>
        <w:t>above.</w:t>
      </w:r>
    </w:p>
    <w:p>
      <w:pPr>
        <w:pStyle w:val="BodyText"/>
        <w:spacing w:before="5"/>
      </w:pPr>
    </w:p>
    <w:p>
      <w:pPr>
        <w:pStyle w:val="BodyText"/>
        <w:ind w:left="165"/>
      </w:pPr>
      <w:r>
        <w:rPr>
          <w:color w:val="005DA1"/>
          <w:position w:val="5"/>
          <w:sz w:val="14"/>
          <w:u w:val="single" w:color="005DA1"/>
        </w:rPr>
        <w:t>1082</w:t>
      </w:r>
      <w:r>
        <w:rPr>
          <w:position w:val="5"/>
          <w:sz w:val="14"/>
        </w:rPr>
        <w:t>.</w:t>
      </w:r>
      <w:r>
        <w:rPr>
          <w:spacing w:val="55"/>
          <w:position w:val="5"/>
          <w:sz w:val="14"/>
        </w:rPr>
        <w:t>  </w:t>
      </w:r>
      <w:r>
        <w:rPr/>
        <w:t>So</w:t>
      </w:r>
      <w:r>
        <w:rPr>
          <w:spacing w:val="1"/>
        </w:rPr>
        <w:t> </w:t>
      </w:r>
      <w:r>
        <w:rPr/>
        <w:t>that he cannot rely on the objective test: see above, para.2-</w:t>
      </w:r>
      <w:r>
        <w:rPr>
          <w:spacing w:val="-4"/>
        </w:rPr>
        <w:t>170.</w:t>
      </w:r>
    </w:p>
    <w:p>
      <w:pPr>
        <w:pStyle w:val="BodyText"/>
        <w:spacing w:before="5"/>
      </w:pPr>
    </w:p>
    <w:p>
      <w:pPr>
        <w:spacing w:before="0"/>
        <w:ind w:left="165" w:right="0" w:firstLine="0"/>
        <w:jc w:val="left"/>
        <w:rPr>
          <w:sz w:val="20"/>
        </w:rPr>
      </w:pPr>
      <w:r>
        <w:rPr>
          <w:color w:val="005DA1"/>
          <w:position w:val="5"/>
          <w:sz w:val="14"/>
          <w:u w:val="single" w:color="005DA1"/>
        </w:rPr>
        <w:t>1083</w:t>
      </w:r>
      <w:r>
        <w:rPr>
          <w:position w:val="5"/>
          <w:sz w:val="14"/>
        </w:rPr>
        <w:t>.</w:t>
      </w:r>
      <w:r>
        <w:rPr>
          <w:spacing w:val="55"/>
          <w:position w:val="5"/>
          <w:sz w:val="14"/>
        </w:rPr>
        <w:t>  </w:t>
      </w:r>
      <w:r>
        <w:rPr>
          <w:rFonts w:ascii="Arial"/>
          <w:i/>
          <w:sz w:val="20"/>
        </w:rPr>
        <w:t>(1896)</w:t>
      </w:r>
      <w:r>
        <w:rPr>
          <w:rFonts w:ascii="Arial"/>
          <w:i/>
          <w:spacing w:val="1"/>
          <w:sz w:val="20"/>
        </w:rPr>
        <w:t> </w:t>
      </w:r>
      <w:r>
        <w:rPr>
          <w:rFonts w:ascii="Arial"/>
          <w:i/>
          <w:sz w:val="20"/>
        </w:rPr>
        <w:t>12 T.L.R. </w:t>
      </w:r>
      <w:r>
        <w:rPr>
          <w:rFonts w:ascii="Arial"/>
          <w:i/>
          <w:spacing w:val="-4"/>
          <w:sz w:val="20"/>
        </w:rPr>
        <w:t>501</w:t>
      </w:r>
      <w:r>
        <w:rPr>
          <w:spacing w:val="-4"/>
          <w:sz w:val="20"/>
        </w:rPr>
        <w:t>.</w:t>
      </w:r>
    </w:p>
    <w:p>
      <w:pPr>
        <w:pStyle w:val="BodyText"/>
        <w:spacing w:before="9"/>
      </w:pPr>
    </w:p>
    <w:p>
      <w:pPr>
        <w:spacing w:line="235" w:lineRule="auto" w:before="0"/>
        <w:ind w:left="705" w:right="169" w:hanging="541"/>
        <w:jc w:val="both"/>
        <w:rPr>
          <w:rFonts w:ascii="Arial" w:hAnsi="Arial"/>
          <w:i/>
          <w:sz w:val="20"/>
        </w:rPr>
      </w:pPr>
      <w:r>
        <w:rPr>
          <w:color w:val="005DA1"/>
          <w:position w:val="5"/>
          <w:sz w:val="14"/>
          <w:u w:val="single" w:color="005DA1"/>
        </w:rPr>
        <w:t>1084</w:t>
      </w:r>
      <w:r>
        <w:rPr>
          <w:position w:val="5"/>
          <w:sz w:val="14"/>
        </w:rPr>
        <w:t>.</w:t>
      </w:r>
      <w:r>
        <w:rPr>
          <w:spacing w:val="80"/>
          <w:position w:val="5"/>
          <w:sz w:val="14"/>
        </w:rPr>
        <w:t> </w:t>
      </w:r>
      <w:r>
        <w:rPr>
          <w:rFonts w:ascii="Arial" w:hAnsi="Arial"/>
          <w:i/>
          <w:sz w:val="20"/>
        </w:rPr>
        <w:t>Orion Ins. Co Plc v Sphere Drake Ins. Plc [1990] 1 Lloyd’s Rep. 465, 505</w:t>
      </w:r>
      <w:r>
        <w:rPr>
          <w:sz w:val="20"/>
        </w:rPr>
        <w:t>; affirmed (by a majority) [1990] 1 Lloyd’s Rep. 239; </w:t>
      </w:r>
      <w:r>
        <w:rPr>
          <w:rFonts w:ascii="Arial" w:hAnsi="Arial"/>
          <w:i/>
          <w:sz w:val="20"/>
        </w:rPr>
        <w:t>Mitsui &amp; Co Ltd v Novorossiysk Shipping Co </w:t>
      </w:r>
      <w:r>
        <w:rPr>
          <w:rFonts w:ascii="Arial" w:hAnsi="Arial"/>
          <w:i/>
          <w:sz w:val="20"/>
        </w:rPr>
        <w:t>(The Gudermes)</w:t>
      </w:r>
      <w:r>
        <w:rPr>
          <w:rFonts w:ascii="Arial" w:hAnsi="Arial"/>
          <w:i/>
          <w:spacing w:val="11"/>
          <w:sz w:val="20"/>
        </w:rPr>
        <w:t> </w:t>
      </w:r>
      <w:r>
        <w:rPr>
          <w:rFonts w:ascii="Arial" w:hAnsi="Arial"/>
          <w:i/>
          <w:sz w:val="20"/>
        </w:rPr>
        <w:t>[1993]</w:t>
      </w:r>
      <w:r>
        <w:rPr>
          <w:rFonts w:ascii="Arial" w:hAnsi="Arial"/>
          <w:i/>
          <w:spacing w:val="12"/>
          <w:sz w:val="20"/>
        </w:rPr>
        <w:t> </w:t>
      </w:r>
      <w:r>
        <w:rPr>
          <w:rFonts w:ascii="Arial" w:hAnsi="Arial"/>
          <w:i/>
          <w:sz w:val="20"/>
        </w:rPr>
        <w:t>1</w:t>
      </w:r>
      <w:r>
        <w:rPr>
          <w:rFonts w:ascii="Arial" w:hAnsi="Arial"/>
          <w:i/>
          <w:spacing w:val="12"/>
          <w:sz w:val="20"/>
        </w:rPr>
        <w:t> </w:t>
      </w:r>
      <w:r>
        <w:rPr>
          <w:rFonts w:ascii="Arial" w:hAnsi="Arial"/>
          <w:i/>
          <w:sz w:val="20"/>
        </w:rPr>
        <w:t>Lloyd’s</w:t>
      </w:r>
      <w:r>
        <w:rPr>
          <w:rFonts w:ascii="Arial" w:hAnsi="Arial"/>
          <w:i/>
          <w:spacing w:val="12"/>
          <w:sz w:val="20"/>
        </w:rPr>
        <w:t> </w:t>
      </w:r>
      <w:r>
        <w:rPr>
          <w:rFonts w:ascii="Arial" w:hAnsi="Arial"/>
          <w:i/>
          <w:sz w:val="20"/>
        </w:rPr>
        <w:t>Rep.</w:t>
      </w:r>
      <w:r>
        <w:rPr>
          <w:rFonts w:ascii="Arial" w:hAnsi="Arial"/>
          <w:i/>
          <w:spacing w:val="12"/>
          <w:sz w:val="20"/>
        </w:rPr>
        <w:t> </w:t>
      </w:r>
      <w:r>
        <w:rPr>
          <w:rFonts w:ascii="Arial" w:hAnsi="Arial"/>
          <w:i/>
          <w:sz w:val="20"/>
        </w:rPr>
        <w:t>311</w:t>
      </w:r>
      <w:r>
        <w:rPr>
          <w:sz w:val="20"/>
        </w:rPr>
        <w:t>;</w:t>
      </w:r>
      <w:r>
        <w:rPr>
          <w:spacing w:val="12"/>
          <w:sz w:val="20"/>
        </w:rPr>
        <w:t> </w:t>
      </w:r>
      <w:r>
        <w:rPr>
          <w:sz w:val="20"/>
        </w:rPr>
        <w:t>cf.</w:t>
      </w:r>
      <w:r>
        <w:rPr>
          <w:spacing w:val="12"/>
          <w:sz w:val="20"/>
        </w:rPr>
        <w:t> </w:t>
      </w:r>
      <w:r>
        <w:rPr>
          <w:rFonts w:ascii="Arial" w:hAnsi="Arial"/>
          <w:i/>
          <w:sz w:val="20"/>
        </w:rPr>
        <w:t>County</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v</w:t>
      </w:r>
      <w:r>
        <w:rPr>
          <w:rFonts w:ascii="Arial" w:hAnsi="Arial"/>
          <w:i/>
          <w:spacing w:val="12"/>
          <w:sz w:val="20"/>
        </w:rPr>
        <w:t> </w:t>
      </w:r>
      <w:r>
        <w:rPr>
          <w:rFonts w:ascii="Arial" w:hAnsi="Arial"/>
          <w:i/>
          <w:sz w:val="20"/>
        </w:rPr>
        <w:t>Girozentrale</w:t>
      </w:r>
      <w:r>
        <w:rPr>
          <w:rFonts w:ascii="Arial" w:hAnsi="Arial"/>
          <w:i/>
          <w:spacing w:val="12"/>
          <w:sz w:val="20"/>
        </w:rPr>
        <w:t> </w:t>
      </w:r>
      <w:r>
        <w:rPr>
          <w:rFonts w:ascii="Arial" w:hAnsi="Arial"/>
          <w:i/>
          <w:sz w:val="20"/>
        </w:rPr>
        <w:t>Securities</w:t>
      </w:r>
      <w:r>
        <w:rPr>
          <w:rFonts w:ascii="Arial" w:hAnsi="Arial"/>
          <w:i/>
          <w:spacing w:val="12"/>
          <w:sz w:val="20"/>
        </w:rPr>
        <w:t> </w:t>
      </w:r>
      <w:r>
        <w:rPr>
          <w:rFonts w:ascii="Arial" w:hAnsi="Arial"/>
          <w:i/>
          <w:sz w:val="20"/>
        </w:rPr>
        <w:t>Ltd</w:t>
      </w:r>
      <w:r>
        <w:rPr>
          <w:rFonts w:ascii="Arial" w:hAnsi="Arial"/>
          <w:i/>
          <w:spacing w:val="12"/>
          <w:sz w:val="20"/>
        </w:rPr>
        <w:t> </w:t>
      </w:r>
      <w:r>
        <w:rPr>
          <w:rFonts w:ascii="Arial" w:hAnsi="Arial"/>
          <w:i/>
          <w:sz w:val="20"/>
        </w:rPr>
        <w:t>[1996]</w:t>
      </w:r>
      <w:r>
        <w:rPr>
          <w:rFonts w:ascii="Arial" w:hAnsi="Arial"/>
          <w:i/>
          <w:spacing w:val="12"/>
          <w:sz w:val="20"/>
        </w:rPr>
        <w:t> </w:t>
      </w:r>
      <w:r>
        <w:rPr>
          <w:rFonts w:ascii="Arial" w:hAnsi="Arial"/>
          <w:i/>
          <w:sz w:val="20"/>
        </w:rPr>
        <w:t>3</w:t>
      </w:r>
      <w:r>
        <w:rPr>
          <w:rFonts w:ascii="Arial" w:hAnsi="Arial"/>
          <w:i/>
          <w:spacing w:val="12"/>
          <w:sz w:val="20"/>
        </w:rPr>
        <w:t> </w:t>
      </w:r>
      <w:r>
        <w:rPr>
          <w:rFonts w:ascii="Arial" w:hAnsi="Arial"/>
          <w:i/>
          <w:spacing w:val="-5"/>
          <w:sz w:val="20"/>
        </w:rPr>
        <w:t>All</w:t>
      </w:r>
    </w:p>
    <w:p>
      <w:pPr>
        <w:spacing w:line="225" w:lineRule="exact" w:before="0"/>
        <w:ind w:left="705" w:right="0" w:firstLine="0"/>
        <w:jc w:val="both"/>
        <w:rPr>
          <w:sz w:val="20"/>
        </w:rPr>
      </w:pPr>
      <w:r>
        <w:rPr>
          <w:rFonts w:ascii="Arial"/>
          <w:i/>
          <w:sz w:val="20"/>
        </w:rPr>
        <w:t>E.R.</w:t>
      </w:r>
      <w:r>
        <w:rPr>
          <w:rFonts w:ascii="Arial"/>
          <w:i/>
          <w:spacing w:val="-1"/>
          <w:sz w:val="20"/>
        </w:rPr>
        <w:t> </w:t>
      </w:r>
      <w:r>
        <w:rPr>
          <w:rFonts w:ascii="Arial"/>
          <w:i/>
          <w:sz w:val="20"/>
        </w:rPr>
        <w:t>834, 837</w:t>
      </w:r>
      <w:r>
        <w:rPr>
          <w:sz w:val="20"/>
        </w:rPr>
        <w:t>; </w:t>
      </w:r>
      <w:r>
        <w:rPr>
          <w:rFonts w:ascii="Arial"/>
          <w:i/>
          <w:sz w:val="20"/>
        </w:rPr>
        <w:t>Clarke v Nationwide Anglia Building Society (1998) 76 P. &amp; C.R. </w:t>
      </w:r>
      <w:r>
        <w:rPr>
          <w:rFonts w:ascii="Arial"/>
          <w:i/>
          <w:spacing w:val="-5"/>
          <w:sz w:val="20"/>
        </w:rPr>
        <w:t>D5</w:t>
      </w:r>
      <w:r>
        <w:rPr>
          <w:spacing w:val="-5"/>
          <w:sz w:val="20"/>
        </w:rPr>
        <w:t>.</w:t>
      </w:r>
    </w:p>
    <w:p>
      <w:pPr>
        <w:pStyle w:val="BodyText"/>
        <w:spacing w:before="8"/>
      </w:pPr>
    </w:p>
    <w:p>
      <w:pPr>
        <w:spacing w:line="235" w:lineRule="auto" w:before="1"/>
        <w:ind w:left="705" w:right="167" w:hanging="541"/>
        <w:jc w:val="both"/>
        <w:rPr>
          <w:sz w:val="20"/>
        </w:rPr>
      </w:pPr>
      <w:r>
        <w:rPr>
          <w:color w:val="005DA1"/>
          <w:position w:val="5"/>
          <w:sz w:val="14"/>
          <w:u w:val="single" w:color="005DA1"/>
        </w:rPr>
        <w:t>1085</w:t>
      </w:r>
      <w:r>
        <w:rPr>
          <w:position w:val="5"/>
          <w:sz w:val="14"/>
        </w:rPr>
        <w:t>.</w:t>
      </w:r>
      <w:r>
        <w:rPr>
          <w:spacing w:val="80"/>
          <w:position w:val="5"/>
          <w:sz w:val="14"/>
        </w:rPr>
        <w:t> </w:t>
      </w:r>
      <w:r>
        <w:rPr>
          <w:rFonts w:ascii="Arial" w:hAnsi="Arial"/>
          <w:i/>
          <w:sz w:val="20"/>
        </w:rPr>
        <w:t>Glatzer &amp; Warwick Shipping Co v Bradstone Ltd (The Ocean Enterprise) [1997] 1 Lloyd’s Rep. 449,</w:t>
      </w:r>
      <w:r>
        <w:rPr>
          <w:rFonts w:ascii="Arial" w:hAnsi="Arial"/>
          <w:i/>
          <w:spacing w:val="-2"/>
          <w:sz w:val="20"/>
        </w:rPr>
        <w:t> </w:t>
      </w:r>
      <w:r>
        <w:rPr>
          <w:rFonts w:ascii="Arial" w:hAnsi="Arial"/>
          <w:i/>
          <w:sz w:val="20"/>
        </w:rPr>
        <w:t>484</w:t>
      </w:r>
      <w:r>
        <w:rPr>
          <w:sz w:val="20"/>
        </w:rPr>
        <w:t>;</w:t>
      </w:r>
      <w:r>
        <w:rPr>
          <w:spacing w:val="-2"/>
          <w:sz w:val="20"/>
        </w:rPr>
        <w:t> </w:t>
      </w:r>
      <w:r>
        <w:rPr>
          <w:rFonts w:ascii="Arial" w:hAnsi="Arial"/>
          <w:i/>
          <w:sz w:val="20"/>
        </w:rPr>
        <w:t>Hitch</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Stone</w:t>
      </w:r>
      <w:r>
        <w:rPr>
          <w:rFonts w:ascii="Arial" w:hAnsi="Arial"/>
          <w:i/>
          <w:spacing w:val="-2"/>
          <w:sz w:val="20"/>
        </w:rPr>
        <w:t> </w:t>
      </w:r>
      <w:r>
        <w:rPr>
          <w:rFonts w:ascii="Arial" w:hAnsi="Arial"/>
          <w:i/>
          <w:sz w:val="20"/>
        </w:rPr>
        <w:t>[2001]</w:t>
      </w:r>
      <w:r>
        <w:rPr>
          <w:rFonts w:ascii="Arial" w:hAnsi="Arial"/>
          <w:i/>
          <w:spacing w:val="-2"/>
          <w:sz w:val="20"/>
        </w:rPr>
        <w:t> </w:t>
      </w:r>
      <w:r>
        <w:rPr>
          <w:rFonts w:ascii="Arial" w:hAnsi="Arial"/>
          <w:i/>
          <w:sz w:val="20"/>
        </w:rPr>
        <w:t>EWCA</w:t>
      </w:r>
      <w:r>
        <w:rPr>
          <w:rFonts w:ascii="Arial" w:hAnsi="Arial"/>
          <w:i/>
          <w:spacing w:val="-2"/>
          <w:sz w:val="20"/>
        </w:rPr>
        <w:t> </w:t>
      </w:r>
      <w:r>
        <w:rPr>
          <w:rFonts w:ascii="Arial" w:hAnsi="Arial"/>
          <w:i/>
          <w:sz w:val="20"/>
        </w:rPr>
        <w:t>Civ</w:t>
      </w:r>
      <w:r>
        <w:rPr>
          <w:rFonts w:ascii="Arial" w:hAnsi="Arial"/>
          <w:i/>
          <w:spacing w:val="-2"/>
          <w:sz w:val="20"/>
        </w:rPr>
        <w:t> </w:t>
      </w:r>
      <w:r>
        <w:rPr>
          <w:rFonts w:ascii="Arial" w:hAnsi="Arial"/>
          <w:i/>
          <w:sz w:val="20"/>
        </w:rPr>
        <w:t>63</w:t>
      </w:r>
      <w:r>
        <w:rPr>
          <w:sz w:val="20"/>
        </w:rPr>
        <w:t>;</w:t>
      </w:r>
      <w:r>
        <w:rPr>
          <w:spacing w:val="-2"/>
          <w:sz w:val="20"/>
        </w:rPr>
        <w:t> </w:t>
      </w:r>
      <w:r>
        <w:rPr>
          <w:sz w:val="20"/>
        </w:rPr>
        <w:t>[2001]</w:t>
      </w:r>
      <w:r>
        <w:rPr>
          <w:spacing w:val="-2"/>
          <w:sz w:val="20"/>
        </w:rPr>
        <w:t> </w:t>
      </w:r>
      <w:r>
        <w:rPr>
          <w:sz w:val="20"/>
        </w:rPr>
        <w:t>S.T.C.</w:t>
      </w:r>
      <w:r>
        <w:rPr>
          <w:spacing w:val="-2"/>
          <w:sz w:val="20"/>
        </w:rPr>
        <w:t> </w:t>
      </w:r>
      <w:r>
        <w:rPr>
          <w:sz w:val="20"/>
        </w:rPr>
        <w:t>214;</w:t>
      </w:r>
      <w:r>
        <w:rPr>
          <w:spacing w:val="-2"/>
          <w:sz w:val="20"/>
        </w:rPr>
        <w:t> </w:t>
      </w:r>
      <w:r>
        <w:rPr>
          <w:sz w:val="20"/>
        </w:rPr>
        <w:t>contrast</w:t>
      </w:r>
      <w:r>
        <w:rPr>
          <w:spacing w:val="-2"/>
          <w:sz w:val="20"/>
        </w:rPr>
        <w:t> </w:t>
      </w:r>
      <w:r>
        <w:rPr>
          <w:rFonts w:ascii="Arial" w:hAnsi="Arial"/>
          <w:i/>
          <w:sz w:val="20"/>
        </w:rPr>
        <w:t>Ashby</w:t>
      </w:r>
      <w:r>
        <w:rPr>
          <w:rFonts w:ascii="Arial" w:hAnsi="Arial"/>
          <w:i/>
          <w:spacing w:val="-2"/>
          <w:sz w:val="20"/>
        </w:rPr>
        <w:t> </w:t>
      </w:r>
      <w:r>
        <w:rPr>
          <w:rFonts w:ascii="Arial" w:hAnsi="Arial"/>
          <w:i/>
          <w:sz w:val="20"/>
        </w:rPr>
        <w:t>v</w:t>
      </w:r>
      <w:r>
        <w:rPr>
          <w:rFonts w:ascii="Arial" w:hAnsi="Arial"/>
          <w:i/>
          <w:spacing w:val="-2"/>
          <w:sz w:val="20"/>
        </w:rPr>
        <w:t> </w:t>
      </w:r>
      <w:r>
        <w:rPr>
          <w:rFonts w:ascii="Arial" w:hAnsi="Arial"/>
          <w:i/>
          <w:sz w:val="20"/>
        </w:rPr>
        <w:t>Kilduff</w:t>
      </w:r>
      <w:r>
        <w:rPr>
          <w:rFonts w:ascii="Arial" w:hAnsi="Arial"/>
          <w:i/>
          <w:spacing w:val="-2"/>
          <w:sz w:val="20"/>
        </w:rPr>
        <w:t> </w:t>
      </w:r>
      <w:r>
        <w:rPr>
          <w:rFonts w:ascii="Arial" w:hAnsi="Arial"/>
          <w:i/>
          <w:sz w:val="20"/>
        </w:rPr>
        <w:t>[2009] EWHC 2034, [2010] 3 F.C.R. 80</w:t>
      </w:r>
      <w:r>
        <w:rPr>
          <w:sz w:val="20"/>
        </w:rPr>
        <w:t>, where the argument that the agreement was a sham failed on the facts. The question whether an agreement was a “sham” may also arise for the purpose of determining, not whether a contract has come into existence, but the nature of the legal relationship created by a contract, the existence of which is not in dispute: e.g. whether one party to the contract is the other’s tenant or employee. For discussion of such possibilities, </w:t>
      </w:r>
      <w:r>
        <w:rPr>
          <w:sz w:val="20"/>
        </w:rPr>
        <w:t>see above, para.2-170.</w:t>
      </w:r>
    </w:p>
    <w:p>
      <w:pPr>
        <w:pStyle w:val="BodyText"/>
        <w:spacing w:before="3"/>
      </w:pPr>
    </w:p>
    <w:p>
      <w:pPr>
        <w:spacing w:before="0"/>
        <w:ind w:left="165" w:right="0" w:firstLine="0"/>
        <w:jc w:val="left"/>
        <w:rPr>
          <w:sz w:val="20"/>
        </w:rPr>
      </w:pPr>
      <w:r>
        <w:rPr>
          <w:color w:val="005DA1"/>
          <w:position w:val="5"/>
          <w:sz w:val="14"/>
          <w:u w:val="single" w:color="005DA1"/>
        </w:rPr>
        <w:t>1086</w:t>
      </w:r>
      <w:r>
        <w:rPr>
          <w:position w:val="5"/>
          <w:sz w:val="14"/>
        </w:rPr>
        <w:t>.</w:t>
      </w:r>
      <w:r>
        <w:rPr>
          <w:spacing w:val="55"/>
          <w:position w:val="5"/>
          <w:sz w:val="14"/>
        </w:rPr>
        <w:t>  </w:t>
      </w:r>
      <w:r>
        <w:rPr>
          <w:rFonts w:ascii="Arial"/>
          <w:i/>
          <w:sz w:val="20"/>
        </w:rPr>
        <w:t>Sutton</w:t>
      </w:r>
      <w:r>
        <w:rPr>
          <w:rFonts w:ascii="Arial"/>
          <w:i/>
          <w:spacing w:val="1"/>
          <w:sz w:val="20"/>
        </w:rPr>
        <w:t> </w:t>
      </w:r>
      <w:r>
        <w:rPr>
          <w:rFonts w:ascii="Arial"/>
          <w:i/>
          <w:sz w:val="20"/>
        </w:rPr>
        <w:t>v Mishcon Reya [2003] EWHC 3166 (Ch), [2004] Fam. Law 247</w:t>
      </w:r>
      <w:r>
        <w:rPr>
          <w:rFonts w:ascii="Arial"/>
          <w:i/>
          <w:spacing w:val="-1"/>
          <w:sz w:val="20"/>
        </w:rPr>
        <w:t> </w:t>
      </w:r>
      <w:r>
        <w:rPr>
          <w:sz w:val="20"/>
        </w:rPr>
        <w:t>at </w:t>
      </w:r>
      <w:r>
        <w:rPr>
          <w:spacing w:val="-2"/>
          <w:sz w:val="20"/>
        </w:rPr>
        <w:t>[26].</w:t>
      </w:r>
    </w:p>
    <w:p>
      <w:pPr>
        <w:pStyle w:val="BodyText"/>
        <w:spacing w:before="8"/>
      </w:pPr>
    </w:p>
    <w:p>
      <w:pPr>
        <w:spacing w:line="235" w:lineRule="auto" w:before="1"/>
        <w:ind w:left="705" w:right="0" w:hanging="541"/>
        <w:jc w:val="left"/>
        <w:rPr>
          <w:sz w:val="20"/>
        </w:rPr>
      </w:pPr>
      <w:r>
        <w:rPr>
          <w:color w:val="005DA1"/>
          <w:position w:val="5"/>
          <w:sz w:val="14"/>
          <w:u w:val="single" w:color="005DA1"/>
        </w:rPr>
        <w:t>1087</w:t>
      </w:r>
      <w:r>
        <w:rPr>
          <w:position w:val="5"/>
          <w:sz w:val="14"/>
        </w:rPr>
        <w:t>.</w:t>
      </w:r>
      <w:r>
        <w:rPr>
          <w:spacing w:val="40"/>
          <w:position w:val="5"/>
          <w:sz w:val="14"/>
        </w:rPr>
        <w:t>  </w:t>
      </w:r>
      <w:r>
        <w:rPr>
          <w:rFonts w:ascii="Arial"/>
          <w:i/>
          <w:sz w:val="20"/>
        </w:rPr>
        <w:t>Manatee Towing Co v Oceanbulk Maritime SA (The Bay Ridge) [1999] 2 All E.R. (Comm) </w:t>
      </w:r>
      <w:r>
        <w:rPr>
          <w:rFonts w:ascii="Arial"/>
          <w:i/>
          <w:sz w:val="20"/>
        </w:rPr>
        <w:t>306, 329</w:t>
      </w:r>
      <w:r>
        <w:rPr>
          <w:sz w:val="20"/>
        </w:rPr>
        <w:t>; </w:t>
      </w:r>
      <w:r>
        <w:rPr>
          <w:rFonts w:ascii="Arial"/>
          <w:i/>
          <w:sz w:val="20"/>
        </w:rPr>
        <w:t>Jackson v Thakrar [2007] EWHC 271 (TCC), [2007] B.P.I.R. 167</w:t>
      </w:r>
      <w:r>
        <w:rPr>
          <w:sz w:val="20"/>
        </w:rPr>
        <w:t>.</w:t>
      </w:r>
    </w:p>
    <w:p>
      <w:pPr>
        <w:pStyle w:val="BodyText"/>
        <w:spacing w:before="9"/>
      </w:pPr>
    </w:p>
    <w:p>
      <w:pPr>
        <w:spacing w:line="235" w:lineRule="auto" w:before="0"/>
        <w:ind w:left="705" w:right="167" w:hanging="541"/>
        <w:jc w:val="both"/>
        <w:rPr>
          <w:sz w:val="20"/>
        </w:rPr>
      </w:pPr>
      <w:r>
        <w:rPr>
          <w:color w:val="005DA1"/>
          <w:position w:val="5"/>
          <w:sz w:val="14"/>
          <w:u w:val="single" w:color="005DA1"/>
        </w:rPr>
        <w:t>1088</w:t>
      </w:r>
      <w:r>
        <w:rPr>
          <w:position w:val="5"/>
          <w:sz w:val="14"/>
        </w:rPr>
        <w:t>.</w:t>
      </w:r>
      <w:r>
        <w:rPr>
          <w:spacing w:val="80"/>
          <w:position w:val="5"/>
          <w:sz w:val="14"/>
        </w:rPr>
        <w:t> </w:t>
      </w:r>
      <w:r>
        <w:rPr>
          <w:rFonts w:ascii="Arial"/>
          <w:i/>
          <w:sz w:val="20"/>
        </w:rPr>
        <w:t>Burrows v Brent LBC [1996] 1 W.L.R. 1448, 1454</w:t>
      </w:r>
      <w:r>
        <w:rPr>
          <w:sz w:val="20"/>
        </w:rPr>
        <w:t>; cf. </w:t>
      </w:r>
      <w:r>
        <w:rPr>
          <w:rFonts w:ascii="Arial"/>
          <w:i/>
          <w:sz w:val="20"/>
        </w:rPr>
        <w:t>Stirling v Leadenhall Residential 2 Ltd [2001] EWCA Civ 1011, [2001] 3 All E.R. 645</w:t>
      </w:r>
      <w:r>
        <w:rPr>
          <w:sz w:val="20"/>
        </w:rPr>
        <w:t>: agreement as to rate at which payments under </w:t>
      </w:r>
      <w:r>
        <w:rPr>
          <w:sz w:val="20"/>
        </w:rPr>
        <w:t>a court order for rent arrears were to be made held not to give rise to a new tenancy.</w:t>
      </w:r>
    </w:p>
    <w:p>
      <w:pPr>
        <w:pStyle w:val="BodyText"/>
        <w:spacing w:before="9"/>
      </w:pPr>
    </w:p>
    <w:p>
      <w:pPr>
        <w:spacing w:line="235" w:lineRule="auto" w:before="0"/>
        <w:ind w:left="705" w:right="168" w:hanging="541"/>
        <w:jc w:val="both"/>
        <w:rPr>
          <w:sz w:val="20"/>
        </w:rPr>
      </w:pPr>
      <w:r>
        <w:rPr>
          <w:color w:val="005DA1"/>
          <w:position w:val="5"/>
          <w:sz w:val="14"/>
          <w:u w:val="single" w:color="005DA1"/>
        </w:rPr>
        <w:t>1089</w:t>
      </w:r>
      <w:r>
        <w:rPr>
          <w:position w:val="5"/>
          <w:sz w:val="14"/>
        </w:rPr>
        <w:t>.</w:t>
      </w:r>
      <w:r>
        <w:rPr>
          <w:spacing w:val="40"/>
          <w:position w:val="5"/>
          <w:sz w:val="14"/>
        </w:rPr>
        <w:t>  </w:t>
      </w:r>
      <w:r>
        <w:rPr>
          <w:rFonts w:ascii="Arial" w:hAnsi="Arial"/>
          <w:i/>
          <w:sz w:val="20"/>
        </w:rPr>
        <w:t>Burrows </w:t>
      </w:r>
      <w:r>
        <w:rPr>
          <w:sz w:val="20"/>
        </w:rPr>
        <w:t>case, above n.1063, at 1455; for discussion of this case, see </w:t>
      </w:r>
      <w:r>
        <w:rPr>
          <w:rFonts w:ascii="Arial" w:hAnsi="Arial"/>
          <w:i/>
          <w:sz w:val="20"/>
        </w:rPr>
        <w:t>Knowsley Housing </w:t>
      </w:r>
      <w:r>
        <w:rPr>
          <w:rFonts w:ascii="Arial" w:hAnsi="Arial"/>
          <w:i/>
          <w:sz w:val="20"/>
        </w:rPr>
        <w:t>Trust</w:t>
      </w:r>
      <w:r>
        <w:rPr>
          <w:rFonts w:ascii="Arial" w:hAnsi="Arial"/>
          <w:i/>
          <w:spacing w:val="40"/>
          <w:sz w:val="20"/>
        </w:rPr>
        <w:t> </w:t>
      </w:r>
      <w:r>
        <w:rPr>
          <w:rFonts w:ascii="Arial" w:hAnsi="Arial"/>
          <w:i/>
          <w:sz w:val="20"/>
        </w:rPr>
        <w:t>v White [2008] UKHL 70, [2009] 1 A.C. 636</w:t>
      </w:r>
      <w:r>
        <w:rPr>
          <w:sz w:val="20"/>
        </w:rPr>
        <w:t>, where Lord Neuberger at [79] described the status of a “tolerated trespasser” as a “conceptually peculiar, even oxymoronic” one.</w:t>
      </w:r>
    </w:p>
    <w:p>
      <w:pPr>
        <w:pStyle w:val="BodyText"/>
        <w:spacing w:before="5"/>
      </w:pPr>
    </w:p>
    <w:p>
      <w:pPr>
        <w:spacing w:before="0"/>
        <w:ind w:left="165" w:right="0" w:firstLine="0"/>
        <w:jc w:val="left"/>
        <w:rPr>
          <w:sz w:val="20"/>
        </w:rPr>
      </w:pPr>
      <w:r>
        <w:rPr>
          <w:color w:val="005DA1"/>
          <w:position w:val="5"/>
          <w:sz w:val="14"/>
          <w:u w:val="single" w:color="005DA1"/>
        </w:rPr>
        <w:t>1090</w:t>
      </w:r>
      <w:r>
        <w:rPr>
          <w:position w:val="5"/>
          <w:sz w:val="14"/>
        </w:rPr>
        <w:t>.</w:t>
      </w:r>
      <w:r>
        <w:rPr>
          <w:spacing w:val="55"/>
          <w:position w:val="5"/>
          <w:sz w:val="14"/>
        </w:rPr>
        <w:t>  </w:t>
      </w:r>
      <w:r>
        <w:rPr>
          <w:sz w:val="20"/>
        </w:rPr>
        <w:t>Above,</w:t>
      </w:r>
      <w:r>
        <w:rPr>
          <w:spacing w:val="1"/>
          <w:sz w:val="20"/>
        </w:rPr>
        <w:t> </w:t>
      </w:r>
      <w:r>
        <w:rPr>
          <w:sz w:val="20"/>
        </w:rPr>
        <w:t>paras 2-167 et </w:t>
      </w:r>
      <w:r>
        <w:rPr>
          <w:spacing w:val="-4"/>
          <w:sz w:val="20"/>
        </w:rPr>
        <w:t>seq.</w:t>
      </w:r>
    </w:p>
    <w:p>
      <w:pPr>
        <w:pStyle w:val="BodyText"/>
        <w:spacing w:before="5"/>
      </w:pPr>
    </w:p>
    <w:p>
      <w:pPr>
        <w:spacing w:before="0"/>
        <w:ind w:left="165" w:right="0" w:firstLine="0"/>
        <w:jc w:val="left"/>
        <w:rPr>
          <w:sz w:val="20"/>
        </w:rPr>
      </w:pPr>
      <w:r>
        <w:rPr>
          <w:color w:val="005DA1"/>
          <w:position w:val="5"/>
          <w:sz w:val="14"/>
          <w:u w:val="single" w:color="005DA1"/>
        </w:rPr>
        <w:t>1091</w:t>
      </w:r>
      <w:r>
        <w:rPr>
          <w:position w:val="5"/>
          <w:sz w:val="14"/>
        </w:rPr>
        <w:t>.</w:t>
      </w:r>
      <w:r>
        <w:rPr>
          <w:spacing w:val="55"/>
          <w:position w:val="5"/>
          <w:sz w:val="14"/>
        </w:rPr>
        <w:t>  </w:t>
      </w:r>
      <w:r>
        <w:rPr>
          <w:sz w:val="20"/>
        </w:rPr>
        <w:t>See </w:t>
      </w:r>
      <w:r>
        <w:rPr>
          <w:rFonts w:ascii="Arial" w:hAnsi="Arial"/>
          <w:i/>
          <w:sz w:val="20"/>
        </w:rPr>
        <w:t>Zakhem International Construction Ltd v Nippon Kohan KK [1987] 2 Lloyd’s Rep. </w:t>
      </w:r>
      <w:r>
        <w:rPr>
          <w:rFonts w:ascii="Arial" w:hAnsi="Arial"/>
          <w:i/>
          <w:spacing w:val="-4"/>
          <w:sz w:val="20"/>
        </w:rPr>
        <w:t>596</w:t>
      </w:r>
      <w:r>
        <w:rPr>
          <w:spacing w:val="-4"/>
          <w:sz w:val="20"/>
        </w:rPr>
        <w:t>.</w:t>
      </w:r>
    </w:p>
    <w:p>
      <w:pPr>
        <w:pStyle w:val="BodyText"/>
        <w:spacing w:before="5"/>
      </w:pPr>
    </w:p>
    <w:p>
      <w:pPr>
        <w:spacing w:before="0"/>
        <w:ind w:left="165" w:right="0" w:firstLine="0"/>
        <w:jc w:val="left"/>
        <w:rPr>
          <w:sz w:val="20"/>
        </w:rPr>
      </w:pPr>
      <w:r>
        <w:rPr>
          <w:color w:val="005DA1"/>
          <w:position w:val="5"/>
          <w:sz w:val="14"/>
          <w:u w:val="single" w:color="005DA1"/>
        </w:rPr>
        <w:t>1092</w:t>
      </w:r>
      <w:r>
        <w:rPr>
          <w:position w:val="5"/>
          <w:sz w:val="14"/>
        </w:rPr>
        <w:t>.</w:t>
      </w:r>
      <w:r>
        <w:rPr>
          <w:spacing w:val="55"/>
          <w:position w:val="5"/>
          <w:sz w:val="14"/>
        </w:rPr>
        <w:t>  </w:t>
      </w:r>
      <w:r>
        <w:rPr>
          <w:sz w:val="20"/>
        </w:rPr>
        <w:t>Above,</w:t>
      </w:r>
      <w:r>
        <w:rPr>
          <w:spacing w:val="1"/>
          <w:sz w:val="20"/>
        </w:rPr>
        <w:t> </w:t>
      </w:r>
      <w:r>
        <w:rPr>
          <w:sz w:val="20"/>
        </w:rPr>
        <w:t>paras 2-168—2-</w:t>
      </w:r>
      <w:r>
        <w:rPr>
          <w:spacing w:val="-4"/>
          <w:sz w:val="20"/>
        </w:rPr>
        <w:t>171.</w:t>
      </w:r>
    </w:p>
    <w:p>
      <w:pPr>
        <w:pStyle w:val="BodyText"/>
        <w:spacing w:before="5"/>
      </w:pPr>
    </w:p>
    <w:p>
      <w:pPr>
        <w:spacing w:before="0"/>
        <w:ind w:left="165" w:right="0" w:firstLine="0"/>
        <w:jc w:val="left"/>
        <w:rPr>
          <w:sz w:val="20"/>
        </w:rPr>
      </w:pPr>
      <w:r>
        <w:rPr>
          <w:color w:val="005DA1"/>
          <w:position w:val="5"/>
          <w:sz w:val="14"/>
          <w:u w:val="single" w:color="005DA1"/>
        </w:rPr>
        <w:t>1093</w:t>
      </w:r>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1 W.L.R.</w:t>
      </w:r>
      <w:r>
        <w:rPr>
          <w:rFonts w:ascii="Arial"/>
          <w:i/>
          <w:spacing w:val="-1"/>
          <w:sz w:val="20"/>
        </w:rPr>
        <w:t> </w:t>
      </w:r>
      <w:r>
        <w:rPr>
          <w:rFonts w:ascii="Arial"/>
          <w:i/>
          <w:sz w:val="20"/>
        </w:rPr>
        <w:t>1</w:t>
      </w:r>
      <w:r>
        <w:rPr>
          <w:sz w:val="20"/>
        </w:rPr>
        <w:t>; Atiyah (1976) 39 M.L.R. </w:t>
      </w:r>
      <w:r>
        <w:rPr>
          <w:spacing w:val="-4"/>
          <w:sz w:val="20"/>
        </w:rPr>
        <w:t>335.</w:t>
      </w:r>
    </w:p>
    <w:p>
      <w:pPr>
        <w:pStyle w:val="BodyText"/>
        <w:spacing w:before="9"/>
      </w:pPr>
    </w:p>
    <w:p>
      <w:pPr>
        <w:pStyle w:val="BodyText"/>
        <w:spacing w:line="235" w:lineRule="auto"/>
        <w:ind w:left="705" w:hanging="541"/>
      </w:pPr>
      <w:r>
        <w:rPr>
          <w:color w:val="005DA1"/>
          <w:position w:val="5"/>
          <w:sz w:val="14"/>
          <w:u w:val="single" w:color="005DA1"/>
        </w:rPr>
        <w:t>1094</w:t>
      </w:r>
      <w:r>
        <w:rPr>
          <w:position w:val="5"/>
          <w:sz w:val="14"/>
        </w:rPr>
        <w:t>.</w:t>
      </w:r>
      <w:r>
        <w:rPr>
          <w:spacing w:val="40"/>
          <w:position w:val="5"/>
          <w:sz w:val="14"/>
        </w:rPr>
        <w:t>  </w:t>
      </w:r>
      <w:r>
        <w:rPr/>
        <w:t>Lords</w:t>
      </w:r>
      <w:r>
        <w:rPr>
          <w:spacing w:val="24"/>
        </w:rPr>
        <w:t> </w:t>
      </w:r>
      <w:r>
        <w:rPr/>
        <w:t>Simon</w:t>
      </w:r>
      <w:r>
        <w:rPr>
          <w:spacing w:val="24"/>
        </w:rPr>
        <w:t> </w:t>
      </w:r>
      <w:r>
        <w:rPr/>
        <w:t>and</w:t>
      </w:r>
      <w:r>
        <w:rPr>
          <w:spacing w:val="24"/>
        </w:rPr>
        <w:t> </w:t>
      </w:r>
      <w:r>
        <w:rPr/>
        <w:t>Wilberforce.</w:t>
      </w:r>
      <w:r>
        <w:rPr>
          <w:spacing w:val="24"/>
        </w:rPr>
        <w:t> </w:t>
      </w:r>
      <w:r>
        <w:rPr/>
        <w:t>Lord</w:t>
      </w:r>
      <w:r>
        <w:rPr>
          <w:spacing w:val="24"/>
        </w:rPr>
        <w:t> </w:t>
      </w:r>
      <w:r>
        <w:rPr/>
        <w:t>Fraser,</w:t>
      </w:r>
      <w:r>
        <w:rPr>
          <w:spacing w:val="24"/>
        </w:rPr>
        <w:t> </w:t>
      </w:r>
      <w:r>
        <w:rPr/>
        <w:t>who</w:t>
      </w:r>
      <w:r>
        <w:rPr>
          <w:spacing w:val="24"/>
        </w:rPr>
        <w:t> </w:t>
      </w:r>
      <w:r>
        <w:rPr/>
        <w:t>dissented</w:t>
      </w:r>
      <w:r>
        <w:rPr>
          <w:spacing w:val="24"/>
        </w:rPr>
        <w:t> </w:t>
      </w:r>
      <w:r>
        <w:rPr/>
        <w:t>on</w:t>
      </w:r>
      <w:r>
        <w:rPr>
          <w:spacing w:val="24"/>
        </w:rPr>
        <w:t> </w:t>
      </w:r>
      <w:r>
        <w:rPr/>
        <w:t>the</w:t>
      </w:r>
      <w:r>
        <w:rPr>
          <w:spacing w:val="24"/>
        </w:rPr>
        <w:t> </w:t>
      </w:r>
      <w:r>
        <w:rPr/>
        <w:t>main</w:t>
      </w:r>
      <w:r>
        <w:rPr>
          <w:spacing w:val="24"/>
        </w:rPr>
        <w:t> </w:t>
      </w:r>
      <w:r>
        <w:rPr/>
        <w:t>issue,</w:t>
      </w:r>
      <w:r>
        <w:rPr>
          <w:spacing w:val="24"/>
        </w:rPr>
        <w:t> </w:t>
      </w:r>
      <w:r>
        <w:rPr/>
        <w:t>took</w:t>
      </w:r>
      <w:r>
        <w:rPr>
          <w:spacing w:val="24"/>
        </w:rPr>
        <w:t> </w:t>
      </w:r>
      <w:r>
        <w:rPr/>
        <w:t>the</w:t>
      </w:r>
      <w:r>
        <w:rPr>
          <w:spacing w:val="24"/>
        </w:rPr>
        <w:t> </w:t>
      </w:r>
      <w:r>
        <w:rPr/>
        <w:t>same </w:t>
      </w:r>
      <w:r>
        <w:rPr>
          <w:spacing w:val="-2"/>
        </w:rPr>
        <w:t>view.</w:t>
      </w:r>
    </w:p>
    <w:p>
      <w:pPr>
        <w:pStyle w:val="BodyText"/>
        <w:spacing w:before="5"/>
      </w:pPr>
    </w:p>
    <w:p>
      <w:pPr>
        <w:spacing w:before="0"/>
        <w:ind w:left="165" w:right="0" w:firstLine="0"/>
        <w:jc w:val="left"/>
        <w:rPr>
          <w:sz w:val="20"/>
        </w:rPr>
      </w:pPr>
      <w:r>
        <w:rPr>
          <w:color w:val="005DA1"/>
          <w:position w:val="5"/>
          <w:sz w:val="14"/>
          <w:u w:val="single" w:color="005DA1"/>
        </w:rPr>
        <w:t>1095</w:t>
      </w:r>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1 W.L.R. 1, </w:t>
      </w:r>
      <w:r>
        <w:rPr>
          <w:rFonts w:ascii="Arial"/>
          <w:i/>
          <w:spacing w:val="-5"/>
          <w:sz w:val="20"/>
        </w:rPr>
        <w:t>6</w:t>
      </w:r>
      <w:r>
        <w:rPr>
          <w:spacing w:val="-5"/>
          <w:sz w:val="20"/>
        </w:rPr>
        <w:t>.</w:t>
      </w:r>
    </w:p>
    <w:p>
      <w:pPr>
        <w:pStyle w:val="BodyText"/>
        <w:spacing w:before="5"/>
      </w:pPr>
    </w:p>
    <w:p>
      <w:pPr>
        <w:spacing w:before="0"/>
        <w:ind w:left="165" w:right="0" w:firstLine="0"/>
        <w:jc w:val="left"/>
        <w:rPr>
          <w:sz w:val="20"/>
        </w:rPr>
      </w:pPr>
      <w:r>
        <w:rPr>
          <w:color w:val="005DA1"/>
          <w:position w:val="5"/>
          <w:sz w:val="14"/>
          <w:u w:val="single" w:color="005DA1"/>
        </w:rPr>
        <w:t>1096</w:t>
      </w:r>
      <w:r>
        <w:rPr>
          <w:position w:val="5"/>
          <w:sz w:val="14"/>
        </w:rPr>
        <w:t>.</w:t>
      </w:r>
      <w:r>
        <w:rPr>
          <w:spacing w:val="55"/>
          <w:position w:val="5"/>
          <w:sz w:val="14"/>
        </w:rPr>
        <w:t>  </w:t>
      </w:r>
      <w:r>
        <w:rPr>
          <w:rFonts w:ascii="Arial"/>
          <w:i/>
          <w:sz w:val="20"/>
        </w:rPr>
        <w:t>[1976]</w:t>
      </w:r>
      <w:r>
        <w:rPr>
          <w:rFonts w:ascii="Arial"/>
          <w:i/>
          <w:spacing w:val="1"/>
          <w:sz w:val="20"/>
        </w:rPr>
        <w:t> </w:t>
      </w:r>
      <w:r>
        <w:rPr>
          <w:rFonts w:ascii="Arial"/>
          <w:i/>
          <w:sz w:val="20"/>
        </w:rPr>
        <w:t>1 W.L.R.</w:t>
      </w:r>
      <w:r>
        <w:rPr>
          <w:rFonts w:ascii="Arial"/>
          <w:i/>
          <w:spacing w:val="-1"/>
          <w:sz w:val="20"/>
        </w:rPr>
        <w:t> </w:t>
      </w:r>
      <w:r>
        <w:rPr>
          <w:rFonts w:ascii="Arial"/>
          <w:i/>
          <w:sz w:val="20"/>
        </w:rPr>
        <w:t>1078</w:t>
      </w:r>
      <w:r>
        <w:rPr>
          <w:sz w:val="20"/>
        </w:rPr>
        <w:t>; Adams (1977) 40 M.L.R. </w:t>
      </w:r>
      <w:r>
        <w:rPr>
          <w:spacing w:val="-4"/>
          <w:sz w:val="20"/>
        </w:rPr>
        <w:t>227.</w:t>
      </w:r>
    </w:p>
    <w:p>
      <w:pPr>
        <w:spacing w:after="0"/>
        <w:jc w:val="lef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jc w:val="center"/>
              <w:rPr>
                <w:sz w:val="14"/>
              </w:rPr>
            </w:pPr>
            <w:r>
              <w:rPr>
                <w:color w:val="005DA1"/>
                <w:spacing w:val="-2"/>
                <w:sz w:val="14"/>
                <w:u w:val="single" w:color="005DA1"/>
              </w:rPr>
              <w:t>1097</w:t>
            </w:r>
            <w:r>
              <w:rPr>
                <w:spacing w:val="-2"/>
                <w:sz w:val="14"/>
              </w:rPr>
              <w:t>.</w:t>
            </w:r>
          </w:p>
        </w:tc>
        <w:tc>
          <w:tcPr>
            <w:tcW w:w="8620" w:type="dxa"/>
          </w:tcPr>
          <w:p>
            <w:pPr>
              <w:pStyle w:val="TableParagraph"/>
              <w:spacing w:line="223" w:lineRule="exact" w:before="0"/>
              <w:ind w:left="94" w:right="0"/>
              <w:rPr>
                <w:sz w:val="20"/>
              </w:rPr>
            </w:pPr>
            <w:r>
              <w:rPr>
                <w:rFonts w:ascii="Arial" w:hAnsi="Arial"/>
                <w:i/>
                <w:sz w:val="20"/>
              </w:rPr>
              <w:t>[1975]</w:t>
            </w:r>
            <w:r>
              <w:rPr>
                <w:rFonts w:ascii="Arial" w:hAnsi="Arial"/>
                <w:i/>
                <w:spacing w:val="-2"/>
                <w:sz w:val="20"/>
              </w:rPr>
              <w:t> </w:t>
            </w:r>
            <w:r>
              <w:rPr>
                <w:rFonts w:ascii="Arial" w:hAnsi="Arial"/>
                <w:i/>
                <w:sz w:val="20"/>
              </w:rPr>
              <w:t>1 Lloyd’s Rep. </w:t>
            </w:r>
            <w:r>
              <w:rPr>
                <w:rFonts w:ascii="Arial" w:hAnsi="Arial"/>
                <w:i/>
                <w:spacing w:val="-4"/>
                <w:sz w:val="20"/>
              </w:rPr>
              <w:t>162</w:t>
            </w:r>
            <w:r>
              <w:rPr>
                <w:spacing w:val="-4"/>
                <w:sz w:val="20"/>
              </w:rPr>
              <w:t>.</w:t>
            </w:r>
          </w:p>
        </w:tc>
      </w:tr>
      <w:tr>
        <w:trPr>
          <w:trHeight w:val="794" w:hRule="atLeast"/>
        </w:trPr>
        <w:tc>
          <w:tcPr>
            <w:tcW w:w="496" w:type="dxa"/>
          </w:tcPr>
          <w:p>
            <w:pPr>
              <w:pStyle w:val="TableParagraph"/>
              <w:jc w:val="center"/>
              <w:rPr>
                <w:sz w:val="14"/>
              </w:rPr>
            </w:pPr>
            <w:r>
              <w:rPr>
                <w:color w:val="005DA1"/>
                <w:spacing w:val="-2"/>
                <w:sz w:val="14"/>
                <w:u w:val="single" w:color="005DA1"/>
              </w:rPr>
              <w:t>1098</w:t>
            </w:r>
            <w:r>
              <w:rPr>
                <w:spacing w:val="-2"/>
                <w:sz w:val="14"/>
              </w:rPr>
              <w:t>.</w:t>
            </w:r>
          </w:p>
        </w:tc>
        <w:tc>
          <w:tcPr>
            <w:tcW w:w="8620" w:type="dxa"/>
          </w:tcPr>
          <w:p>
            <w:pPr>
              <w:pStyle w:val="TableParagraph"/>
              <w:spacing w:line="235" w:lineRule="auto" w:before="118"/>
              <w:ind w:left="94" w:right="0"/>
              <w:rPr>
                <w:rFonts w:ascii="Arial"/>
                <w:i/>
                <w:sz w:val="20"/>
              </w:rPr>
            </w:pPr>
            <w:r>
              <w:rPr>
                <w:rFonts w:ascii="Arial"/>
                <w:i/>
                <w:sz w:val="20"/>
              </w:rPr>
              <w:t>[1976] 1 W.L.R. 1078</w:t>
            </w:r>
            <w:r>
              <w:rPr>
                <w:sz w:val="20"/>
              </w:rPr>
              <w:t>; cited with apparent approval of the outcome in</w:t>
            </w:r>
            <w:r>
              <w:rPr>
                <w:spacing w:val="-1"/>
                <w:sz w:val="20"/>
              </w:rPr>
              <w:t> </w:t>
            </w:r>
            <w:r>
              <w:rPr>
                <w:rFonts w:ascii="Arial"/>
                <w:i/>
                <w:sz w:val="20"/>
              </w:rPr>
              <w:t>Daewoo Heavy Industries Ltd</w:t>
            </w:r>
            <w:r>
              <w:rPr>
                <w:rFonts w:ascii="Arial"/>
                <w:i/>
                <w:spacing w:val="24"/>
                <w:sz w:val="20"/>
              </w:rPr>
              <w:t> </w:t>
            </w:r>
            <w:r>
              <w:rPr>
                <w:rFonts w:ascii="Arial"/>
                <w:i/>
                <w:sz w:val="20"/>
              </w:rPr>
              <w:t>v</w:t>
            </w:r>
            <w:r>
              <w:rPr>
                <w:rFonts w:ascii="Arial"/>
                <w:i/>
                <w:spacing w:val="24"/>
                <w:sz w:val="20"/>
              </w:rPr>
              <w:t> </w:t>
            </w:r>
            <w:r>
              <w:rPr>
                <w:rFonts w:ascii="Arial"/>
                <w:i/>
                <w:sz w:val="20"/>
              </w:rPr>
              <w:t>Klipriver</w:t>
            </w:r>
            <w:r>
              <w:rPr>
                <w:rFonts w:ascii="Arial"/>
                <w:i/>
                <w:spacing w:val="24"/>
                <w:sz w:val="20"/>
              </w:rPr>
              <w:t> </w:t>
            </w:r>
            <w:r>
              <w:rPr>
                <w:rFonts w:ascii="Arial"/>
                <w:i/>
                <w:sz w:val="20"/>
              </w:rPr>
              <w:t>Shipping</w:t>
            </w:r>
            <w:r>
              <w:rPr>
                <w:rFonts w:ascii="Arial"/>
                <w:i/>
                <w:spacing w:val="24"/>
                <w:sz w:val="20"/>
              </w:rPr>
              <w:t> </w:t>
            </w:r>
            <w:r>
              <w:rPr>
                <w:rFonts w:ascii="Arial"/>
                <w:i/>
                <w:sz w:val="20"/>
              </w:rPr>
              <w:t>Ltd</w:t>
            </w:r>
            <w:r>
              <w:rPr>
                <w:rFonts w:ascii="Arial"/>
                <w:i/>
                <w:spacing w:val="24"/>
                <w:sz w:val="20"/>
              </w:rPr>
              <w:t> </w:t>
            </w:r>
            <w:r>
              <w:rPr>
                <w:rFonts w:ascii="Arial"/>
                <w:i/>
                <w:sz w:val="20"/>
              </w:rPr>
              <w:t>(The</w:t>
            </w:r>
            <w:r>
              <w:rPr>
                <w:rFonts w:ascii="Arial"/>
                <w:i/>
                <w:spacing w:val="24"/>
                <w:sz w:val="20"/>
              </w:rPr>
              <w:t> </w:t>
            </w:r>
            <w:r>
              <w:rPr>
                <w:rFonts w:ascii="Arial"/>
                <w:i/>
                <w:sz w:val="20"/>
              </w:rPr>
              <w:t>Kapitan</w:t>
            </w:r>
            <w:r>
              <w:rPr>
                <w:rFonts w:ascii="Arial"/>
                <w:i/>
                <w:spacing w:val="24"/>
                <w:sz w:val="20"/>
              </w:rPr>
              <w:t> </w:t>
            </w:r>
            <w:r>
              <w:rPr>
                <w:rFonts w:ascii="Arial"/>
                <w:i/>
                <w:sz w:val="20"/>
              </w:rPr>
              <w:t>Petko</w:t>
            </w:r>
            <w:r>
              <w:rPr>
                <w:rFonts w:ascii="Arial"/>
                <w:i/>
                <w:spacing w:val="24"/>
                <w:sz w:val="20"/>
              </w:rPr>
              <w:t> </w:t>
            </w:r>
            <w:r>
              <w:rPr>
                <w:rFonts w:ascii="Arial"/>
                <w:i/>
                <w:sz w:val="20"/>
              </w:rPr>
              <w:t>Voivoda)</w:t>
            </w:r>
            <w:r>
              <w:rPr>
                <w:rFonts w:ascii="Arial"/>
                <w:i/>
                <w:spacing w:val="24"/>
                <w:sz w:val="20"/>
              </w:rPr>
              <w:t> </w:t>
            </w:r>
            <w:r>
              <w:rPr>
                <w:rFonts w:ascii="Arial"/>
                <w:i/>
                <w:sz w:val="20"/>
              </w:rPr>
              <w:t>[2003]</w:t>
            </w:r>
            <w:r>
              <w:rPr>
                <w:rFonts w:ascii="Arial"/>
                <w:i/>
                <w:spacing w:val="24"/>
                <w:sz w:val="20"/>
              </w:rPr>
              <w:t> </w:t>
            </w:r>
            <w:r>
              <w:rPr>
                <w:rFonts w:ascii="Arial"/>
                <w:i/>
                <w:sz w:val="20"/>
              </w:rPr>
              <w:t>EWCA</w:t>
            </w:r>
            <w:r>
              <w:rPr>
                <w:rFonts w:ascii="Arial"/>
                <w:i/>
                <w:spacing w:val="24"/>
                <w:sz w:val="20"/>
              </w:rPr>
              <w:t> </w:t>
            </w:r>
            <w:r>
              <w:rPr>
                <w:rFonts w:ascii="Arial"/>
                <w:i/>
                <w:sz w:val="20"/>
              </w:rPr>
              <w:t>Civ</w:t>
            </w:r>
            <w:r>
              <w:rPr>
                <w:rFonts w:ascii="Arial"/>
                <w:i/>
                <w:spacing w:val="24"/>
                <w:sz w:val="20"/>
              </w:rPr>
              <w:t> </w:t>
            </w:r>
            <w:r>
              <w:rPr>
                <w:rFonts w:ascii="Arial"/>
                <w:i/>
                <w:sz w:val="20"/>
              </w:rPr>
              <w:t>451,</w:t>
            </w:r>
            <w:r>
              <w:rPr>
                <w:rFonts w:ascii="Arial"/>
                <w:i/>
                <w:spacing w:val="24"/>
                <w:sz w:val="20"/>
              </w:rPr>
              <w:t> </w:t>
            </w:r>
            <w:r>
              <w:rPr>
                <w:rFonts w:ascii="Arial"/>
                <w:i/>
                <w:sz w:val="20"/>
              </w:rPr>
              <w:t>[2003]</w:t>
            </w:r>
            <w:r>
              <w:rPr>
                <w:rFonts w:ascii="Arial"/>
                <w:i/>
                <w:spacing w:val="24"/>
                <w:sz w:val="20"/>
              </w:rPr>
              <w:t> </w:t>
            </w:r>
            <w:r>
              <w:rPr>
                <w:rFonts w:ascii="Arial"/>
                <w:i/>
                <w:sz w:val="20"/>
              </w:rPr>
              <w:t>1</w:t>
            </w:r>
            <w:r>
              <w:rPr>
                <w:rFonts w:ascii="Arial"/>
                <w:i/>
                <w:spacing w:val="24"/>
                <w:sz w:val="20"/>
              </w:rPr>
              <w:t> </w:t>
            </w:r>
            <w:r>
              <w:rPr>
                <w:rFonts w:ascii="Arial"/>
                <w:i/>
                <w:spacing w:val="-5"/>
                <w:sz w:val="20"/>
              </w:rPr>
              <w:t>All</w:t>
            </w:r>
          </w:p>
          <w:p>
            <w:pPr>
              <w:pStyle w:val="TableParagraph"/>
              <w:spacing w:line="205" w:lineRule="exact" w:before="0"/>
              <w:ind w:left="94" w:right="0"/>
              <w:rPr>
                <w:sz w:val="20"/>
              </w:rPr>
            </w:pPr>
            <w:r>
              <w:rPr>
                <w:rFonts w:ascii="Arial"/>
                <w:i/>
                <w:sz w:val="20"/>
              </w:rPr>
              <w:t>E.R. (Comm) 801</w:t>
            </w:r>
            <w:r>
              <w:rPr>
                <w:rFonts w:ascii="Arial"/>
                <w:i/>
                <w:spacing w:val="-1"/>
                <w:sz w:val="20"/>
              </w:rPr>
              <w:t> </w:t>
            </w:r>
            <w:r>
              <w:rPr>
                <w:sz w:val="20"/>
              </w:rPr>
              <w:t>at [19], </w:t>
            </w:r>
            <w:r>
              <w:rPr>
                <w:spacing w:val="-2"/>
                <w:sz w:val="20"/>
              </w:rPr>
              <w:t>[40].</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0" w:right="3" w:firstLine="0"/>
        <w:jc w:val="center"/>
        <w:rPr>
          <w:rFonts w:ascii="Arial"/>
          <w:b/>
          <w:sz w:val="24"/>
        </w:rPr>
      </w:pPr>
      <w:r>
        <w:rPr>
          <w:rFonts w:ascii="Arial"/>
          <w:b/>
          <w:sz w:val="24"/>
        </w:rPr>
        <w:t>Section 10. - Liability When Negotiations Do Not Produce A </w:t>
      </w:r>
      <w:r>
        <w:rPr>
          <w:rFonts w:ascii="Arial"/>
          <w:b/>
          <w:spacing w:val="-2"/>
          <w:sz w:val="24"/>
        </w:rPr>
        <w:t>Contract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pacing w:val="-2"/>
          <w:sz w:val="18"/>
        </w:rPr>
        <w:t>General</w:t>
      </w:r>
    </w:p>
    <w:p>
      <w:pPr>
        <w:pStyle w:val="BodyText"/>
        <w:spacing w:before="41"/>
        <w:rPr>
          <w:rFonts w:ascii="Arial"/>
          <w:b/>
          <w:sz w:val="18"/>
        </w:rPr>
      </w:pPr>
    </w:p>
    <w:p>
      <w:pPr>
        <w:pStyle w:val="Heading2"/>
        <w:spacing w:before="1"/>
      </w:pPr>
      <w:r>
        <w:rPr/>
        <w:t>2-</w:t>
      </w:r>
      <w:r>
        <w:rPr>
          <w:spacing w:val="-5"/>
        </w:rPr>
        <w:t>200</w:t>
      </w:r>
    </w:p>
    <w:p>
      <w:pPr>
        <w:pStyle w:val="BodyText"/>
        <w:spacing w:line="235" w:lineRule="auto" w:before="202"/>
        <w:ind w:left="165" w:right="167"/>
        <w:jc w:val="both"/>
      </w:pPr>
      <w:r>
        <w:rPr/>
        <w:t>Contracts of any complexity are likely to be negotiated through a series of communications with </w:t>
      </w:r>
      <w:r>
        <w:rPr/>
        <w:t>one side responding to the other’s proposals. The starting point in English law is that, until the contract is concluded, either party is free to decide not to contract and to withdraw from further negotiations without incurring any liability. This position upholds freedom of contract (which includes freedom </w:t>
      </w:r>
      <w:r>
        <w:rPr>
          <w:rFonts w:ascii="Arial" w:hAnsi="Arial"/>
          <w:i/>
        </w:rPr>
        <w:t>from </w:t>
      </w:r>
      <w:r>
        <w:rPr/>
        <w:t>contract), and assumes that parties must take the risk that negotiations may fail to yield an enforceable contract. However, such a position may, in some cases, come into tension with considerations of good faith and fair dealing; for example, when the party refusing to proceed with the negotiations or claiming that the agreement reached lacks contractual force has induced the other party to believe that a contract will be concluded, and perhaps even to commence its performance. Many</w:t>
      </w:r>
      <w:r>
        <w:rPr>
          <w:spacing w:val="-4"/>
        </w:rPr>
        <w:t> </w:t>
      </w:r>
      <w:r>
        <w:rPr/>
        <w:t>European</w:t>
      </w:r>
      <w:r>
        <w:rPr>
          <w:spacing w:val="-4"/>
        </w:rPr>
        <w:t> </w:t>
      </w:r>
      <w:r>
        <w:rPr/>
        <w:t>continental</w:t>
      </w:r>
      <w:r>
        <w:rPr>
          <w:spacing w:val="-4"/>
        </w:rPr>
        <w:t> </w:t>
      </w:r>
      <w:r>
        <w:rPr/>
        <w:t>civil</w:t>
      </w:r>
      <w:r>
        <w:rPr>
          <w:spacing w:val="-4"/>
        </w:rPr>
        <w:t> </w:t>
      </w:r>
      <w:r>
        <w:rPr/>
        <w:t>law</w:t>
      </w:r>
      <w:r>
        <w:rPr>
          <w:spacing w:val="-4"/>
        </w:rPr>
        <w:t> </w:t>
      </w:r>
      <w:r>
        <w:rPr/>
        <w:t>systems</w:t>
      </w:r>
      <w:r>
        <w:rPr>
          <w:spacing w:val="-4"/>
        </w:rPr>
        <w:t> </w:t>
      </w:r>
      <w:r>
        <w:rPr/>
        <w:t>recognise</w:t>
      </w:r>
      <w:r>
        <w:rPr>
          <w:spacing w:val="-4"/>
        </w:rPr>
        <w:t> </w:t>
      </w:r>
      <w:r>
        <w:rPr/>
        <w:t>a</w:t>
      </w:r>
      <w:r>
        <w:rPr>
          <w:spacing w:val="-4"/>
        </w:rPr>
        <w:t> </w:t>
      </w:r>
      <w:r>
        <w:rPr/>
        <w:t>duty</w:t>
      </w:r>
      <w:r>
        <w:rPr>
          <w:spacing w:val="-4"/>
        </w:rPr>
        <w:t> </w:t>
      </w:r>
      <w:r>
        <w:rPr/>
        <w:t>to</w:t>
      </w:r>
      <w:r>
        <w:rPr>
          <w:spacing w:val="-4"/>
        </w:rPr>
        <w:t> </w:t>
      </w:r>
      <w:r>
        <w:rPr/>
        <w:t>negotiate</w:t>
      </w:r>
      <w:r>
        <w:rPr>
          <w:spacing w:val="-4"/>
        </w:rPr>
        <w:t> </w:t>
      </w:r>
      <w:r>
        <w:rPr/>
        <w:t>in</w:t>
      </w:r>
      <w:r>
        <w:rPr>
          <w:spacing w:val="-4"/>
        </w:rPr>
        <w:t> </w:t>
      </w:r>
      <w:r>
        <w:rPr/>
        <w:t>good</w:t>
      </w:r>
      <w:r>
        <w:rPr>
          <w:spacing w:val="-4"/>
        </w:rPr>
        <w:t> </w:t>
      </w:r>
      <w:r>
        <w:rPr/>
        <w:t>faith.</w:t>
      </w:r>
      <w:r>
        <w:rPr>
          <w:spacing w:val="-4"/>
        </w:rPr>
        <w:t> </w:t>
      </w:r>
      <w:r>
        <w:rPr>
          <w:color w:val="005DA1"/>
          <w:u w:val="single" w:color="005DA1"/>
          <w:vertAlign w:val="superscript"/>
        </w:rPr>
        <w:t>1099</w:t>
      </w:r>
      <w:r>
        <w:rPr>
          <w:color w:val="005DA1"/>
          <w:spacing w:val="-4"/>
          <w:vertAlign w:val="baseline"/>
        </w:rPr>
        <w:t> </w:t>
      </w:r>
      <w:r>
        <w:rPr>
          <w:vertAlign w:val="baseline"/>
        </w:rPr>
        <w:t>The</w:t>
      </w:r>
      <w:r>
        <w:rPr>
          <w:spacing w:val="-4"/>
          <w:vertAlign w:val="baseline"/>
        </w:rPr>
        <w:t> </w:t>
      </w:r>
      <w:r>
        <w:rPr>
          <w:vertAlign w:val="baseline"/>
        </w:rPr>
        <w:t>Draft Common Frame of Reference </w:t>
      </w:r>
      <w:r>
        <w:rPr>
          <w:color w:val="005DA1"/>
          <w:u w:val="single" w:color="005DA1"/>
          <w:vertAlign w:val="superscript"/>
        </w:rPr>
        <w:t>1100</w:t>
      </w:r>
      <w:r>
        <w:rPr>
          <w:color w:val="005DA1"/>
          <w:vertAlign w:val="baseline"/>
        </w:rPr>
        <w:t> </w:t>
      </w:r>
      <w:r>
        <w:rPr>
          <w:vertAlign w:val="baseline"/>
        </w:rPr>
        <w:t>states that: “A person who is engaged in negotiations has a duty to negotiate in accordance with good faith and fair dealing and not to break off negotiations contrary to good faith and fair dealing”. Likewise, the UNIDROIT Principles of International Commercial</w:t>
      </w:r>
      <w:r>
        <w:rPr>
          <w:spacing w:val="40"/>
          <w:vertAlign w:val="baseline"/>
        </w:rPr>
        <w:t> </w:t>
      </w:r>
      <w:r>
        <w:rPr>
          <w:vertAlign w:val="baseline"/>
        </w:rPr>
        <w:t>Contracts, </w:t>
      </w:r>
      <w:r>
        <w:rPr>
          <w:color w:val="005DA1"/>
          <w:u w:val="single" w:color="005DA1"/>
          <w:vertAlign w:val="superscript"/>
        </w:rPr>
        <w:t>1101</w:t>
      </w:r>
      <w:r>
        <w:rPr>
          <w:color w:val="005DA1"/>
          <w:vertAlign w:val="baseline"/>
        </w:rPr>
        <w:t> </w:t>
      </w:r>
      <w:r>
        <w:rPr>
          <w:vertAlign w:val="baseline"/>
        </w:rPr>
        <w:t>state that while “[a] party is free to negotiate and is not liable for failure to reach an agreement”, he is “liable for the losses caused to the other party” if he “negotiates or breaks off negotiations in bad faith”; and “[i]t is bad faith, in particular, for a party to enter into or continue negotiations when intending not to reach an agreement with the other party.”</w:t>
      </w:r>
    </w:p>
    <w:p>
      <w:pPr>
        <w:pStyle w:val="BodyText"/>
      </w:pPr>
    </w:p>
    <w:p>
      <w:pPr>
        <w:pStyle w:val="BodyText"/>
        <w:spacing w:before="32"/>
      </w:pPr>
    </w:p>
    <w:p>
      <w:pPr>
        <w:spacing w:before="0"/>
        <w:ind w:left="165" w:right="0" w:firstLine="0"/>
        <w:jc w:val="left"/>
        <w:rPr>
          <w:rFonts w:ascii="Arial"/>
          <w:b/>
          <w:sz w:val="18"/>
        </w:rPr>
      </w:pPr>
      <w:r>
        <w:rPr>
          <w:rFonts w:ascii="Arial"/>
          <w:b/>
          <w:sz w:val="18"/>
        </w:rPr>
        <w:t>Piecemeal </w:t>
      </w:r>
      <w:r>
        <w:rPr>
          <w:rFonts w:ascii="Arial"/>
          <w:b/>
          <w:spacing w:val="-2"/>
          <w:sz w:val="18"/>
        </w:rPr>
        <w:t>approach</w:t>
      </w:r>
    </w:p>
    <w:p>
      <w:pPr>
        <w:pStyle w:val="BodyText"/>
        <w:spacing w:before="42"/>
        <w:rPr>
          <w:rFonts w:ascii="Arial"/>
          <w:b/>
          <w:sz w:val="18"/>
        </w:rPr>
      </w:pPr>
    </w:p>
    <w:p>
      <w:pPr>
        <w:pStyle w:val="Heading2"/>
      </w:pPr>
      <w:r>
        <w:rPr/>
        <w:t>2-</w:t>
      </w:r>
      <w:r>
        <w:rPr>
          <w:spacing w:val="-5"/>
        </w:rPr>
        <w:t>201</w:t>
      </w:r>
    </w:p>
    <w:p>
      <w:pPr>
        <w:pStyle w:val="BodyText"/>
        <w:spacing w:line="235" w:lineRule="auto" w:before="202"/>
        <w:ind w:left="165" w:right="167"/>
        <w:jc w:val="both"/>
      </w:pPr>
      <w:r>
        <w:rPr/>
        <w:t>In contrast, English law imposes no general duty to negotiate in good faith. </w:t>
      </w:r>
      <w:r>
        <w:rPr>
          <w:color w:val="005DA1"/>
          <w:u w:val="single" w:color="005DA1"/>
          <w:vertAlign w:val="superscript"/>
        </w:rPr>
        <w:t>1102</w:t>
      </w:r>
      <w:r>
        <w:rPr>
          <w:color w:val="005DA1"/>
          <w:vertAlign w:val="baseline"/>
        </w:rPr>
        <w:t> </w:t>
      </w:r>
      <w:r>
        <w:rPr>
          <w:vertAlign w:val="baseline"/>
        </w:rPr>
        <w:t>However, this is not </w:t>
      </w:r>
      <w:r>
        <w:rPr>
          <w:vertAlign w:val="baseline"/>
        </w:rPr>
        <w:t>to suggest that there is a bright line dividing liability when a contract has been concluded, and no liability before that point. For that would overlook the diverse range of doctrines and principles that can be deployed by the courts to deal with contraventions of good faith and fair dealing in the pre-contractual period.</w:t>
      </w:r>
      <w:r>
        <w:rPr>
          <w:spacing w:val="3"/>
          <w:vertAlign w:val="baseline"/>
        </w:rPr>
        <w:t> </w:t>
      </w:r>
      <w:r>
        <w:rPr>
          <w:vertAlign w:val="baseline"/>
        </w:rPr>
        <w:t>As</w:t>
      </w:r>
      <w:r>
        <w:rPr>
          <w:spacing w:val="3"/>
          <w:vertAlign w:val="baseline"/>
        </w:rPr>
        <w:t> </w:t>
      </w:r>
      <w:r>
        <w:rPr>
          <w:vertAlign w:val="baseline"/>
        </w:rPr>
        <w:t>Bingham</w:t>
      </w:r>
      <w:r>
        <w:rPr>
          <w:spacing w:val="3"/>
          <w:vertAlign w:val="baseline"/>
        </w:rPr>
        <w:t> </w:t>
      </w:r>
      <w:r>
        <w:rPr>
          <w:vertAlign w:val="baseline"/>
        </w:rPr>
        <w:t>L.J.</w:t>
      </w:r>
      <w:r>
        <w:rPr>
          <w:spacing w:val="3"/>
          <w:vertAlign w:val="baseline"/>
        </w:rPr>
        <w:t> </w:t>
      </w:r>
      <w:r>
        <w:rPr>
          <w:vertAlign w:val="baseline"/>
        </w:rPr>
        <w:t>observed</w:t>
      </w:r>
      <w:r>
        <w:rPr>
          <w:spacing w:val="3"/>
          <w:vertAlign w:val="baseline"/>
        </w:rPr>
        <w:t> </w:t>
      </w:r>
      <w:r>
        <w:rPr>
          <w:vertAlign w:val="baseline"/>
        </w:rPr>
        <w:t>in</w:t>
      </w:r>
      <w:r>
        <w:rPr>
          <w:spacing w:val="3"/>
          <w:vertAlign w:val="baseline"/>
        </w:rPr>
        <w:t> </w:t>
      </w:r>
      <w:r>
        <w:rPr>
          <w:rFonts w:ascii="Arial"/>
          <w:i/>
          <w:vertAlign w:val="baseline"/>
        </w:rPr>
        <w:t>Interfoto</w:t>
      </w:r>
      <w:r>
        <w:rPr>
          <w:rFonts w:ascii="Arial"/>
          <w:i/>
          <w:spacing w:val="3"/>
          <w:vertAlign w:val="baseline"/>
        </w:rPr>
        <w:t> </w:t>
      </w:r>
      <w:r>
        <w:rPr>
          <w:rFonts w:ascii="Arial"/>
          <w:i/>
          <w:vertAlign w:val="baseline"/>
        </w:rPr>
        <w:t>Picture</w:t>
      </w:r>
      <w:r>
        <w:rPr>
          <w:rFonts w:ascii="Arial"/>
          <w:i/>
          <w:spacing w:val="3"/>
          <w:vertAlign w:val="baseline"/>
        </w:rPr>
        <w:t> </w:t>
      </w:r>
      <w:r>
        <w:rPr>
          <w:rFonts w:ascii="Arial"/>
          <w:i/>
          <w:vertAlign w:val="baseline"/>
        </w:rPr>
        <w:t>Library</w:t>
      </w:r>
      <w:r>
        <w:rPr>
          <w:rFonts w:ascii="Arial"/>
          <w:i/>
          <w:spacing w:val="3"/>
          <w:vertAlign w:val="baseline"/>
        </w:rPr>
        <w:t> </w:t>
      </w:r>
      <w:r>
        <w:rPr>
          <w:rFonts w:ascii="Arial"/>
          <w:i/>
          <w:vertAlign w:val="baseline"/>
        </w:rPr>
        <w:t>Ltd</w:t>
      </w:r>
      <w:r>
        <w:rPr>
          <w:rFonts w:ascii="Arial"/>
          <w:i/>
          <w:spacing w:val="3"/>
          <w:vertAlign w:val="baseline"/>
        </w:rPr>
        <w:t> </w:t>
      </w:r>
      <w:r>
        <w:rPr>
          <w:rFonts w:ascii="Arial"/>
          <w:i/>
          <w:vertAlign w:val="baseline"/>
        </w:rPr>
        <w:t>v</w:t>
      </w:r>
      <w:r>
        <w:rPr>
          <w:rFonts w:ascii="Arial"/>
          <w:i/>
          <w:spacing w:val="3"/>
          <w:vertAlign w:val="baseline"/>
        </w:rPr>
        <w:t> </w:t>
      </w:r>
      <w:r>
        <w:rPr>
          <w:rFonts w:ascii="Arial"/>
          <w:i/>
          <w:vertAlign w:val="baseline"/>
        </w:rPr>
        <w:t>Stiletto</w:t>
      </w:r>
      <w:r>
        <w:rPr>
          <w:rFonts w:ascii="Arial"/>
          <w:i/>
          <w:spacing w:val="3"/>
          <w:vertAlign w:val="baseline"/>
        </w:rPr>
        <w:t> </w:t>
      </w:r>
      <w:r>
        <w:rPr>
          <w:rFonts w:ascii="Arial"/>
          <w:i/>
          <w:vertAlign w:val="baseline"/>
        </w:rPr>
        <w:t>Visual</w:t>
      </w:r>
      <w:r>
        <w:rPr>
          <w:rFonts w:ascii="Arial"/>
          <w:i/>
          <w:spacing w:val="3"/>
          <w:vertAlign w:val="baseline"/>
        </w:rPr>
        <w:t> </w:t>
      </w:r>
      <w:r>
        <w:rPr>
          <w:rFonts w:ascii="Arial"/>
          <w:i/>
          <w:vertAlign w:val="baseline"/>
        </w:rPr>
        <w:t>Programmes</w:t>
      </w:r>
      <w:r>
        <w:rPr>
          <w:rFonts w:ascii="Arial"/>
          <w:i/>
          <w:spacing w:val="3"/>
          <w:vertAlign w:val="baseline"/>
        </w:rPr>
        <w:t> </w:t>
      </w:r>
      <w:r>
        <w:rPr>
          <w:rFonts w:ascii="Arial"/>
          <w:i/>
          <w:vertAlign w:val="baseline"/>
        </w:rPr>
        <w:t>Ltd</w:t>
      </w:r>
      <w:r>
        <w:rPr>
          <w:rFonts w:ascii="Arial"/>
          <w:i/>
          <w:spacing w:val="3"/>
          <w:vertAlign w:val="baseline"/>
        </w:rPr>
        <w:t> </w:t>
      </w:r>
      <w:r>
        <w:rPr>
          <w:color w:val="005DA1"/>
          <w:spacing w:val="-6"/>
          <w:u w:val="single" w:color="005DA1"/>
          <w:vertAlign w:val="superscript"/>
        </w:rPr>
        <w:t>1103</w:t>
      </w:r>
    </w:p>
    <w:p>
      <w:pPr>
        <w:spacing w:line="224" w:lineRule="exact" w:before="0"/>
        <w:ind w:left="165" w:right="0" w:firstLine="0"/>
        <w:jc w:val="left"/>
        <w:rPr>
          <w:sz w:val="20"/>
        </w:rPr>
      </w:pPr>
      <w:r>
        <w:rPr>
          <w:spacing w:val="-10"/>
          <w:sz w:val="20"/>
        </w:rPr>
        <w:t>:</w:t>
      </w:r>
    </w:p>
    <w:p>
      <w:pPr>
        <w:pStyle w:val="BodyText"/>
      </w:pPr>
    </w:p>
    <w:p>
      <w:pPr>
        <w:pStyle w:val="BodyText"/>
        <w:spacing w:before="126"/>
      </w:pPr>
    </w:p>
    <w:p>
      <w:pPr>
        <w:pStyle w:val="BodyText"/>
        <w:spacing w:line="235" w:lineRule="auto"/>
        <w:ind w:left="1245" w:right="167"/>
        <w:jc w:val="both"/>
      </w:pPr>
      <w:r>
        <w:rPr/>
        <w:t>“In many civil law systems, and perhaps in most legal systems outside the common law world, the law of obligations recognises and enforces an overriding principle that </w:t>
      </w:r>
      <w:r>
        <w:rPr/>
        <w:t>in making and carrying out contracts parties should act in good faith. This does not simply mean that they should not deceive each other, a principle which any legal system must recognise; its effect is perhaps most aptly conveyed by such metaphorical colloquialisms as ‘playing fair’, ‘coming clean’ or ‘putting one’s cards face upwards on the table’. It is in essence a principle of fair and open dealing … English law has, characteristically, committed itself to no such overriding principle but has developed piecemeal solutions in response to demonstrated problems of unfairness … At one level they are concerned</w:t>
      </w:r>
      <w:r>
        <w:rPr>
          <w:spacing w:val="80"/>
        </w:rPr>
        <w:t> </w:t>
      </w:r>
      <w:r>
        <w:rPr/>
        <w:t>with</w:t>
      </w:r>
      <w:r>
        <w:rPr>
          <w:spacing w:val="4"/>
        </w:rPr>
        <w:t> </w:t>
      </w:r>
      <w:r>
        <w:rPr/>
        <w:t>a</w:t>
      </w:r>
      <w:r>
        <w:rPr>
          <w:spacing w:val="4"/>
        </w:rPr>
        <w:t> </w:t>
      </w:r>
      <w:r>
        <w:rPr/>
        <w:t>question</w:t>
      </w:r>
      <w:r>
        <w:rPr>
          <w:spacing w:val="4"/>
        </w:rPr>
        <w:t> </w:t>
      </w:r>
      <w:r>
        <w:rPr/>
        <w:t>of</w:t>
      </w:r>
      <w:r>
        <w:rPr>
          <w:spacing w:val="4"/>
        </w:rPr>
        <w:t> </w:t>
      </w:r>
      <w:r>
        <w:rPr/>
        <w:t>pure</w:t>
      </w:r>
      <w:r>
        <w:rPr>
          <w:spacing w:val="4"/>
        </w:rPr>
        <w:t> </w:t>
      </w:r>
      <w:r>
        <w:rPr/>
        <w:t>contractual</w:t>
      </w:r>
      <w:r>
        <w:rPr>
          <w:spacing w:val="4"/>
        </w:rPr>
        <w:t> </w:t>
      </w:r>
      <w:r>
        <w:rPr/>
        <w:t>analysis</w:t>
      </w:r>
      <w:r>
        <w:rPr>
          <w:spacing w:val="4"/>
        </w:rPr>
        <w:t> </w:t>
      </w:r>
      <w:r>
        <w:rPr/>
        <w:t>…</w:t>
      </w:r>
      <w:r>
        <w:rPr>
          <w:spacing w:val="4"/>
        </w:rPr>
        <w:t> </w:t>
      </w:r>
      <w:r>
        <w:rPr/>
        <w:t>At</w:t>
      </w:r>
      <w:r>
        <w:rPr>
          <w:spacing w:val="4"/>
        </w:rPr>
        <w:t> </w:t>
      </w:r>
      <w:r>
        <w:rPr/>
        <w:t>another</w:t>
      </w:r>
      <w:r>
        <w:rPr>
          <w:spacing w:val="4"/>
        </w:rPr>
        <w:t> </w:t>
      </w:r>
      <w:r>
        <w:rPr/>
        <w:t>level</w:t>
      </w:r>
      <w:r>
        <w:rPr>
          <w:spacing w:val="4"/>
        </w:rPr>
        <w:t> </w:t>
      </w:r>
      <w:r>
        <w:rPr/>
        <w:t>they</w:t>
      </w:r>
      <w:r>
        <w:rPr>
          <w:spacing w:val="4"/>
        </w:rPr>
        <w:t> </w:t>
      </w:r>
      <w:r>
        <w:rPr/>
        <w:t>are</w:t>
      </w:r>
      <w:r>
        <w:rPr>
          <w:spacing w:val="4"/>
        </w:rPr>
        <w:t> </w:t>
      </w:r>
      <w:r>
        <w:rPr/>
        <w:t>concerned</w:t>
      </w:r>
      <w:r>
        <w:rPr>
          <w:spacing w:val="4"/>
        </w:rPr>
        <w:t> </w:t>
      </w:r>
      <w:r>
        <w:rPr/>
        <w:t>with</w:t>
      </w:r>
      <w:r>
        <w:rPr>
          <w:spacing w:val="4"/>
        </w:rPr>
        <w:t> </w:t>
      </w:r>
      <w:r>
        <w:rPr>
          <w:spacing w:val="-10"/>
        </w:rPr>
        <w:t>a</w:t>
      </w:r>
    </w:p>
    <w:p>
      <w:pPr>
        <w:pStyle w:val="BodyText"/>
        <w:spacing w:after="0" w:line="235" w:lineRule="auto"/>
        <w:jc w:val="both"/>
        <w:sectPr>
          <w:headerReference w:type="default" r:id="rId30"/>
          <w:pgSz w:w="11900" w:h="16840"/>
          <w:pgMar w:header="971" w:footer="0" w:top="1300" w:bottom="280" w:left="1275" w:right="1275"/>
          <w:pgNumType w:start="1"/>
        </w:sectPr>
      </w:pPr>
    </w:p>
    <w:p>
      <w:pPr>
        <w:pStyle w:val="BodyText"/>
        <w:spacing w:before="167"/>
      </w:pPr>
    </w:p>
    <w:p>
      <w:pPr>
        <w:pStyle w:val="BodyText"/>
        <w:spacing w:line="235" w:lineRule="auto"/>
        <w:ind w:left="1245"/>
      </w:pPr>
      <w:r>
        <w:rPr/>
        <w:t>somewhat</w:t>
      </w:r>
      <w:r>
        <w:rPr>
          <w:spacing w:val="66"/>
        </w:rPr>
        <w:t> </w:t>
      </w:r>
      <w:r>
        <w:rPr/>
        <w:t>different</w:t>
      </w:r>
      <w:r>
        <w:rPr>
          <w:spacing w:val="66"/>
        </w:rPr>
        <w:t> </w:t>
      </w:r>
      <w:r>
        <w:rPr/>
        <w:t>question,</w:t>
      </w:r>
      <w:r>
        <w:rPr>
          <w:spacing w:val="66"/>
        </w:rPr>
        <w:t> </w:t>
      </w:r>
      <w:r>
        <w:rPr/>
        <w:t>whether</w:t>
      </w:r>
      <w:r>
        <w:rPr>
          <w:spacing w:val="66"/>
        </w:rPr>
        <w:t> </w:t>
      </w:r>
      <w:r>
        <w:rPr/>
        <w:t>it</w:t>
      </w:r>
      <w:r>
        <w:rPr>
          <w:spacing w:val="66"/>
        </w:rPr>
        <w:t> </w:t>
      </w:r>
      <w:r>
        <w:rPr/>
        <w:t>would</w:t>
      </w:r>
      <w:r>
        <w:rPr>
          <w:spacing w:val="66"/>
        </w:rPr>
        <w:t> </w:t>
      </w:r>
      <w:r>
        <w:rPr/>
        <w:t>in</w:t>
      </w:r>
      <w:r>
        <w:rPr>
          <w:spacing w:val="66"/>
        </w:rPr>
        <w:t> </w:t>
      </w:r>
      <w:r>
        <w:rPr/>
        <w:t>all</w:t>
      </w:r>
      <w:r>
        <w:rPr>
          <w:spacing w:val="66"/>
        </w:rPr>
        <w:t> </w:t>
      </w:r>
      <w:r>
        <w:rPr/>
        <w:t>the</w:t>
      </w:r>
      <w:r>
        <w:rPr>
          <w:spacing w:val="66"/>
        </w:rPr>
        <w:t> </w:t>
      </w:r>
      <w:r>
        <w:rPr/>
        <w:t>circumstances</w:t>
      </w:r>
      <w:r>
        <w:rPr>
          <w:spacing w:val="66"/>
        </w:rPr>
        <w:t> </w:t>
      </w:r>
      <w:r>
        <w:rPr/>
        <w:t>be</w:t>
      </w:r>
      <w:r>
        <w:rPr>
          <w:spacing w:val="66"/>
        </w:rPr>
        <w:t> </w:t>
      </w:r>
      <w:r>
        <w:rPr/>
        <w:t>fair</w:t>
      </w:r>
      <w:r>
        <w:rPr>
          <w:spacing w:val="66"/>
        </w:rPr>
        <w:t> </w:t>
      </w:r>
      <w:r>
        <w:rPr/>
        <w:t>(or reasonable) to hold a party bound.”</w:t>
      </w:r>
    </w:p>
    <w:p>
      <w:pPr>
        <w:pStyle w:val="BodyText"/>
        <w:spacing w:before="116"/>
      </w:pPr>
    </w:p>
    <w:p>
      <w:pPr>
        <w:pStyle w:val="BodyText"/>
        <w:spacing w:line="235" w:lineRule="auto"/>
        <w:ind w:left="165" w:right="167"/>
        <w:jc w:val="both"/>
      </w:pPr>
      <w:r>
        <w:rPr/>
        <w:t>These “piecemeal solutions” are discussed in greater detail elsewhere in these two volumes and references will be made to them. They are brought together in this section to show how and to what extent</w:t>
      </w:r>
      <w:r>
        <w:rPr>
          <w:spacing w:val="67"/>
        </w:rPr>
        <w:t> </w:t>
      </w:r>
      <w:r>
        <w:rPr/>
        <w:t>the</w:t>
      </w:r>
      <w:r>
        <w:rPr>
          <w:spacing w:val="67"/>
        </w:rPr>
        <w:t> </w:t>
      </w:r>
      <w:r>
        <w:rPr/>
        <w:t>common</w:t>
      </w:r>
      <w:r>
        <w:rPr>
          <w:spacing w:val="67"/>
        </w:rPr>
        <w:t> </w:t>
      </w:r>
      <w:r>
        <w:rPr/>
        <w:t>law,</w:t>
      </w:r>
      <w:r>
        <w:rPr>
          <w:spacing w:val="67"/>
        </w:rPr>
        <w:t> </w:t>
      </w:r>
      <w:r>
        <w:rPr/>
        <w:t>in</w:t>
      </w:r>
      <w:r>
        <w:rPr>
          <w:spacing w:val="67"/>
        </w:rPr>
        <w:t> </w:t>
      </w:r>
      <w:r>
        <w:rPr/>
        <w:t>effect,</w:t>
      </w:r>
      <w:r>
        <w:rPr>
          <w:spacing w:val="67"/>
        </w:rPr>
        <w:t> </w:t>
      </w:r>
      <w:r>
        <w:rPr/>
        <w:t>implements</w:t>
      </w:r>
      <w:r>
        <w:rPr>
          <w:spacing w:val="67"/>
        </w:rPr>
        <w:t> </w:t>
      </w:r>
      <w:r>
        <w:rPr/>
        <w:t>a</w:t>
      </w:r>
      <w:r>
        <w:rPr>
          <w:spacing w:val="67"/>
        </w:rPr>
        <w:t> </w:t>
      </w:r>
      <w:r>
        <w:rPr/>
        <w:t>notion</w:t>
      </w:r>
      <w:r>
        <w:rPr>
          <w:spacing w:val="67"/>
        </w:rPr>
        <w:t> </w:t>
      </w:r>
      <w:r>
        <w:rPr/>
        <w:t>of</w:t>
      </w:r>
      <w:r>
        <w:rPr>
          <w:spacing w:val="67"/>
        </w:rPr>
        <w:t> </w:t>
      </w:r>
      <w:r>
        <w:rPr/>
        <w:t>good</w:t>
      </w:r>
      <w:r>
        <w:rPr>
          <w:spacing w:val="67"/>
        </w:rPr>
        <w:t> </w:t>
      </w:r>
      <w:r>
        <w:rPr/>
        <w:t>faith</w:t>
      </w:r>
      <w:r>
        <w:rPr>
          <w:spacing w:val="67"/>
        </w:rPr>
        <w:t> </w:t>
      </w:r>
      <w:r>
        <w:rPr/>
        <w:t>and</w:t>
      </w:r>
      <w:r>
        <w:rPr>
          <w:spacing w:val="67"/>
        </w:rPr>
        <w:t> </w:t>
      </w:r>
      <w:r>
        <w:rPr/>
        <w:t>fair</w:t>
      </w:r>
      <w:r>
        <w:rPr>
          <w:spacing w:val="67"/>
        </w:rPr>
        <w:t> </w:t>
      </w:r>
      <w:r>
        <w:rPr/>
        <w:t>dealing</w:t>
      </w:r>
      <w:r>
        <w:rPr>
          <w:spacing w:val="67"/>
        </w:rPr>
        <w:t> </w:t>
      </w:r>
      <w:r>
        <w:rPr/>
        <w:t>in</w:t>
      </w:r>
      <w:r>
        <w:rPr>
          <w:spacing w:val="67"/>
        </w:rPr>
        <w:t> </w:t>
      </w:r>
      <w:r>
        <w:rPr/>
        <w:t>the pre-contractual period.</w:t>
      </w:r>
    </w:p>
    <w:p>
      <w:pPr>
        <w:pStyle w:val="BodyText"/>
      </w:pPr>
    </w:p>
    <w:p>
      <w:pPr>
        <w:pStyle w:val="BodyText"/>
        <w:spacing w:before="38"/>
      </w:pPr>
      <w:r>
        <w:rPr/>
        <mc:AlternateContent>
          <mc:Choice Requires="wps">
            <w:drawing>
              <wp:anchor distT="0" distB="0" distL="0" distR="0" allowOverlap="1" layoutInCell="1" locked="0" behindDoc="1" simplePos="0" relativeHeight="487624704">
                <wp:simplePos x="0" y="0"/>
                <wp:positionH relativeFrom="page">
                  <wp:posOffset>914400</wp:posOffset>
                </wp:positionH>
                <wp:positionV relativeFrom="paragraph">
                  <wp:posOffset>185843</wp:posOffset>
                </wp:positionV>
                <wp:extent cx="5724525" cy="1270"/>
                <wp:effectExtent l="0" t="0" r="0" b="0"/>
                <wp:wrapTopAndBottom/>
                <wp:docPr id="146" name="Graphic 146"/>
                <wp:cNvGraphicFramePr>
                  <a:graphicFrameLocks/>
                </wp:cNvGraphicFramePr>
                <a:graphic>
                  <a:graphicData uri="http://schemas.microsoft.com/office/word/2010/wordprocessingShape">
                    <wps:wsp>
                      <wps:cNvPr id="146" name="Graphic 146"/>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633312pt;width:450.75pt;height:.1pt;mso-position-horizontal-relative:page;mso-position-vertical-relative:paragraph;z-index:-15691776;mso-wrap-distance-left:0;mso-wrap-distance-right:0" id="docshape49" coordorigin="1440,293" coordsize="9015,0" path="m1440,293l10454,293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794" w:hRule="atLeast"/>
        </w:trPr>
        <w:tc>
          <w:tcPr>
            <w:tcW w:w="496" w:type="dxa"/>
          </w:tcPr>
          <w:p>
            <w:pPr>
              <w:pStyle w:val="TableParagraph"/>
              <w:spacing w:before="0"/>
              <w:jc w:val="center"/>
              <w:rPr>
                <w:sz w:val="14"/>
              </w:rPr>
            </w:pPr>
            <w:r>
              <w:rPr>
                <w:color w:val="005DA1"/>
                <w:spacing w:val="-2"/>
                <w:sz w:val="14"/>
                <w:u w:val="single" w:color="005DA1"/>
              </w:rPr>
              <w:t>1099</w:t>
            </w:r>
            <w:r>
              <w:rPr>
                <w:spacing w:val="-2"/>
                <w:sz w:val="14"/>
              </w:rPr>
              <w:t>.</w:t>
            </w:r>
          </w:p>
        </w:tc>
        <w:tc>
          <w:tcPr>
            <w:tcW w:w="8620" w:type="dxa"/>
          </w:tcPr>
          <w:p>
            <w:pPr>
              <w:pStyle w:val="TableParagraph"/>
              <w:spacing w:line="235" w:lineRule="auto" w:before="0"/>
              <w:ind w:left="94" w:right="48"/>
              <w:jc w:val="both"/>
              <w:rPr>
                <w:sz w:val="20"/>
              </w:rPr>
            </w:pPr>
            <w:r>
              <w:rPr>
                <w:sz w:val="20"/>
              </w:rPr>
              <w:t>Italian Codice Civile art.1337 and s.311(2) of the German Bürgerliches Gesetzbuch </w:t>
            </w:r>
            <w:r>
              <w:rPr>
                <w:sz w:val="20"/>
              </w:rPr>
              <w:t>both</w:t>
            </w:r>
            <w:r>
              <w:rPr>
                <w:spacing w:val="40"/>
                <w:sz w:val="20"/>
              </w:rPr>
              <w:t> </w:t>
            </w:r>
            <w:r>
              <w:rPr>
                <w:sz w:val="20"/>
              </w:rPr>
              <w:t>impose the obligation of good faith during contract negotiations. And see above, paras 1-042 and 1-043.</w:t>
            </w:r>
          </w:p>
        </w:tc>
      </w:tr>
      <w:tr>
        <w:trPr>
          <w:trHeight w:val="915" w:hRule="atLeast"/>
        </w:trPr>
        <w:tc>
          <w:tcPr>
            <w:tcW w:w="496" w:type="dxa"/>
          </w:tcPr>
          <w:p>
            <w:pPr>
              <w:pStyle w:val="TableParagraph"/>
              <w:jc w:val="center"/>
              <w:rPr>
                <w:sz w:val="14"/>
              </w:rPr>
            </w:pPr>
            <w:r>
              <w:rPr>
                <w:color w:val="005DA1"/>
                <w:spacing w:val="-2"/>
                <w:sz w:val="14"/>
                <w:u w:val="single" w:color="005DA1"/>
              </w:rPr>
              <w:t>1100</w:t>
            </w:r>
            <w:r>
              <w:rPr>
                <w:spacing w:val="-2"/>
                <w:sz w:val="14"/>
              </w:rPr>
              <w:t>.</w:t>
            </w:r>
          </w:p>
        </w:tc>
        <w:tc>
          <w:tcPr>
            <w:tcW w:w="8620" w:type="dxa"/>
          </w:tcPr>
          <w:p>
            <w:pPr>
              <w:pStyle w:val="TableParagraph"/>
              <w:spacing w:line="235" w:lineRule="auto" w:before="118"/>
              <w:ind w:left="94" w:right="48"/>
              <w:jc w:val="both"/>
              <w:rPr>
                <w:sz w:val="20"/>
              </w:rPr>
            </w:pPr>
            <w:r>
              <w:rPr>
                <w:sz w:val="20"/>
              </w:rPr>
              <w:t>Principles, Definitions and Model Rules of European Private Law: Draft Common Frame </w:t>
            </w:r>
            <w:r>
              <w:rPr>
                <w:sz w:val="20"/>
              </w:rPr>
              <w:t>of Reference (2009), art.II-3:301(1); cf. O. Lando and H. Beale, </w:t>
            </w:r>
            <w:r>
              <w:rPr>
                <w:rFonts w:ascii="Arial"/>
                <w:i/>
                <w:sz w:val="20"/>
              </w:rPr>
              <w:t>Principles of European Contract Law (Parts I and II) </w:t>
            </w:r>
            <w:r>
              <w:rPr>
                <w:sz w:val="20"/>
              </w:rPr>
              <w:t>(2000) art.2:301.</w:t>
            </w:r>
          </w:p>
        </w:tc>
      </w:tr>
      <w:tr>
        <w:trPr>
          <w:trHeight w:val="465" w:hRule="atLeast"/>
        </w:trPr>
        <w:tc>
          <w:tcPr>
            <w:tcW w:w="496" w:type="dxa"/>
          </w:tcPr>
          <w:p>
            <w:pPr>
              <w:pStyle w:val="TableParagraph"/>
              <w:jc w:val="center"/>
              <w:rPr>
                <w:sz w:val="14"/>
              </w:rPr>
            </w:pPr>
            <w:r>
              <w:rPr>
                <w:color w:val="005DA1"/>
                <w:spacing w:val="-2"/>
                <w:sz w:val="14"/>
                <w:u w:val="single" w:color="005DA1"/>
              </w:rPr>
              <w:t>1101</w:t>
            </w:r>
            <w:r>
              <w:rPr>
                <w:spacing w:val="-2"/>
                <w:sz w:val="14"/>
              </w:rPr>
              <w:t>.</w:t>
            </w:r>
          </w:p>
        </w:tc>
        <w:tc>
          <w:tcPr>
            <w:tcW w:w="8620" w:type="dxa"/>
          </w:tcPr>
          <w:p>
            <w:pPr>
              <w:pStyle w:val="TableParagraph"/>
              <w:spacing w:before="114"/>
              <w:ind w:left="94" w:right="0"/>
              <w:rPr>
                <w:sz w:val="20"/>
              </w:rPr>
            </w:pPr>
            <w:r>
              <w:rPr>
                <w:sz w:val="20"/>
              </w:rPr>
              <w:t>art.2.1.15 </w:t>
            </w:r>
            <w:r>
              <w:rPr>
                <w:spacing w:val="-2"/>
                <w:sz w:val="20"/>
              </w:rPr>
              <w:t>UPICC.</w:t>
            </w:r>
          </w:p>
        </w:tc>
      </w:tr>
      <w:tr>
        <w:trPr>
          <w:trHeight w:val="465" w:hRule="atLeast"/>
        </w:trPr>
        <w:tc>
          <w:tcPr>
            <w:tcW w:w="496" w:type="dxa"/>
          </w:tcPr>
          <w:p>
            <w:pPr>
              <w:pStyle w:val="TableParagraph"/>
              <w:jc w:val="center"/>
              <w:rPr>
                <w:sz w:val="14"/>
              </w:rPr>
            </w:pPr>
            <w:r>
              <w:rPr>
                <w:color w:val="005DA1"/>
                <w:spacing w:val="-2"/>
                <w:sz w:val="14"/>
                <w:u w:val="single" w:color="005DA1"/>
              </w:rPr>
              <w:t>1102</w:t>
            </w:r>
            <w:r>
              <w:rPr>
                <w:spacing w:val="-2"/>
                <w:sz w:val="14"/>
              </w:rPr>
              <w:t>.</w:t>
            </w:r>
          </w:p>
        </w:tc>
        <w:tc>
          <w:tcPr>
            <w:tcW w:w="8620" w:type="dxa"/>
          </w:tcPr>
          <w:p>
            <w:pPr>
              <w:pStyle w:val="TableParagraph"/>
              <w:spacing w:before="114"/>
              <w:ind w:left="94" w:right="0"/>
              <w:rPr>
                <w:sz w:val="20"/>
              </w:rPr>
            </w:pPr>
            <w:r>
              <w:rPr>
                <w:sz w:val="20"/>
              </w:rPr>
              <w:t>See above, para.1-</w:t>
            </w:r>
            <w:r>
              <w:rPr>
                <w:spacing w:val="-4"/>
                <w:sz w:val="20"/>
              </w:rPr>
              <w:t>039.</w:t>
            </w:r>
          </w:p>
        </w:tc>
      </w:tr>
      <w:tr>
        <w:trPr>
          <w:trHeight w:val="344" w:hRule="atLeast"/>
        </w:trPr>
        <w:tc>
          <w:tcPr>
            <w:tcW w:w="496" w:type="dxa"/>
          </w:tcPr>
          <w:p>
            <w:pPr>
              <w:pStyle w:val="TableParagraph"/>
              <w:jc w:val="center"/>
              <w:rPr>
                <w:sz w:val="14"/>
              </w:rPr>
            </w:pPr>
            <w:r>
              <w:rPr>
                <w:color w:val="005DA1"/>
                <w:spacing w:val="-2"/>
                <w:sz w:val="14"/>
                <w:u w:val="single" w:color="005DA1"/>
              </w:rPr>
              <w:t>1103</w:t>
            </w:r>
            <w:r>
              <w:rPr>
                <w:spacing w:val="-2"/>
                <w:sz w:val="14"/>
              </w:rPr>
              <w:t>.</w:t>
            </w:r>
          </w:p>
        </w:tc>
        <w:tc>
          <w:tcPr>
            <w:tcW w:w="8620" w:type="dxa"/>
          </w:tcPr>
          <w:p>
            <w:pPr>
              <w:pStyle w:val="TableParagraph"/>
              <w:spacing w:line="210" w:lineRule="exact" w:before="114"/>
              <w:ind w:left="94" w:right="0"/>
              <w:rPr>
                <w:sz w:val="20"/>
              </w:rPr>
            </w:pPr>
            <w:r>
              <w:rPr>
                <w:rFonts w:ascii="Arial"/>
                <w:i/>
                <w:sz w:val="20"/>
              </w:rPr>
              <w:t>[1989] Q.B. 433; [1988] 2 W.L.R. </w:t>
            </w:r>
            <w:r>
              <w:rPr>
                <w:rFonts w:ascii="Arial"/>
                <w:i/>
                <w:spacing w:val="-4"/>
                <w:sz w:val="20"/>
              </w:rPr>
              <w:t>615</w:t>
            </w:r>
            <w:r>
              <w:rPr>
                <w:spacing w:val="-4"/>
                <w:sz w:val="20"/>
              </w:rPr>
              <w:t>.</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0" w:right="3" w:firstLine="0"/>
        <w:jc w:val="center"/>
        <w:rPr>
          <w:rFonts w:ascii="Arial"/>
          <w:b/>
          <w:sz w:val="24"/>
        </w:rPr>
      </w:pPr>
      <w:r>
        <w:rPr>
          <w:rFonts w:ascii="Arial"/>
          <w:b/>
          <w:sz w:val="24"/>
        </w:rPr>
        <w:t>Section 10. - Liability When Negotiations Do Not Produce A </w:t>
      </w:r>
      <w:r>
        <w:rPr>
          <w:rFonts w:ascii="Arial"/>
          <w:b/>
          <w:spacing w:val="-2"/>
          <w:sz w:val="24"/>
        </w:rPr>
        <w:t>Contract</w:t>
      </w:r>
    </w:p>
    <w:p>
      <w:pPr>
        <w:spacing w:before="194"/>
        <w:ind w:left="1978" w:right="0" w:firstLine="0"/>
        <w:jc w:val="left"/>
        <w:rPr>
          <w:rFonts w:ascii="Arial" w:hAnsi="Arial"/>
          <w:b/>
          <w:sz w:val="24"/>
        </w:rPr>
      </w:pPr>
      <w:r>
        <w:rPr>
          <w:rFonts w:ascii="Arial" w:hAnsi="Arial"/>
          <w:b/>
          <w:sz w:val="24"/>
        </w:rPr>
        <w:t>(a) - Main Agreements “Perfected” by the </w:t>
      </w:r>
      <w:r>
        <w:rPr>
          <w:rFonts w:ascii="Arial" w:hAnsi="Arial"/>
          <w:b/>
          <w:spacing w:val="-2"/>
          <w:sz w:val="24"/>
        </w:rPr>
        <w:t>Court</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Objectivity and </w:t>
      </w:r>
      <w:r>
        <w:rPr>
          <w:rFonts w:ascii="Arial"/>
          <w:b/>
          <w:spacing w:val="-2"/>
          <w:sz w:val="18"/>
        </w:rPr>
        <w:t>fault</w:t>
      </w:r>
    </w:p>
    <w:p>
      <w:pPr>
        <w:pStyle w:val="BodyText"/>
        <w:spacing w:before="42"/>
        <w:rPr>
          <w:rFonts w:ascii="Arial"/>
          <w:b/>
          <w:sz w:val="18"/>
        </w:rPr>
      </w:pPr>
    </w:p>
    <w:p>
      <w:pPr>
        <w:pStyle w:val="Heading2"/>
      </w:pPr>
      <w:r>
        <w:rPr/>
        <w:t>2-</w:t>
      </w:r>
      <w:r>
        <w:rPr>
          <w:spacing w:val="-5"/>
        </w:rPr>
        <w:t>202</w:t>
      </w:r>
    </w:p>
    <w:p>
      <w:pPr>
        <w:pStyle w:val="BodyText"/>
        <w:spacing w:line="235" w:lineRule="auto" w:before="202"/>
        <w:ind w:left="165" w:right="167"/>
        <w:jc w:val="both"/>
      </w:pPr>
      <w:r>
        <w:rPr/>
        <w:t>Contracts are premised on the agreement of the parties. But, while the common law adopts the objective</w:t>
      </w:r>
      <w:r>
        <w:rPr>
          <w:spacing w:val="-2"/>
        </w:rPr>
        <w:t> </w:t>
      </w:r>
      <w:r>
        <w:rPr/>
        <w:t>test</w:t>
      </w:r>
      <w:r>
        <w:rPr>
          <w:spacing w:val="-2"/>
        </w:rPr>
        <w:t> </w:t>
      </w:r>
      <w:r>
        <w:rPr/>
        <w:t>to</w:t>
      </w:r>
      <w:r>
        <w:rPr>
          <w:spacing w:val="-2"/>
        </w:rPr>
        <w:t> </w:t>
      </w:r>
      <w:r>
        <w:rPr/>
        <w:t>agreement</w:t>
      </w:r>
      <w:r>
        <w:rPr>
          <w:spacing w:val="-2"/>
        </w:rPr>
        <w:t> </w:t>
      </w:r>
      <w:r>
        <w:rPr/>
        <w:t>(the</w:t>
      </w:r>
      <w:r>
        <w:rPr>
          <w:spacing w:val="-2"/>
        </w:rPr>
        <w:t> </w:t>
      </w:r>
      <w:r>
        <w:rPr/>
        <w:t>appearance</w:t>
      </w:r>
      <w:r>
        <w:rPr>
          <w:spacing w:val="-2"/>
        </w:rPr>
        <w:t> </w:t>
      </w:r>
      <w:r>
        <w:rPr/>
        <w:t>of</w:t>
      </w:r>
      <w:r>
        <w:rPr>
          <w:spacing w:val="-2"/>
        </w:rPr>
        <w:t> </w:t>
      </w:r>
      <w:r>
        <w:rPr/>
        <w:t>agreement</w:t>
      </w:r>
      <w:r>
        <w:rPr>
          <w:spacing w:val="-2"/>
        </w:rPr>
        <w:t> </w:t>
      </w:r>
      <w:r>
        <w:rPr/>
        <w:t>is</w:t>
      </w:r>
      <w:r>
        <w:rPr>
          <w:spacing w:val="-2"/>
        </w:rPr>
        <w:t> </w:t>
      </w:r>
      <w:r>
        <w:rPr/>
        <w:t>sufficient),</w:t>
      </w:r>
      <w:r>
        <w:rPr>
          <w:spacing w:val="-3"/>
        </w:rPr>
        <w:t> </w:t>
      </w:r>
      <w:r>
        <w:rPr>
          <w:color w:val="005DA1"/>
          <w:u w:val="single" w:color="005DA1"/>
          <w:vertAlign w:val="superscript"/>
        </w:rPr>
        <w:t>1104</w:t>
      </w:r>
      <w:r>
        <w:rPr>
          <w:color w:val="005DA1"/>
          <w:spacing w:val="-2"/>
          <w:vertAlign w:val="baseline"/>
        </w:rPr>
        <w:t> </w:t>
      </w:r>
      <w:r>
        <w:rPr>
          <w:vertAlign w:val="baseline"/>
        </w:rPr>
        <w:t>continental</w:t>
      </w:r>
      <w:r>
        <w:rPr>
          <w:spacing w:val="-2"/>
          <w:vertAlign w:val="baseline"/>
        </w:rPr>
        <w:t> </w:t>
      </w:r>
      <w:r>
        <w:rPr>
          <w:vertAlign w:val="baseline"/>
        </w:rPr>
        <w:t>European</w:t>
      </w:r>
      <w:r>
        <w:rPr>
          <w:spacing w:val="-2"/>
          <w:vertAlign w:val="baseline"/>
        </w:rPr>
        <w:t> </w:t>
      </w:r>
      <w:r>
        <w:rPr>
          <w:vertAlign w:val="baseline"/>
        </w:rPr>
        <w:t>civil law systems purport to adopt a subjective approach. Accordingly, there may be no contract if one party no longer intended to enter it, </w:t>
      </w:r>
      <w:r>
        <w:rPr>
          <w:color w:val="005DA1"/>
          <w:u w:val="single" w:color="005DA1"/>
          <w:vertAlign w:val="superscript"/>
        </w:rPr>
        <w:t>1105</w:t>
      </w:r>
      <w:r>
        <w:rPr>
          <w:color w:val="005DA1"/>
          <w:vertAlign w:val="baseline"/>
        </w:rPr>
        <w:t> </w:t>
      </w:r>
      <w:r>
        <w:rPr>
          <w:vertAlign w:val="baseline"/>
        </w:rPr>
        <w:t>or the contract may be avoided, if the expression of</w:t>
      </w:r>
      <w:r>
        <w:rPr>
          <w:spacing w:val="40"/>
          <w:vertAlign w:val="baseline"/>
        </w:rPr>
        <w:t> </w:t>
      </w:r>
      <w:r>
        <w:rPr>
          <w:vertAlign w:val="baseline"/>
        </w:rPr>
        <w:t>agreement is tainted by mistake so that the mistaken party did not intend to enter that particular contract, despite appearances. </w:t>
      </w:r>
      <w:r>
        <w:rPr>
          <w:color w:val="005DA1"/>
          <w:u w:val="single" w:color="005DA1"/>
          <w:vertAlign w:val="superscript"/>
        </w:rPr>
        <w:t>1106</w:t>
      </w:r>
      <w:r>
        <w:rPr>
          <w:color w:val="005DA1"/>
          <w:vertAlign w:val="baseline"/>
        </w:rPr>
        <w:t> </w:t>
      </w:r>
      <w:r>
        <w:rPr>
          <w:vertAlign w:val="baseline"/>
        </w:rPr>
        <w:t>However, in some civilian systems the notion of fault in the contracting process seems to have developed as a counter-weight to the requirement of subjective assent. </w:t>
      </w:r>
      <w:r>
        <w:rPr>
          <w:color w:val="005DA1"/>
          <w:u w:val="single" w:color="005DA1"/>
          <w:vertAlign w:val="superscript"/>
        </w:rPr>
        <w:t>1107</w:t>
      </w:r>
      <w:r>
        <w:rPr>
          <w:color w:val="005DA1"/>
          <w:vertAlign w:val="baseline"/>
        </w:rPr>
        <w:t> </w:t>
      </w:r>
      <w:r>
        <w:rPr>
          <w:vertAlign w:val="baseline"/>
        </w:rPr>
        <w:t>Thus, for example, according to §122 BGB, the mistaken party must compensate the</w:t>
      </w:r>
      <w:r>
        <w:rPr>
          <w:spacing w:val="40"/>
          <w:vertAlign w:val="baseline"/>
        </w:rPr>
        <w:t> </w:t>
      </w:r>
      <w:r>
        <w:rPr>
          <w:vertAlign w:val="baseline"/>
        </w:rPr>
        <w:t>other party for their reliance loss unless they knew or ought to have known of the mistake. </w:t>
      </w:r>
      <w:r>
        <w:rPr>
          <w:color w:val="005DA1"/>
          <w:u w:val="single" w:color="005DA1"/>
          <w:vertAlign w:val="superscript"/>
        </w:rPr>
        <w:t>1108</w:t>
      </w:r>
      <w:r>
        <w:rPr>
          <w:color w:val="005DA1"/>
          <w:vertAlign w:val="baseline"/>
        </w:rPr>
        <w:t> </w:t>
      </w:r>
      <w:r>
        <w:rPr>
          <w:vertAlign w:val="baseline"/>
        </w:rPr>
        <w:t>The notion of culpa in contrahendo (fault in the conclusion of a contract) formally entered the BGB as a general principle in 2001 (§311) and deals with a number of circumstances that do not arise in</w:t>
      </w:r>
      <w:r>
        <w:rPr>
          <w:spacing w:val="80"/>
          <w:vertAlign w:val="baseline"/>
        </w:rPr>
        <w:t> </w:t>
      </w:r>
      <w:r>
        <w:rPr>
          <w:vertAlign w:val="baseline"/>
        </w:rPr>
        <w:t>English law because the objective approach means that there will simply be contractual liability. English law has also developed many other techniques to “perfect” an otherwise imperfect</w:t>
      </w:r>
      <w:r>
        <w:rPr>
          <w:spacing w:val="80"/>
          <w:vertAlign w:val="baseline"/>
        </w:rPr>
        <w:t> </w:t>
      </w:r>
      <w:r>
        <w:rPr>
          <w:spacing w:val="-2"/>
          <w:vertAlign w:val="baseline"/>
        </w:rPr>
        <w:t>agreement.</w:t>
      </w:r>
    </w:p>
    <w:p>
      <w:pPr>
        <w:pStyle w:val="BodyText"/>
      </w:pPr>
    </w:p>
    <w:p>
      <w:pPr>
        <w:pStyle w:val="BodyText"/>
        <w:spacing w:before="33"/>
      </w:pPr>
    </w:p>
    <w:p>
      <w:pPr>
        <w:spacing w:before="1"/>
        <w:ind w:left="165" w:right="0" w:firstLine="0"/>
        <w:jc w:val="left"/>
        <w:rPr>
          <w:rFonts w:ascii="Arial"/>
          <w:b/>
          <w:sz w:val="18"/>
        </w:rPr>
      </w:pPr>
      <w:r>
        <w:rPr>
          <w:rFonts w:ascii="Arial"/>
          <w:b/>
          <w:sz w:val="18"/>
        </w:rPr>
        <w:t>Incomplete or vague </w:t>
      </w:r>
      <w:r>
        <w:rPr>
          <w:rFonts w:ascii="Arial"/>
          <w:b/>
          <w:spacing w:val="-2"/>
          <w:sz w:val="18"/>
        </w:rPr>
        <w:t>agreements</w:t>
      </w:r>
    </w:p>
    <w:p>
      <w:pPr>
        <w:pStyle w:val="BodyText"/>
        <w:spacing w:before="41"/>
        <w:rPr>
          <w:rFonts w:ascii="Arial"/>
          <w:b/>
          <w:sz w:val="18"/>
        </w:rPr>
      </w:pPr>
    </w:p>
    <w:p>
      <w:pPr>
        <w:pStyle w:val="Heading2"/>
      </w:pPr>
      <w:r>
        <w:rPr/>
        <w:t>2-</w:t>
      </w:r>
      <w:r>
        <w:rPr>
          <w:spacing w:val="-5"/>
        </w:rPr>
        <w:t>203</w:t>
      </w:r>
    </w:p>
    <w:p>
      <w:pPr>
        <w:pStyle w:val="BodyText"/>
        <w:spacing w:line="235" w:lineRule="auto" w:before="203"/>
        <w:ind w:left="165" w:right="167"/>
        <w:jc w:val="both"/>
      </w:pPr>
      <w:r>
        <w:rPr/>
        <w:t>Where the parties have reached agreement one party may allege that, for various reasons, </w:t>
      </w:r>
      <w:r>
        <w:rPr/>
        <w:t>the agreement lacks contractual force because the agreement is incomplete, </w:t>
      </w:r>
      <w:r>
        <w:rPr>
          <w:color w:val="005DA1"/>
          <w:u w:val="single" w:color="005DA1"/>
          <w:vertAlign w:val="superscript"/>
        </w:rPr>
        <w:t>1109</w:t>
      </w:r>
      <w:r>
        <w:rPr>
          <w:color w:val="005DA1"/>
          <w:vertAlign w:val="baseline"/>
        </w:rPr>
        <w:t> </w:t>
      </w:r>
      <w:r>
        <w:rPr>
          <w:vertAlign w:val="baseline"/>
        </w:rPr>
        <w:t>is subject to formal execution of a contract, </w:t>
      </w:r>
      <w:r>
        <w:rPr>
          <w:color w:val="005DA1"/>
          <w:u w:val="single" w:color="005DA1"/>
          <w:vertAlign w:val="superscript"/>
        </w:rPr>
        <w:t>1110</w:t>
      </w:r>
      <w:r>
        <w:rPr>
          <w:color w:val="005DA1"/>
          <w:vertAlign w:val="baseline"/>
        </w:rPr>
        <w:t> </w:t>
      </w:r>
      <w:r>
        <w:rPr>
          <w:vertAlign w:val="baseline"/>
        </w:rPr>
        <w:t>is too vague, </w:t>
      </w:r>
      <w:r>
        <w:rPr>
          <w:color w:val="005DA1"/>
          <w:u w:val="single" w:color="005DA1"/>
          <w:vertAlign w:val="superscript"/>
        </w:rPr>
        <w:t>1111</w:t>
      </w:r>
      <w:r>
        <w:rPr>
          <w:color w:val="005DA1"/>
          <w:vertAlign w:val="baseline"/>
        </w:rPr>
        <w:t> </w:t>
      </w:r>
      <w:r>
        <w:rPr>
          <w:vertAlign w:val="baseline"/>
        </w:rPr>
        <w:t>or lacks contractual intent. </w:t>
      </w:r>
      <w:r>
        <w:rPr>
          <w:color w:val="005DA1"/>
          <w:u w:val="single" w:color="005DA1"/>
          <w:vertAlign w:val="superscript"/>
        </w:rPr>
        <w:t>1112</w:t>
      </w:r>
      <w:r>
        <w:rPr>
          <w:color w:val="005DA1"/>
          <w:vertAlign w:val="baseline"/>
        </w:rPr>
        <w:t> </w:t>
      </w:r>
      <w:r>
        <w:rPr>
          <w:vertAlign w:val="baseline"/>
        </w:rPr>
        <w:t>The common law has many ways of countering a party’s unmeritorious attempt to withdraw from concluding a contract or to refute the existence of an enforceable contract, especially where the other party has engaged in significant acts of reliance on the existence of an enforceable contract. In addition, statute has now imposed duties of information on traders making distance contracts, off-premises contracts and some other (“on-premises”) contracts with consumers. </w:t>
      </w:r>
      <w:r>
        <w:rPr>
          <w:color w:val="005DA1"/>
          <w:u w:val="single" w:color="005DA1"/>
          <w:vertAlign w:val="superscript"/>
        </w:rPr>
        <w:t>1113</w:t>
      </w:r>
    </w:p>
    <w:p>
      <w:pPr>
        <w:pStyle w:val="BodyText"/>
      </w:pPr>
    </w:p>
    <w:p>
      <w:pPr>
        <w:pStyle w:val="BodyText"/>
        <w:spacing w:before="35"/>
      </w:pPr>
    </w:p>
    <w:p>
      <w:pPr>
        <w:spacing w:before="0"/>
        <w:ind w:left="165" w:right="0" w:firstLine="0"/>
        <w:jc w:val="left"/>
        <w:rPr>
          <w:rFonts w:ascii="Arial"/>
          <w:b/>
          <w:sz w:val="18"/>
        </w:rPr>
      </w:pPr>
      <w:r>
        <w:rPr>
          <w:rFonts w:ascii="Arial"/>
          <w:b/>
          <w:sz w:val="18"/>
        </w:rPr>
        <w:t>Overcoming incomplete </w:t>
      </w:r>
      <w:r>
        <w:rPr>
          <w:rFonts w:ascii="Arial"/>
          <w:b/>
          <w:spacing w:val="-2"/>
          <w:sz w:val="18"/>
        </w:rPr>
        <w:t>agreement</w:t>
      </w:r>
    </w:p>
    <w:p>
      <w:pPr>
        <w:pStyle w:val="BodyText"/>
        <w:spacing w:before="41"/>
        <w:rPr>
          <w:rFonts w:ascii="Arial"/>
          <w:b/>
          <w:sz w:val="18"/>
        </w:rPr>
      </w:pPr>
    </w:p>
    <w:p>
      <w:pPr>
        <w:pStyle w:val="Heading2"/>
        <w:spacing w:before="1"/>
      </w:pPr>
      <w:r>
        <w:rPr/>
        <w:t>2-</w:t>
      </w:r>
      <w:r>
        <w:rPr>
          <w:spacing w:val="-5"/>
        </w:rPr>
        <w:t>204</w:t>
      </w:r>
    </w:p>
    <w:p>
      <w:pPr>
        <w:pStyle w:val="BodyText"/>
        <w:spacing w:line="235" w:lineRule="auto" w:before="202"/>
        <w:ind w:left="165" w:right="167"/>
        <w:jc w:val="both"/>
      </w:pPr>
      <w:r>
        <w:rPr/>
        <w:t>Incomplete agreements may be cured by a statutory or common law implied term based on the standard</w:t>
      </w:r>
      <w:r>
        <w:rPr>
          <w:spacing w:val="-2"/>
        </w:rPr>
        <w:t> </w:t>
      </w:r>
      <w:r>
        <w:rPr/>
        <w:t>of</w:t>
      </w:r>
      <w:r>
        <w:rPr>
          <w:spacing w:val="-2"/>
        </w:rPr>
        <w:t> </w:t>
      </w:r>
      <w:r>
        <w:rPr/>
        <w:t>reasonableness,</w:t>
      </w:r>
      <w:r>
        <w:rPr>
          <w:spacing w:val="-3"/>
        </w:rPr>
        <w:t> </w:t>
      </w:r>
      <w:r>
        <w:rPr>
          <w:color w:val="005DA1"/>
          <w:u w:val="single" w:color="005DA1"/>
          <w:vertAlign w:val="superscript"/>
        </w:rPr>
        <w:t>1114</w:t>
      </w:r>
      <w:r>
        <w:rPr>
          <w:color w:val="005DA1"/>
          <w:spacing w:val="-2"/>
          <w:vertAlign w:val="baseline"/>
        </w:rPr>
        <w:t> </w:t>
      </w:r>
      <w:r>
        <w:rPr>
          <w:vertAlign w:val="baseline"/>
        </w:rPr>
        <w:t>so</w:t>
      </w:r>
      <w:r>
        <w:rPr>
          <w:spacing w:val="-2"/>
          <w:vertAlign w:val="baseline"/>
        </w:rPr>
        <w:t> </w:t>
      </w:r>
      <w:r>
        <w:rPr>
          <w:vertAlign w:val="baseline"/>
        </w:rPr>
        <w:t>long</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agreement</w:t>
      </w:r>
      <w:r>
        <w:rPr>
          <w:spacing w:val="-2"/>
          <w:vertAlign w:val="baseline"/>
        </w:rPr>
        <w:t> </w:t>
      </w:r>
      <w:r>
        <w:rPr>
          <w:vertAlign w:val="baseline"/>
        </w:rPr>
        <w:t>did</w:t>
      </w:r>
      <w:r>
        <w:rPr>
          <w:spacing w:val="-2"/>
          <w:vertAlign w:val="baseline"/>
        </w:rPr>
        <w:t> </w:t>
      </w:r>
      <w:r>
        <w:rPr>
          <w:vertAlign w:val="baseline"/>
        </w:rPr>
        <w:t>not</w:t>
      </w:r>
      <w:r>
        <w:rPr>
          <w:spacing w:val="-2"/>
          <w:vertAlign w:val="baseline"/>
        </w:rPr>
        <w:t> </w:t>
      </w:r>
      <w:r>
        <w:rPr>
          <w:vertAlign w:val="baseline"/>
        </w:rPr>
        <w:t>anticipate</w:t>
      </w:r>
      <w:r>
        <w:rPr>
          <w:spacing w:val="-2"/>
          <w:vertAlign w:val="baseline"/>
        </w:rPr>
        <w:t> </w:t>
      </w:r>
      <w:r>
        <w:rPr>
          <w:vertAlign w:val="baseline"/>
        </w:rPr>
        <w:t>further</w:t>
      </w:r>
      <w:r>
        <w:rPr>
          <w:spacing w:val="-2"/>
          <w:vertAlign w:val="baseline"/>
        </w:rPr>
        <w:t> </w:t>
      </w:r>
      <w:r>
        <w:rPr>
          <w:vertAlign w:val="baseline"/>
        </w:rPr>
        <w:t>agreement</w:t>
      </w:r>
      <w:r>
        <w:rPr>
          <w:spacing w:val="-2"/>
          <w:vertAlign w:val="baseline"/>
        </w:rPr>
        <w:t> </w:t>
      </w:r>
      <w:r>
        <w:rPr>
          <w:vertAlign w:val="baseline"/>
        </w:rPr>
        <w:t>on</w:t>
      </w:r>
      <w:r>
        <w:rPr>
          <w:spacing w:val="-2"/>
          <w:vertAlign w:val="baseline"/>
        </w:rPr>
        <w:t> </w:t>
      </w:r>
      <w:r>
        <w:rPr>
          <w:vertAlign w:val="baseline"/>
        </w:rPr>
        <w:t>the matter. </w:t>
      </w:r>
      <w:r>
        <w:rPr>
          <w:color w:val="005DA1"/>
          <w:u w:val="single" w:color="005DA1"/>
          <w:vertAlign w:val="superscript"/>
        </w:rPr>
        <w:t>1115</w:t>
      </w:r>
      <w:r>
        <w:rPr>
          <w:color w:val="005DA1"/>
          <w:vertAlign w:val="baseline"/>
        </w:rPr>
        <w:t> </w:t>
      </w:r>
      <w:r>
        <w:rPr>
          <w:vertAlign w:val="baseline"/>
        </w:rPr>
        <w:t>However, even where the agreement anticipates further terms “to be agreed”, the court may still give legal effect to it if there is evidence that the parties intended to be bound, for example, because</w:t>
      </w:r>
      <w:r>
        <w:rPr>
          <w:spacing w:val="9"/>
          <w:vertAlign w:val="baseline"/>
        </w:rPr>
        <w:t> </w:t>
      </w:r>
      <w:r>
        <w:rPr>
          <w:vertAlign w:val="baseline"/>
        </w:rPr>
        <w:t>both</w:t>
      </w:r>
      <w:r>
        <w:rPr>
          <w:spacing w:val="10"/>
          <w:vertAlign w:val="baseline"/>
        </w:rPr>
        <w:t> </w:t>
      </w:r>
      <w:r>
        <w:rPr>
          <w:vertAlign w:val="baseline"/>
        </w:rPr>
        <w:t>parties</w:t>
      </w:r>
      <w:r>
        <w:rPr>
          <w:spacing w:val="9"/>
          <w:vertAlign w:val="baseline"/>
        </w:rPr>
        <w:t> </w:t>
      </w:r>
      <w:r>
        <w:rPr>
          <w:vertAlign w:val="baseline"/>
        </w:rPr>
        <w:t>have</w:t>
      </w:r>
      <w:r>
        <w:rPr>
          <w:spacing w:val="10"/>
          <w:vertAlign w:val="baseline"/>
        </w:rPr>
        <w:t> </w:t>
      </w:r>
      <w:r>
        <w:rPr>
          <w:vertAlign w:val="baseline"/>
        </w:rPr>
        <w:t>acted</w:t>
      </w:r>
      <w:r>
        <w:rPr>
          <w:spacing w:val="10"/>
          <w:vertAlign w:val="baseline"/>
        </w:rPr>
        <w:t> </w:t>
      </w:r>
      <w:r>
        <w:rPr>
          <w:vertAlign w:val="baseline"/>
        </w:rPr>
        <w:t>on</w:t>
      </w:r>
      <w:r>
        <w:rPr>
          <w:spacing w:val="9"/>
          <w:vertAlign w:val="baseline"/>
        </w:rPr>
        <w:t> </w:t>
      </w:r>
      <w:r>
        <w:rPr>
          <w:vertAlign w:val="baseline"/>
        </w:rPr>
        <w:t>the</w:t>
      </w:r>
      <w:r>
        <w:rPr>
          <w:spacing w:val="10"/>
          <w:vertAlign w:val="baseline"/>
        </w:rPr>
        <w:t> </w:t>
      </w:r>
      <w:r>
        <w:rPr>
          <w:vertAlign w:val="baseline"/>
        </w:rPr>
        <w:t>basis</w:t>
      </w:r>
      <w:r>
        <w:rPr>
          <w:spacing w:val="10"/>
          <w:vertAlign w:val="baseline"/>
        </w:rPr>
        <w:t> </w:t>
      </w:r>
      <w:r>
        <w:rPr>
          <w:vertAlign w:val="baseline"/>
        </w:rPr>
        <w:t>that</w:t>
      </w:r>
      <w:r>
        <w:rPr>
          <w:spacing w:val="9"/>
          <w:vertAlign w:val="baseline"/>
        </w:rPr>
        <w:t> </w:t>
      </w:r>
      <w:r>
        <w:rPr>
          <w:vertAlign w:val="baseline"/>
        </w:rPr>
        <w:t>the</w:t>
      </w:r>
      <w:r>
        <w:rPr>
          <w:spacing w:val="10"/>
          <w:vertAlign w:val="baseline"/>
        </w:rPr>
        <w:t> </w:t>
      </w:r>
      <w:r>
        <w:rPr>
          <w:vertAlign w:val="baseline"/>
        </w:rPr>
        <w:t>agreement</w:t>
      </w:r>
      <w:r>
        <w:rPr>
          <w:spacing w:val="10"/>
          <w:vertAlign w:val="baseline"/>
        </w:rPr>
        <w:t> </w:t>
      </w:r>
      <w:r>
        <w:rPr>
          <w:vertAlign w:val="baseline"/>
        </w:rPr>
        <w:t>was</w:t>
      </w:r>
      <w:r>
        <w:rPr>
          <w:spacing w:val="9"/>
          <w:vertAlign w:val="baseline"/>
        </w:rPr>
        <w:t> </w:t>
      </w:r>
      <w:r>
        <w:rPr>
          <w:vertAlign w:val="baseline"/>
        </w:rPr>
        <w:t>binding.</w:t>
      </w:r>
      <w:r>
        <w:rPr>
          <w:spacing w:val="9"/>
          <w:vertAlign w:val="baseline"/>
        </w:rPr>
        <w:t> </w:t>
      </w:r>
      <w:r>
        <w:rPr>
          <w:color w:val="005DA1"/>
          <w:u w:val="single" w:color="005DA1"/>
          <w:vertAlign w:val="superscript"/>
        </w:rPr>
        <w:t>1116</w:t>
      </w:r>
      <w:r>
        <w:rPr>
          <w:color w:val="005DA1"/>
          <w:spacing w:val="9"/>
          <w:vertAlign w:val="baseline"/>
        </w:rPr>
        <w:t> </w:t>
      </w:r>
      <w:r>
        <w:rPr>
          <w:vertAlign w:val="baseline"/>
        </w:rPr>
        <w:t>The</w:t>
      </w:r>
      <w:r>
        <w:rPr>
          <w:spacing w:val="10"/>
          <w:vertAlign w:val="baseline"/>
        </w:rPr>
        <w:t> </w:t>
      </w:r>
      <w:r>
        <w:rPr>
          <w:vertAlign w:val="baseline"/>
        </w:rPr>
        <w:t>matter</w:t>
      </w:r>
      <w:r>
        <w:rPr>
          <w:spacing w:val="10"/>
          <w:vertAlign w:val="baseline"/>
        </w:rPr>
        <w:t> </w:t>
      </w:r>
      <w:r>
        <w:rPr>
          <w:vertAlign w:val="baseline"/>
        </w:rPr>
        <w:t>left</w:t>
      </w:r>
      <w:r>
        <w:rPr>
          <w:spacing w:val="9"/>
          <w:vertAlign w:val="baseline"/>
        </w:rPr>
        <w:t> </w:t>
      </w:r>
      <w:r>
        <w:rPr>
          <w:spacing w:val="-5"/>
          <w:vertAlign w:val="baseline"/>
        </w:rPr>
        <w:t>to</w:t>
      </w:r>
    </w:p>
    <w:p>
      <w:pPr>
        <w:pStyle w:val="BodyText"/>
        <w:spacing w:after="0" w:line="235" w:lineRule="auto"/>
        <w:jc w:val="both"/>
        <w:sectPr>
          <w:headerReference w:type="default" r:id="rId31"/>
          <w:pgSz w:w="11900" w:h="16840"/>
          <w:pgMar w:header="971" w:footer="0" w:top="1300" w:bottom="280" w:left="1275" w:right="1275"/>
          <w:pgNumType w:start="1"/>
        </w:sectPr>
      </w:pPr>
    </w:p>
    <w:p>
      <w:pPr>
        <w:pStyle w:val="BodyText"/>
        <w:spacing w:line="235" w:lineRule="auto" w:before="110"/>
        <w:ind w:left="165" w:right="167"/>
        <w:jc w:val="both"/>
      </w:pPr>
      <w:r>
        <w:rPr/>
        <w:t>be resolved may be regarded as subsidiary and so not to negative contractual intention, or may </w:t>
      </w:r>
      <w:r>
        <w:rPr/>
        <w:t>be resolved by reference to any criteria or machinery set out in the agreement, </w:t>
      </w:r>
      <w:r>
        <w:rPr>
          <w:color w:val="005DA1"/>
          <w:u w:val="single" w:color="005DA1"/>
          <w:vertAlign w:val="superscript"/>
        </w:rPr>
        <w:t>1117</w:t>
      </w:r>
      <w:r>
        <w:rPr>
          <w:color w:val="005DA1"/>
          <w:vertAlign w:val="baseline"/>
        </w:rPr>
        <w:t> </w:t>
      </w:r>
      <w:r>
        <w:rPr>
          <w:vertAlign w:val="baseline"/>
        </w:rPr>
        <w:t>unless the criteria is too uncertain or the machinery fails and cannot be cured because it is other than “subsidiary and inessential”. </w:t>
      </w:r>
      <w:r>
        <w:rPr>
          <w:color w:val="005DA1"/>
          <w:u w:val="single" w:color="005DA1"/>
          <w:vertAlign w:val="superscript"/>
        </w:rPr>
        <w:t>1118</w:t>
      </w:r>
    </w:p>
    <w:p>
      <w:pPr>
        <w:pStyle w:val="BodyText"/>
      </w:pPr>
    </w:p>
    <w:p>
      <w:pPr>
        <w:pStyle w:val="BodyText"/>
        <w:spacing w:before="37"/>
      </w:pPr>
    </w:p>
    <w:p>
      <w:pPr>
        <w:spacing w:before="0"/>
        <w:ind w:left="165" w:right="0" w:firstLine="0"/>
        <w:jc w:val="left"/>
        <w:rPr>
          <w:rFonts w:ascii="Arial"/>
          <w:b/>
          <w:sz w:val="18"/>
        </w:rPr>
      </w:pPr>
      <w:r>
        <w:rPr>
          <w:rFonts w:ascii="Arial"/>
          <w:b/>
          <w:sz w:val="18"/>
        </w:rPr>
        <w:t>Duty to negotiate outstanding </w:t>
      </w:r>
      <w:r>
        <w:rPr>
          <w:rFonts w:ascii="Arial"/>
          <w:b/>
          <w:spacing w:val="-2"/>
          <w:sz w:val="18"/>
        </w:rPr>
        <w:t>details</w:t>
      </w:r>
    </w:p>
    <w:p>
      <w:pPr>
        <w:pStyle w:val="BodyText"/>
        <w:spacing w:before="42"/>
        <w:rPr>
          <w:rFonts w:ascii="Arial"/>
          <w:b/>
          <w:sz w:val="18"/>
        </w:rPr>
      </w:pPr>
    </w:p>
    <w:p>
      <w:pPr>
        <w:pStyle w:val="Heading2"/>
      </w:pPr>
      <w:r>
        <w:rPr/>
        <w:t>2-</w:t>
      </w:r>
      <w:r>
        <w:rPr>
          <w:spacing w:val="-5"/>
        </w:rPr>
        <w:t>205</w:t>
      </w:r>
    </w:p>
    <w:p>
      <w:pPr>
        <w:pStyle w:val="BodyText"/>
        <w:spacing w:line="235" w:lineRule="auto" w:before="202"/>
        <w:ind w:left="165" w:right="167"/>
        <w:jc w:val="both"/>
      </w:pPr>
      <w:r>
        <w:rPr/>
        <w:t>Although the common law recognises no duty to negotiate in good faith </w:t>
      </w:r>
      <w:r>
        <w:rPr>
          <w:color w:val="005DA1"/>
          <w:u w:val="single" w:color="005DA1"/>
          <w:vertAlign w:val="superscript"/>
        </w:rPr>
        <w:t>1119</w:t>
      </w:r>
      <w:r>
        <w:rPr>
          <w:color w:val="005DA1"/>
          <w:vertAlign w:val="baseline"/>
        </w:rPr>
        <w:t> </w:t>
      </w:r>
      <w:r>
        <w:rPr>
          <w:vertAlign w:val="baseline"/>
        </w:rPr>
        <w:t>in order to conclude a contract, where a contract has been concluded </w:t>
      </w:r>
      <w:r>
        <w:rPr>
          <w:color w:val="005DA1"/>
          <w:u w:val="single" w:color="005DA1"/>
          <w:vertAlign w:val="superscript"/>
        </w:rPr>
        <w:t>1120</w:t>
      </w:r>
      <w:r>
        <w:rPr>
          <w:color w:val="005DA1"/>
          <w:vertAlign w:val="baseline"/>
        </w:rPr>
        <w:t> </w:t>
      </w:r>
      <w:r>
        <w:rPr>
          <w:vertAlign w:val="baseline"/>
        </w:rPr>
        <w:t>because the parties have agreed on all </w:t>
      </w:r>
      <w:r>
        <w:rPr>
          <w:vertAlign w:val="baseline"/>
        </w:rPr>
        <w:t>essential points, the court may, in respect of other points left open, enforce any express term to negotiate in good faith, imply a term that they are to do so, or imply a term based on the standard of reasonableness.</w:t>
      </w:r>
      <w:r>
        <w:rPr>
          <w:spacing w:val="-4"/>
          <w:vertAlign w:val="baseline"/>
        </w:rPr>
        <w:t> </w:t>
      </w:r>
      <w:r>
        <w:rPr>
          <w:color w:val="005DA1"/>
          <w:u w:val="single" w:color="005DA1"/>
          <w:vertAlign w:val="superscript"/>
        </w:rPr>
        <w:t>1121</w:t>
      </w:r>
      <w:r>
        <w:rPr>
          <w:color w:val="005DA1"/>
          <w:spacing w:val="-3"/>
          <w:vertAlign w:val="baseline"/>
        </w:rPr>
        <w:t> </w:t>
      </w:r>
      <w:r>
        <w:rPr>
          <w:vertAlign w:val="baseline"/>
        </w:rPr>
        <w:t>That</w:t>
      </w:r>
      <w:r>
        <w:rPr>
          <w:spacing w:val="-3"/>
          <w:vertAlign w:val="baseline"/>
        </w:rPr>
        <w:t> </w:t>
      </w:r>
      <w:r>
        <w:rPr>
          <w:vertAlign w:val="baseline"/>
        </w:rPr>
        <w:t>is,</w:t>
      </w:r>
      <w:r>
        <w:rPr>
          <w:spacing w:val="-3"/>
          <w:vertAlign w:val="baseline"/>
        </w:rPr>
        <w:t> </w:t>
      </w:r>
      <w:r>
        <w:rPr>
          <w:vertAlign w:val="baseline"/>
        </w:rPr>
        <w:t>the</w:t>
      </w:r>
      <w:r>
        <w:rPr>
          <w:spacing w:val="-3"/>
          <w:vertAlign w:val="baseline"/>
        </w:rPr>
        <w:t> </w:t>
      </w:r>
      <w:r>
        <w:rPr>
          <w:vertAlign w:val="baseline"/>
        </w:rPr>
        <w:t>court</w:t>
      </w:r>
      <w:r>
        <w:rPr>
          <w:spacing w:val="-3"/>
          <w:vertAlign w:val="baseline"/>
        </w:rPr>
        <w:t> </w:t>
      </w:r>
      <w:r>
        <w:rPr>
          <w:vertAlign w:val="baseline"/>
        </w:rPr>
        <w:t>may</w:t>
      </w:r>
      <w:r>
        <w:rPr>
          <w:spacing w:val="-3"/>
          <w:vertAlign w:val="baseline"/>
        </w:rPr>
        <w:t> </w:t>
      </w:r>
      <w:r>
        <w:rPr>
          <w:vertAlign w:val="baseline"/>
        </w:rPr>
        <w:t>proceed</w:t>
      </w:r>
      <w:r>
        <w:rPr>
          <w:spacing w:val="-3"/>
          <w:vertAlign w:val="baseline"/>
        </w:rPr>
        <w:t> </w:t>
      </w:r>
      <w:r>
        <w:rPr>
          <w:vertAlign w:val="baseline"/>
        </w:rPr>
        <w:t>on</w:t>
      </w:r>
      <w:r>
        <w:rPr>
          <w:spacing w:val="-3"/>
          <w:vertAlign w:val="baseline"/>
        </w:rPr>
        <w:t> </w:t>
      </w:r>
      <w:r>
        <w:rPr>
          <w:vertAlign w:val="baseline"/>
        </w:rPr>
        <w:t>the</w:t>
      </w:r>
      <w:r>
        <w:rPr>
          <w:spacing w:val="-3"/>
          <w:vertAlign w:val="baseline"/>
        </w:rPr>
        <w:t> </w:t>
      </w:r>
      <w:r>
        <w:rPr>
          <w:vertAlign w:val="baseline"/>
        </w:rPr>
        <w:t>basis</w:t>
      </w:r>
      <w:r>
        <w:rPr>
          <w:spacing w:val="-3"/>
          <w:vertAlign w:val="baseline"/>
        </w:rPr>
        <w:t> </w:t>
      </w:r>
      <w:r>
        <w:rPr>
          <w:vertAlign w:val="baseline"/>
        </w:rPr>
        <w:t>that</w:t>
      </w:r>
      <w:r>
        <w:rPr>
          <w:spacing w:val="-3"/>
          <w:vertAlign w:val="baseline"/>
        </w:rPr>
        <w:t> </w:t>
      </w:r>
      <w:r>
        <w:rPr>
          <w:vertAlign w:val="baseline"/>
        </w:rPr>
        <w:t>the</w:t>
      </w:r>
      <w:r>
        <w:rPr>
          <w:spacing w:val="-3"/>
          <w:vertAlign w:val="baseline"/>
        </w:rPr>
        <w:t> </w:t>
      </w:r>
      <w:r>
        <w:rPr>
          <w:vertAlign w:val="baseline"/>
        </w:rPr>
        <w:t>parties</w:t>
      </w:r>
      <w:r>
        <w:rPr>
          <w:spacing w:val="-3"/>
          <w:vertAlign w:val="baseline"/>
        </w:rPr>
        <w:t> </w:t>
      </w:r>
      <w:r>
        <w:rPr>
          <w:vertAlign w:val="baseline"/>
        </w:rPr>
        <w:t>intended</w:t>
      </w:r>
      <w:r>
        <w:rPr>
          <w:spacing w:val="-3"/>
          <w:vertAlign w:val="baseline"/>
        </w:rPr>
        <w:t> </w:t>
      </w:r>
      <w:r>
        <w:rPr>
          <w:vertAlign w:val="baseline"/>
        </w:rPr>
        <w:t>to</w:t>
      </w:r>
      <w:r>
        <w:rPr>
          <w:spacing w:val="-3"/>
          <w:vertAlign w:val="baseline"/>
        </w:rPr>
        <w:t> </w:t>
      </w:r>
      <w:r>
        <w:rPr>
          <w:vertAlign w:val="baseline"/>
        </w:rPr>
        <w:t>be</w:t>
      </w:r>
      <w:r>
        <w:rPr>
          <w:spacing w:val="-3"/>
          <w:vertAlign w:val="baseline"/>
        </w:rPr>
        <w:t> </w:t>
      </w:r>
      <w:r>
        <w:rPr>
          <w:vertAlign w:val="baseline"/>
        </w:rPr>
        <w:t>bound at once in spite of the fact that further significant terms were to be agreed later and that even their failure to reach such agreement would not invalidate the contract, unless without such agreement, it was unworkable or too uncertain to be enforced.</w:t>
      </w:r>
    </w:p>
    <w:p>
      <w:pPr>
        <w:pStyle w:val="BodyText"/>
      </w:pPr>
    </w:p>
    <w:p>
      <w:pPr>
        <w:pStyle w:val="BodyText"/>
        <w:spacing w:before="36"/>
      </w:pPr>
    </w:p>
    <w:p>
      <w:pPr>
        <w:spacing w:before="0"/>
        <w:ind w:left="165" w:right="0" w:firstLine="0"/>
        <w:jc w:val="left"/>
        <w:rPr>
          <w:rFonts w:ascii="Arial"/>
          <w:b/>
          <w:sz w:val="18"/>
        </w:rPr>
      </w:pPr>
      <w:r>
        <w:rPr>
          <w:rFonts w:ascii="Arial"/>
          <w:b/>
          <w:sz w:val="18"/>
        </w:rPr>
        <w:t>Overcoming vague </w:t>
      </w:r>
      <w:r>
        <w:rPr>
          <w:rFonts w:ascii="Arial"/>
          <w:b/>
          <w:spacing w:val="-2"/>
          <w:sz w:val="18"/>
        </w:rPr>
        <w:t>agreement</w:t>
      </w:r>
    </w:p>
    <w:p>
      <w:pPr>
        <w:pStyle w:val="BodyText"/>
        <w:spacing w:before="41"/>
        <w:rPr>
          <w:rFonts w:ascii="Arial"/>
          <w:b/>
          <w:sz w:val="18"/>
        </w:rPr>
      </w:pPr>
    </w:p>
    <w:p>
      <w:pPr>
        <w:pStyle w:val="Heading2"/>
      </w:pPr>
      <w:r>
        <w:rPr/>
        <w:t>2-</w:t>
      </w:r>
      <w:r>
        <w:rPr>
          <w:spacing w:val="-5"/>
        </w:rPr>
        <w:t>206</w:t>
      </w:r>
    </w:p>
    <w:p>
      <w:pPr>
        <w:pStyle w:val="BodyText"/>
        <w:spacing w:line="235" w:lineRule="auto" w:before="203"/>
        <w:ind w:left="164" w:right="167"/>
        <w:jc w:val="both"/>
      </w:pPr>
      <w:r>
        <w:rPr/>
        <w:t>Aside from the ordinary process of construction, </w:t>
      </w:r>
      <w:r>
        <w:rPr>
          <w:color w:val="005DA1"/>
          <w:u w:val="single" w:color="005DA1"/>
          <w:vertAlign w:val="superscript"/>
        </w:rPr>
        <w:t>1122</w:t>
      </w:r>
      <w:r>
        <w:rPr>
          <w:color w:val="005DA1"/>
          <w:vertAlign w:val="baseline"/>
        </w:rPr>
        <w:t> </w:t>
      </w:r>
      <w:r>
        <w:rPr>
          <w:vertAlign w:val="baseline"/>
        </w:rPr>
        <w:t>apparent vagueness in the terms agreed may be resolved</w:t>
      </w:r>
      <w:r>
        <w:rPr>
          <w:spacing w:val="-1"/>
          <w:vertAlign w:val="baseline"/>
        </w:rPr>
        <w:t> </w:t>
      </w:r>
      <w:r>
        <w:rPr>
          <w:vertAlign w:val="baseline"/>
        </w:rPr>
        <w:t>by</w:t>
      </w:r>
      <w:r>
        <w:rPr>
          <w:spacing w:val="-1"/>
          <w:vertAlign w:val="baseline"/>
        </w:rPr>
        <w:t> </w:t>
      </w:r>
      <w:r>
        <w:rPr>
          <w:vertAlign w:val="baseline"/>
        </w:rPr>
        <w:t>custom</w:t>
      </w:r>
      <w:r>
        <w:rPr>
          <w:spacing w:val="-1"/>
          <w:vertAlign w:val="baseline"/>
        </w:rPr>
        <w:t> </w:t>
      </w:r>
      <w:r>
        <w:rPr>
          <w:vertAlign w:val="baseline"/>
        </w:rPr>
        <w:t>or</w:t>
      </w:r>
      <w:r>
        <w:rPr>
          <w:spacing w:val="-1"/>
          <w:vertAlign w:val="baseline"/>
        </w:rPr>
        <w:t> </w:t>
      </w:r>
      <w:r>
        <w:rPr>
          <w:vertAlign w:val="baseline"/>
        </w:rPr>
        <w:t>trade</w:t>
      </w:r>
      <w:r>
        <w:rPr>
          <w:spacing w:val="-1"/>
          <w:vertAlign w:val="baseline"/>
        </w:rPr>
        <w:t> </w:t>
      </w:r>
      <w:r>
        <w:rPr>
          <w:vertAlign w:val="baseline"/>
        </w:rPr>
        <w:t>usage,</w:t>
      </w:r>
      <w:r>
        <w:rPr>
          <w:spacing w:val="-1"/>
          <w:vertAlign w:val="baseline"/>
        </w:rPr>
        <w:t> </w:t>
      </w:r>
      <w:r>
        <w:rPr>
          <w:color w:val="005DA1"/>
          <w:u w:val="single" w:color="005DA1"/>
          <w:vertAlign w:val="superscript"/>
        </w:rPr>
        <w:t>1123</w:t>
      </w:r>
      <w:r>
        <w:rPr>
          <w:color w:val="005DA1"/>
          <w:spacing w:val="-1"/>
          <w:vertAlign w:val="baseline"/>
        </w:rPr>
        <w:t> </w:t>
      </w:r>
      <w:r>
        <w:rPr>
          <w:vertAlign w:val="baseline"/>
        </w:rPr>
        <w:t>by</w:t>
      </w:r>
      <w:r>
        <w:rPr>
          <w:spacing w:val="-1"/>
          <w:vertAlign w:val="baseline"/>
        </w:rPr>
        <w:t> </w:t>
      </w:r>
      <w:r>
        <w:rPr>
          <w:vertAlign w:val="baseline"/>
        </w:rPr>
        <w:t>the</w:t>
      </w:r>
      <w:r>
        <w:rPr>
          <w:spacing w:val="-1"/>
          <w:vertAlign w:val="baseline"/>
        </w:rPr>
        <w:t> </w:t>
      </w:r>
      <w:r>
        <w:rPr>
          <w:vertAlign w:val="baseline"/>
        </w:rPr>
        <w:t>standard</w:t>
      </w:r>
      <w:r>
        <w:rPr>
          <w:spacing w:val="-1"/>
          <w:vertAlign w:val="baseline"/>
        </w:rPr>
        <w:t> </w:t>
      </w:r>
      <w:r>
        <w:rPr>
          <w:vertAlign w:val="baseline"/>
        </w:rPr>
        <w:t>of</w:t>
      </w:r>
      <w:r>
        <w:rPr>
          <w:spacing w:val="-1"/>
          <w:vertAlign w:val="baseline"/>
        </w:rPr>
        <w:t> </w:t>
      </w:r>
      <w:r>
        <w:rPr>
          <w:vertAlign w:val="baseline"/>
        </w:rPr>
        <w:t>reasonableness</w:t>
      </w:r>
      <w:r>
        <w:rPr>
          <w:spacing w:val="-1"/>
          <w:vertAlign w:val="baseline"/>
        </w:rPr>
        <w:t> </w:t>
      </w:r>
      <w:r>
        <w:rPr>
          <w:vertAlign w:val="baseline"/>
        </w:rPr>
        <w:t>if</w:t>
      </w:r>
      <w:r>
        <w:rPr>
          <w:spacing w:val="-1"/>
          <w:vertAlign w:val="baseline"/>
        </w:rPr>
        <w:t> </w:t>
      </w:r>
      <w:r>
        <w:rPr>
          <w:vertAlign w:val="baseline"/>
        </w:rPr>
        <w:t>the</w:t>
      </w:r>
      <w:r>
        <w:rPr>
          <w:spacing w:val="-1"/>
          <w:vertAlign w:val="baseline"/>
        </w:rPr>
        <w:t> </w:t>
      </w:r>
      <w:r>
        <w:rPr>
          <w:vertAlign w:val="baseline"/>
        </w:rPr>
        <w:t>words</w:t>
      </w:r>
      <w:r>
        <w:rPr>
          <w:spacing w:val="-1"/>
          <w:vertAlign w:val="baseline"/>
        </w:rPr>
        <w:t> </w:t>
      </w:r>
      <w:r>
        <w:rPr>
          <w:vertAlign w:val="baseline"/>
        </w:rPr>
        <w:t>used</w:t>
      </w:r>
      <w:r>
        <w:rPr>
          <w:spacing w:val="-1"/>
          <w:vertAlign w:val="baseline"/>
        </w:rPr>
        <w:t> </w:t>
      </w:r>
      <w:r>
        <w:rPr>
          <w:vertAlign w:val="baseline"/>
        </w:rPr>
        <w:t>imported an objective standard of assessment, </w:t>
      </w:r>
      <w:r>
        <w:rPr>
          <w:color w:val="005DA1"/>
          <w:u w:val="single" w:color="005DA1"/>
          <w:vertAlign w:val="superscript"/>
        </w:rPr>
        <w:t>1124</w:t>
      </w:r>
      <w:r>
        <w:rPr>
          <w:color w:val="005DA1"/>
          <w:vertAlign w:val="baseline"/>
        </w:rPr>
        <w:t> </w:t>
      </w:r>
      <w:r>
        <w:rPr>
          <w:vertAlign w:val="baseline"/>
        </w:rPr>
        <w:t>by requiring one party to resolve the vagueness, </w:t>
      </w:r>
      <w:r>
        <w:rPr>
          <w:color w:val="005DA1"/>
          <w:u w:val="single" w:color="005DA1"/>
          <w:vertAlign w:val="superscript"/>
        </w:rPr>
        <w:t>1125</w:t>
      </w:r>
      <w:r>
        <w:rPr>
          <w:color w:val="005DA1"/>
          <w:vertAlign w:val="baseline"/>
        </w:rPr>
        <w:t> </w:t>
      </w:r>
      <w:r>
        <w:rPr>
          <w:vertAlign w:val="baseline"/>
        </w:rPr>
        <w:t>by severing or ignoring meaningless or self-contradictory phrases, </w:t>
      </w:r>
      <w:r>
        <w:rPr>
          <w:color w:val="005DA1"/>
          <w:u w:val="single" w:color="005DA1"/>
          <w:vertAlign w:val="superscript"/>
        </w:rPr>
        <w:t>1126</w:t>
      </w:r>
      <w:r>
        <w:rPr>
          <w:color w:val="005DA1"/>
          <w:vertAlign w:val="baseline"/>
        </w:rPr>
        <w:t> </w:t>
      </w:r>
      <w:r>
        <w:rPr>
          <w:vertAlign w:val="baseline"/>
        </w:rPr>
        <w:t>or by reference to extrinsic evidence. </w:t>
      </w:r>
      <w:r>
        <w:rPr>
          <w:color w:val="005DA1"/>
          <w:u w:val="single" w:color="005DA1"/>
          <w:vertAlign w:val="superscript"/>
        </w:rPr>
        <w:t>1127</w:t>
      </w:r>
    </w:p>
    <w:p>
      <w:pPr>
        <w:pStyle w:val="BodyText"/>
      </w:pPr>
    </w:p>
    <w:p>
      <w:pPr>
        <w:pStyle w:val="BodyText"/>
        <w:spacing w:before="36"/>
      </w:pPr>
    </w:p>
    <w:p>
      <w:pPr>
        <w:spacing w:before="1"/>
        <w:ind w:left="165" w:right="0" w:firstLine="0"/>
        <w:jc w:val="left"/>
        <w:rPr>
          <w:rFonts w:ascii="Arial"/>
          <w:b/>
          <w:sz w:val="18"/>
        </w:rPr>
      </w:pPr>
      <w:r>
        <w:rPr>
          <w:rFonts w:ascii="Arial"/>
          <w:b/>
          <w:sz w:val="18"/>
        </w:rPr>
        <w:t>Restraint on exercise of </w:t>
      </w:r>
      <w:r>
        <w:rPr>
          <w:rFonts w:ascii="Arial"/>
          <w:b/>
          <w:spacing w:val="-2"/>
          <w:sz w:val="18"/>
        </w:rPr>
        <w:t>discretion</w:t>
      </w:r>
    </w:p>
    <w:p>
      <w:pPr>
        <w:pStyle w:val="BodyText"/>
        <w:spacing w:before="41"/>
        <w:rPr>
          <w:rFonts w:ascii="Arial"/>
          <w:b/>
          <w:sz w:val="18"/>
        </w:rPr>
      </w:pPr>
    </w:p>
    <w:p>
      <w:pPr>
        <w:pStyle w:val="Heading2"/>
      </w:pPr>
      <w:r>
        <w:rPr/>
        <w:t>2-</w:t>
      </w:r>
      <w:r>
        <w:rPr>
          <w:spacing w:val="-5"/>
        </w:rPr>
        <w:t>207</w:t>
      </w:r>
    </w:p>
    <w:p>
      <w:pPr>
        <w:pStyle w:val="BodyText"/>
        <w:spacing w:line="235" w:lineRule="auto" w:before="203"/>
        <w:ind w:left="165" w:right="167"/>
        <w:jc w:val="both"/>
      </w:pPr>
      <w:r>
        <w:rPr/>
        <w:t>An agreement that confers a wide discretion on one or both parties may be too uncertain to </w:t>
      </w:r>
      <w:r>
        <w:rPr/>
        <w:t>enforce. However, where the agreement is clearly intended to have contractual effect, there is judicial support for the view that a discretion conferred by it on one party cannot “however widely worded … be exercised</w:t>
      </w:r>
      <w:r>
        <w:rPr>
          <w:spacing w:val="-2"/>
        </w:rPr>
        <w:t> </w:t>
      </w:r>
      <w:r>
        <w:rPr/>
        <w:t>for</w:t>
      </w:r>
      <w:r>
        <w:rPr>
          <w:spacing w:val="-2"/>
        </w:rPr>
        <w:t> </w:t>
      </w:r>
      <w:r>
        <w:rPr/>
        <w:t>purposes</w:t>
      </w:r>
      <w:r>
        <w:rPr>
          <w:spacing w:val="-2"/>
        </w:rPr>
        <w:t> </w:t>
      </w:r>
      <w:r>
        <w:rPr/>
        <w:t>contrary</w:t>
      </w:r>
      <w:r>
        <w:rPr>
          <w:spacing w:val="-2"/>
        </w:rPr>
        <w:t> </w:t>
      </w:r>
      <w:r>
        <w:rPr/>
        <w:t>to</w:t>
      </w:r>
      <w:r>
        <w:rPr>
          <w:spacing w:val="-2"/>
        </w:rPr>
        <w:t> </w:t>
      </w:r>
      <w:r>
        <w:rPr/>
        <w:t>those</w:t>
      </w:r>
      <w:r>
        <w:rPr>
          <w:spacing w:val="-2"/>
        </w:rPr>
        <w:t> </w:t>
      </w:r>
      <w:r>
        <w:rPr/>
        <w:t>of</w:t>
      </w:r>
      <w:r>
        <w:rPr>
          <w:spacing w:val="-2"/>
        </w:rPr>
        <w:t> </w:t>
      </w:r>
      <w:r>
        <w:rPr/>
        <w:t>the</w:t>
      </w:r>
      <w:r>
        <w:rPr>
          <w:spacing w:val="-2"/>
        </w:rPr>
        <w:t> </w:t>
      </w:r>
      <w:r>
        <w:rPr/>
        <w:t>instrument</w:t>
      </w:r>
      <w:r>
        <w:rPr>
          <w:spacing w:val="-2"/>
        </w:rPr>
        <w:t> </w:t>
      </w:r>
      <w:r>
        <w:rPr/>
        <w:t>by</w:t>
      </w:r>
      <w:r>
        <w:rPr>
          <w:spacing w:val="-2"/>
        </w:rPr>
        <w:t> </w:t>
      </w:r>
      <w:r>
        <w:rPr/>
        <w:t>which</w:t>
      </w:r>
      <w:r>
        <w:rPr>
          <w:spacing w:val="-2"/>
        </w:rPr>
        <w:t> </w:t>
      </w:r>
      <w:r>
        <w:rPr/>
        <w:t>it</w:t>
      </w:r>
      <w:r>
        <w:rPr>
          <w:spacing w:val="-2"/>
        </w:rPr>
        <w:t> </w:t>
      </w:r>
      <w:r>
        <w:rPr/>
        <w:t>is</w:t>
      </w:r>
      <w:r>
        <w:rPr>
          <w:spacing w:val="-2"/>
        </w:rPr>
        <w:t> </w:t>
      </w:r>
      <w:r>
        <w:rPr/>
        <w:t>conferred”.</w:t>
      </w:r>
      <w:r>
        <w:rPr>
          <w:spacing w:val="-2"/>
        </w:rPr>
        <w:t> </w:t>
      </w:r>
      <w:r>
        <w:rPr>
          <w:color w:val="005DA1"/>
          <w:u w:val="single" w:color="005DA1"/>
          <w:vertAlign w:val="superscript"/>
        </w:rPr>
        <w:t>1128</w:t>
      </w:r>
      <w:r>
        <w:rPr>
          <w:color w:val="005DA1"/>
          <w:spacing w:val="-2"/>
          <w:vertAlign w:val="baseline"/>
        </w:rPr>
        <w:t> </w:t>
      </w:r>
      <w:r>
        <w:rPr>
          <w:vertAlign w:val="baseline"/>
        </w:rPr>
        <w:t>The</w:t>
      </w:r>
      <w:r>
        <w:rPr>
          <w:spacing w:val="-2"/>
          <w:vertAlign w:val="baseline"/>
        </w:rPr>
        <w:t> </w:t>
      </w:r>
      <w:r>
        <w:rPr>
          <w:vertAlign w:val="baseline"/>
        </w:rPr>
        <w:t>court</w:t>
      </w:r>
      <w:r>
        <w:rPr>
          <w:spacing w:val="-2"/>
          <w:vertAlign w:val="baseline"/>
        </w:rPr>
        <w:t> </w:t>
      </w:r>
      <w:r>
        <w:rPr>
          <w:vertAlign w:val="baseline"/>
        </w:rPr>
        <w:t>may also be able to control the exercise of contractual discretions by holding that the party exercising the discretion must act “rationally and in good faith” </w:t>
      </w:r>
      <w:r>
        <w:rPr>
          <w:color w:val="005DA1"/>
          <w:u w:val="single" w:color="005DA1"/>
          <w:vertAlign w:val="superscript"/>
        </w:rPr>
        <w:t>1129</w:t>
      </w:r>
      <w:r>
        <w:rPr>
          <w:color w:val="005DA1"/>
          <w:vertAlign w:val="baseline"/>
        </w:rPr>
        <w:t> </w:t>
      </w:r>
      <w:r>
        <w:rPr>
          <w:vertAlign w:val="baseline"/>
        </w:rPr>
        <w:t>and not “arbitrarily, or capriciously, or unreasonably. Much less, can he act in bad faith”. </w:t>
      </w:r>
      <w:r>
        <w:rPr>
          <w:color w:val="005DA1"/>
          <w:u w:val="single" w:color="005DA1"/>
          <w:vertAlign w:val="superscript"/>
        </w:rPr>
        <w:t>1130</w:t>
      </w:r>
      <w:r>
        <w:rPr>
          <w:color w:val="005DA1"/>
          <w:vertAlign w:val="baseline"/>
        </w:rPr>
        <w:t> </w:t>
      </w:r>
      <w:r>
        <w:rPr>
          <w:vertAlign w:val="baseline"/>
        </w:rPr>
        <w:t>Thus, the agreement is rendered sufficiently certain to enforce.</w:t>
      </w:r>
    </w:p>
    <w:p>
      <w:pPr>
        <w:pStyle w:val="BodyText"/>
      </w:pPr>
    </w:p>
    <w:p>
      <w:pPr>
        <w:pStyle w:val="BodyText"/>
        <w:spacing w:before="35"/>
      </w:pPr>
    </w:p>
    <w:p>
      <w:pPr>
        <w:spacing w:before="0"/>
        <w:ind w:left="165" w:right="0" w:firstLine="0"/>
        <w:jc w:val="left"/>
        <w:rPr>
          <w:rFonts w:ascii="Arial"/>
          <w:b/>
          <w:sz w:val="18"/>
        </w:rPr>
      </w:pPr>
      <w:r>
        <w:rPr>
          <w:rFonts w:ascii="Arial"/>
          <w:b/>
          <w:sz w:val="18"/>
        </w:rPr>
        <w:t>Agreement subject to execution of formal </w:t>
      </w:r>
      <w:r>
        <w:rPr>
          <w:rFonts w:ascii="Arial"/>
          <w:b/>
          <w:spacing w:val="-2"/>
          <w:sz w:val="18"/>
        </w:rPr>
        <w:t>document</w:t>
      </w:r>
    </w:p>
    <w:p>
      <w:pPr>
        <w:pStyle w:val="BodyText"/>
        <w:spacing w:before="41"/>
        <w:rPr>
          <w:rFonts w:ascii="Arial"/>
          <w:b/>
          <w:sz w:val="18"/>
        </w:rPr>
      </w:pPr>
    </w:p>
    <w:p>
      <w:pPr>
        <w:pStyle w:val="Heading2"/>
        <w:spacing w:before="1"/>
      </w:pPr>
      <w:r>
        <w:rPr/>
        <w:t>2-</w:t>
      </w:r>
      <w:r>
        <w:rPr>
          <w:spacing w:val="-5"/>
        </w:rPr>
        <w:t>208</w:t>
      </w:r>
    </w:p>
    <w:p>
      <w:pPr>
        <w:pStyle w:val="BodyText"/>
        <w:spacing w:line="235" w:lineRule="auto" w:before="202"/>
        <w:ind w:left="164" w:right="167"/>
        <w:jc w:val="both"/>
      </w:pPr>
      <w:r>
        <w:rPr/>
        <w:t>An agreement that is made subject to the execution of a formal document may nevertheless be accorded legal force. The court may find, in the circumstances: </w:t>
      </w:r>
      <w:r>
        <w:rPr>
          <w:color w:val="005DA1"/>
          <w:u w:val="single" w:color="005DA1"/>
          <w:vertAlign w:val="superscript"/>
        </w:rPr>
        <w:t>1131</w:t>
      </w:r>
      <w:r>
        <w:rPr>
          <w:color w:val="005DA1"/>
          <w:vertAlign w:val="baseline"/>
        </w:rPr>
        <w:t> </w:t>
      </w:r>
      <w:r>
        <w:rPr>
          <w:vertAlign w:val="baseline"/>
        </w:rPr>
        <w:t>that such a document is </w:t>
      </w:r>
      <w:r>
        <w:rPr>
          <w:vertAlign w:val="baseline"/>
        </w:rPr>
        <w:t>intended only as a solemn record of an already complete and binding agreement; or that while the main agreement lacks contractual force, nevertheless, a separate preliminary or interim contract had come into existence at an earlier stage, e.g. when one party begins to render services requested by the other, so that under this contract the former party will be entitled to a reasonable remuneration for those services </w:t>
      </w:r>
      <w:r>
        <w:rPr>
          <w:color w:val="005DA1"/>
          <w:u w:val="single" w:color="005DA1"/>
          <w:vertAlign w:val="superscript"/>
        </w:rPr>
        <w:t>1132</w:t>
      </w:r>
      <w:r>
        <w:rPr>
          <w:vertAlign w:val="baseline"/>
        </w:rPr>
        <w:t>; or that while the agreement originally lacked contractual force, it has acquired such force by reason of supervening events, e.g. where subsequent events have occurred whereby the non-executing party is estopped by relying on his non-execution; or that the non-executing party has waived the requirement of formal execution; or that the words “subject to contract” are meaningless</w:t>
      </w:r>
      <w:r>
        <w:rPr>
          <w:spacing w:val="27"/>
          <w:vertAlign w:val="baseline"/>
        </w:rPr>
        <w:t> </w:t>
      </w:r>
      <w:r>
        <w:rPr>
          <w:vertAlign w:val="baseline"/>
        </w:rPr>
        <w:t>and</w:t>
      </w:r>
      <w:r>
        <w:rPr>
          <w:spacing w:val="27"/>
          <w:vertAlign w:val="baseline"/>
        </w:rPr>
        <w:t> </w:t>
      </w:r>
      <w:r>
        <w:rPr>
          <w:vertAlign w:val="baseline"/>
        </w:rPr>
        <w:t>can</w:t>
      </w:r>
      <w:r>
        <w:rPr>
          <w:spacing w:val="28"/>
          <w:vertAlign w:val="baseline"/>
        </w:rPr>
        <w:t> </w:t>
      </w:r>
      <w:r>
        <w:rPr>
          <w:vertAlign w:val="baseline"/>
        </w:rPr>
        <w:t>be</w:t>
      </w:r>
      <w:r>
        <w:rPr>
          <w:spacing w:val="27"/>
          <w:vertAlign w:val="baseline"/>
        </w:rPr>
        <w:t> </w:t>
      </w:r>
      <w:r>
        <w:rPr>
          <w:vertAlign w:val="baseline"/>
        </w:rPr>
        <w:t>severed</w:t>
      </w:r>
      <w:r>
        <w:rPr>
          <w:spacing w:val="28"/>
          <w:vertAlign w:val="baseline"/>
        </w:rPr>
        <w:t> </w:t>
      </w:r>
      <w:r>
        <w:rPr>
          <w:color w:val="005DA1"/>
          <w:u w:val="single" w:color="005DA1"/>
          <w:vertAlign w:val="superscript"/>
        </w:rPr>
        <w:t>1133</w:t>
      </w:r>
      <w:r>
        <w:rPr>
          <w:vertAlign w:val="baseline"/>
        </w:rPr>
        <w:t>;</w:t>
      </w:r>
      <w:r>
        <w:rPr>
          <w:spacing w:val="27"/>
          <w:vertAlign w:val="baseline"/>
        </w:rPr>
        <w:t> </w:t>
      </w:r>
      <w:r>
        <w:rPr>
          <w:vertAlign w:val="baseline"/>
        </w:rPr>
        <w:t>or</w:t>
      </w:r>
      <w:r>
        <w:rPr>
          <w:spacing w:val="28"/>
          <w:vertAlign w:val="baseline"/>
        </w:rPr>
        <w:t> </w:t>
      </w:r>
      <w:r>
        <w:rPr>
          <w:vertAlign w:val="baseline"/>
        </w:rPr>
        <w:t>that</w:t>
      </w:r>
      <w:r>
        <w:rPr>
          <w:spacing w:val="27"/>
          <w:vertAlign w:val="baseline"/>
        </w:rPr>
        <w:t> </w:t>
      </w:r>
      <w:r>
        <w:rPr>
          <w:vertAlign w:val="baseline"/>
        </w:rPr>
        <w:t>there</w:t>
      </w:r>
      <w:r>
        <w:rPr>
          <w:spacing w:val="28"/>
          <w:vertAlign w:val="baseline"/>
        </w:rPr>
        <w:t> </w:t>
      </w:r>
      <w:r>
        <w:rPr>
          <w:vertAlign w:val="baseline"/>
        </w:rPr>
        <w:t>was</w:t>
      </w:r>
      <w:r>
        <w:rPr>
          <w:spacing w:val="27"/>
          <w:vertAlign w:val="baseline"/>
        </w:rPr>
        <w:t> </w:t>
      </w:r>
      <w:r>
        <w:rPr>
          <w:vertAlign w:val="baseline"/>
        </w:rPr>
        <w:t>a</w:t>
      </w:r>
      <w:r>
        <w:rPr>
          <w:spacing w:val="28"/>
          <w:vertAlign w:val="baseline"/>
        </w:rPr>
        <w:t> </w:t>
      </w:r>
      <w:r>
        <w:rPr>
          <w:vertAlign w:val="baseline"/>
        </w:rPr>
        <w:t>binding</w:t>
      </w:r>
      <w:r>
        <w:rPr>
          <w:spacing w:val="27"/>
          <w:vertAlign w:val="baseline"/>
        </w:rPr>
        <w:t> </w:t>
      </w:r>
      <w:r>
        <w:rPr>
          <w:vertAlign w:val="baseline"/>
        </w:rPr>
        <w:t>provisional</w:t>
      </w:r>
      <w:r>
        <w:rPr>
          <w:spacing w:val="28"/>
          <w:vertAlign w:val="baseline"/>
        </w:rPr>
        <w:t> </w:t>
      </w:r>
      <w:r>
        <w:rPr>
          <w:vertAlign w:val="baseline"/>
        </w:rPr>
        <w:t>agreement</w:t>
      </w:r>
      <w:r>
        <w:rPr>
          <w:spacing w:val="27"/>
          <w:vertAlign w:val="baseline"/>
        </w:rPr>
        <w:t> </w:t>
      </w:r>
      <w:r>
        <w:rPr>
          <w:vertAlign w:val="baseline"/>
        </w:rPr>
        <w:t>until</w:t>
      </w:r>
      <w:r>
        <w:rPr>
          <w:spacing w:val="28"/>
          <w:vertAlign w:val="baseline"/>
        </w:rPr>
        <w:t> </w:t>
      </w:r>
      <w:r>
        <w:rPr>
          <w:vertAlign w:val="baseline"/>
        </w:rPr>
        <w:t>it</w:t>
      </w:r>
      <w:r>
        <w:rPr>
          <w:spacing w:val="27"/>
          <w:vertAlign w:val="baseline"/>
        </w:rPr>
        <w:t> </w:t>
      </w:r>
      <w:r>
        <w:rPr>
          <w:spacing w:val="-5"/>
          <w:vertAlign w:val="baseline"/>
        </w:rPr>
        <w:t>is</w:t>
      </w:r>
    </w:p>
    <w:p>
      <w:pPr>
        <w:pStyle w:val="BodyText"/>
        <w:spacing w:after="0" w:line="235" w:lineRule="auto"/>
        <w:jc w:val="both"/>
        <w:sectPr>
          <w:pgSz w:w="11900" w:h="16840"/>
          <w:pgMar w:header="971" w:footer="0" w:top="1300" w:bottom="280" w:left="1275" w:right="1275"/>
        </w:sectPr>
      </w:pPr>
    </w:p>
    <w:p>
      <w:pPr>
        <w:pStyle w:val="BodyText"/>
        <w:spacing w:line="235" w:lineRule="auto" w:before="110"/>
        <w:ind w:left="165" w:right="167"/>
        <w:jc w:val="both"/>
      </w:pPr>
      <w:r>
        <w:rPr/>
        <w:t>superseded by the formal agreement. </w:t>
      </w:r>
      <w:r>
        <w:rPr>
          <w:color w:val="005DA1"/>
          <w:u w:val="single" w:color="005DA1"/>
          <w:vertAlign w:val="superscript"/>
        </w:rPr>
        <w:t>1134</w:t>
      </w:r>
      <w:r>
        <w:rPr>
          <w:color w:val="005DA1"/>
          <w:vertAlign w:val="baseline"/>
        </w:rPr>
        <w:t> </w:t>
      </w:r>
      <w:r>
        <w:rPr>
          <w:vertAlign w:val="baseline"/>
        </w:rPr>
        <w:t>Where the parties have begun to act on an </w:t>
      </w:r>
      <w:r>
        <w:rPr>
          <w:vertAlign w:val="baseline"/>
        </w:rPr>
        <w:t>agreement before it has contractual force and the agreement subsequently acquires such force, the resulting contract may be regarded as expressly or impliedly having retrospective effect so as to apply to work done or goods supplied before it was actually made. </w:t>
      </w:r>
      <w:r>
        <w:rPr>
          <w:color w:val="005DA1"/>
          <w:u w:val="single" w:color="005DA1"/>
          <w:vertAlign w:val="superscript"/>
        </w:rPr>
        <w:t>1135</w:t>
      </w:r>
    </w:p>
    <w:p>
      <w:pPr>
        <w:pStyle w:val="BodyText"/>
      </w:pPr>
    </w:p>
    <w:p>
      <w:pPr>
        <w:pStyle w:val="BodyText"/>
        <w:spacing w:before="37"/>
      </w:pPr>
    </w:p>
    <w:p>
      <w:pPr>
        <w:spacing w:before="0"/>
        <w:ind w:left="165" w:right="0" w:firstLine="0"/>
        <w:jc w:val="left"/>
        <w:rPr>
          <w:rFonts w:ascii="Arial"/>
          <w:b/>
          <w:sz w:val="18"/>
        </w:rPr>
      </w:pPr>
      <w:r>
        <w:rPr>
          <w:rFonts w:ascii="Arial"/>
          <w:b/>
          <w:sz w:val="18"/>
        </w:rPr>
        <w:t>Other conditional </w:t>
      </w:r>
      <w:r>
        <w:rPr>
          <w:rFonts w:ascii="Arial"/>
          <w:b/>
          <w:spacing w:val="-2"/>
          <w:sz w:val="18"/>
        </w:rPr>
        <w:t>agreements</w:t>
      </w:r>
    </w:p>
    <w:p>
      <w:pPr>
        <w:pStyle w:val="BodyText"/>
        <w:spacing w:before="42"/>
        <w:rPr>
          <w:rFonts w:ascii="Arial"/>
          <w:b/>
          <w:sz w:val="18"/>
        </w:rPr>
      </w:pPr>
    </w:p>
    <w:p>
      <w:pPr>
        <w:pStyle w:val="Heading2"/>
      </w:pPr>
      <w:r>
        <w:rPr/>
        <w:t>2-</w:t>
      </w:r>
      <w:r>
        <w:rPr>
          <w:spacing w:val="-5"/>
        </w:rPr>
        <w:t>209</w:t>
      </w:r>
    </w:p>
    <w:p>
      <w:pPr>
        <w:pStyle w:val="BodyText"/>
        <w:spacing w:line="235" w:lineRule="auto" w:before="202"/>
        <w:ind w:left="165" w:right="167"/>
        <w:jc w:val="both"/>
      </w:pPr>
      <w:r>
        <w:rPr/>
        <w:t>Where</w:t>
      </w:r>
      <w:r>
        <w:rPr>
          <w:spacing w:val="-1"/>
        </w:rPr>
        <w:t> </w:t>
      </w:r>
      <w:r>
        <w:rPr/>
        <w:t>an</w:t>
      </w:r>
      <w:r>
        <w:rPr>
          <w:spacing w:val="-1"/>
        </w:rPr>
        <w:t> </w:t>
      </w:r>
      <w:r>
        <w:rPr/>
        <w:t>agreement</w:t>
      </w:r>
      <w:r>
        <w:rPr>
          <w:spacing w:val="-1"/>
        </w:rPr>
        <w:t> </w:t>
      </w:r>
      <w:r>
        <w:rPr/>
        <w:t>is</w:t>
      </w:r>
      <w:r>
        <w:rPr>
          <w:spacing w:val="-1"/>
        </w:rPr>
        <w:t> </w:t>
      </w:r>
      <w:r>
        <w:rPr/>
        <w:t>subject</w:t>
      </w:r>
      <w:r>
        <w:rPr>
          <w:spacing w:val="-1"/>
        </w:rPr>
        <w:t> </w:t>
      </w:r>
      <w:r>
        <w:rPr/>
        <w:t>to</w:t>
      </w:r>
      <w:r>
        <w:rPr>
          <w:spacing w:val="-1"/>
        </w:rPr>
        <w:t> </w:t>
      </w:r>
      <w:r>
        <w:rPr/>
        <w:t>a</w:t>
      </w:r>
      <w:r>
        <w:rPr>
          <w:spacing w:val="-1"/>
        </w:rPr>
        <w:t> </w:t>
      </w:r>
      <w:r>
        <w:rPr/>
        <w:t>contingent</w:t>
      </w:r>
      <w:r>
        <w:rPr>
          <w:spacing w:val="-1"/>
        </w:rPr>
        <w:t> </w:t>
      </w:r>
      <w:r>
        <w:rPr/>
        <w:t>condition</w:t>
      </w:r>
      <w:r>
        <w:rPr>
          <w:spacing w:val="-1"/>
        </w:rPr>
        <w:t> </w:t>
      </w:r>
      <w:r>
        <w:rPr/>
        <w:t>precedent,</w:t>
      </w:r>
      <w:r>
        <w:rPr>
          <w:spacing w:val="-1"/>
        </w:rPr>
        <w:t> </w:t>
      </w:r>
      <w:r>
        <w:rPr/>
        <w:t>there</w:t>
      </w:r>
      <w:r>
        <w:rPr>
          <w:spacing w:val="-1"/>
        </w:rPr>
        <w:t> </w:t>
      </w:r>
      <w:r>
        <w:rPr/>
        <w:t>is,</w:t>
      </w:r>
      <w:r>
        <w:rPr>
          <w:spacing w:val="-1"/>
        </w:rPr>
        <w:t> </w:t>
      </w:r>
      <w:r>
        <w:rPr/>
        <w:t>before</w:t>
      </w:r>
      <w:r>
        <w:rPr>
          <w:spacing w:val="-1"/>
        </w:rPr>
        <w:t> </w:t>
      </w:r>
      <w:r>
        <w:rPr/>
        <w:t>the</w:t>
      </w:r>
      <w:r>
        <w:rPr>
          <w:spacing w:val="-1"/>
        </w:rPr>
        <w:t> </w:t>
      </w:r>
      <w:r>
        <w:rPr/>
        <w:t>occurrence</w:t>
      </w:r>
      <w:r>
        <w:rPr>
          <w:spacing w:val="-1"/>
        </w:rPr>
        <w:t> </w:t>
      </w:r>
      <w:r>
        <w:rPr/>
        <w:t>of the condition, no duty on either party to render the principal performance promised by him. Nevertheless, such an agreement may, on its true construction, impose some degree of obligation on the parties or on one of them. </w:t>
      </w:r>
      <w:r>
        <w:rPr>
          <w:color w:val="005DA1"/>
          <w:u w:val="single" w:color="005DA1"/>
          <w:vertAlign w:val="superscript"/>
        </w:rPr>
        <w:t>1136</w:t>
      </w:r>
      <w:r>
        <w:rPr>
          <w:color w:val="005DA1"/>
          <w:vertAlign w:val="baseline"/>
        </w:rPr>
        <w:t> </w:t>
      </w:r>
      <w:r>
        <w:rPr>
          <w:vertAlign w:val="baseline"/>
        </w:rPr>
        <w:t>The agreement may: restrict the right of one (or both) of the parties from withdrawing before the occurrence of the condition, so long as it can still occur </w:t>
      </w:r>
      <w:r>
        <w:rPr>
          <w:color w:val="005DA1"/>
          <w:u w:val="single" w:color="005DA1"/>
          <w:vertAlign w:val="superscript"/>
        </w:rPr>
        <w:t>1137</w:t>
      </w:r>
      <w:r>
        <w:rPr>
          <w:vertAlign w:val="baseline"/>
        </w:rPr>
        <w:t>; impose a duty on both parties not to do anything to prevent the occurrence of the condition </w:t>
      </w:r>
      <w:r>
        <w:rPr>
          <w:color w:val="005DA1"/>
          <w:u w:val="single" w:color="005DA1"/>
          <w:vertAlign w:val="superscript"/>
        </w:rPr>
        <w:t>1138</w:t>
      </w:r>
      <w:r>
        <w:rPr>
          <w:vertAlign w:val="baseline"/>
        </w:rPr>
        <w:t>; or impose a duty on one of the parties to use reasonable efforts to bring the condition about. </w:t>
      </w:r>
      <w:r>
        <w:rPr>
          <w:color w:val="005DA1"/>
          <w:u w:val="single" w:color="005DA1"/>
          <w:vertAlign w:val="superscript"/>
        </w:rPr>
        <w:t>1139</w:t>
      </w:r>
      <w:r>
        <w:rPr>
          <w:color w:val="005DA1"/>
          <w:vertAlign w:val="baseline"/>
        </w:rPr>
        <w:t> </w:t>
      </w:r>
      <w:r>
        <w:rPr>
          <w:vertAlign w:val="baseline"/>
        </w:rPr>
        <w:t>Where the operation of the contract depends on the “satisfaction” of one of the parties with the subject-matter or other</w:t>
      </w:r>
      <w:r>
        <w:rPr>
          <w:spacing w:val="-1"/>
          <w:vertAlign w:val="baseline"/>
        </w:rPr>
        <w:t> </w:t>
      </w:r>
      <w:r>
        <w:rPr>
          <w:vertAlign w:val="baseline"/>
        </w:rPr>
        <w:t>aspects</w:t>
      </w:r>
      <w:r>
        <w:rPr>
          <w:spacing w:val="-1"/>
          <w:vertAlign w:val="baseline"/>
        </w:rPr>
        <w:t> </w:t>
      </w:r>
      <w:r>
        <w:rPr>
          <w:vertAlign w:val="baseline"/>
        </w:rPr>
        <w:t>relating</w:t>
      </w:r>
      <w:r>
        <w:rPr>
          <w:spacing w:val="-1"/>
          <w:vertAlign w:val="baseline"/>
        </w:rPr>
        <w:t> </w:t>
      </w:r>
      <w:r>
        <w:rPr>
          <w:vertAlign w:val="baseline"/>
        </w:rPr>
        <w:t>to</w:t>
      </w:r>
      <w:r>
        <w:rPr>
          <w:spacing w:val="-1"/>
          <w:vertAlign w:val="baseline"/>
        </w:rPr>
        <w:t> </w:t>
      </w:r>
      <w:r>
        <w:rPr>
          <w:vertAlign w:val="baseline"/>
        </w:rPr>
        <w:t>the</w:t>
      </w:r>
      <w:r>
        <w:rPr>
          <w:spacing w:val="-1"/>
          <w:vertAlign w:val="baseline"/>
        </w:rPr>
        <w:t> </w:t>
      </w:r>
      <w:r>
        <w:rPr>
          <w:vertAlign w:val="baseline"/>
        </w:rPr>
        <w:t>other’s</w:t>
      </w:r>
      <w:r>
        <w:rPr>
          <w:spacing w:val="-1"/>
          <w:vertAlign w:val="baseline"/>
        </w:rPr>
        <w:t> </w:t>
      </w:r>
      <w:r>
        <w:rPr>
          <w:vertAlign w:val="baseline"/>
        </w:rPr>
        <w:t>performance,</w:t>
      </w:r>
      <w:r>
        <w:rPr>
          <w:spacing w:val="-1"/>
          <w:vertAlign w:val="baseline"/>
        </w:rPr>
        <w:t> </w:t>
      </w:r>
      <w:r>
        <w:rPr>
          <w:vertAlign w:val="baseline"/>
        </w:rPr>
        <w:t>the</w:t>
      </w:r>
      <w:r>
        <w:rPr>
          <w:spacing w:val="-1"/>
          <w:vertAlign w:val="baseline"/>
        </w:rPr>
        <w:t> </w:t>
      </w:r>
      <w:r>
        <w:rPr>
          <w:vertAlign w:val="baseline"/>
        </w:rPr>
        <w:t>court</w:t>
      </w:r>
      <w:r>
        <w:rPr>
          <w:spacing w:val="-1"/>
          <w:vertAlign w:val="baseline"/>
        </w:rPr>
        <w:t> </w:t>
      </w:r>
      <w:r>
        <w:rPr>
          <w:vertAlign w:val="baseline"/>
        </w:rPr>
        <w:t>may</w:t>
      </w:r>
      <w:r>
        <w:rPr>
          <w:spacing w:val="-1"/>
          <w:vertAlign w:val="baseline"/>
        </w:rPr>
        <w:t> </w:t>
      </w:r>
      <w:r>
        <w:rPr>
          <w:vertAlign w:val="baseline"/>
        </w:rPr>
        <w:t>construe</w:t>
      </w:r>
      <w:r>
        <w:rPr>
          <w:spacing w:val="-1"/>
          <w:vertAlign w:val="baseline"/>
        </w:rPr>
        <w:t> </w:t>
      </w:r>
      <w:r>
        <w:rPr>
          <w:vertAlign w:val="baseline"/>
        </w:rPr>
        <w:t>the</w:t>
      </w:r>
      <w:r>
        <w:rPr>
          <w:spacing w:val="-1"/>
          <w:vertAlign w:val="baseline"/>
        </w:rPr>
        <w:t> </w:t>
      </w:r>
      <w:r>
        <w:rPr>
          <w:vertAlign w:val="baseline"/>
        </w:rPr>
        <w:t>term</w:t>
      </w:r>
      <w:r>
        <w:rPr>
          <w:spacing w:val="-1"/>
          <w:vertAlign w:val="baseline"/>
        </w:rPr>
        <w:t> </w:t>
      </w:r>
      <w:r>
        <w:rPr>
          <w:vertAlign w:val="baseline"/>
        </w:rPr>
        <w:t>as</w:t>
      </w:r>
      <w:r>
        <w:rPr>
          <w:spacing w:val="-1"/>
          <w:vertAlign w:val="baseline"/>
        </w:rPr>
        <w:t> </w:t>
      </w:r>
      <w:r>
        <w:rPr>
          <w:vertAlign w:val="baseline"/>
        </w:rPr>
        <w:t>“subject</w:t>
      </w:r>
      <w:r>
        <w:rPr>
          <w:spacing w:val="-1"/>
          <w:vertAlign w:val="baseline"/>
        </w:rPr>
        <w:t> </w:t>
      </w:r>
      <w:r>
        <w:rPr>
          <w:vertAlign w:val="baseline"/>
        </w:rPr>
        <w:t>to</w:t>
      </w:r>
      <w:r>
        <w:rPr>
          <w:spacing w:val="-1"/>
          <w:vertAlign w:val="baseline"/>
        </w:rPr>
        <w:t> </w:t>
      </w:r>
      <w:r>
        <w:rPr>
          <w:vertAlign w:val="baseline"/>
        </w:rPr>
        <w:t>bona fides”. </w:t>
      </w:r>
      <w:r>
        <w:rPr>
          <w:color w:val="005DA1"/>
          <w:u w:val="single" w:color="005DA1"/>
          <w:vertAlign w:val="superscript"/>
        </w:rPr>
        <w:t>1140</w:t>
      </w:r>
      <w:r>
        <w:rPr>
          <w:color w:val="005DA1"/>
          <w:vertAlign w:val="baseline"/>
        </w:rPr>
        <w:t> </w:t>
      </w:r>
      <w:r>
        <w:rPr>
          <w:vertAlign w:val="baseline"/>
        </w:rPr>
        <w:t>Where a condition is inserted entirely for the benefit of one party, the court may find that that party has waived the condition, so that the contract is binding as if the condition had been satisfied. </w:t>
      </w:r>
      <w:r>
        <w:rPr>
          <w:color w:val="005DA1"/>
          <w:u w:val="single" w:color="005DA1"/>
          <w:vertAlign w:val="superscript"/>
        </w:rPr>
        <w:t>1141</w:t>
      </w:r>
    </w:p>
    <w:p>
      <w:pPr>
        <w:pStyle w:val="BodyText"/>
      </w:pPr>
    </w:p>
    <w:p>
      <w:pPr>
        <w:pStyle w:val="BodyText"/>
        <w:spacing w:before="34"/>
      </w:pPr>
    </w:p>
    <w:p>
      <w:pPr>
        <w:spacing w:before="0"/>
        <w:ind w:left="165" w:right="0" w:firstLine="0"/>
        <w:jc w:val="left"/>
        <w:rPr>
          <w:rFonts w:ascii="Arial"/>
          <w:b/>
          <w:sz w:val="18"/>
        </w:rPr>
      </w:pPr>
      <w:r>
        <w:rPr>
          <w:rFonts w:ascii="Arial"/>
          <w:b/>
          <w:sz w:val="18"/>
        </w:rPr>
        <w:t>Letters of </w:t>
      </w:r>
      <w:r>
        <w:rPr>
          <w:rFonts w:ascii="Arial"/>
          <w:b/>
          <w:spacing w:val="-2"/>
          <w:sz w:val="18"/>
        </w:rPr>
        <w:t>intent</w:t>
      </w:r>
    </w:p>
    <w:p>
      <w:pPr>
        <w:pStyle w:val="BodyText"/>
        <w:spacing w:before="42"/>
        <w:rPr>
          <w:rFonts w:ascii="Arial"/>
          <w:b/>
          <w:sz w:val="18"/>
        </w:rPr>
      </w:pPr>
    </w:p>
    <w:p>
      <w:pPr>
        <w:pStyle w:val="Heading2"/>
      </w:pPr>
      <w:r>
        <w:rPr/>
        <w:t>2-</w:t>
      </w:r>
      <w:r>
        <w:rPr>
          <w:spacing w:val="-5"/>
        </w:rPr>
        <w:t>210</w:t>
      </w:r>
    </w:p>
    <w:p>
      <w:pPr>
        <w:pStyle w:val="BodyText"/>
        <w:spacing w:line="235" w:lineRule="auto" w:before="202"/>
        <w:ind w:left="165" w:right="167"/>
        <w:jc w:val="both"/>
      </w:pPr>
      <w:r>
        <w:rPr/>
        <w:t>Where commercial parties to a transaction issue or exchange “letters of intent” on which they </w:t>
      </w:r>
      <w:r>
        <w:rPr/>
        <w:t>act pending the preparation of formal contracts, or issue a “letter of comfort”, such letters may, as a</w:t>
      </w:r>
      <w:r>
        <w:rPr>
          <w:spacing w:val="40"/>
        </w:rPr>
        <w:t> </w:t>
      </w:r>
      <w:r>
        <w:rPr/>
        <w:t>matter of construction, be held to bind the parties. The courts will, in particular, be inclined to do so where the parties have acted on the document for a long period of time or have expended considerable sums of money in reliance on it. The fact that the parties envisage that the letter is to be superseded by a later, more formal, contractual document does not, of itself, prevent the letter from taking effect as a contract. </w:t>
      </w:r>
      <w:r>
        <w:rPr>
          <w:color w:val="005DA1"/>
          <w:u w:val="single" w:color="005DA1"/>
          <w:vertAlign w:val="superscript"/>
        </w:rPr>
        <w:t>1142</w:t>
      </w:r>
    </w:p>
    <w:p>
      <w:pPr>
        <w:pStyle w:val="BodyText"/>
      </w:pPr>
    </w:p>
    <w:p>
      <w:pPr>
        <w:pStyle w:val="BodyText"/>
        <w:spacing w:before="36"/>
      </w:pPr>
    </w:p>
    <w:p>
      <w:pPr>
        <w:spacing w:before="0"/>
        <w:ind w:left="164" w:right="0" w:firstLine="0"/>
        <w:jc w:val="left"/>
        <w:rPr>
          <w:rFonts w:ascii="Arial"/>
          <w:b/>
          <w:sz w:val="18"/>
        </w:rPr>
      </w:pPr>
      <w:r>
        <w:rPr>
          <w:rFonts w:ascii="Arial"/>
          <w:b/>
          <w:sz w:val="18"/>
        </w:rPr>
        <w:t>Contractual </w:t>
      </w:r>
      <w:r>
        <w:rPr>
          <w:rFonts w:ascii="Arial"/>
          <w:b/>
          <w:spacing w:val="-2"/>
          <w:sz w:val="18"/>
        </w:rPr>
        <w:t>intention</w:t>
      </w:r>
    </w:p>
    <w:p>
      <w:pPr>
        <w:pStyle w:val="BodyText"/>
        <w:spacing w:before="41"/>
        <w:rPr>
          <w:rFonts w:ascii="Arial"/>
          <w:b/>
          <w:sz w:val="18"/>
        </w:rPr>
      </w:pPr>
    </w:p>
    <w:p>
      <w:pPr>
        <w:pStyle w:val="Heading2"/>
        <w:spacing w:before="1"/>
        <w:ind w:left="164"/>
      </w:pPr>
      <w:r>
        <w:rPr/>
        <w:t>2-</w:t>
      </w:r>
      <w:r>
        <w:rPr>
          <w:spacing w:val="-5"/>
        </w:rPr>
        <w:t>211</w:t>
      </w:r>
    </w:p>
    <w:p>
      <w:pPr>
        <w:pStyle w:val="BodyText"/>
        <w:spacing w:line="235" w:lineRule="auto" w:before="202"/>
        <w:ind w:left="164" w:right="167"/>
        <w:jc w:val="both"/>
      </w:pPr>
      <w:r>
        <w:rPr/>
        <w:t>A party may seek to escape an otherwise valid contract by alleging that an agreement was made without any intention of creating legal relations. In the case of ordinary commercial transactions, such an intention is presumed; a heavy onus is placed on the party who asserts that no legal effect is intended. The courts will be influenced by the importance of the agreement to the parties, and by the fact</w:t>
      </w:r>
      <w:r>
        <w:rPr>
          <w:spacing w:val="-2"/>
        </w:rPr>
        <w:t> </w:t>
      </w:r>
      <w:r>
        <w:rPr/>
        <w:t>that</w:t>
      </w:r>
      <w:r>
        <w:rPr>
          <w:spacing w:val="-2"/>
        </w:rPr>
        <w:t> </w:t>
      </w:r>
      <w:r>
        <w:rPr/>
        <w:t>one</w:t>
      </w:r>
      <w:r>
        <w:rPr>
          <w:spacing w:val="-2"/>
        </w:rPr>
        <w:t> </w:t>
      </w:r>
      <w:r>
        <w:rPr/>
        <w:t>or</w:t>
      </w:r>
      <w:r>
        <w:rPr>
          <w:spacing w:val="-2"/>
        </w:rPr>
        <w:t> </w:t>
      </w:r>
      <w:r>
        <w:rPr/>
        <w:t>both</w:t>
      </w:r>
      <w:r>
        <w:rPr>
          <w:spacing w:val="-2"/>
        </w:rPr>
        <w:t> </w:t>
      </w:r>
      <w:r>
        <w:rPr/>
        <w:t>parties</w:t>
      </w:r>
      <w:r>
        <w:rPr>
          <w:spacing w:val="-2"/>
        </w:rPr>
        <w:t> </w:t>
      </w:r>
      <w:r>
        <w:rPr/>
        <w:t>have</w:t>
      </w:r>
      <w:r>
        <w:rPr>
          <w:spacing w:val="-2"/>
        </w:rPr>
        <w:t> </w:t>
      </w:r>
      <w:r>
        <w:rPr/>
        <w:t>acted</w:t>
      </w:r>
      <w:r>
        <w:rPr>
          <w:spacing w:val="-2"/>
        </w:rPr>
        <w:t> </w:t>
      </w:r>
      <w:r>
        <w:rPr/>
        <w:t>in</w:t>
      </w:r>
      <w:r>
        <w:rPr>
          <w:spacing w:val="-2"/>
        </w:rPr>
        <w:t> </w:t>
      </w:r>
      <w:r>
        <w:rPr/>
        <w:t>reliance</w:t>
      </w:r>
      <w:r>
        <w:rPr>
          <w:spacing w:val="-2"/>
        </w:rPr>
        <w:t> </w:t>
      </w:r>
      <w:r>
        <w:rPr/>
        <w:t>on</w:t>
      </w:r>
      <w:r>
        <w:rPr>
          <w:spacing w:val="-2"/>
        </w:rPr>
        <w:t> </w:t>
      </w:r>
      <w:r>
        <w:rPr/>
        <w:t>it.</w:t>
      </w:r>
      <w:r>
        <w:rPr>
          <w:spacing w:val="-2"/>
        </w:rPr>
        <w:t> </w:t>
      </w:r>
      <w:r>
        <w:rPr>
          <w:color w:val="005DA1"/>
          <w:u w:val="single" w:color="005DA1"/>
          <w:vertAlign w:val="superscript"/>
        </w:rPr>
        <w:t>1143</w:t>
      </w:r>
      <w:r>
        <w:rPr>
          <w:color w:val="005DA1"/>
          <w:spacing w:val="-2"/>
          <w:vertAlign w:val="baseline"/>
        </w:rPr>
        <w:t> </w:t>
      </w:r>
      <w:r>
        <w:rPr>
          <w:vertAlign w:val="baseline"/>
        </w:rPr>
        <w:t>Whether</w:t>
      </w:r>
      <w:r>
        <w:rPr>
          <w:spacing w:val="-2"/>
          <w:vertAlign w:val="baseline"/>
        </w:rPr>
        <w:t> </w:t>
      </w:r>
      <w:r>
        <w:rPr>
          <w:vertAlign w:val="baseline"/>
        </w:rPr>
        <w:t>any</w:t>
      </w:r>
      <w:r>
        <w:rPr>
          <w:spacing w:val="-2"/>
          <w:vertAlign w:val="baseline"/>
        </w:rPr>
        <w:t> </w:t>
      </w:r>
      <w:r>
        <w:rPr>
          <w:vertAlign w:val="baseline"/>
        </w:rPr>
        <w:t>words</w:t>
      </w:r>
      <w:r>
        <w:rPr>
          <w:spacing w:val="-2"/>
          <w:vertAlign w:val="baseline"/>
        </w:rPr>
        <w:t> </w:t>
      </w:r>
      <w:r>
        <w:rPr>
          <w:vertAlign w:val="baseline"/>
        </w:rPr>
        <w:t>apparently</w:t>
      </w:r>
      <w:r>
        <w:rPr>
          <w:spacing w:val="-2"/>
          <w:vertAlign w:val="baseline"/>
        </w:rPr>
        <w:t> </w:t>
      </w:r>
      <w:r>
        <w:rPr>
          <w:vertAlign w:val="baseline"/>
        </w:rPr>
        <w:t>negativing contractual intention has that effect is a question of construction. </w:t>
      </w:r>
      <w:r>
        <w:rPr>
          <w:color w:val="005DA1"/>
          <w:u w:val="single" w:color="005DA1"/>
          <w:vertAlign w:val="superscript"/>
        </w:rPr>
        <w:t>1144</w:t>
      </w:r>
      <w:r>
        <w:rPr>
          <w:color w:val="005DA1"/>
          <w:vertAlign w:val="baseline"/>
        </w:rPr>
        <w:t> </w:t>
      </w:r>
      <w:r>
        <w:rPr>
          <w:vertAlign w:val="baseline"/>
        </w:rPr>
        <w:t>In contrast, most </w:t>
      </w:r>
      <w:r>
        <w:rPr>
          <w:vertAlign w:val="baseline"/>
        </w:rPr>
        <w:t>agreements made</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social</w:t>
      </w:r>
      <w:r>
        <w:rPr>
          <w:spacing w:val="-1"/>
          <w:vertAlign w:val="baseline"/>
        </w:rPr>
        <w:t> </w:t>
      </w:r>
      <w:r>
        <w:rPr>
          <w:vertAlign w:val="baseline"/>
        </w:rPr>
        <w:t>or</w:t>
      </w:r>
      <w:r>
        <w:rPr>
          <w:spacing w:val="-1"/>
          <w:vertAlign w:val="baseline"/>
        </w:rPr>
        <w:t> </w:t>
      </w:r>
      <w:r>
        <w:rPr>
          <w:vertAlign w:val="baseline"/>
        </w:rPr>
        <w:t>familial</w:t>
      </w:r>
      <w:r>
        <w:rPr>
          <w:spacing w:val="-1"/>
          <w:vertAlign w:val="baseline"/>
        </w:rPr>
        <w:t> </w:t>
      </w:r>
      <w:r>
        <w:rPr>
          <w:vertAlign w:val="baseline"/>
        </w:rPr>
        <w:t>context</w:t>
      </w:r>
      <w:r>
        <w:rPr>
          <w:spacing w:val="-1"/>
          <w:vertAlign w:val="baseline"/>
        </w:rPr>
        <w:t> </w:t>
      </w:r>
      <w:r>
        <w:rPr>
          <w:vertAlign w:val="baseline"/>
        </w:rPr>
        <w:t>are</w:t>
      </w:r>
      <w:r>
        <w:rPr>
          <w:spacing w:val="-1"/>
          <w:vertAlign w:val="baseline"/>
        </w:rPr>
        <w:t> </w:t>
      </w:r>
      <w:r>
        <w:rPr>
          <w:vertAlign w:val="baseline"/>
        </w:rPr>
        <w:t>presumed</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attended</w:t>
      </w:r>
      <w:r>
        <w:rPr>
          <w:spacing w:val="-1"/>
          <w:vertAlign w:val="baseline"/>
        </w:rPr>
        <w:t> </w:t>
      </w:r>
      <w:r>
        <w:rPr>
          <w:vertAlign w:val="baseline"/>
        </w:rPr>
        <w:t>by</w:t>
      </w:r>
      <w:r>
        <w:rPr>
          <w:spacing w:val="-1"/>
          <w:vertAlign w:val="baseline"/>
        </w:rPr>
        <w:t> </w:t>
      </w:r>
      <w:r>
        <w:rPr>
          <w:vertAlign w:val="baseline"/>
        </w:rPr>
        <w:t>no</w:t>
      </w:r>
      <w:r>
        <w:rPr>
          <w:spacing w:val="-1"/>
          <w:vertAlign w:val="baseline"/>
        </w:rPr>
        <w:t> </w:t>
      </w:r>
      <w:r>
        <w:rPr>
          <w:vertAlign w:val="baseline"/>
        </w:rPr>
        <w:t>intention</w:t>
      </w:r>
      <w:r>
        <w:rPr>
          <w:spacing w:val="-1"/>
          <w:vertAlign w:val="baseline"/>
        </w:rPr>
        <w:t> </w:t>
      </w:r>
      <w:r>
        <w:rPr>
          <w:vertAlign w:val="baseline"/>
        </w:rPr>
        <w:t>to</w:t>
      </w:r>
      <w:r>
        <w:rPr>
          <w:spacing w:val="-1"/>
          <w:vertAlign w:val="baseline"/>
        </w:rPr>
        <w:t> </w:t>
      </w:r>
      <w:r>
        <w:rPr>
          <w:vertAlign w:val="baseline"/>
        </w:rPr>
        <w:t>be</w:t>
      </w:r>
      <w:r>
        <w:rPr>
          <w:spacing w:val="-1"/>
          <w:vertAlign w:val="baseline"/>
        </w:rPr>
        <w:t> </w:t>
      </w:r>
      <w:r>
        <w:rPr>
          <w:vertAlign w:val="baseline"/>
        </w:rPr>
        <w:t>legally</w:t>
      </w:r>
      <w:r>
        <w:rPr>
          <w:spacing w:val="-1"/>
          <w:vertAlign w:val="baseline"/>
        </w:rPr>
        <w:t> </w:t>
      </w:r>
      <w:r>
        <w:rPr>
          <w:vertAlign w:val="baseline"/>
        </w:rPr>
        <w:t>bound. </w:t>
      </w:r>
      <w:r>
        <w:rPr>
          <w:color w:val="005DA1"/>
          <w:u w:val="single" w:color="005DA1"/>
          <w:vertAlign w:val="superscript"/>
        </w:rPr>
        <w:t>1145</w:t>
      </w:r>
      <w:r>
        <w:rPr>
          <w:color w:val="005DA1"/>
          <w:vertAlign w:val="baseline"/>
        </w:rPr>
        <w:t> </w:t>
      </w:r>
      <w:r>
        <w:rPr>
          <w:vertAlign w:val="baseline"/>
        </w:rPr>
        <w:t>However, this presumption may be rebutted on the facts of the individual case. </w:t>
      </w:r>
      <w:r>
        <w:rPr>
          <w:color w:val="005DA1"/>
          <w:u w:val="single" w:color="005DA1"/>
          <w:vertAlign w:val="superscript"/>
        </w:rPr>
        <w:t>1146</w:t>
      </w:r>
      <w:r>
        <w:rPr>
          <w:color w:val="005DA1"/>
          <w:vertAlign w:val="baseline"/>
        </w:rPr>
        <w:t> </w:t>
      </w:r>
      <w:r>
        <w:rPr>
          <w:vertAlign w:val="baseline"/>
        </w:rPr>
        <w:t>Where a couple make an agreement with regard to a house in which they live together in a quasi-marital relationship without being married or having entered into a civil partnership, the agreement may be enforced by way of contract, constructive trust, proprietary estoppel or contractual license. </w:t>
      </w:r>
      <w:r>
        <w:rPr>
          <w:color w:val="005DA1"/>
          <w:u w:val="single" w:color="005DA1"/>
          <w:vertAlign w:val="superscript"/>
        </w:rPr>
        <w:t>1147</w:t>
      </w:r>
    </w:p>
    <w:p>
      <w:pPr>
        <w:pStyle w:val="BodyText"/>
      </w:pPr>
    </w:p>
    <w:p>
      <w:pPr>
        <w:pStyle w:val="BodyText"/>
        <w:spacing w:before="36"/>
      </w:pPr>
      <w:r>
        <w:rPr/>
        <mc:AlternateContent>
          <mc:Choice Requires="wps">
            <w:drawing>
              <wp:anchor distT="0" distB="0" distL="0" distR="0" allowOverlap="1" layoutInCell="1" locked="0" behindDoc="1" simplePos="0" relativeHeight="487625216">
                <wp:simplePos x="0" y="0"/>
                <wp:positionH relativeFrom="page">
                  <wp:posOffset>914400</wp:posOffset>
                </wp:positionH>
                <wp:positionV relativeFrom="paragraph">
                  <wp:posOffset>184299</wp:posOffset>
                </wp:positionV>
                <wp:extent cx="5724525" cy="1270"/>
                <wp:effectExtent l="0" t="0" r="0" b="0"/>
                <wp:wrapTopAndBottom/>
                <wp:docPr id="148" name="Graphic 148"/>
                <wp:cNvGraphicFramePr>
                  <a:graphicFrameLocks/>
                </wp:cNvGraphicFramePr>
                <a:graphic>
                  <a:graphicData uri="http://schemas.microsoft.com/office/word/2010/wordprocessingShape">
                    <wps:wsp>
                      <wps:cNvPr id="148" name="Graphic 148"/>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511805pt;width:450.75pt;height:.1pt;mso-position-horizontal-relative:page;mso-position-vertical-relative:paragraph;z-index:-15691264;mso-wrap-distance-left:0;mso-wrap-distance-right:0" id="docshape51" coordorigin="1440,290" coordsize="9015,0" path="m1440,290l10454,290e" filled="false" stroked="true" strokeweight="1pt" strokecolor="#000000">
                <v:path arrowok="t"/>
                <v:stroke dashstyle="solid"/>
                <w10:wrap type="topAndBottom"/>
              </v:shape>
            </w:pict>
          </mc:Fallback>
        </mc:AlternateContent>
      </w:r>
    </w:p>
    <w:p>
      <w:pPr>
        <w:pStyle w:val="BodyText"/>
        <w:spacing w:before="97"/>
      </w:pPr>
    </w:p>
    <w:p>
      <w:pPr>
        <w:spacing w:before="0"/>
        <w:ind w:left="165" w:right="0" w:firstLine="0"/>
        <w:jc w:val="left"/>
        <w:rPr>
          <w:sz w:val="20"/>
        </w:rPr>
      </w:pPr>
      <w:r>
        <w:rPr>
          <w:color w:val="005DA1"/>
          <w:position w:val="5"/>
          <w:sz w:val="14"/>
          <w:u w:val="single" w:color="005DA1"/>
        </w:rPr>
        <w:t>1104</w:t>
      </w:r>
      <w:r>
        <w:rPr>
          <w:position w:val="5"/>
          <w:sz w:val="14"/>
        </w:rPr>
        <w:t>.</w:t>
      </w:r>
      <w:r>
        <w:rPr>
          <w:spacing w:val="55"/>
          <w:position w:val="5"/>
          <w:sz w:val="14"/>
        </w:rPr>
        <w:t>  </w:t>
      </w:r>
      <w:r>
        <w:rPr>
          <w:sz w:val="20"/>
        </w:rPr>
        <w:t>See</w:t>
      </w:r>
      <w:r>
        <w:rPr>
          <w:spacing w:val="1"/>
          <w:sz w:val="20"/>
        </w:rPr>
        <w:t> </w:t>
      </w:r>
      <w:r>
        <w:rPr>
          <w:sz w:val="20"/>
        </w:rPr>
        <w:t>above, para.2-</w:t>
      </w:r>
      <w:r>
        <w:rPr>
          <w:spacing w:val="-4"/>
          <w:sz w:val="20"/>
        </w:rPr>
        <w:t>004.</w:t>
      </w:r>
    </w:p>
    <w:p>
      <w:pPr>
        <w:pStyle w:val="BodyText"/>
        <w:spacing w:before="9"/>
      </w:pPr>
    </w:p>
    <w:p>
      <w:pPr>
        <w:pStyle w:val="BodyText"/>
        <w:spacing w:line="235" w:lineRule="auto"/>
        <w:ind w:left="705" w:hanging="541"/>
      </w:pPr>
      <w:r>
        <w:rPr>
          <w:color w:val="005DA1"/>
          <w:position w:val="5"/>
          <w:sz w:val="14"/>
          <w:u w:val="single" w:color="005DA1"/>
        </w:rPr>
        <w:t>1105</w:t>
      </w:r>
      <w:r>
        <w:rPr>
          <w:position w:val="5"/>
          <w:sz w:val="14"/>
        </w:rPr>
        <w:t>.</w:t>
      </w:r>
      <w:r>
        <w:rPr>
          <w:spacing w:val="40"/>
          <w:position w:val="5"/>
          <w:sz w:val="14"/>
        </w:rPr>
        <w:t>  </w:t>
      </w:r>
      <w:r>
        <w:rPr/>
        <w:t>Thus in Cass. Civ. 17 December 1958, nD.1959.1.33, the French Cour de cassation seems to assume</w:t>
      </w:r>
      <w:r>
        <w:rPr>
          <w:spacing w:val="1"/>
        </w:rPr>
        <w:t> </w:t>
      </w:r>
      <w:r>
        <w:rPr/>
        <w:t>that</w:t>
      </w:r>
      <w:r>
        <w:rPr>
          <w:spacing w:val="1"/>
        </w:rPr>
        <w:t> </w:t>
      </w:r>
      <w:r>
        <w:rPr/>
        <w:t>an</w:t>
      </w:r>
      <w:r>
        <w:rPr>
          <w:spacing w:val="1"/>
        </w:rPr>
        <w:t> </w:t>
      </w:r>
      <w:r>
        <w:rPr/>
        <w:t>offer</w:t>
      </w:r>
      <w:r>
        <w:rPr>
          <w:spacing w:val="1"/>
        </w:rPr>
        <w:t> </w:t>
      </w:r>
      <w:r>
        <w:rPr/>
        <w:t>to</w:t>
      </w:r>
      <w:r>
        <w:rPr>
          <w:spacing w:val="1"/>
        </w:rPr>
        <w:t> </w:t>
      </w:r>
      <w:r>
        <w:rPr/>
        <w:t>sell</w:t>
      </w:r>
      <w:r>
        <w:rPr>
          <w:spacing w:val="1"/>
        </w:rPr>
        <w:t> </w:t>
      </w:r>
      <w:r>
        <w:rPr/>
        <w:t>a</w:t>
      </w:r>
      <w:r>
        <w:rPr>
          <w:spacing w:val="1"/>
        </w:rPr>
        <w:t> </w:t>
      </w:r>
      <w:r>
        <w:rPr/>
        <w:t>house</w:t>
      </w:r>
      <w:r>
        <w:rPr>
          <w:spacing w:val="1"/>
        </w:rPr>
        <w:t> </w:t>
      </w:r>
      <w:r>
        <w:rPr/>
        <w:t>could</w:t>
      </w:r>
      <w:r>
        <w:rPr>
          <w:spacing w:val="1"/>
        </w:rPr>
        <w:t> </w:t>
      </w:r>
      <w:r>
        <w:rPr/>
        <w:t>no</w:t>
      </w:r>
      <w:r>
        <w:rPr>
          <w:spacing w:val="1"/>
        </w:rPr>
        <w:t> </w:t>
      </w:r>
      <w:r>
        <w:rPr/>
        <w:t>longer</w:t>
      </w:r>
      <w:r>
        <w:rPr>
          <w:spacing w:val="1"/>
        </w:rPr>
        <w:t> </w:t>
      </w:r>
      <w:r>
        <w:rPr/>
        <w:t>be</w:t>
      </w:r>
      <w:r>
        <w:rPr>
          <w:spacing w:val="1"/>
        </w:rPr>
        <w:t> </w:t>
      </w:r>
      <w:r>
        <w:rPr/>
        <w:t>accepted</w:t>
      </w:r>
      <w:r>
        <w:rPr>
          <w:spacing w:val="1"/>
        </w:rPr>
        <w:t> </w:t>
      </w:r>
      <w:r>
        <w:rPr/>
        <w:t>after</w:t>
      </w:r>
      <w:r>
        <w:rPr>
          <w:spacing w:val="1"/>
        </w:rPr>
        <w:t> </w:t>
      </w:r>
      <w:r>
        <w:rPr/>
        <w:t>the</w:t>
      </w:r>
      <w:r>
        <w:rPr>
          <w:spacing w:val="1"/>
        </w:rPr>
        <w:t> </w:t>
      </w:r>
      <w:r>
        <w:rPr/>
        <w:t>house</w:t>
      </w:r>
      <w:r>
        <w:rPr>
          <w:spacing w:val="1"/>
        </w:rPr>
        <w:t> </w:t>
      </w:r>
      <w:r>
        <w:rPr/>
        <w:t>had</w:t>
      </w:r>
      <w:r>
        <w:rPr>
          <w:spacing w:val="1"/>
        </w:rPr>
        <w:t> </w:t>
      </w:r>
      <w:r>
        <w:rPr/>
        <w:t>been</w:t>
      </w:r>
      <w:r>
        <w:rPr>
          <w:spacing w:val="1"/>
        </w:rPr>
        <w:t> </w:t>
      </w:r>
      <w:r>
        <w:rPr>
          <w:spacing w:val="-4"/>
        </w:rPr>
        <w:t>sold</w:t>
      </w:r>
    </w:p>
    <w:p>
      <w:pPr>
        <w:pStyle w:val="BodyText"/>
        <w:spacing w:after="0" w:line="235" w:lineRule="auto"/>
        <w:sectPr>
          <w:pgSz w:w="11900" w:h="16840"/>
          <w:pgMar w:header="971" w:footer="0" w:top="1300" w:bottom="280" w:left="1275" w:right="1275"/>
        </w:sectPr>
      </w:pPr>
    </w:p>
    <w:p>
      <w:pPr>
        <w:pStyle w:val="BodyText"/>
        <w:spacing w:after="1"/>
        <w:rPr>
          <w:sz w:val="15"/>
        </w:rPr>
      </w:pPr>
      <w:bookmarkStart w:name="_bookmark1850" w:id="1852"/>
      <w:bookmarkEnd w:id="1852"/>
      <w:r>
        <w:rPr/>
      </w:r>
      <w:r>
        <w:rPr>
          <w:sz w:val="15"/>
        </w:rPr>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ind w:right="0"/>
              <w:rPr>
                <w:rFonts w:ascii="Times New Roman"/>
                <w:sz w:val="18"/>
              </w:rPr>
            </w:pPr>
          </w:p>
        </w:tc>
        <w:tc>
          <w:tcPr>
            <w:tcW w:w="8620" w:type="dxa"/>
          </w:tcPr>
          <w:p>
            <w:pPr>
              <w:pStyle w:val="TableParagraph"/>
              <w:spacing w:line="223" w:lineRule="exact" w:before="0"/>
              <w:ind w:left="94" w:right="0"/>
              <w:rPr>
                <w:sz w:val="20"/>
              </w:rPr>
            </w:pPr>
            <w:r>
              <w:rPr>
                <w:sz w:val="20"/>
              </w:rPr>
              <w:t>to a third person, even though the offeror had not informed the offeree of the </w:t>
            </w:r>
            <w:r>
              <w:rPr>
                <w:spacing w:val="-2"/>
                <w:sz w:val="20"/>
              </w:rPr>
              <w:t>sale.</w:t>
            </w:r>
          </w:p>
        </w:tc>
      </w:tr>
      <w:tr>
        <w:trPr>
          <w:trHeight w:val="465" w:hRule="atLeast"/>
        </w:trPr>
        <w:tc>
          <w:tcPr>
            <w:tcW w:w="496" w:type="dxa"/>
          </w:tcPr>
          <w:p>
            <w:pPr>
              <w:pStyle w:val="TableParagraph"/>
              <w:jc w:val="center"/>
              <w:rPr>
                <w:sz w:val="14"/>
              </w:rPr>
            </w:pPr>
            <w:r>
              <w:rPr>
                <w:color w:val="005DA1"/>
                <w:spacing w:val="-2"/>
                <w:sz w:val="14"/>
                <w:u w:val="single" w:color="005DA1"/>
              </w:rPr>
              <w:t>1106</w:t>
            </w:r>
            <w:r>
              <w:rPr>
                <w:spacing w:val="-2"/>
                <w:sz w:val="14"/>
              </w:rPr>
              <w:t>.</w:t>
            </w:r>
          </w:p>
        </w:tc>
        <w:tc>
          <w:tcPr>
            <w:tcW w:w="8620" w:type="dxa"/>
          </w:tcPr>
          <w:p>
            <w:pPr>
              <w:pStyle w:val="TableParagraph"/>
              <w:spacing w:before="114"/>
              <w:ind w:left="94" w:right="0"/>
              <w:rPr>
                <w:sz w:val="20"/>
              </w:rPr>
            </w:pPr>
            <w:r>
              <w:rPr>
                <w:sz w:val="20"/>
              </w:rPr>
              <w:t>§119 BGB art.1109 Code </w:t>
            </w:r>
            <w:r>
              <w:rPr>
                <w:spacing w:val="-2"/>
                <w:sz w:val="20"/>
              </w:rPr>
              <w:t>Civile.</w:t>
            </w:r>
          </w:p>
        </w:tc>
      </w:tr>
      <w:tr>
        <w:trPr>
          <w:trHeight w:val="1365" w:hRule="atLeast"/>
        </w:trPr>
        <w:tc>
          <w:tcPr>
            <w:tcW w:w="496" w:type="dxa"/>
          </w:tcPr>
          <w:p>
            <w:pPr>
              <w:pStyle w:val="TableParagraph"/>
              <w:jc w:val="center"/>
              <w:rPr>
                <w:sz w:val="14"/>
              </w:rPr>
            </w:pPr>
            <w:r>
              <w:rPr>
                <w:color w:val="005DA1"/>
                <w:spacing w:val="-2"/>
                <w:sz w:val="14"/>
                <w:u w:val="single" w:color="005DA1"/>
              </w:rPr>
              <w:t>1107</w:t>
            </w:r>
            <w:r>
              <w:rPr>
                <w:spacing w:val="-2"/>
                <w:sz w:val="14"/>
              </w:rPr>
              <w:t>.</w:t>
            </w:r>
          </w:p>
        </w:tc>
        <w:tc>
          <w:tcPr>
            <w:tcW w:w="8620" w:type="dxa"/>
          </w:tcPr>
          <w:p>
            <w:pPr>
              <w:pStyle w:val="TableParagraph"/>
              <w:spacing w:line="235" w:lineRule="auto" w:before="118"/>
              <w:ind w:left="94" w:right="48"/>
              <w:jc w:val="both"/>
              <w:rPr>
                <w:sz w:val="20"/>
              </w:rPr>
            </w:pPr>
            <w:r>
              <w:rPr>
                <w:sz w:val="20"/>
              </w:rPr>
              <w:t>Thus it suggested that the offeror in the French case cited in n.1080 might be liable </w:t>
            </w:r>
            <w:r>
              <w:rPr>
                <w:sz w:val="20"/>
              </w:rPr>
              <w:t>under art.1382 C.C. (delictual liability) for his failure to inform the offeree that the house was no longer available: see H. Beale, B. Fauvarque-Cosson, J. Rutgers, D. Tallon and S. Vogenauer, </w:t>
            </w:r>
            <w:r>
              <w:rPr>
                <w:rFonts w:ascii="Arial"/>
                <w:i/>
                <w:sz w:val="20"/>
              </w:rPr>
              <w:t>Ius Commune Casebooks for the Common Law of Europe: Cases, Materials and Text on Contract Law </w:t>
            </w:r>
            <w:r>
              <w:rPr>
                <w:sz w:val="20"/>
              </w:rPr>
              <w:t>(2010), 269.</w:t>
            </w:r>
          </w:p>
        </w:tc>
      </w:tr>
      <w:tr>
        <w:trPr>
          <w:trHeight w:val="690" w:hRule="atLeast"/>
        </w:trPr>
        <w:tc>
          <w:tcPr>
            <w:tcW w:w="496" w:type="dxa"/>
          </w:tcPr>
          <w:p>
            <w:pPr>
              <w:pStyle w:val="TableParagraph"/>
              <w:jc w:val="center"/>
              <w:rPr>
                <w:sz w:val="14"/>
              </w:rPr>
            </w:pPr>
            <w:r>
              <w:rPr>
                <w:color w:val="005DA1"/>
                <w:spacing w:val="-2"/>
                <w:sz w:val="14"/>
                <w:u w:val="single" w:color="005DA1"/>
              </w:rPr>
              <w:t>1108</w:t>
            </w:r>
            <w:r>
              <w:rPr>
                <w:spacing w:val="-2"/>
                <w:sz w:val="14"/>
              </w:rPr>
              <w:t>.</w:t>
            </w:r>
          </w:p>
        </w:tc>
        <w:tc>
          <w:tcPr>
            <w:tcW w:w="8620" w:type="dxa"/>
          </w:tcPr>
          <w:p>
            <w:pPr>
              <w:pStyle w:val="TableParagraph"/>
              <w:spacing w:line="235" w:lineRule="auto" w:before="118"/>
              <w:ind w:left="94" w:right="0"/>
              <w:rPr>
                <w:sz w:val="20"/>
              </w:rPr>
            </w:pPr>
            <w:r>
              <w:rPr>
                <w:sz w:val="20"/>
              </w:rPr>
              <w:t>This</w:t>
            </w:r>
            <w:r>
              <w:rPr>
                <w:spacing w:val="-1"/>
                <w:sz w:val="20"/>
              </w:rPr>
              <w:t> </w:t>
            </w:r>
            <w:r>
              <w:rPr>
                <w:sz w:val="20"/>
              </w:rPr>
              <w:t>article</w:t>
            </w:r>
            <w:r>
              <w:rPr>
                <w:spacing w:val="-1"/>
                <w:sz w:val="20"/>
              </w:rPr>
              <w:t> </w:t>
            </w:r>
            <w:r>
              <w:rPr>
                <w:sz w:val="20"/>
              </w:rPr>
              <w:t>of</w:t>
            </w:r>
            <w:r>
              <w:rPr>
                <w:spacing w:val="-1"/>
                <w:sz w:val="20"/>
              </w:rPr>
              <w:t> </w:t>
            </w:r>
            <w:r>
              <w:rPr>
                <w:sz w:val="20"/>
              </w:rPr>
              <w:t>the</w:t>
            </w:r>
            <w:r>
              <w:rPr>
                <w:spacing w:val="-1"/>
                <w:sz w:val="20"/>
              </w:rPr>
              <w:t> </w:t>
            </w:r>
            <w:r>
              <w:rPr>
                <w:sz w:val="20"/>
              </w:rPr>
              <w:t>BGB</w:t>
            </w:r>
            <w:r>
              <w:rPr>
                <w:spacing w:val="-1"/>
                <w:sz w:val="20"/>
              </w:rPr>
              <w:t> </w:t>
            </w:r>
            <w:r>
              <w:rPr>
                <w:sz w:val="20"/>
              </w:rPr>
              <w:t>is</w:t>
            </w:r>
            <w:r>
              <w:rPr>
                <w:spacing w:val="-1"/>
                <w:sz w:val="20"/>
              </w:rPr>
              <w:t> </w:t>
            </w:r>
            <w:r>
              <w:rPr>
                <w:sz w:val="20"/>
              </w:rPr>
              <w:t>not</w:t>
            </w:r>
            <w:r>
              <w:rPr>
                <w:spacing w:val="-1"/>
                <w:sz w:val="20"/>
              </w:rPr>
              <w:t> </w:t>
            </w:r>
            <w:r>
              <w:rPr>
                <w:sz w:val="20"/>
              </w:rPr>
              <w:t>based</w:t>
            </w:r>
            <w:r>
              <w:rPr>
                <w:spacing w:val="-1"/>
                <w:sz w:val="20"/>
              </w:rPr>
              <w:t> </w:t>
            </w:r>
            <w:r>
              <w:rPr>
                <w:sz w:val="20"/>
              </w:rPr>
              <w:t>directly</w:t>
            </w:r>
            <w:r>
              <w:rPr>
                <w:spacing w:val="-1"/>
                <w:sz w:val="20"/>
              </w:rPr>
              <w:t> </w:t>
            </w:r>
            <w:r>
              <w:rPr>
                <w:sz w:val="20"/>
              </w:rPr>
              <w:t>on</w:t>
            </w:r>
            <w:r>
              <w:rPr>
                <w:spacing w:val="-1"/>
                <w:sz w:val="20"/>
              </w:rPr>
              <w:t> </w:t>
            </w:r>
            <w:r>
              <w:rPr>
                <w:sz w:val="20"/>
              </w:rPr>
              <w:t>the</w:t>
            </w:r>
            <w:r>
              <w:rPr>
                <w:spacing w:val="-1"/>
                <w:sz w:val="20"/>
              </w:rPr>
              <w:t> </w:t>
            </w:r>
            <w:r>
              <w:rPr>
                <w:sz w:val="20"/>
              </w:rPr>
              <w:t>notion</w:t>
            </w:r>
            <w:r>
              <w:rPr>
                <w:spacing w:val="-1"/>
                <w:sz w:val="20"/>
              </w:rPr>
              <w:t> </w:t>
            </w:r>
            <w:r>
              <w:rPr>
                <w:sz w:val="20"/>
              </w:rPr>
              <w:t>of</w:t>
            </w:r>
            <w:r>
              <w:rPr>
                <w:spacing w:val="-1"/>
                <w:sz w:val="20"/>
              </w:rPr>
              <w:t> </w:t>
            </w:r>
            <w:r>
              <w:rPr>
                <w:sz w:val="20"/>
              </w:rPr>
              <w:t>cupla</w:t>
            </w:r>
            <w:r>
              <w:rPr>
                <w:spacing w:val="-1"/>
                <w:sz w:val="20"/>
              </w:rPr>
              <w:t> </w:t>
            </w:r>
            <w:r>
              <w:rPr>
                <w:sz w:val="20"/>
              </w:rPr>
              <w:t>in</w:t>
            </w:r>
            <w:r>
              <w:rPr>
                <w:spacing w:val="-1"/>
                <w:sz w:val="20"/>
              </w:rPr>
              <w:t> </w:t>
            </w:r>
            <w:r>
              <w:rPr>
                <w:sz w:val="20"/>
              </w:rPr>
              <w:t>contrahendo,</w:t>
            </w:r>
            <w:r>
              <w:rPr>
                <w:spacing w:val="-1"/>
                <w:sz w:val="20"/>
              </w:rPr>
              <w:t> </w:t>
            </w:r>
            <w:r>
              <w:rPr>
                <w:sz w:val="20"/>
              </w:rPr>
              <w:t>since</w:t>
            </w:r>
            <w:r>
              <w:rPr>
                <w:spacing w:val="-1"/>
                <w:sz w:val="20"/>
              </w:rPr>
              <w:t> </w:t>
            </w:r>
            <w:r>
              <w:rPr>
                <w:sz w:val="20"/>
              </w:rPr>
              <w:t>it</w:t>
            </w:r>
            <w:r>
              <w:rPr>
                <w:spacing w:val="-1"/>
                <w:sz w:val="20"/>
              </w:rPr>
              <w:t> </w:t>
            </w:r>
            <w:r>
              <w:rPr>
                <w:sz w:val="20"/>
              </w:rPr>
              <w:t>is</w:t>
            </w:r>
            <w:r>
              <w:rPr>
                <w:spacing w:val="-1"/>
                <w:sz w:val="20"/>
              </w:rPr>
              <w:t> </w:t>
            </w:r>
            <w:r>
              <w:rPr>
                <w:sz w:val="20"/>
              </w:rPr>
              <w:t>not based on fault on the part of the mistaken party, but it seems to reflect a similar idea.</w:t>
            </w:r>
          </w:p>
        </w:tc>
      </w:tr>
      <w:tr>
        <w:trPr>
          <w:trHeight w:val="465" w:hRule="atLeast"/>
        </w:trPr>
        <w:tc>
          <w:tcPr>
            <w:tcW w:w="496" w:type="dxa"/>
          </w:tcPr>
          <w:p>
            <w:pPr>
              <w:pStyle w:val="TableParagraph"/>
              <w:jc w:val="center"/>
              <w:rPr>
                <w:sz w:val="14"/>
              </w:rPr>
            </w:pPr>
            <w:r>
              <w:rPr>
                <w:color w:val="005DA1"/>
                <w:spacing w:val="-2"/>
                <w:sz w:val="14"/>
                <w:u w:val="single" w:color="005DA1"/>
              </w:rPr>
              <w:t>1109</w:t>
            </w:r>
            <w:r>
              <w:rPr>
                <w:spacing w:val="-2"/>
                <w:sz w:val="14"/>
              </w:rPr>
              <w:t>.</w:t>
            </w:r>
          </w:p>
        </w:tc>
        <w:tc>
          <w:tcPr>
            <w:tcW w:w="8620" w:type="dxa"/>
          </w:tcPr>
          <w:p>
            <w:pPr>
              <w:pStyle w:val="TableParagraph"/>
              <w:spacing w:before="114"/>
              <w:ind w:left="94" w:right="0"/>
              <w:rPr>
                <w:sz w:val="20"/>
              </w:rPr>
            </w:pPr>
            <w:r>
              <w:rPr>
                <w:sz w:val="20"/>
              </w:rPr>
              <w:t>See above, paras 2-119, 2-</w:t>
            </w:r>
            <w:r>
              <w:rPr>
                <w:spacing w:val="-4"/>
                <w:sz w:val="20"/>
              </w:rPr>
              <w:t>133.</w:t>
            </w:r>
          </w:p>
        </w:tc>
      </w:tr>
      <w:tr>
        <w:trPr>
          <w:trHeight w:val="465" w:hRule="atLeast"/>
        </w:trPr>
        <w:tc>
          <w:tcPr>
            <w:tcW w:w="496" w:type="dxa"/>
          </w:tcPr>
          <w:p>
            <w:pPr>
              <w:pStyle w:val="TableParagraph"/>
              <w:jc w:val="center"/>
              <w:rPr>
                <w:sz w:val="14"/>
              </w:rPr>
            </w:pPr>
            <w:r>
              <w:rPr>
                <w:color w:val="005DA1"/>
                <w:spacing w:val="-2"/>
                <w:sz w:val="14"/>
                <w:u w:val="single" w:color="005DA1"/>
              </w:rPr>
              <w:t>1110</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123.</w:t>
            </w:r>
          </w:p>
        </w:tc>
      </w:tr>
      <w:tr>
        <w:trPr>
          <w:trHeight w:val="465" w:hRule="atLeast"/>
        </w:trPr>
        <w:tc>
          <w:tcPr>
            <w:tcW w:w="496" w:type="dxa"/>
          </w:tcPr>
          <w:p>
            <w:pPr>
              <w:pStyle w:val="TableParagraph"/>
              <w:jc w:val="center"/>
              <w:rPr>
                <w:sz w:val="14"/>
              </w:rPr>
            </w:pPr>
            <w:r>
              <w:rPr>
                <w:color w:val="005DA1"/>
                <w:spacing w:val="-2"/>
                <w:sz w:val="14"/>
                <w:u w:val="single" w:color="005DA1"/>
              </w:rPr>
              <w:t>1111</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147.</w:t>
            </w:r>
          </w:p>
        </w:tc>
      </w:tr>
      <w:tr>
        <w:trPr>
          <w:trHeight w:val="465" w:hRule="atLeast"/>
        </w:trPr>
        <w:tc>
          <w:tcPr>
            <w:tcW w:w="496" w:type="dxa"/>
          </w:tcPr>
          <w:p>
            <w:pPr>
              <w:pStyle w:val="TableParagraph"/>
              <w:jc w:val="center"/>
              <w:rPr>
                <w:sz w:val="14"/>
              </w:rPr>
            </w:pPr>
            <w:r>
              <w:rPr>
                <w:color w:val="005DA1"/>
                <w:spacing w:val="-2"/>
                <w:sz w:val="14"/>
                <w:u w:val="single" w:color="005DA1"/>
              </w:rPr>
              <w:t>1112</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067.</w:t>
            </w:r>
          </w:p>
        </w:tc>
      </w:tr>
      <w:tr>
        <w:trPr>
          <w:trHeight w:val="465" w:hRule="atLeast"/>
        </w:trPr>
        <w:tc>
          <w:tcPr>
            <w:tcW w:w="496" w:type="dxa"/>
          </w:tcPr>
          <w:p>
            <w:pPr>
              <w:pStyle w:val="TableParagraph"/>
              <w:jc w:val="center"/>
              <w:rPr>
                <w:sz w:val="14"/>
              </w:rPr>
            </w:pPr>
            <w:r>
              <w:rPr>
                <w:color w:val="005DA1"/>
                <w:spacing w:val="-2"/>
                <w:sz w:val="14"/>
                <w:u w:val="single" w:color="005DA1"/>
              </w:rPr>
              <w:t>1113</w:t>
            </w:r>
            <w:r>
              <w:rPr>
                <w:spacing w:val="-2"/>
                <w:sz w:val="14"/>
              </w:rPr>
              <w:t>.</w:t>
            </w:r>
          </w:p>
        </w:tc>
        <w:tc>
          <w:tcPr>
            <w:tcW w:w="8620" w:type="dxa"/>
          </w:tcPr>
          <w:p>
            <w:pPr>
              <w:pStyle w:val="TableParagraph"/>
              <w:spacing w:before="114"/>
              <w:ind w:left="94" w:right="0"/>
              <w:rPr>
                <w:sz w:val="20"/>
              </w:rPr>
            </w:pPr>
            <w:r>
              <w:rPr>
                <w:sz w:val="20"/>
              </w:rPr>
              <w:t>See below, paras 38-055—38-</w:t>
            </w:r>
            <w:r>
              <w:rPr>
                <w:spacing w:val="-4"/>
                <w:sz w:val="20"/>
              </w:rPr>
              <w:t>144.</w:t>
            </w:r>
          </w:p>
        </w:tc>
      </w:tr>
      <w:tr>
        <w:trPr>
          <w:trHeight w:val="465" w:hRule="atLeast"/>
        </w:trPr>
        <w:tc>
          <w:tcPr>
            <w:tcW w:w="496" w:type="dxa"/>
          </w:tcPr>
          <w:p>
            <w:pPr>
              <w:pStyle w:val="TableParagraph"/>
              <w:jc w:val="center"/>
              <w:rPr>
                <w:sz w:val="14"/>
              </w:rPr>
            </w:pPr>
            <w:r>
              <w:rPr>
                <w:color w:val="005DA1"/>
                <w:spacing w:val="-2"/>
                <w:sz w:val="14"/>
                <w:u w:val="single" w:color="005DA1"/>
              </w:rPr>
              <w:t>1114</w:t>
            </w:r>
            <w:r>
              <w:rPr>
                <w:spacing w:val="-2"/>
                <w:sz w:val="14"/>
              </w:rPr>
              <w:t>.</w:t>
            </w:r>
          </w:p>
        </w:tc>
        <w:tc>
          <w:tcPr>
            <w:tcW w:w="8620" w:type="dxa"/>
          </w:tcPr>
          <w:p>
            <w:pPr>
              <w:pStyle w:val="TableParagraph"/>
              <w:spacing w:before="114"/>
              <w:ind w:left="94" w:right="0"/>
              <w:rPr>
                <w:sz w:val="20"/>
              </w:rPr>
            </w:pPr>
            <w:r>
              <w:rPr>
                <w:sz w:val="20"/>
              </w:rPr>
              <w:t>See above, paras 2-120—2-</w:t>
            </w:r>
            <w:r>
              <w:rPr>
                <w:spacing w:val="-4"/>
                <w:sz w:val="20"/>
              </w:rPr>
              <w:t>121.</w:t>
            </w:r>
          </w:p>
        </w:tc>
      </w:tr>
      <w:tr>
        <w:trPr>
          <w:trHeight w:val="465" w:hRule="atLeast"/>
        </w:trPr>
        <w:tc>
          <w:tcPr>
            <w:tcW w:w="496" w:type="dxa"/>
          </w:tcPr>
          <w:p>
            <w:pPr>
              <w:pStyle w:val="TableParagraph"/>
              <w:jc w:val="center"/>
              <w:rPr>
                <w:sz w:val="14"/>
              </w:rPr>
            </w:pPr>
            <w:r>
              <w:rPr>
                <w:color w:val="005DA1"/>
                <w:spacing w:val="-2"/>
                <w:sz w:val="14"/>
                <w:u w:val="single" w:color="005DA1"/>
              </w:rPr>
              <w:t>1115</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133.</w:t>
            </w:r>
          </w:p>
        </w:tc>
      </w:tr>
      <w:tr>
        <w:trPr>
          <w:trHeight w:val="465" w:hRule="atLeast"/>
        </w:trPr>
        <w:tc>
          <w:tcPr>
            <w:tcW w:w="496" w:type="dxa"/>
          </w:tcPr>
          <w:p>
            <w:pPr>
              <w:pStyle w:val="TableParagraph"/>
              <w:jc w:val="center"/>
              <w:rPr>
                <w:sz w:val="14"/>
              </w:rPr>
            </w:pPr>
            <w:r>
              <w:rPr>
                <w:color w:val="005DA1"/>
                <w:spacing w:val="-2"/>
                <w:sz w:val="14"/>
                <w:u w:val="single" w:color="005DA1"/>
              </w:rPr>
              <w:t>1116</w:t>
            </w:r>
            <w:r>
              <w:rPr>
                <w:spacing w:val="-2"/>
                <w:sz w:val="14"/>
              </w:rPr>
              <w:t>.</w:t>
            </w:r>
          </w:p>
        </w:tc>
        <w:tc>
          <w:tcPr>
            <w:tcW w:w="8620" w:type="dxa"/>
          </w:tcPr>
          <w:p>
            <w:pPr>
              <w:pStyle w:val="TableParagraph"/>
              <w:spacing w:before="114"/>
              <w:ind w:left="94" w:right="0"/>
              <w:rPr>
                <w:sz w:val="20"/>
              </w:rPr>
            </w:pPr>
            <w:r>
              <w:rPr>
                <w:sz w:val="20"/>
              </w:rPr>
              <w:t>See above, paras 2-135—2-</w:t>
            </w:r>
            <w:r>
              <w:rPr>
                <w:spacing w:val="-4"/>
                <w:sz w:val="20"/>
              </w:rPr>
              <w:t>136.</w:t>
            </w:r>
          </w:p>
        </w:tc>
      </w:tr>
      <w:tr>
        <w:trPr>
          <w:trHeight w:val="465" w:hRule="atLeast"/>
        </w:trPr>
        <w:tc>
          <w:tcPr>
            <w:tcW w:w="496" w:type="dxa"/>
          </w:tcPr>
          <w:p>
            <w:pPr>
              <w:pStyle w:val="TableParagraph"/>
              <w:jc w:val="center"/>
              <w:rPr>
                <w:sz w:val="14"/>
              </w:rPr>
            </w:pPr>
            <w:r>
              <w:rPr>
                <w:color w:val="005DA1"/>
                <w:spacing w:val="-2"/>
                <w:sz w:val="14"/>
                <w:u w:val="single" w:color="005DA1"/>
              </w:rPr>
              <w:t>1117</w:t>
            </w:r>
            <w:r>
              <w:rPr>
                <w:spacing w:val="-2"/>
                <w:sz w:val="14"/>
              </w:rPr>
              <w:t>.</w:t>
            </w:r>
          </w:p>
        </w:tc>
        <w:tc>
          <w:tcPr>
            <w:tcW w:w="8620" w:type="dxa"/>
          </w:tcPr>
          <w:p>
            <w:pPr>
              <w:pStyle w:val="TableParagraph"/>
              <w:spacing w:before="114"/>
              <w:ind w:left="94" w:right="0"/>
              <w:rPr>
                <w:sz w:val="20"/>
              </w:rPr>
            </w:pPr>
            <w:r>
              <w:rPr>
                <w:sz w:val="20"/>
              </w:rPr>
              <w:t>See above, paras 2-137—2-</w:t>
            </w:r>
            <w:r>
              <w:rPr>
                <w:spacing w:val="-4"/>
                <w:sz w:val="20"/>
              </w:rPr>
              <w:t>139.</w:t>
            </w:r>
          </w:p>
        </w:tc>
      </w:tr>
      <w:tr>
        <w:trPr>
          <w:trHeight w:val="690" w:hRule="atLeast"/>
        </w:trPr>
        <w:tc>
          <w:tcPr>
            <w:tcW w:w="496" w:type="dxa"/>
          </w:tcPr>
          <w:p>
            <w:pPr>
              <w:pStyle w:val="TableParagraph"/>
              <w:jc w:val="center"/>
              <w:rPr>
                <w:sz w:val="14"/>
              </w:rPr>
            </w:pPr>
            <w:r>
              <w:rPr>
                <w:color w:val="005DA1"/>
                <w:spacing w:val="-2"/>
                <w:sz w:val="14"/>
                <w:u w:val="single" w:color="005DA1"/>
              </w:rPr>
              <w:t>1118</w:t>
            </w:r>
            <w:r>
              <w:rPr>
                <w:spacing w:val="-2"/>
                <w:sz w:val="14"/>
              </w:rPr>
              <w:t>.</w:t>
            </w:r>
          </w:p>
        </w:tc>
        <w:tc>
          <w:tcPr>
            <w:tcW w:w="8620" w:type="dxa"/>
          </w:tcPr>
          <w:p>
            <w:pPr>
              <w:pStyle w:val="TableParagraph"/>
              <w:spacing w:line="227" w:lineRule="exact" w:before="114"/>
              <w:ind w:left="94" w:right="0"/>
              <w:rPr>
                <w:rFonts w:ascii="Arial"/>
                <w:i/>
                <w:sz w:val="20"/>
              </w:rPr>
            </w:pPr>
            <w:r>
              <w:rPr>
                <w:rFonts w:ascii="Arial"/>
                <w:i/>
                <w:sz w:val="20"/>
              </w:rPr>
              <w:t>Re</w:t>
            </w:r>
            <w:r>
              <w:rPr>
                <w:rFonts w:ascii="Arial"/>
                <w:i/>
                <w:spacing w:val="27"/>
                <w:sz w:val="20"/>
              </w:rPr>
              <w:t> </w:t>
            </w:r>
            <w:r>
              <w:rPr>
                <w:rFonts w:ascii="Arial"/>
                <w:i/>
                <w:sz w:val="20"/>
              </w:rPr>
              <w:t>Malpas</w:t>
            </w:r>
            <w:r>
              <w:rPr>
                <w:rFonts w:ascii="Arial"/>
                <w:i/>
                <w:spacing w:val="28"/>
                <w:sz w:val="20"/>
              </w:rPr>
              <w:t> </w:t>
            </w:r>
            <w:r>
              <w:rPr>
                <w:rFonts w:ascii="Arial"/>
                <w:i/>
                <w:sz w:val="20"/>
              </w:rPr>
              <w:t>[1985]</w:t>
            </w:r>
            <w:r>
              <w:rPr>
                <w:rFonts w:ascii="Arial"/>
                <w:i/>
                <w:spacing w:val="28"/>
                <w:sz w:val="20"/>
              </w:rPr>
              <w:t> </w:t>
            </w:r>
            <w:r>
              <w:rPr>
                <w:rFonts w:ascii="Arial"/>
                <w:i/>
                <w:sz w:val="20"/>
              </w:rPr>
              <w:t>Ch.</w:t>
            </w:r>
            <w:r>
              <w:rPr>
                <w:rFonts w:ascii="Arial"/>
                <w:i/>
                <w:spacing w:val="28"/>
                <w:sz w:val="20"/>
              </w:rPr>
              <w:t> </w:t>
            </w:r>
            <w:r>
              <w:rPr>
                <w:rFonts w:ascii="Arial"/>
                <w:i/>
                <w:sz w:val="20"/>
              </w:rPr>
              <w:t>42,</w:t>
            </w:r>
            <w:r>
              <w:rPr>
                <w:rFonts w:ascii="Arial"/>
                <w:i/>
                <w:spacing w:val="28"/>
                <w:sz w:val="20"/>
              </w:rPr>
              <w:t> </w:t>
            </w:r>
            <w:r>
              <w:rPr>
                <w:rFonts w:ascii="Arial"/>
                <w:i/>
                <w:sz w:val="20"/>
              </w:rPr>
              <w:t>50</w:t>
            </w:r>
            <w:r>
              <w:rPr>
                <w:sz w:val="20"/>
              </w:rPr>
              <w:t>;</w:t>
            </w:r>
            <w:r>
              <w:rPr>
                <w:spacing w:val="28"/>
                <w:sz w:val="20"/>
              </w:rPr>
              <w:t> </w:t>
            </w:r>
            <w:r>
              <w:rPr>
                <w:sz w:val="20"/>
              </w:rPr>
              <w:t>cf.</w:t>
            </w:r>
            <w:r>
              <w:rPr>
                <w:spacing w:val="28"/>
                <w:sz w:val="20"/>
              </w:rPr>
              <w:t> </w:t>
            </w:r>
            <w:r>
              <w:rPr>
                <w:rFonts w:ascii="Arial"/>
                <w:i/>
                <w:sz w:val="20"/>
              </w:rPr>
              <w:t>Tito</w:t>
            </w:r>
            <w:r>
              <w:rPr>
                <w:rFonts w:ascii="Arial"/>
                <w:i/>
                <w:spacing w:val="28"/>
                <w:sz w:val="20"/>
              </w:rPr>
              <w:t> </w:t>
            </w:r>
            <w:r>
              <w:rPr>
                <w:rFonts w:ascii="Arial"/>
                <w:i/>
                <w:sz w:val="20"/>
              </w:rPr>
              <w:t>v</w:t>
            </w:r>
            <w:r>
              <w:rPr>
                <w:rFonts w:ascii="Arial"/>
                <w:i/>
                <w:spacing w:val="27"/>
                <w:sz w:val="20"/>
              </w:rPr>
              <w:t> </w:t>
            </w:r>
            <w:r>
              <w:rPr>
                <w:rFonts w:ascii="Arial"/>
                <w:i/>
                <w:sz w:val="20"/>
              </w:rPr>
              <w:t>Waddell</w:t>
            </w:r>
            <w:r>
              <w:rPr>
                <w:rFonts w:ascii="Arial"/>
                <w:i/>
                <w:spacing w:val="28"/>
                <w:sz w:val="20"/>
              </w:rPr>
              <w:t> </w:t>
            </w:r>
            <w:r>
              <w:rPr>
                <w:rFonts w:ascii="Arial"/>
                <w:i/>
                <w:sz w:val="20"/>
              </w:rPr>
              <w:t>(No.2)</w:t>
            </w:r>
            <w:r>
              <w:rPr>
                <w:rFonts w:ascii="Arial"/>
                <w:i/>
                <w:spacing w:val="28"/>
                <w:sz w:val="20"/>
              </w:rPr>
              <w:t> </w:t>
            </w:r>
            <w:r>
              <w:rPr>
                <w:rFonts w:ascii="Arial"/>
                <w:i/>
                <w:sz w:val="20"/>
              </w:rPr>
              <w:t>[1877]</w:t>
            </w:r>
            <w:r>
              <w:rPr>
                <w:rFonts w:ascii="Arial"/>
                <w:i/>
                <w:spacing w:val="28"/>
                <w:sz w:val="20"/>
              </w:rPr>
              <w:t> </w:t>
            </w:r>
            <w:r>
              <w:rPr>
                <w:rFonts w:ascii="Arial"/>
                <w:i/>
                <w:sz w:val="20"/>
              </w:rPr>
              <w:t>Ch.</w:t>
            </w:r>
            <w:r>
              <w:rPr>
                <w:rFonts w:ascii="Arial"/>
                <w:i/>
                <w:spacing w:val="28"/>
                <w:sz w:val="20"/>
              </w:rPr>
              <w:t> </w:t>
            </w:r>
            <w:r>
              <w:rPr>
                <w:rFonts w:ascii="Arial"/>
                <w:i/>
                <w:sz w:val="20"/>
              </w:rPr>
              <w:t>106,</w:t>
            </w:r>
            <w:r>
              <w:rPr>
                <w:rFonts w:ascii="Arial"/>
                <w:i/>
                <w:spacing w:val="28"/>
                <w:sz w:val="20"/>
              </w:rPr>
              <w:t> </w:t>
            </w:r>
            <w:r>
              <w:rPr>
                <w:rFonts w:ascii="Arial"/>
                <w:i/>
                <w:sz w:val="20"/>
              </w:rPr>
              <w:t>314</w:t>
            </w:r>
            <w:r>
              <w:rPr>
                <w:sz w:val="20"/>
              </w:rPr>
              <w:t>;</w:t>
            </w:r>
            <w:r>
              <w:rPr>
                <w:spacing w:val="28"/>
                <w:sz w:val="20"/>
              </w:rPr>
              <w:t> </w:t>
            </w:r>
            <w:r>
              <w:rPr>
                <w:rFonts w:ascii="Arial"/>
                <w:i/>
                <w:sz w:val="20"/>
              </w:rPr>
              <w:t>Didymi</w:t>
            </w:r>
            <w:r>
              <w:rPr>
                <w:rFonts w:ascii="Arial"/>
                <w:i/>
                <w:spacing w:val="28"/>
                <w:sz w:val="20"/>
              </w:rPr>
              <w:t> </w:t>
            </w:r>
            <w:r>
              <w:rPr>
                <w:rFonts w:ascii="Arial"/>
                <w:i/>
                <w:sz w:val="20"/>
              </w:rPr>
              <w:t>Corp</w:t>
            </w:r>
            <w:r>
              <w:rPr>
                <w:rFonts w:ascii="Arial"/>
                <w:i/>
                <w:spacing w:val="28"/>
                <w:sz w:val="20"/>
              </w:rPr>
              <w:t> </w:t>
            </w:r>
            <w:r>
              <w:rPr>
                <w:rFonts w:ascii="Arial"/>
                <w:i/>
                <w:spacing w:val="-10"/>
                <w:sz w:val="20"/>
              </w:rPr>
              <w:t>v</w:t>
            </w:r>
          </w:p>
          <w:p>
            <w:pPr>
              <w:pStyle w:val="TableParagraph"/>
              <w:spacing w:line="227" w:lineRule="exact" w:before="0"/>
              <w:ind w:left="94" w:right="0"/>
              <w:rPr>
                <w:sz w:val="20"/>
              </w:rPr>
            </w:pPr>
            <w:r>
              <w:rPr>
                <w:rFonts w:ascii="Arial" w:hAnsi="Arial"/>
                <w:i/>
                <w:sz w:val="20"/>
              </w:rPr>
              <w:t>Atlantic Lines &amp; Navigation Co Ltd [1988] 2 Lloyd’s Rep. 108, </w:t>
            </w:r>
            <w:r>
              <w:rPr>
                <w:rFonts w:ascii="Arial" w:hAnsi="Arial"/>
                <w:i/>
                <w:spacing w:val="-4"/>
                <w:sz w:val="20"/>
              </w:rPr>
              <w:t>115</w:t>
            </w:r>
            <w:r>
              <w:rPr>
                <w:spacing w:val="-4"/>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1119</w:t>
            </w:r>
            <w:r>
              <w:rPr>
                <w:spacing w:val="-2"/>
                <w:sz w:val="14"/>
              </w:rPr>
              <w:t>.</w:t>
            </w:r>
          </w:p>
        </w:tc>
        <w:tc>
          <w:tcPr>
            <w:tcW w:w="8620" w:type="dxa"/>
          </w:tcPr>
          <w:p>
            <w:pPr>
              <w:pStyle w:val="TableParagraph"/>
              <w:spacing w:before="114"/>
              <w:ind w:left="94" w:right="0"/>
              <w:rPr>
                <w:sz w:val="20"/>
              </w:rPr>
            </w:pPr>
            <w:r>
              <w:rPr>
                <w:sz w:val="20"/>
              </w:rPr>
              <w:t>See above, para.1-</w:t>
            </w:r>
            <w:r>
              <w:rPr>
                <w:spacing w:val="-4"/>
                <w:sz w:val="20"/>
              </w:rPr>
              <w:t>039.</w:t>
            </w:r>
          </w:p>
        </w:tc>
      </w:tr>
      <w:tr>
        <w:trPr>
          <w:trHeight w:val="2490" w:hRule="atLeast"/>
        </w:trPr>
        <w:tc>
          <w:tcPr>
            <w:tcW w:w="496" w:type="dxa"/>
          </w:tcPr>
          <w:p>
            <w:pPr>
              <w:pStyle w:val="TableParagraph"/>
              <w:jc w:val="center"/>
              <w:rPr>
                <w:sz w:val="14"/>
              </w:rPr>
            </w:pPr>
            <w:r>
              <w:rPr>
                <w:color w:val="005DA1"/>
                <w:spacing w:val="-2"/>
                <w:sz w:val="14"/>
                <w:u w:val="single" w:color="005DA1"/>
              </w:rPr>
              <w:t>1120</w:t>
            </w:r>
            <w:r>
              <w:rPr>
                <w:spacing w:val="-2"/>
                <w:sz w:val="14"/>
              </w:rPr>
              <w:t>.</w:t>
            </w:r>
          </w:p>
        </w:tc>
        <w:tc>
          <w:tcPr>
            <w:tcW w:w="8620" w:type="dxa"/>
          </w:tcPr>
          <w:p>
            <w:pPr>
              <w:pStyle w:val="TableParagraph"/>
              <w:spacing w:line="235" w:lineRule="auto" w:before="118"/>
              <w:ind w:left="94" w:right="48"/>
              <w:jc w:val="both"/>
              <w:rPr>
                <w:sz w:val="20"/>
              </w:rPr>
            </w:pPr>
            <w:r>
              <w:rPr>
                <w:rFonts w:ascii="Arial" w:hAnsi="Arial"/>
                <w:i/>
                <w:sz w:val="20"/>
              </w:rPr>
              <w:t>Petromec Inc v Petroleo Brasileiro SA Petrobas [2005] EWCA Civ 891, [2006] 1 Lloyd’s </w:t>
            </w:r>
            <w:r>
              <w:rPr>
                <w:rFonts w:ascii="Arial" w:hAnsi="Arial"/>
                <w:i/>
                <w:sz w:val="20"/>
              </w:rPr>
              <w:t>Rep. 121 </w:t>
            </w:r>
            <w:r>
              <w:rPr>
                <w:sz w:val="20"/>
              </w:rPr>
              <w:t>at [115]–[125], distinguishing </w:t>
            </w:r>
            <w:r>
              <w:rPr>
                <w:rFonts w:ascii="Arial" w:hAnsi="Arial"/>
                <w:i/>
                <w:sz w:val="20"/>
              </w:rPr>
              <w:t>Walford v Miles</w:t>
            </w:r>
            <w:r>
              <w:rPr>
                <w:sz w:val="20"/>
              </w:rPr>
              <w:t>, above para.2-143, on the ground that, in the latter case, there was “no concluded agreement since everything was subject to contract” and that there was “no express agreement to negotiate in good faith” (at [120]). In the </w:t>
            </w:r>
            <w:r>
              <w:rPr>
                <w:rFonts w:ascii="Arial" w:hAnsi="Arial"/>
                <w:i/>
                <w:sz w:val="20"/>
              </w:rPr>
              <w:t>Petromec </w:t>
            </w:r>
            <w:r>
              <w:rPr>
                <w:sz w:val="20"/>
              </w:rPr>
              <w:t>case, the point was “not essential to the disposition of the appeal” (at [115]). For further proceedings in the </w:t>
            </w:r>
            <w:r>
              <w:rPr>
                <w:rFonts w:ascii="Arial" w:hAnsi="Arial"/>
                <w:i/>
                <w:sz w:val="20"/>
              </w:rPr>
              <w:t>Petromec </w:t>
            </w:r>
            <w:r>
              <w:rPr>
                <w:sz w:val="20"/>
              </w:rPr>
              <w:t>case, see above, para.2-123 n.611. cf. </w:t>
            </w:r>
            <w:r>
              <w:rPr>
                <w:rFonts w:ascii="Arial" w:hAnsi="Arial"/>
                <w:i/>
                <w:sz w:val="20"/>
              </w:rPr>
              <w:t>Compass Group UK and Ireland Ltd v Mid Essex Hospital Services NHS Trust [2013] EWCA Civ 200, [2013] B.L.R. 265 </w:t>
            </w:r>
            <w:r>
              <w:rPr>
                <w:sz w:val="20"/>
              </w:rPr>
              <w:t>where clause 3.5 of the contract (set out at [14]) required the parties to “co-operate with each other in good faith”. On the true construction of that clause there had been no breach of it (at [120], [143]; cf. at [153]).</w:t>
            </w:r>
          </w:p>
        </w:tc>
      </w:tr>
      <w:tr>
        <w:trPr>
          <w:trHeight w:val="465" w:hRule="atLeast"/>
        </w:trPr>
        <w:tc>
          <w:tcPr>
            <w:tcW w:w="496" w:type="dxa"/>
          </w:tcPr>
          <w:p>
            <w:pPr>
              <w:pStyle w:val="TableParagraph"/>
              <w:jc w:val="center"/>
              <w:rPr>
                <w:sz w:val="14"/>
              </w:rPr>
            </w:pPr>
            <w:r>
              <w:rPr>
                <w:color w:val="005DA1"/>
                <w:spacing w:val="-2"/>
                <w:sz w:val="14"/>
                <w:u w:val="single" w:color="005DA1"/>
              </w:rPr>
              <w:t>1121</w:t>
            </w:r>
            <w:r>
              <w:rPr>
                <w:spacing w:val="-2"/>
                <w:sz w:val="14"/>
              </w:rPr>
              <w:t>.</w:t>
            </w:r>
          </w:p>
        </w:tc>
        <w:tc>
          <w:tcPr>
            <w:tcW w:w="8620" w:type="dxa"/>
          </w:tcPr>
          <w:p>
            <w:pPr>
              <w:pStyle w:val="TableParagraph"/>
              <w:spacing w:before="114"/>
              <w:ind w:left="94" w:right="0"/>
              <w:rPr>
                <w:sz w:val="20"/>
              </w:rPr>
            </w:pPr>
            <w:r>
              <w:rPr>
                <w:sz w:val="20"/>
              </w:rPr>
              <w:t>See above, paras 2-122, 2-</w:t>
            </w:r>
            <w:r>
              <w:rPr>
                <w:spacing w:val="-4"/>
                <w:sz w:val="20"/>
              </w:rPr>
              <w:t>146.</w:t>
            </w:r>
          </w:p>
        </w:tc>
      </w:tr>
      <w:tr>
        <w:trPr>
          <w:trHeight w:val="465" w:hRule="atLeast"/>
        </w:trPr>
        <w:tc>
          <w:tcPr>
            <w:tcW w:w="496" w:type="dxa"/>
          </w:tcPr>
          <w:p>
            <w:pPr>
              <w:pStyle w:val="TableParagraph"/>
              <w:jc w:val="center"/>
              <w:rPr>
                <w:sz w:val="14"/>
              </w:rPr>
            </w:pPr>
            <w:r>
              <w:rPr>
                <w:color w:val="005DA1"/>
                <w:spacing w:val="-2"/>
                <w:sz w:val="14"/>
                <w:u w:val="single" w:color="005DA1"/>
              </w:rPr>
              <w:t>1122</w:t>
            </w:r>
            <w:r>
              <w:rPr>
                <w:spacing w:val="-2"/>
                <w:sz w:val="14"/>
              </w:rPr>
              <w:t>.</w:t>
            </w:r>
          </w:p>
        </w:tc>
        <w:tc>
          <w:tcPr>
            <w:tcW w:w="8620" w:type="dxa"/>
          </w:tcPr>
          <w:p>
            <w:pPr>
              <w:pStyle w:val="TableParagraph"/>
              <w:spacing w:before="114"/>
              <w:ind w:left="94" w:right="0"/>
              <w:rPr>
                <w:sz w:val="20"/>
              </w:rPr>
            </w:pPr>
            <w:r>
              <w:rPr>
                <w:sz w:val="20"/>
              </w:rPr>
              <w:t>See below, Ch.13, sections 3–4, paras 13-041—13-</w:t>
            </w:r>
            <w:r>
              <w:rPr>
                <w:spacing w:val="-4"/>
                <w:sz w:val="20"/>
              </w:rPr>
              <w:t>136.</w:t>
            </w:r>
          </w:p>
        </w:tc>
      </w:tr>
      <w:tr>
        <w:trPr>
          <w:trHeight w:val="465" w:hRule="atLeast"/>
        </w:trPr>
        <w:tc>
          <w:tcPr>
            <w:tcW w:w="496" w:type="dxa"/>
          </w:tcPr>
          <w:p>
            <w:pPr>
              <w:pStyle w:val="TableParagraph"/>
              <w:jc w:val="center"/>
              <w:rPr>
                <w:sz w:val="14"/>
              </w:rPr>
            </w:pPr>
            <w:r>
              <w:rPr>
                <w:color w:val="005DA1"/>
                <w:spacing w:val="-2"/>
                <w:sz w:val="14"/>
                <w:u w:val="single" w:color="005DA1"/>
              </w:rPr>
              <w:t>1123</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149.</w:t>
            </w:r>
          </w:p>
        </w:tc>
      </w:tr>
      <w:tr>
        <w:trPr>
          <w:trHeight w:val="465" w:hRule="atLeast"/>
        </w:trPr>
        <w:tc>
          <w:tcPr>
            <w:tcW w:w="496" w:type="dxa"/>
          </w:tcPr>
          <w:p>
            <w:pPr>
              <w:pStyle w:val="TableParagraph"/>
              <w:jc w:val="center"/>
              <w:rPr>
                <w:sz w:val="14"/>
              </w:rPr>
            </w:pPr>
            <w:r>
              <w:rPr>
                <w:color w:val="005DA1"/>
                <w:spacing w:val="-2"/>
                <w:sz w:val="14"/>
                <w:u w:val="single" w:color="005DA1"/>
              </w:rPr>
              <w:t>1124</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150.</w:t>
            </w:r>
          </w:p>
        </w:tc>
      </w:tr>
      <w:tr>
        <w:trPr>
          <w:trHeight w:val="465" w:hRule="atLeast"/>
        </w:trPr>
        <w:tc>
          <w:tcPr>
            <w:tcW w:w="496" w:type="dxa"/>
          </w:tcPr>
          <w:p>
            <w:pPr>
              <w:pStyle w:val="TableParagraph"/>
              <w:jc w:val="center"/>
              <w:rPr>
                <w:sz w:val="14"/>
              </w:rPr>
            </w:pPr>
            <w:r>
              <w:rPr>
                <w:color w:val="005DA1"/>
                <w:spacing w:val="-2"/>
                <w:sz w:val="14"/>
                <w:u w:val="single" w:color="005DA1"/>
              </w:rPr>
              <w:t>1125</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151.</w:t>
            </w:r>
          </w:p>
        </w:tc>
      </w:tr>
      <w:tr>
        <w:trPr>
          <w:trHeight w:val="465" w:hRule="atLeast"/>
        </w:trPr>
        <w:tc>
          <w:tcPr>
            <w:tcW w:w="496" w:type="dxa"/>
          </w:tcPr>
          <w:p>
            <w:pPr>
              <w:pStyle w:val="TableParagraph"/>
              <w:jc w:val="center"/>
              <w:rPr>
                <w:sz w:val="14"/>
              </w:rPr>
            </w:pPr>
            <w:r>
              <w:rPr>
                <w:color w:val="005DA1"/>
                <w:spacing w:val="-2"/>
                <w:sz w:val="14"/>
                <w:u w:val="single" w:color="005DA1"/>
              </w:rPr>
              <w:t>1126</w:t>
            </w:r>
            <w:r>
              <w:rPr>
                <w:spacing w:val="-2"/>
                <w:sz w:val="14"/>
              </w:rPr>
              <w:t>.</w:t>
            </w:r>
          </w:p>
        </w:tc>
        <w:tc>
          <w:tcPr>
            <w:tcW w:w="8620" w:type="dxa"/>
          </w:tcPr>
          <w:p>
            <w:pPr>
              <w:pStyle w:val="TableParagraph"/>
              <w:spacing w:before="114"/>
              <w:ind w:left="94" w:right="0"/>
              <w:rPr>
                <w:sz w:val="20"/>
              </w:rPr>
            </w:pPr>
            <w:r>
              <w:rPr>
                <w:sz w:val="20"/>
              </w:rPr>
              <w:t>See above, paras 2-152, 2-</w:t>
            </w:r>
            <w:r>
              <w:rPr>
                <w:spacing w:val="-4"/>
                <w:sz w:val="20"/>
              </w:rPr>
              <w:t>154.</w:t>
            </w:r>
          </w:p>
        </w:tc>
      </w:tr>
      <w:tr>
        <w:trPr>
          <w:trHeight w:val="344" w:hRule="atLeast"/>
        </w:trPr>
        <w:tc>
          <w:tcPr>
            <w:tcW w:w="496" w:type="dxa"/>
          </w:tcPr>
          <w:p>
            <w:pPr>
              <w:pStyle w:val="TableParagraph"/>
              <w:jc w:val="center"/>
              <w:rPr>
                <w:sz w:val="14"/>
              </w:rPr>
            </w:pPr>
            <w:r>
              <w:rPr>
                <w:color w:val="005DA1"/>
                <w:spacing w:val="-2"/>
                <w:sz w:val="14"/>
                <w:u w:val="single" w:color="005DA1"/>
              </w:rPr>
              <w:t>1127</w:t>
            </w:r>
            <w:r>
              <w:rPr>
                <w:spacing w:val="-2"/>
                <w:sz w:val="14"/>
              </w:rPr>
              <w:t>.</w:t>
            </w:r>
          </w:p>
        </w:tc>
        <w:tc>
          <w:tcPr>
            <w:tcW w:w="8620" w:type="dxa"/>
          </w:tcPr>
          <w:p>
            <w:pPr>
              <w:pStyle w:val="TableParagraph"/>
              <w:spacing w:line="210" w:lineRule="exact" w:before="114"/>
              <w:ind w:left="94" w:right="0"/>
              <w:rPr>
                <w:sz w:val="20"/>
              </w:rPr>
            </w:pPr>
            <w:r>
              <w:rPr>
                <w:sz w:val="20"/>
              </w:rPr>
              <w:t>See above, para.2-</w:t>
            </w:r>
            <w:r>
              <w:rPr>
                <w:spacing w:val="-4"/>
                <w:sz w:val="20"/>
              </w:rPr>
              <w:t>155.</w:t>
            </w:r>
          </w:p>
        </w:tc>
      </w:tr>
    </w:tbl>
    <w:p>
      <w:pPr>
        <w:pStyle w:val="TableParagraph"/>
        <w:spacing w:after="0" w:line="210" w:lineRule="exac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794" w:hRule="atLeast"/>
        </w:trPr>
        <w:tc>
          <w:tcPr>
            <w:tcW w:w="496" w:type="dxa"/>
          </w:tcPr>
          <w:p>
            <w:pPr>
              <w:pStyle w:val="TableParagraph"/>
              <w:spacing w:before="0"/>
              <w:jc w:val="center"/>
              <w:rPr>
                <w:sz w:val="14"/>
              </w:rPr>
            </w:pPr>
            <w:r>
              <w:rPr>
                <w:color w:val="005DA1"/>
                <w:spacing w:val="-2"/>
                <w:sz w:val="14"/>
                <w:u w:val="single" w:color="005DA1"/>
              </w:rPr>
              <w:t>1128</w:t>
            </w:r>
            <w:r>
              <w:rPr>
                <w:spacing w:val="-2"/>
                <w:sz w:val="14"/>
              </w:rPr>
              <w:t>.</w:t>
            </w:r>
          </w:p>
        </w:tc>
        <w:tc>
          <w:tcPr>
            <w:tcW w:w="8621" w:type="dxa"/>
          </w:tcPr>
          <w:p>
            <w:pPr>
              <w:pStyle w:val="TableParagraph"/>
              <w:spacing w:line="235" w:lineRule="auto" w:before="0"/>
              <w:ind w:left="94" w:right="49"/>
              <w:jc w:val="both"/>
              <w:rPr>
                <w:sz w:val="20"/>
              </w:rPr>
            </w:pPr>
            <w:r>
              <w:rPr>
                <w:rFonts w:ascii="Arial" w:hAnsi="Arial"/>
                <w:i/>
                <w:sz w:val="20"/>
              </w:rPr>
              <w:t>Equitable Life Assurance Society v Hyman [2002] 1 A.C. 408 </w:t>
            </w:r>
            <w:r>
              <w:rPr>
                <w:sz w:val="20"/>
              </w:rPr>
              <w:t>at 460, per Lord Cooke, giving</w:t>
            </w:r>
            <w:r>
              <w:rPr>
                <w:spacing w:val="40"/>
                <w:sz w:val="20"/>
              </w:rPr>
              <w:t> </w:t>
            </w:r>
            <w:r>
              <w:rPr>
                <w:sz w:val="20"/>
              </w:rPr>
              <w:t>this as an alternative ground for the decision while also accepting the “implied term” </w:t>
            </w:r>
            <w:r>
              <w:rPr>
                <w:sz w:val="20"/>
              </w:rPr>
              <w:t>reasoning of the majority.</w:t>
            </w:r>
          </w:p>
        </w:tc>
      </w:tr>
      <w:tr>
        <w:trPr>
          <w:trHeight w:val="1140" w:hRule="atLeast"/>
        </w:trPr>
        <w:tc>
          <w:tcPr>
            <w:tcW w:w="496" w:type="dxa"/>
          </w:tcPr>
          <w:p>
            <w:pPr>
              <w:pStyle w:val="TableParagraph"/>
              <w:jc w:val="center"/>
              <w:rPr>
                <w:sz w:val="14"/>
              </w:rPr>
            </w:pPr>
            <w:r>
              <w:rPr>
                <w:color w:val="005DA1"/>
                <w:spacing w:val="-2"/>
                <w:sz w:val="14"/>
                <w:u w:val="single" w:color="005DA1"/>
              </w:rPr>
              <w:t>1129</w:t>
            </w:r>
            <w:r>
              <w:rPr>
                <w:spacing w:val="-2"/>
                <w:sz w:val="14"/>
              </w:rPr>
              <w:t>.</w:t>
            </w:r>
          </w:p>
        </w:tc>
        <w:tc>
          <w:tcPr>
            <w:tcW w:w="8621" w:type="dxa"/>
          </w:tcPr>
          <w:p>
            <w:pPr>
              <w:pStyle w:val="TableParagraph"/>
              <w:spacing w:line="235" w:lineRule="auto" w:before="118"/>
              <w:ind w:left="94" w:right="49"/>
              <w:jc w:val="both"/>
              <w:rPr>
                <w:sz w:val="20"/>
              </w:rPr>
            </w:pPr>
            <w:r>
              <w:rPr>
                <w:rFonts w:ascii="Arial" w:hAnsi="Arial"/>
                <w:i/>
                <w:sz w:val="20"/>
              </w:rPr>
              <w:t>Horkulak</w:t>
            </w:r>
            <w:r>
              <w:rPr>
                <w:rFonts w:ascii="Arial" w:hAnsi="Arial"/>
                <w:i/>
                <w:spacing w:val="-3"/>
                <w:sz w:val="20"/>
              </w:rPr>
              <w:t> </w:t>
            </w:r>
            <w:r>
              <w:rPr>
                <w:rFonts w:ascii="Arial" w:hAnsi="Arial"/>
                <w:i/>
                <w:sz w:val="20"/>
              </w:rPr>
              <w:t>v</w:t>
            </w:r>
            <w:r>
              <w:rPr>
                <w:rFonts w:ascii="Arial" w:hAnsi="Arial"/>
                <w:i/>
                <w:spacing w:val="-3"/>
                <w:sz w:val="20"/>
              </w:rPr>
              <w:t> </w:t>
            </w:r>
            <w:r>
              <w:rPr>
                <w:rFonts w:ascii="Arial" w:hAnsi="Arial"/>
                <w:i/>
                <w:sz w:val="20"/>
              </w:rPr>
              <w:t>Cantor</w:t>
            </w:r>
            <w:r>
              <w:rPr>
                <w:rFonts w:ascii="Arial" w:hAnsi="Arial"/>
                <w:i/>
                <w:spacing w:val="-3"/>
                <w:sz w:val="20"/>
              </w:rPr>
              <w:t> </w:t>
            </w:r>
            <w:r>
              <w:rPr>
                <w:rFonts w:ascii="Arial" w:hAnsi="Arial"/>
                <w:i/>
                <w:sz w:val="20"/>
              </w:rPr>
              <w:t>Fitzgerald</w:t>
            </w:r>
            <w:r>
              <w:rPr>
                <w:rFonts w:ascii="Arial" w:hAnsi="Arial"/>
                <w:i/>
                <w:spacing w:val="-3"/>
                <w:sz w:val="20"/>
              </w:rPr>
              <w:t> </w:t>
            </w:r>
            <w:r>
              <w:rPr>
                <w:rFonts w:ascii="Arial" w:hAnsi="Arial"/>
                <w:i/>
                <w:sz w:val="20"/>
              </w:rPr>
              <w:t>Ltd</w:t>
            </w:r>
            <w:r>
              <w:rPr>
                <w:rFonts w:ascii="Arial" w:hAnsi="Arial"/>
                <w:i/>
                <w:spacing w:val="-3"/>
                <w:sz w:val="20"/>
              </w:rPr>
              <w:t> </w:t>
            </w:r>
            <w:r>
              <w:rPr>
                <w:rFonts w:ascii="Arial" w:hAnsi="Arial"/>
                <w:i/>
                <w:sz w:val="20"/>
              </w:rPr>
              <w:t>[2004]</w:t>
            </w:r>
            <w:r>
              <w:rPr>
                <w:rFonts w:ascii="Arial" w:hAnsi="Arial"/>
                <w:i/>
                <w:spacing w:val="-3"/>
                <w:sz w:val="20"/>
              </w:rPr>
              <w:t> </w:t>
            </w:r>
            <w:r>
              <w:rPr>
                <w:rFonts w:ascii="Arial" w:hAnsi="Arial"/>
                <w:i/>
                <w:sz w:val="20"/>
              </w:rPr>
              <w:t>EWCA</w:t>
            </w:r>
            <w:r>
              <w:rPr>
                <w:rFonts w:ascii="Arial" w:hAnsi="Arial"/>
                <w:i/>
                <w:spacing w:val="-3"/>
                <w:sz w:val="20"/>
              </w:rPr>
              <w:t> </w:t>
            </w:r>
            <w:r>
              <w:rPr>
                <w:rFonts w:ascii="Arial" w:hAnsi="Arial"/>
                <w:i/>
                <w:sz w:val="20"/>
              </w:rPr>
              <w:t>Civ</w:t>
            </w:r>
            <w:r>
              <w:rPr>
                <w:rFonts w:ascii="Arial" w:hAnsi="Arial"/>
                <w:i/>
                <w:spacing w:val="-3"/>
                <w:sz w:val="20"/>
              </w:rPr>
              <w:t> </w:t>
            </w:r>
            <w:r>
              <w:rPr>
                <w:rFonts w:ascii="Arial" w:hAnsi="Arial"/>
                <w:i/>
                <w:sz w:val="20"/>
              </w:rPr>
              <w:t>1287,</w:t>
            </w:r>
            <w:r>
              <w:rPr>
                <w:rFonts w:ascii="Arial" w:hAnsi="Arial"/>
                <w:i/>
                <w:spacing w:val="-3"/>
                <w:sz w:val="20"/>
              </w:rPr>
              <w:t> </w:t>
            </w:r>
            <w:r>
              <w:rPr>
                <w:rFonts w:ascii="Arial" w:hAnsi="Arial"/>
                <w:i/>
                <w:sz w:val="20"/>
              </w:rPr>
              <w:t>[2005]</w:t>
            </w:r>
            <w:r>
              <w:rPr>
                <w:rFonts w:ascii="Arial" w:hAnsi="Arial"/>
                <w:i/>
                <w:spacing w:val="-3"/>
                <w:sz w:val="20"/>
              </w:rPr>
              <w:t> </w:t>
            </w:r>
            <w:r>
              <w:rPr>
                <w:rFonts w:ascii="Arial" w:hAnsi="Arial"/>
                <w:i/>
                <w:sz w:val="20"/>
              </w:rPr>
              <w:t>I.C.R.</w:t>
            </w:r>
            <w:r>
              <w:rPr>
                <w:rFonts w:ascii="Arial" w:hAnsi="Arial"/>
                <w:i/>
                <w:spacing w:val="-3"/>
                <w:sz w:val="20"/>
              </w:rPr>
              <w:t> </w:t>
            </w:r>
            <w:r>
              <w:rPr>
                <w:rFonts w:ascii="Arial" w:hAnsi="Arial"/>
                <w:i/>
                <w:sz w:val="20"/>
              </w:rPr>
              <w:t>402</w:t>
            </w:r>
            <w:r>
              <w:rPr>
                <w:rFonts w:ascii="Arial" w:hAnsi="Arial"/>
                <w:i/>
                <w:spacing w:val="-4"/>
                <w:sz w:val="20"/>
              </w:rPr>
              <w:t> </w:t>
            </w:r>
            <w:r>
              <w:rPr>
                <w:sz w:val="20"/>
              </w:rPr>
              <w:t>at</w:t>
            </w:r>
            <w:r>
              <w:rPr>
                <w:spacing w:val="-3"/>
                <w:sz w:val="20"/>
              </w:rPr>
              <w:t> </w:t>
            </w:r>
            <w:r>
              <w:rPr>
                <w:sz w:val="20"/>
              </w:rPr>
              <w:t>[48]</w:t>
            </w:r>
            <w:r>
              <w:rPr>
                <w:spacing w:val="-3"/>
                <w:sz w:val="20"/>
              </w:rPr>
              <w:t> </w:t>
            </w:r>
            <w:r>
              <w:rPr>
                <w:sz w:val="20"/>
              </w:rPr>
              <w:t>(discretionary bonus on dismissal); cf. at [46]; contrast </w:t>
            </w:r>
            <w:r>
              <w:rPr>
                <w:rFonts w:ascii="Arial" w:hAnsi="Arial"/>
                <w:i/>
                <w:sz w:val="20"/>
              </w:rPr>
              <w:t>Keen v Commerzbank AG [2006] EWCA Civ 1536, [2007] I.C.R. 623</w:t>
            </w:r>
            <w:r>
              <w:rPr>
                <w:sz w:val="20"/>
              </w:rPr>
              <w:t>, where an employer’s “very wide discretion” in relation to a bonus had not “been exercised irrationally” (at [59], [60]). And see above, paras 1-054 and 2-185 to 2-186.</w:t>
            </w:r>
          </w:p>
        </w:tc>
      </w:tr>
      <w:tr>
        <w:trPr>
          <w:trHeight w:val="465" w:hRule="atLeast"/>
        </w:trPr>
        <w:tc>
          <w:tcPr>
            <w:tcW w:w="496" w:type="dxa"/>
          </w:tcPr>
          <w:p>
            <w:pPr>
              <w:pStyle w:val="TableParagraph"/>
              <w:jc w:val="center"/>
              <w:rPr>
                <w:sz w:val="14"/>
              </w:rPr>
            </w:pPr>
            <w:r>
              <w:rPr>
                <w:color w:val="005DA1"/>
                <w:spacing w:val="-2"/>
                <w:sz w:val="14"/>
                <w:u w:val="single" w:color="005DA1"/>
              </w:rPr>
              <w:t>1130</w:t>
            </w:r>
            <w:r>
              <w:rPr>
                <w:spacing w:val="-2"/>
                <w:sz w:val="14"/>
              </w:rPr>
              <w:t>.</w:t>
            </w:r>
          </w:p>
        </w:tc>
        <w:tc>
          <w:tcPr>
            <w:tcW w:w="8621" w:type="dxa"/>
          </w:tcPr>
          <w:p>
            <w:pPr>
              <w:pStyle w:val="TableParagraph"/>
              <w:spacing w:before="114"/>
              <w:ind w:left="94" w:right="0"/>
              <w:rPr>
                <w:sz w:val="20"/>
              </w:rPr>
            </w:pPr>
            <w:r>
              <w:rPr>
                <w:rFonts w:ascii="Arial"/>
                <w:i/>
                <w:sz w:val="20"/>
              </w:rPr>
              <w:t>Selkirk</w:t>
            </w:r>
            <w:r>
              <w:rPr>
                <w:rFonts w:ascii="Arial"/>
                <w:i/>
                <w:spacing w:val="-1"/>
                <w:sz w:val="20"/>
              </w:rPr>
              <w:t> </w:t>
            </w:r>
            <w:r>
              <w:rPr>
                <w:rFonts w:ascii="Arial"/>
                <w:i/>
                <w:sz w:val="20"/>
              </w:rPr>
              <w:t>v Romar Investments Ltd [1963] 1 W.L.R. 1415, 1422</w:t>
            </w:r>
            <w:r>
              <w:rPr>
                <w:sz w:val="20"/>
              </w:rPr>
              <w:t>. And see above, para.2-</w:t>
            </w:r>
            <w:r>
              <w:rPr>
                <w:spacing w:val="-4"/>
                <w:sz w:val="20"/>
              </w:rPr>
              <w:t>163.</w:t>
            </w:r>
          </w:p>
        </w:tc>
      </w:tr>
      <w:tr>
        <w:trPr>
          <w:trHeight w:val="465" w:hRule="atLeast"/>
        </w:trPr>
        <w:tc>
          <w:tcPr>
            <w:tcW w:w="496" w:type="dxa"/>
          </w:tcPr>
          <w:p>
            <w:pPr>
              <w:pStyle w:val="TableParagraph"/>
              <w:jc w:val="center"/>
              <w:rPr>
                <w:sz w:val="14"/>
              </w:rPr>
            </w:pPr>
            <w:r>
              <w:rPr>
                <w:color w:val="005DA1"/>
                <w:spacing w:val="-2"/>
                <w:sz w:val="14"/>
                <w:u w:val="single" w:color="005DA1"/>
              </w:rPr>
              <w:t>1131</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123.</w:t>
            </w:r>
          </w:p>
        </w:tc>
      </w:tr>
      <w:tr>
        <w:trPr>
          <w:trHeight w:val="690" w:hRule="atLeast"/>
        </w:trPr>
        <w:tc>
          <w:tcPr>
            <w:tcW w:w="496" w:type="dxa"/>
          </w:tcPr>
          <w:p>
            <w:pPr>
              <w:pStyle w:val="TableParagraph"/>
              <w:jc w:val="center"/>
              <w:rPr>
                <w:sz w:val="14"/>
              </w:rPr>
            </w:pPr>
            <w:r>
              <w:rPr>
                <w:color w:val="005DA1"/>
                <w:spacing w:val="-2"/>
                <w:sz w:val="14"/>
                <w:u w:val="single" w:color="005DA1"/>
              </w:rPr>
              <w:t>1132</w:t>
            </w:r>
            <w:r>
              <w:rPr>
                <w:spacing w:val="-2"/>
                <w:sz w:val="14"/>
              </w:rPr>
              <w:t>.</w:t>
            </w:r>
          </w:p>
        </w:tc>
        <w:tc>
          <w:tcPr>
            <w:tcW w:w="8621" w:type="dxa"/>
          </w:tcPr>
          <w:p>
            <w:pPr>
              <w:pStyle w:val="TableParagraph"/>
              <w:spacing w:line="235" w:lineRule="auto" w:before="118"/>
              <w:ind w:left="94" w:right="0"/>
              <w:rPr>
                <w:sz w:val="20"/>
              </w:rPr>
            </w:pPr>
            <w:r>
              <w:rPr>
                <w:rFonts w:ascii="Arial" w:hAnsi="Arial"/>
                <w:i/>
                <w:sz w:val="20"/>
              </w:rPr>
              <w:t>RTS</w:t>
            </w:r>
            <w:r>
              <w:rPr>
                <w:rFonts w:ascii="Arial" w:hAnsi="Arial"/>
                <w:i/>
                <w:spacing w:val="36"/>
                <w:sz w:val="20"/>
              </w:rPr>
              <w:t> </w:t>
            </w:r>
            <w:r>
              <w:rPr>
                <w:rFonts w:ascii="Arial" w:hAnsi="Arial"/>
                <w:i/>
                <w:sz w:val="20"/>
              </w:rPr>
              <w:t>Flexible</w:t>
            </w:r>
            <w:r>
              <w:rPr>
                <w:rFonts w:ascii="Arial" w:hAnsi="Arial"/>
                <w:i/>
                <w:spacing w:val="36"/>
                <w:sz w:val="20"/>
              </w:rPr>
              <w:t> </w:t>
            </w:r>
            <w:r>
              <w:rPr>
                <w:rFonts w:ascii="Arial" w:hAnsi="Arial"/>
                <w:i/>
                <w:sz w:val="20"/>
              </w:rPr>
              <w:t>Systems</w:t>
            </w:r>
            <w:r>
              <w:rPr>
                <w:rFonts w:ascii="Arial" w:hAnsi="Arial"/>
                <w:i/>
                <w:spacing w:val="36"/>
                <w:sz w:val="20"/>
              </w:rPr>
              <w:t> </w:t>
            </w:r>
            <w:r>
              <w:rPr>
                <w:rFonts w:ascii="Arial" w:hAnsi="Arial"/>
                <w:i/>
                <w:sz w:val="20"/>
              </w:rPr>
              <w:t>Ltd</w:t>
            </w:r>
            <w:r>
              <w:rPr>
                <w:rFonts w:ascii="Arial" w:hAnsi="Arial"/>
                <w:i/>
                <w:spacing w:val="36"/>
                <w:sz w:val="20"/>
              </w:rPr>
              <w:t> </w:t>
            </w:r>
            <w:r>
              <w:rPr>
                <w:rFonts w:ascii="Arial" w:hAnsi="Arial"/>
                <w:i/>
                <w:sz w:val="20"/>
              </w:rPr>
              <w:t>v</w:t>
            </w:r>
            <w:r>
              <w:rPr>
                <w:rFonts w:ascii="Arial" w:hAnsi="Arial"/>
                <w:i/>
                <w:spacing w:val="36"/>
                <w:sz w:val="20"/>
              </w:rPr>
              <w:t> </w:t>
            </w:r>
            <w:r>
              <w:rPr>
                <w:rFonts w:ascii="Arial" w:hAnsi="Arial"/>
                <w:i/>
                <w:sz w:val="20"/>
              </w:rPr>
              <w:t>Molkerei</w:t>
            </w:r>
            <w:r>
              <w:rPr>
                <w:rFonts w:ascii="Arial" w:hAnsi="Arial"/>
                <w:i/>
                <w:spacing w:val="36"/>
                <w:sz w:val="20"/>
              </w:rPr>
              <w:t> </w:t>
            </w:r>
            <w:r>
              <w:rPr>
                <w:rFonts w:ascii="Arial" w:hAnsi="Arial"/>
                <w:i/>
                <w:sz w:val="20"/>
              </w:rPr>
              <w:t>Alois</w:t>
            </w:r>
            <w:r>
              <w:rPr>
                <w:rFonts w:ascii="Arial" w:hAnsi="Arial"/>
                <w:i/>
                <w:spacing w:val="36"/>
                <w:sz w:val="20"/>
              </w:rPr>
              <w:t> </w:t>
            </w:r>
            <w:r>
              <w:rPr>
                <w:rFonts w:ascii="Arial" w:hAnsi="Arial"/>
                <w:i/>
                <w:sz w:val="20"/>
              </w:rPr>
              <w:t>Müller</w:t>
            </w:r>
            <w:r>
              <w:rPr>
                <w:rFonts w:ascii="Arial" w:hAnsi="Arial"/>
                <w:i/>
                <w:spacing w:val="36"/>
                <w:sz w:val="20"/>
              </w:rPr>
              <w:t> </w:t>
            </w:r>
            <w:r>
              <w:rPr>
                <w:rFonts w:ascii="Arial" w:hAnsi="Arial"/>
                <w:i/>
                <w:sz w:val="20"/>
              </w:rPr>
              <w:t>GmbH</w:t>
            </w:r>
            <w:r>
              <w:rPr>
                <w:rFonts w:ascii="Arial" w:hAnsi="Arial"/>
                <w:i/>
                <w:spacing w:val="36"/>
                <w:sz w:val="20"/>
              </w:rPr>
              <w:t> </w:t>
            </w:r>
            <w:r>
              <w:rPr>
                <w:rFonts w:ascii="Arial" w:hAnsi="Arial"/>
                <w:i/>
                <w:sz w:val="20"/>
              </w:rPr>
              <w:t>&amp;</w:t>
            </w:r>
            <w:r>
              <w:rPr>
                <w:rFonts w:ascii="Arial" w:hAnsi="Arial"/>
                <w:i/>
                <w:spacing w:val="36"/>
                <w:sz w:val="20"/>
              </w:rPr>
              <w:t> </w:t>
            </w:r>
            <w:r>
              <w:rPr>
                <w:rFonts w:ascii="Arial" w:hAnsi="Arial"/>
                <w:i/>
                <w:sz w:val="20"/>
              </w:rPr>
              <w:t>Co</w:t>
            </w:r>
            <w:r>
              <w:rPr>
                <w:rFonts w:ascii="Arial" w:hAnsi="Arial"/>
                <w:i/>
                <w:spacing w:val="36"/>
                <w:sz w:val="20"/>
              </w:rPr>
              <w:t> </w:t>
            </w:r>
            <w:r>
              <w:rPr>
                <w:rFonts w:ascii="Arial" w:hAnsi="Arial"/>
                <w:i/>
                <w:sz w:val="20"/>
              </w:rPr>
              <w:t>KG</w:t>
            </w:r>
            <w:r>
              <w:rPr>
                <w:rFonts w:ascii="Arial" w:hAnsi="Arial"/>
                <w:i/>
                <w:spacing w:val="36"/>
                <w:sz w:val="20"/>
              </w:rPr>
              <w:t> </w:t>
            </w:r>
            <w:r>
              <w:rPr>
                <w:rFonts w:ascii="Arial" w:hAnsi="Arial"/>
                <w:i/>
                <w:sz w:val="20"/>
              </w:rPr>
              <w:t>(UK</w:t>
            </w:r>
            <w:r>
              <w:rPr>
                <w:rFonts w:ascii="Arial" w:hAnsi="Arial"/>
                <w:i/>
                <w:spacing w:val="36"/>
                <w:sz w:val="20"/>
              </w:rPr>
              <w:t> </w:t>
            </w:r>
            <w:r>
              <w:rPr>
                <w:rFonts w:ascii="Arial" w:hAnsi="Arial"/>
                <w:i/>
                <w:sz w:val="20"/>
              </w:rPr>
              <w:t>Production)</w:t>
            </w:r>
            <w:r>
              <w:rPr>
                <w:rFonts w:ascii="Arial" w:hAnsi="Arial"/>
                <w:i/>
                <w:spacing w:val="36"/>
                <w:sz w:val="20"/>
              </w:rPr>
              <w:t> </w:t>
            </w:r>
            <w:r>
              <w:rPr>
                <w:rFonts w:ascii="Arial" w:hAnsi="Arial"/>
                <w:i/>
                <w:sz w:val="20"/>
              </w:rPr>
              <w:t>[2010] UKSC 14, [2010] 1 W.L.R. 753 </w:t>
            </w:r>
            <w:r>
              <w:rPr>
                <w:sz w:val="20"/>
              </w:rPr>
              <w:t>at [61]; cf. at [84].</w:t>
            </w:r>
          </w:p>
        </w:tc>
      </w:tr>
      <w:tr>
        <w:trPr>
          <w:trHeight w:val="465" w:hRule="atLeast"/>
        </w:trPr>
        <w:tc>
          <w:tcPr>
            <w:tcW w:w="496" w:type="dxa"/>
          </w:tcPr>
          <w:p>
            <w:pPr>
              <w:pStyle w:val="TableParagraph"/>
              <w:jc w:val="center"/>
              <w:rPr>
                <w:sz w:val="14"/>
              </w:rPr>
            </w:pPr>
            <w:r>
              <w:rPr>
                <w:color w:val="005DA1"/>
                <w:spacing w:val="-2"/>
                <w:sz w:val="14"/>
                <w:u w:val="single" w:color="005DA1"/>
              </w:rPr>
              <w:t>1133</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129.</w:t>
            </w:r>
          </w:p>
        </w:tc>
      </w:tr>
      <w:tr>
        <w:trPr>
          <w:trHeight w:val="465" w:hRule="atLeast"/>
        </w:trPr>
        <w:tc>
          <w:tcPr>
            <w:tcW w:w="496" w:type="dxa"/>
          </w:tcPr>
          <w:p>
            <w:pPr>
              <w:pStyle w:val="TableParagraph"/>
              <w:jc w:val="center"/>
              <w:rPr>
                <w:sz w:val="14"/>
              </w:rPr>
            </w:pPr>
            <w:r>
              <w:rPr>
                <w:color w:val="005DA1"/>
                <w:spacing w:val="-2"/>
                <w:sz w:val="14"/>
                <w:u w:val="single" w:color="005DA1"/>
              </w:rPr>
              <w:t>1134</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130.</w:t>
            </w:r>
          </w:p>
        </w:tc>
      </w:tr>
      <w:tr>
        <w:trPr>
          <w:trHeight w:val="465" w:hRule="atLeast"/>
        </w:trPr>
        <w:tc>
          <w:tcPr>
            <w:tcW w:w="496" w:type="dxa"/>
          </w:tcPr>
          <w:p>
            <w:pPr>
              <w:pStyle w:val="TableParagraph"/>
              <w:jc w:val="center"/>
              <w:rPr>
                <w:sz w:val="14"/>
              </w:rPr>
            </w:pPr>
            <w:r>
              <w:rPr>
                <w:color w:val="005DA1"/>
                <w:spacing w:val="-2"/>
                <w:sz w:val="14"/>
                <w:u w:val="single" w:color="005DA1"/>
              </w:rPr>
              <w:t>1135</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131.</w:t>
            </w:r>
          </w:p>
        </w:tc>
      </w:tr>
      <w:tr>
        <w:trPr>
          <w:trHeight w:val="465" w:hRule="atLeast"/>
        </w:trPr>
        <w:tc>
          <w:tcPr>
            <w:tcW w:w="496" w:type="dxa"/>
          </w:tcPr>
          <w:p>
            <w:pPr>
              <w:pStyle w:val="TableParagraph"/>
              <w:jc w:val="center"/>
              <w:rPr>
                <w:sz w:val="14"/>
              </w:rPr>
            </w:pPr>
            <w:r>
              <w:rPr>
                <w:color w:val="005DA1"/>
                <w:spacing w:val="-2"/>
                <w:sz w:val="14"/>
                <w:u w:val="single" w:color="005DA1"/>
              </w:rPr>
              <w:t>1136</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159.</w:t>
            </w:r>
          </w:p>
        </w:tc>
      </w:tr>
      <w:tr>
        <w:trPr>
          <w:trHeight w:val="465" w:hRule="atLeast"/>
        </w:trPr>
        <w:tc>
          <w:tcPr>
            <w:tcW w:w="496" w:type="dxa"/>
          </w:tcPr>
          <w:p>
            <w:pPr>
              <w:pStyle w:val="TableParagraph"/>
              <w:jc w:val="center"/>
              <w:rPr>
                <w:sz w:val="14"/>
              </w:rPr>
            </w:pPr>
            <w:r>
              <w:rPr>
                <w:color w:val="005DA1"/>
                <w:spacing w:val="-2"/>
                <w:sz w:val="14"/>
                <w:u w:val="single" w:color="005DA1"/>
              </w:rPr>
              <w:t>1137</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161.</w:t>
            </w:r>
          </w:p>
        </w:tc>
      </w:tr>
      <w:tr>
        <w:trPr>
          <w:trHeight w:val="465" w:hRule="atLeast"/>
        </w:trPr>
        <w:tc>
          <w:tcPr>
            <w:tcW w:w="496" w:type="dxa"/>
          </w:tcPr>
          <w:p>
            <w:pPr>
              <w:pStyle w:val="TableParagraph"/>
              <w:jc w:val="center"/>
              <w:rPr>
                <w:sz w:val="14"/>
              </w:rPr>
            </w:pPr>
            <w:r>
              <w:rPr>
                <w:color w:val="005DA1"/>
                <w:spacing w:val="-2"/>
                <w:sz w:val="14"/>
                <w:u w:val="single" w:color="005DA1"/>
              </w:rPr>
              <w:t>1138</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162.</w:t>
            </w:r>
          </w:p>
        </w:tc>
      </w:tr>
      <w:tr>
        <w:trPr>
          <w:trHeight w:val="465" w:hRule="atLeast"/>
        </w:trPr>
        <w:tc>
          <w:tcPr>
            <w:tcW w:w="496" w:type="dxa"/>
          </w:tcPr>
          <w:p>
            <w:pPr>
              <w:pStyle w:val="TableParagraph"/>
              <w:jc w:val="center"/>
              <w:rPr>
                <w:sz w:val="14"/>
              </w:rPr>
            </w:pPr>
            <w:r>
              <w:rPr>
                <w:color w:val="005DA1"/>
                <w:spacing w:val="-2"/>
                <w:sz w:val="14"/>
                <w:u w:val="single" w:color="005DA1"/>
              </w:rPr>
              <w:t>1139</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164.</w:t>
            </w:r>
          </w:p>
        </w:tc>
      </w:tr>
      <w:tr>
        <w:trPr>
          <w:trHeight w:val="465" w:hRule="atLeast"/>
        </w:trPr>
        <w:tc>
          <w:tcPr>
            <w:tcW w:w="496" w:type="dxa"/>
          </w:tcPr>
          <w:p>
            <w:pPr>
              <w:pStyle w:val="TableParagraph"/>
              <w:jc w:val="center"/>
              <w:rPr>
                <w:sz w:val="14"/>
              </w:rPr>
            </w:pPr>
            <w:r>
              <w:rPr>
                <w:color w:val="005DA1"/>
                <w:spacing w:val="-2"/>
                <w:sz w:val="14"/>
                <w:u w:val="single" w:color="005DA1"/>
              </w:rPr>
              <w:t>1140</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163.</w:t>
            </w:r>
          </w:p>
        </w:tc>
      </w:tr>
      <w:tr>
        <w:trPr>
          <w:trHeight w:val="465" w:hRule="atLeast"/>
        </w:trPr>
        <w:tc>
          <w:tcPr>
            <w:tcW w:w="496" w:type="dxa"/>
          </w:tcPr>
          <w:p>
            <w:pPr>
              <w:pStyle w:val="TableParagraph"/>
              <w:jc w:val="center"/>
              <w:rPr>
                <w:sz w:val="14"/>
              </w:rPr>
            </w:pPr>
            <w:r>
              <w:rPr>
                <w:color w:val="005DA1"/>
                <w:spacing w:val="-2"/>
                <w:sz w:val="14"/>
                <w:u w:val="single" w:color="005DA1"/>
              </w:rPr>
              <w:t>1141</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166.</w:t>
            </w:r>
          </w:p>
        </w:tc>
      </w:tr>
      <w:tr>
        <w:trPr>
          <w:trHeight w:val="465" w:hRule="atLeast"/>
        </w:trPr>
        <w:tc>
          <w:tcPr>
            <w:tcW w:w="496" w:type="dxa"/>
          </w:tcPr>
          <w:p>
            <w:pPr>
              <w:pStyle w:val="TableParagraph"/>
              <w:jc w:val="center"/>
              <w:rPr>
                <w:sz w:val="14"/>
              </w:rPr>
            </w:pPr>
            <w:r>
              <w:rPr>
                <w:color w:val="005DA1"/>
                <w:spacing w:val="-2"/>
                <w:sz w:val="14"/>
                <w:u w:val="single" w:color="005DA1"/>
              </w:rPr>
              <w:t>1142</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132.</w:t>
            </w:r>
          </w:p>
        </w:tc>
      </w:tr>
      <w:tr>
        <w:trPr>
          <w:trHeight w:val="465" w:hRule="atLeast"/>
        </w:trPr>
        <w:tc>
          <w:tcPr>
            <w:tcW w:w="496" w:type="dxa"/>
          </w:tcPr>
          <w:p>
            <w:pPr>
              <w:pStyle w:val="TableParagraph"/>
              <w:jc w:val="center"/>
              <w:rPr>
                <w:sz w:val="14"/>
              </w:rPr>
            </w:pPr>
            <w:r>
              <w:rPr>
                <w:color w:val="005DA1"/>
                <w:spacing w:val="-2"/>
                <w:sz w:val="14"/>
                <w:u w:val="single" w:color="005DA1"/>
              </w:rPr>
              <w:t>1143</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168.</w:t>
            </w:r>
          </w:p>
        </w:tc>
      </w:tr>
      <w:tr>
        <w:trPr>
          <w:trHeight w:val="465" w:hRule="atLeast"/>
        </w:trPr>
        <w:tc>
          <w:tcPr>
            <w:tcW w:w="496" w:type="dxa"/>
          </w:tcPr>
          <w:p>
            <w:pPr>
              <w:pStyle w:val="TableParagraph"/>
              <w:jc w:val="center"/>
              <w:rPr>
                <w:sz w:val="14"/>
              </w:rPr>
            </w:pPr>
            <w:r>
              <w:rPr>
                <w:color w:val="005DA1"/>
                <w:spacing w:val="-2"/>
                <w:sz w:val="14"/>
                <w:u w:val="single" w:color="005DA1"/>
              </w:rPr>
              <w:t>1144</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171.</w:t>
            </w:r>
          </w:p>
        </w:tc>
      </w:tr>
      <w:tr>
        <w:trPr>
          <w:trHeight w:val="465" w:hRule="atLeast"/>
        </w:trPr>
        <w:tc>
          <w:tcPr>
            <w:tcW w:w="496" w:type="dxa"/>
          </w:tcPr>
          <w:p>
            <w:pPr>
              <w:pStyle w:val="TableParagraph"/>
              <w:jc w:val="center"/>
              <w:rPr>
                <w:sz w:val="14"/>
              </w:rPr>
            </w:pPr>
            <w:r>
              <w:rPr>
                <w:color w:val="005DA1"/>
                <w:spacing w:val="-2"/>
                <w:sz w:val="14"/>
                <w:u w:val="single" w:color="005DA1"/>
              </w:rPr>
              <w:t>1145</w:t>
            </w:r>
            <w:r>
              <w:rPr>
                <w:spacing w:val="-2"/>
                <w:sz w:val="14"/>
              </w:rPr>
              <w:t>.</w:t>
            </w:r>
          </w:p>
        </w:tc>
        <w:tc>
          <w:tcPr>
            <w:tcW w:w="8621" w:type="dxa"/>
          </w:tcPr>
          <w:p>
            <w:pPr>
              <w:pStyle w:val="TableParagraph"/>
              <w:spacing w:before="114"/>
              <w:ind w:left="94" w:right="0"/>
              <w:rPr>
                <w:sz w:val="20"/>
              </w:rPr>
            </w:pPr>
            <w:r>
              <w:rPr>
                <w:sz w:val="20"/>
              </w:rPr>
              <w:t>See above, para.2-</w:t>
            </w:r>
            <w:r>
              <w:rPr>
                <w:spacing w:val="-4"/>
                <w:sz w:val="20"/>
              </w:rPr>
              <w:t>177.</w:t>
            </w:r>
          </w:p>
        </w:tc>
      </w:tr>
      <w:tr>
        <w:trPr>
          <w:trHeight w:val="465" w:hRule="atLeast"/>
        </w:trPr>
        <w:tc>
          <w:tcPr>
            <w:tcW w:w="496" w:type="dxa"/>
          </w:tcPr>
          <w:p>
            <w:pPr>
              <w:pStyle w:val="TableParagraph"/>
              <w:jc w:val="center"/>
              <w:rPr>
                <w:sz w:val="14"/>
              </w:rPr>
            </w:pPr>
            <w:r>
              <w:rPr>
                <w:color w:val="005DA1"/>
                <w:spacing w:val="-2"/>
                <w:sz w:val="14"/>
                <w:u w:val="single" w:color="005DA1"/>
              </w:rPr>
              <w:t>1146</w:t>
            </w:r>
            <w:r>
              <w:rPr>
                <w:spacing w:val="-2"/>
                <w:sz w:val="14"/>
              </w:rPr>
              <w:t>.</w:t>
            </w:r>
          </w:p>
        </w:tc>
        <w:tc>
          <w:tcPr>
            <w:tcW w:w="8621" w:type="dxa"/>
          </w:tcPr>
          <w:p>
            <w:pPr>
              <w:pStyle w:val="TableParagraph"/>
              <w:spacing w:before="114"/>
              <w:ind w:left="94" w:right="0"/>
              <w:rPr>
                <w:sz w:val="20"/>
              </w:rPr>
            </w:pPr>
            <w:r>
              <w:rPr>
                <w:sz w:val="20"/>
              </w:rPr>
              <w:t>See above, paras 2-178—2-</w:t>
            </w:r>
            <w:r>
              <w:rPr>
                <w:spacing w:val="-4"/>
                <w:sz w:val="20"/>
              </w:rPr>
              <w:t>184.</w:t>
            </w:r>
          </w:p>
        </w:tc>
      </w:tr>
      <w:tr>
        <w:trPr>
          <w:trHeight w:val="344" w:hRule="atLeast"/>
        </w:trPr>
        <w:tc>
          <w:tcPr>
            <w:tcW w:w="496" w:type="dxa"/>
          </w:tcPr>
          <w:p>
            <w:pPr>
              <w:pStyle w:val="TableParagraph"/>
              <w:jc w:val="center"/>
              <w:rPr>
                <w:sz w:val="14"/>
              </w:rPr>
            </w:pPr>
            <w:r>
              <w:rPr>
                <w:color w:val="005DA1"/>
                <w:spacing w:val="-2"/>
                <w:sz w:val="14"/>
                <w:u w:val="single" w:color="005DA1"/>
              </w:rPr>
              <w:t>1147</w:t>
            </w:r>
            <w:r>
              <w:rPr>
                <w:spacing w:val="-2"/>
                <w:sz w:val="14"/>
              </w:rPr>
              <w:t>.</w:t>
            </w:r>
          </w:p>
        </w:tc>
        <w:tc>
          <w:tcPr>
            <w:tcW w:w="8621" w:type="dxa"/>
          </w:tcPr>
          <w:p>
            <w:pPr>
              <w:pStyle w:val="TableParagraph"/>
              <w:spacing w:line="210" w:lineRule="exact" w:before="114"/>
              <w:ind w:left="94" w:right="0"/>
              <w:rPr>
                <w:sz w:val="20"/>
              </w:rPr>
            </w:pPr>
            <w:r>
              <w:rPr>
                <w:sz w:val="20"/>
              </w:rPr>
              <w:t>See above, para.2-180 and below, paras 2-219 and 2-</w:t>
            </w:r>
            <w:r>
              <w:rPr>
                <w:spacing w:val="-4"/>
                <w:sz w:val="20"/>
              </w:rPr>
              <w:t>220.</w:t>
            </w:r>
          </w:p>
        </w:tc>
      </w:tr>
    </w:tbl>
    <w:p>
      <w:pPr>
        <w:pStyle w:val="BodyText"/>
        <w:rPr>
          <w:sz w:val="14"/>
        </w:rPr>
      </w:pPr>
    </w:p>
    <w:p>
      <w:pPr>
        <w:pStyle w:val="BodyText"/>
        <w:spacing w:before="100"/>
        <w:rPr>
          <w:sz w:val="14"/>
        </w:rPr>
      </w:pPr>
    </w:p>
    <w:p>
      <w:pPr>
        <w:spacing w:before="0"/>
        <w:ind w:left="940" w:right="943" w:firstLine="0"/>
        <w:jc w:val="center"/>
        <w:rPr>
          <w:sz w:val="14"/>
        </w:rPr>
      </w:pPr>
      <w:bookmarkStart w:name="_bookmark1851" w:id="1853"/>
      <w:bookmarkEnd w:id="1853"/>
      <w:r>
        <w:rPr/>
      </w: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0" w:right="3" w:firstLine="0"/>
        <w:jc w:val="center"/>
        <w:rPr>
          <w:rFonts w:ascii="Arial"/>
          <w:b/>
          <w:sz w:val="24"/>
        </w:rPr>
      </w:pPr>
      <w:r>
        <w:rPr>
          <w:rFonts w:ascii="Arial"/>
          <w:b/>
          <w:sz w:val="24"/>
        </w:rPr>
        <w:t>Section 10. - Liability When Negotiations Do Not Produce A </w:t>
      </w:r>
      <w:r>
        <w:rPr>
          <w:rFonts w:ascii="Arial"/>
          <w:b/>
          <w:spacing w:val="-2"/>
          <w:sz w:val="24"/>
        </w:rPr>
        <w:t>Contract</w:t>
      </w:r>
    </w:p>
    <w:p>
      <w:pPr>
        <w:pStyle w:val="ListParagraph"/>
        <w:numPr>
          <w:ilvl w:val="0"/>
          <w:numId w:val="9"/>
        </w:numPr>
        <w:tabs>
          <w:tab w:pos="1437" w:val="left" w:leader="none"/>
        </w:tabs>
        <w:spacing w:line="240" w:lineRule="auto" w:before="194" w:after="0"/>
        <w:ind w:left="1437" w:right="0" w:hanging="373"/>
        <w:jc w:val="left"/>
        <w:rPr>
          <w:b/>
          <w:sz w:val="24"/>
        </w:rPr>
      </w:pPr>
      <w:r>
        <w:rPr>
          <w:b/>
          <w:sz w:val="24"/>
        </w:rPr>
        <w:t>- Negotiations Broken Off But Preliminary Agreement </w:t>
      </w:r>
      <w:r>
        <w:rPr>
          <w:b/>
          <w:spacing w:val="-2"/>
          <w:sz w:val="24"/>
        </w:rPr>
        <w:t>Exists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No main contract but ancillary </w:t>
      </w:r>
      <w:r>
        <w:rPr>
          <w:rFonts w:ascii="Arial"/>
          <w:b/>
          <w:spacing w:val="-2"/>
          <w:sz w:val="18"/>
        </w:rPr>
        <w:t>contract</w:t>
      </w:r>
    </w:p>
    <w:p>
      <w:pPr>
        <w:pStyle w:val="BodyText"/>
        <w:spacing w:before="42"/>
        <w:rPr>
          <w:rFonts w:ascii="Arial"/>
          <w:b/>
          <w:sz w:val="18"/>
        </w:rPr>
      </w:pPr>
    </w:p>
    <w:p>
      <w:pPr>
        <w:pStyle w:val="Heading2"/>
      </w:pPr>
      <w:r>
        <w:rPr/>
        <w:t>2-</w:t>
      </w:r>
      <w:r>
        <w:rPr>
          <w:spacing w:val="-5"/>
        </w:rPr>
        <w:t>212</w:t>
      </w:r>
    </w:p>
    <w:p>
      <w:pPr>
        <w:pStyle w:val="BodyText"/>
        <w:spacing w:line="235" w:lineRule="auto" w:before="202"/>
        <w:ind w:left="165" w:right="167"/>
        <w:jc w:val="both"/>
      </w:pPr>
      <w:r>
        <w:rPr/>
        <w:t>We have seen that even if the parties do not successfully conclude a contract on the main subject matter of their negotiations (because their agreement is subject to formal execution or </w:t>
      </w:r>
      <w:r>
        <w:rPr/>
        <w:t>other condition), they may have made a preliminary or collateral contract that the court will enforce, or the courts may impose such an ancillary contract. </w:t>
      </w:r>
      <w:r>
        <w:rPr>
          <w:color w:val="005DA1"/>
          <w:u w:val="single" w:color="005DA1"/>
          <w:vertAlign w:val="superscript"/>
        </w:rPr>
        <w:t>1148</w:t>
      </w:r>
      <w:r>
        <w:rPr>
          <w:color w:val="005DA1"/>
          <w:vertAlign w:val="baseline"/>
        </w:rPr>
        <w:t> </w:t>
      </w:r>
      <w:r>
        <w:rPr>
          <w:vertAlign w:val="baseline"/>
        </w:rPr>
        <w:t>Likewise, even where the parties have not reached agreement on the main subject matter of negotiations, the courts may enforce the parties’ express agreed preliminary or collateral contract, or the courts may impose one, to uphold the integrity of the negotiation process.</w:t>
      </w:r>
    </w:p>
    <w:p>
      <w:pPr>
        <w:pStyle w:val="BodyText"/>
      </w:pPr>
    </w:p>
    <w:p>
      <w:pPr>
        <w:pStyle w:val="BodyText"/>
        <w:spacing w:before="36"/>
      </w:pPr>
    </w:p>
    <w:p>
      <w:pPr>
        <w:spacing w:before="0"/>
        <w:ind w:left="165" w:right="0" w:firstLine="0"/>
        <w:jc w:val="left"/>
        <w:rPr>
          <w:rFonts w:ascii="Arial"/>
          <w:b/>
          <w:sz w:val="18"/>
        </w:rPr>
      </w:pPr>
      <w:r>
        <w:rPr>
          <w:rFonts w:ascii="Arial"/>
          <w:b/>
          <w:sz w:val="18"/>
        </w:rPr>
        <w:t>No duty to negotiate in good </w:t>
      </w:r>
      <w:r>
        <w:rPr>
          <w:rFonts w:ascii="Arial"/>
          <w:b/>
          <w:spacing w:val="-2"/>
          <w:sz w:val="18"/>
        </w:rPr>
        <w:t>faith</w:t>
      </w:r>
    </w:p>
    <w:p>
      <w:pPr>
        <w:pStyle w:val="BodyText"/>
        <w:spacing w:before="41"/>
        <w:rPr>
          <w:rFonts w:ascii="Arial"/>
          <w:b/>
          <w:sz w:val="18"/>
        </w:rPr>
      </w:pPr>
    </w:p>
    <w:p>
      <w:pPr>
        <w:pStyle w:val="Heading2"/>
        <w:spacing w:before="1"/>
      </w:pPr>
      <w:r>
        <w:rPr/>
        <w:t>2-</w:t>
      </w:r>
      <w:r>
        <w:rPr>
          <w:spacing w:val="-5"/>
        </w:rPr>
        <w:t>213</w:t>
      </w:r>
    </w:p>
    <w:p>
      <w:pPr>
        <w:pStyle w:val="BodyText"/>
        <w:spacing w:line="235" w:lineRule="auto" w:before="202"/>
        <w:ind w:left="164" w:right="167"/>
        <w:jc w:val="both"/>
      </w:pPr>
      <w:r>
        <w:rPr/>
        <w:t>In</w:t>
      </w:r>
      <w:r>
        <w:rPr>
          <w:spacing w:val="-1"/>
        </w:rPr>
        <w:t> </w:t>
      </w:r>
      <w:r>
        <w:rPr>
          <w:rFonts w:ascii="Arial" w:hAnsi="Arial"/>
          <w:i/>
        </w:rPr>
        <w:t>Walford</w:t>
      </w:r>
      <w:r>
        <w:rPr>
          <w:rFonts w:ascii="Arial" w:hAnsi="Arial"/>
          <w:i/>
          <w:spacing w:val="-1"/>
        </w:rPr>
        <w:t> </w:t>
      </w:r>
      <w:r>
        <w:rPr>
          <w:rFonts w:ascii="Arial" w:hAnsi="Arial"/>
          <w:i/>
        </w:rPr>
        <w:t>v</w:t>
      </w:r>
      <w:r>
        <w:rPr>
          <w:rFonts w:ascii="Arial" w:hAnsi="Arial"/>
          <w:i/>
          <w:spacing w:val="-1"/>
        </w:rPr>
        <w:t> </w:t>
      </w:r>
      <w:r>
        <w:rPr>
          <w:rFonts w:ascii="Arial" w:hAnsi="Arial"/>
          <w:i/>
        </w:rPr>
        <w:t>Miles</w:t>
      </w:r>
      <w:r>
        <w:rPr>
          <w:rFonts w:ascii="Arial" w:hAnsi="Arial"/>
          <w:i/>
          <w:spacing w:val="-1"/>
        </w:rPr>
        <w:t> </w:t>
      </w:r>
      <w:r>
        <w:rPr>
          <w:color w:val="005DA1"/>
          <w:u w:val="single" w:color="005DA1"/>
          <w:vertAlign w:val="superscript"/>
        </w:rPr>
        <w:t>1149</w:t>
      </w:r>
      <w:r>
        <w:rPr>
          <w:color w:val="005DA1"/>
          <w:spacing w:val="-1"/>
          <w:vertAlign w:val="baseline"/>
        </w:rPr>
        <w:t> </w:t>
      </w:r>
      <w:r>
        <w:rPr>
          <w:vertAlign w:val="baseline"/>
        </w:rPr>
        <w:t>the</w:t>
      </w:r>
      <w:r>
        <w:rPr>
          <w:spacing w:val="-1"/>
          <w:vertAlign w:val="baseline"/>
        </w:rPr>
        <w:t> </w:t>
      </w:r>
      <w:r>
        <w:rPr>
          <w:vertAlign w:val="baseline"/>
        </w:rPr>
        <w:t>House</w:t>
      </w:r>
      <w:r>
        <w:rPr>
          <w:spacing w:val="-1"/>
          <w:vertAlign w:val="baseline"/>
        </w:rPr>
        <w:t> </w:t>
      </w:r>
      <w:r>
        <w:rPr>
          <w:vertAlign w:val="baseline"/>
        </w:rPr>
        <w:t>of</w:t>
      </w:r>
      <w:r>
        <w:rPr>
          <w:spacing w:val="-1"/>
          <w:vertAlign w:val="baseline"/>
        </w:rPr>
        <w:t> </w:t>
      </w:r>
      <w:r>
        <w:rPr>
          <w:vertAlign w:val="baseline"/>
        </w:rPr>
        <w:t>Lords</w:t>
      </w:r>
      <w:r>
        <w:rPr>
          <w:spacing w:val="-1"/>
          <w:vertAlign w:val="baseline"/>
        </w:rPr>
        <w:t> </w:t>
      </w:r>
      <w:r>
        <w:rPr>
          <w:vertAlign w:val="baseline"/>
        </w:rPr>
        <w:t>refused</w:t>
      </w:r>
      <w:r>
        <w:rPr>
          <w:spacing w:val="-1"/>
          <w:vertAlign w:val="baseline"/>
        </w:rPr>
        <w:t> </w:t>
      </w:r>
      <w:r>
        <w:rPr>
          <w:vertAlign w:val="baseline"/>
        </w:rPr>
        <w:t>to</w:t>
      </w:r>
      <w:r>
        <w:rPr>
          <w:spacing w:val="-1"/>
          <w:vertAlign w:val="baseline"/>
        </w:rPr>
        <w:t> </w:t>
      </w:r>
      <w:r>
        <w:rPr>
          <w:vertAlign w:val="baseline"/>
        </w:rPr>
        <w:t>imply</w:t>
      </w:r>
      <w:r>
        <w:rPr>
          <w:spacing w:val="-1"/>
          <w:vertAlign w:val="baseline"/>
        </w:rPr>
        <w:t> </w:t>
      </w:r>
      <w:r>
        <w:rPr>
          <w:vertAlign w:val="baseline"/>
        </w:rPr>
        <w:t>a</w:t>
      </w:r>
      <w:r>
        <w:rPr>
          <w:spacing w:val="-1"/>
          <w:vertAlign w:val="baseline"/>
        </w:rPr>
        <w:t> </w:t>
      </w:r>
      <w:r>
        <w:rPr>
          <w:vertAlign w:val="baseline"/>
        </w:rPr>
        <w:t>duty</w:t>
      </w:r>
      <w:r>
        <w:rPr>
          <w:spacing w:val="-1"/>
          <w:vertAlign w:val="baseline"/>
        </w:rPr>
        <w:t> </w:t>
      </w:r>
      <w:r>
        <w:rPr>
          <w:vertAlign w:val="baseline"/>
        </w:rPr>
        <w:t>to</w:t>
      </w:r>
      <w:r>
        <w:rPr>
          <w:spacing w:val="-1"/>
          <w:vertAlign w:val="baseline"/>
        </w:rPr>
        <w:t> </w:t>
      </w:r>
      <w:r>
        <w:rPr>
          <w:vertAlign w:val="baseline"/>
        </w:rPr>
        <w:t>negotiate</w:t>
      </w:r>
      <w:r>
        <w:rPr>
          <w:spacing w:val="-1"/>
          <w:vertAlign w:val="baseline"/>
        </w:rPr>
        <w:t> </w:t>
      </w:r>
      <w:r>
        <w:rPr>
          <w:vertAlign w:val="baseline"/>
        </w:rPr>
        <w:t>in</w:t>
      </w:r>
      <w:r>
        <w:rPr>
          <w:spacing w:val="-1"/>
          <w:vertAlign w:val="baseline"/>
        </w:rPr>
        <w:t> </w:t>
      </w:r>
      <w:r>
        <w:rPr>
          <w:vertAlign w:val="baseline"/>
        </w:rPr>
        <w:t>good</w:t>
      </w:r>
      <w:r>
        <w:rPr>
          <w:spacing w:val="-1"/>
          <w:vertAlign w:val="baseline"/>
        </w:rPr>
        <w:t> </w:t>
      </w:r>
      <w:r>
        <w:rPr>
          <w:vertAlign w:val="baseline"/>
        </w:rPr>
        <w:t>faith</w:t>
      </w:r>
      <w:r>
        <w:rPr>
          <w:spacing w:val="-1"/>
          <w:vertAlign w:val="baseline"/>
        </w:rPr>
        <w:t> </w:t>
      </w:r>
      <w:r>
        <w:rPr>
          <w:vertAlign w:val="baseline"/>
        </w:rPr>
        <w:t>(a</w:t>
      </w:r>
      <w:r>
        <w:rPr>
          <w:spacing w:val="-1"/>
          <w:vertAlign w:val="baseline"/>
        </w:rPr>
        <w:t> </w:t>
      </w:r>
      <w:r>
        <w:rPr>
          <w:vertAlign w:val="baseline"/>
        </w:rPr>
        <w:t>“lock-</w:t>
      </w:r>
      <w:r>
        <w:rPr>
          <w:vertAlign w:val="baseline"/>
        </w:rPr>
        <w:t>in” agreement) because, as Lord Ackner stated, “the concept of a duty to carry on negotiations in good faith is inherently repugnant to the adversarial position of the parties when involved in negotiations … [and] … unworkable in practice.” </w:t>
      </w:r>
      <w:r>
        <w:rPr>
          <w:color w:val="005DA1"/>
          <w:u w:val="single" w:color="005DA1"/>
          <w:vertAlign w:val="superscript"/>
        </w:rPr>
        <w:t>1150</w:t>
      </w:r>
      <w:r>
        <w:rPr>
          <w:color w:val="005DA1"/>
          <w:vertAlign w:val="baseline"/>
        </w:rPr>
        <w:t> </w:t>
      </w:r>
      <w:r>
        <w:rPr>
          <w:vertAlign w:val="baseline"/>
        </w:rPr>
        <w:t>Hence, an </w:t>
      </w:r>
      <w:r>
        <w:rPr>
          <w:rFonts w:ascii="Arial" w:hAnsi="Arial"/>
          <w:i/>
          <w:vertAlign w:val="baseline"/>
        </w:rPr>
        <w:t>express </w:t>
      </w:r>
      <w:r>
        <w:rPr>
          <w:vertAlign w:val="baseline"/>
        </w:rPr>
        <w:t>term requiring negotiations in good faith is also unenforceable. However, the defendant’s promise to terminate negotiations with any third party amounted to a misrepresentation for which an award of £700 for wasted expenditure was given and this was not challenged on appeal.</w:t>
      </w:r>
    </w:p>
    <w:p>
      <w:pPr>
        <w:pStyle w:val="BodyText"/>
      </w:pPr>
    </w:p>
    <w:p>
      <w:pPr>
        <w:pStyle w:val="BodyText"/>
        <w:spacing w:before="36"/>
      </w:pPr>
    </w:p>
    <w:p>
      <w:pPr>
        <w:spacing w:before="0"/>
        <w:ind w:left="165" w:right="0" w:firstLine="0"/>
        <w:jc w:val="left"/>
        <w:rPr>
          <w:rFonts w:ascii="Arial"/>
          <w:b/>
          <w:sz w:val="18"/>
        </w:rPr>
      </w:pPr>
      <w:r>
        <w:rPr>
          <w:rFonts w:ascii="Arial"/>
          <w:b/>
          <w:sz w:val="18"/>
        </w:rPr>
        <w:t>Lock-out </w:t>
      </w:r>
      <w:r>
        <w:rPr>
          <w:rFonts w:ascii="Arial"/>
          <w:b/>
          <w:spacing w:val="-2"/>
          <w:sz w:val="18"/>
        </w:rPr>
        <w:t>agreements</w:t>
      </w:r>
    </w:p>
    <w:p>
      <w:pPr>
        <w:pStyle w:val="BodyText"/>
        <w:spacing w:before="41"/>
        <w:rPr>
          <w:rFonts w:ascii="Arial"/>
          <w:b/>
          <w:sz w:val="18"/>
        </w:rPr>
      </w:pPr>
    </w:p>
    <w:p>
      <w:pPr>
        <w:pStyle w:val="Heading2"/>
        <w:spacing w:before="1"/>
      </w:pPr>
      <w:r>
        <w:rPr/>
        <w:t>2-</w:t>
      </w:r>
      <w:r>
        <w:rPr>
          <w:spacing w:val="-5"/>
        </w:rPr>
        <w:t>214</w:t>
      </w:r>
    </w:p>
    <w:p>
      <w:pPr>
        <w:pStyle w:val="BodyText"/>
        <w:spacing w:line="235" w:lineRule="auto" w:before="202"/>
        <w:ind w:left="165" w:right="167"/>
        <w:jc w:val="both"/>
      </w:pPr>
      <w:r>
        <w:rPr/>
        <w:t>The</w:t>
      </w:r>
      <w:r>
        <w:rPr>
          <w:spacing w:val="-1"/>
        </w:rPr>
        <w:t> </w:t>
      </w:r>
      <w:r>
        <w:rPr/>
        <w:t>parties’</w:t>
      </w:r>
      <w:r>
        <w:rPr>
          <w:spacing w:val="-1"/>
        </w:rPr>
        <w:t> </w:t>
      </w:r>
      <w:r>
        <w:rPr/>
        <w:t>freedom</w:t>
      </w:r>
      <w:r>
        <w:rPr>
          <w:spacing w:val="-1"/>
        </w:rPr>
        <w:t> </w:t>
      </w:r>
      <w:r>
        <w:rPr/>
        <w:t>of</w:t>
      </w:r>
      <w:r>
        <w:rPr>
          <w:spacing w:val="-1"/>
        </w:rPr>
        <w:t> </w:t>
      </w:r>
      <w:r>
        <w:rPr/>
        <w:t>action</w:t>
      </w:r>
      <w:r>
        <w:rPr>
          <w:spacing w:val="-1"/>
        </w:rPr>
        <w:t> </w:t>
      </w:r>
      <w:r>
        <w:rPr/>
        <w:t>in</w:t>
      </w:r>
      <w:r>
        <w:rPr>
          <w:spacing w:val="-1"/>
        </w:rPr>
        <w:t> </w:t>
      </w:r>
      <w:r>
        <w:rPr/>
        <w:t>the</w:t>
      </w:r>
      <w:r>
        <w:rPr>
          <w:spacing w:val="-1"/>
        </w:rPr>
        <w:t> </w:t>
      </w:r>
      <w:r>
        <w:rPr/>
        <w:t>negotiation</w:t>
      </w:r>
      <w:r>
        <w:rPr>
          <w:spacing w:val="-1"/>
        </w:rPr>
        <w:t> </w:t>
      </w:r>
      <w:r>
        <w:rPr/>
        <w:t>period</w:t>
      </w:r>
      <w:r>
        <w:rPr>
          <w:spacing w:val="-1"/>
        </w:rPr>
        <w:t> </w:t>
      </w:r>
      <w:r>
        <w:rPr/>
        <w:t>may</w:t>
      </w:r>
      <w:r>
        <w:rPr>
          <w:spacing w:val="-1"/>
        </w:rPr>
        <w:t> </w:t>
      </w:r>
      <w:r>
        <w:rPr/>
        <w:t>be</w:t>
      </w:r>
      <w:r>
        <w:rPr>
          <w:spacing w:val="-1"/>
        </w:rPr>
        <w:t> </w:t>
      </w:r>
      <w:r>
        <w:rPr/>
        <w:t>restricted</w:t>
      </w:r>
      <w:r>
        <w:rPr>
          <w:spacing w:val="-1"/>
        </w:rPr>
        <w:t> </w:t>
      </w:r>
      <w:r>
        <w:rPr/>
        <w:t>by</w:t>
      </w:r>
      <w:r>
        <w:rPr>
          <w:spacing w:val="-1"/>
        </w:rPr>
        <w:t> </w:t>
      </w:r>
      <w:r>
        <w:rPr/>
        <w:t>a</w:t>
      </w:r>
      <w:r>
        <w:rPr>
          <w:spacing w:val="-1"/>
        </w:rPr>
        <w:t> </w:t>
      </w:r>
      <w:r>
        <w:rPr/>
        <w:t>preliminary</w:t>
      </w:r>
      <w:r>
        <w:rPr>
          <w:spacing w:val="-1"/>
        </w:rPr>
        <w:t> </w:t>
      </w:r>
      <w:r>
        <w:rPr/>
        <w:t>or</w:t>
      </w:r>
      <w:r>
        <w:rPr>
          <w:spacing w:val="-1"/>
        </w:rPr>
        <w:t> </w:t>
      </w:r>
      <w:r>
        <w:rPr/>
        <w:t>collateral contract.</w:t>
      </w:r>
      <w:r>
        <w:rPr>
          <w:spacing w:val="-2"/>
        </w:rPr>
        <w:t> </w:t>
      </w:r>
      <w:r>
        <w:rPr/>
        <w:t>One</w:t>
      </w:r>
      <w:r>
        <w:rPr>
          <w:spacing w:val="-2"/>
        </w:rPr>
        <w:t> </w:t>
      </w:r>
      <w:r>
        <w:rPr/>
        <w:t>instance</w:t>
      </w:r>
      <w:r>
        <w:rPr>
          <w:spacing w:val="-2"/>
        </w:rPr>
        <w:t> </w:t>
      </w:r>
      <w:r>
        <w:rPr/>
        <w:t>of</w:t>
      </w:r>
      <w:r>
        <w:rPr>
          <w:spacing w:val="-2"/>
        </w:rPr>
        <w:t> </w:t>
      </w:r>
      <w:r>
        <w:rPr/>
        <w:t>this</w:t>
      </w:r>
      <w:r>
        <w:rPr>
          <w:spacing w:val="-2"/>
        </w:rPr>
        <w:t> </w:t>
      </w:r>
      <w:r>
        <w:rPr/>
        <w:t>is</w:t>
      </w:r>
      <w:r>
        <w:rPr>
          <w:spacing w:val="-2"/>
        </w:rPr>
        <w:t> </w:t>
      </w:r>
      <w:r>
        <w:rPr/>
        <w:t>a</w:t>
      </w:r>
      <w:r>
        <w:rPr>
          <w:spacing w:val="-2"/>
        </w:rPr>
        <w:t> </w:t>
      </w:r>
      <w:r>
        <w:rPr/>
        <w:t>“lock</w:t>
      </w:r>
      <w:r>
        <w:rPr>
          <w:spacing w:val="-2"/>
        </w:rPr>
        <w:t> </w:t>
      </w:r>
      <w:r>
        <w:rPr/>
        <w:t>out”</w:t>
      </w:r>
      <w:r>
        <w:rPr>
          <w:spacing w:val="-2"/>
        </w:rPr>
        <w:t> </w:t>
      </w:r>
      <w:r>
        <w:rPr/>
        <w:t>agreement</w:t>
      </w:r>
      <w:r>
        <w:rPr>
          <w:spacing w:val="-2"/>
        </w:rPr>
        <w:t> </w:t>
      </w:r>
      <w:r>
        <w:rPr>
          <w:color w:val="005DA1"/>
          <w:u w:val="single" w:color="005DA1"/>
          <w:vertAlign w:val="superscript"/>
        </w:rPr>
        <w:t>1151</w:t>
      </w:r>
      <w:r>
        <w:rPr>
          <w:color w:val="005DA1"/>
          <w:spacing w:val="-2"/>
          <w:vertAlign w:val="baseline"/>
        </w:rPr>
        <w:t> </w:t>
      </w:r>
      <w:r>
        <w:rPr>
          <w:vertAlign w:val="baseline"/>
        </w:rPr>
        <w:t>whereby</w:t>
      </w:r>
      <w:r>
        <w:rPr>
          <w:spacing w:val="-2"/>
          <w:vertAlign w:val="baseline"/>
        </w:rPr>
        <w:t> </w:t>
      </w:r>
      <w:r>
        <w:rPr>
          <w:vertAlign w:val="baseline"/>
        </w:rPr>
        <w:t>one</w:t>
      </w:r>
      <w:r>
        <w:rPr>
          <w:spacing w:val="-2"/>
          <w:vertAlign w:val="baseline"/>
        </w:rPr>
        <w:t> </w:t>
      </w:r>
      <w:r>
        <w:rPr>
          <w:vertAlign w:val="baseline"/>
        </w:rPr>
        <w:t>party</w:t>
      </w:r>
      <w:r>
        <w:rPr>
          <w:spacing w:val="-2"/>
          <w:vertAlign w:val="baseline"/>
        </w:rPr>
        <w:t> </w:t>
      </w:r>
      <w:r>
        <w:rPr>
          <w:vertAlign w:val="baseline"/>
        </w:rPr>
        <w:t>undertakes</w:t>
      </w:r>
      <w:r>
        <w:rPr>
          <w:spacing w:val="-2"/>
          <w:vertAlign w:val="baseline"/>
        </w:rPr>
        <w:t> </w:t>
      </w:r>
      <w:r>
        <w:rPr>
          <w:vertAlign w:val="baseline"/>
        </w:rPr>
        <w:t>to</w:t>
      </w:r>
      <w:r>
        <w:rPr>
          <w:spacing w:val="-2"/>
          <w:vertAlign w:val="baseline"/>
        </w:rPr>
        <w:t> </w:t>
      </w:r>
      <w:r>
        <w:rPr>
          <w:vertAlign w:val="baseline"/>
        </w:rPr>
        <w:t>the</w:t>
      </w:r>
      <w:r>
        <w:rPr>
          <w:spacing w:val="-2"/>
          <w:vertAlign w:val="baseline"/>
        </w:rPr>
        <w:t> </w:t>
      </w:r>
      <w:r>
        <w:rPr>
          <w:vertAlign w:val="baseline"/>
        </w:rPr>
        <w:t>other not to negotiate a contract with a third party in respect of a particular subject matter. The “lock out” agreement must be sufficiently certain as to duration. This was not the case in </w:t>
      </w:r>
      <w:r>
        <w:rPr>
          <w:rFonts w:ascii="Arial" w:hAnsi="Arial"/>
          <w:i/>
          <w:vertAlign w:val="baseline"/>
        </w:rPr>
        <w:t>Walford v Miles </w:t>
      </w:r>
      <w:r>
        <w:rPr>
          <w:color w:val="005DA1"/>
          <w:u w:val="single" w:color="005DA1"/>
          <w:vertAlign w:val="superscript"/>
        </w:rPr>
        <w:t>1152</w:t>
      </w:r>
      <w:r>
        <w:rPr>
          <w:color w:val="005DA1"/>
          <w:vertAlign w:val="baseline"/>
        </w:rPr>
        <w:t> </w:t>
      </w:r>
      <w:r>
        <w:rPr>
          <w:vertAlign w:val="baseline"/>
        </w:rPr>
        <w:t>because the agreement failed to specify the time for which the vendor’s freedom to negotiate with</w:t>
      </w:r>
      <w:r>
        <w:rPr>
          <w:spacing w:val="40"/>
          <w:vertAlign w:val="baseline"/>
        </w:rPr>
        <w:t> </w:t>
      </w:r>
      <w:r>
        <w:rPr>
          <w:vertAlign w:val="baseline"/>
        </w:rPr>
        <w:t>third parties was to be restricted. In contrast, a promise not to negotiate with third parties for two weeks was sufficiently certain to enforce in </w:t>
      </w:r>
      <w:r>
        <w:rPr>
          <w:rFonts w:ascii="Arial" w:hAnsi="Arial"/>
          <w:i/>
          <w:vertAlign w:val="baseline"/>
        </w:rPr>
        <w:t>Pitt v PHH Asset Management Ltd</w:t>
      </w:r>
      <w:r>
        <w:rPr>
          <w:vertAlign w:val="baseline"/>
        </w:rPr>
        <w:t>. </w:t>
      </w:r>
      <w:r>
        <w:rPr>
          <w:color w:val="005DA1"/>
          <w:u w:val="single" w:color="005DA1"/>
          <w:vertAlign w:val="superscript"/>
        </w:rPr>
        <w:t>1153</w:t>
      </w:r>
    </w:p>
    <w:p>
      <w:pPr>
        <w:pStyle w:val="BodyText"/>
      </w:pPr>
    </w:p>
    <w:p>
      <w:pPr>
        <w:pStyle w:val="BodyText"/>
        <w:spacing w:before="36"/>
      </w:pPr>
    </w:p>
    <w:p>
      <w:pPr>
        <w:spacing w:before="0"/>
        <w:ind w:left="165" w:right="0" w:firstLine="0"/>
        <w:jc w:val="left"/>
        <w:rPr>
          <w:rFonts w:ascii="Arial"/>
          <w:b/>
          <w:sz w:val="18"/>
        </w:rPr>
      </w:pPr>
      <w:r>
        <w:rPr>
          <w:rFonts w:ascii="Arial"/>
          <w:b/>
          <w:sz w:val="18"/>
        </w:rPr>
        <w:t>Collateral </w:t>
      </w:r>
      <w:r>
        <w:rPr>
          <w:rFonts w:ascii="Arial"/>
          <w:b/>
          <w:spacing w:val="-2"/>
          <w:sz w:val="18"/>
        </w:rPr>
        <w:t>contract</w:t>
      </w:r>
    </w:p>
    <w:p>
      <w:pPr>
        <w:pStyle w:val="BodyText"/>
        <w:spacing w:before="41"/>
        <w:rPr>
          <w:rFonts w:ascii="Arial"/>
          <w:b/>
          <w:sz w:val="18"/>
        </w:rPr>
      </w:pPr>
    </w:p>
    <w:p>
      <w:pPr>
        <w:pStyle w:val="Heading2"/>
      </w:pPr>
      <w:r>
        <w:rPr/>
        <w:t>2-</w:t>
      </w:r>
      <w:r>
        <w:rPr>
          <w:spacing w:val="-5"/>
        </w:rPr>
        <w:t>215</w:t>
      </w:r>
    </w:p>
    <w:p>
      <w:pPr>
        <w:pStyle w:val="Heading2"/>
        <w:spacing w:after="0"/>
        <w:sectPr>
          <w:headerReference w:type="default" r:id="rId32"/>
          <w:pgSz w:w="11900" w:h="16840"/>
          <w:pgMar w:header="971" w:footer="0" w:top="1300" w:bottom="280" w:left="1275" w:right="1275"/>
          <w:pgNumType w:start="1"/>
        </w:sectPr>
      </w:pPr>
    </w:p>
    <w:p>
      <w:pPr>
        <w:pStyle w:val="BodyText"/>
        <w:spacing w:line="232" w:lineRule="auto" w:before="212"/>
        <w:ind w:left="164" w:right="167"/>
        <w:jc w:val="both"/>
        <w:rPr>
          <w:sz w:val="12"/>
        </w:rPr>
      </w:pPr>
      <w:bookmarkStart w:name="_bookmark1852" w:id="1854"/>
      <w:bookmarkEnd w:id="1854"/>
      <w:r>
        <w:rPr/>
      </w:r>
      <w:r>
        <w:rPr/>
        <w:t>The courts have been prepared to find other collateral contracts to preserve the integrity of </w:t>
      </w:r>
      <w:r>
        <w:rPr/>
        <w:t>the negotiation process. For example, a refusal to accept the highest bid in an auction will generally attract no liability. </w:t>
      </w:r>
      <w:r>
        <w:rPr>
          <w:color w:val="005DA1"/>
          <w:u w:val="single" w:color="005DA1"/>
          <w:vertAlign w:val="superscript"/>
        </w:rPr>
        <w:t>1154</w:t>
      </w:r>
      <w:r>
        <w:rPr>
          <w:color w:val="005DA1"/>
          <w:vertAlign w:val="baseline"/>
        </w:rPr>
        <w:t> </w:t>
      </w:r>
      <w:r>
        <w:rPr>
          <w:vertAlign w:val="baseline"/>
        </w:rPr>
        <w:t>But where the auction is “without reserve”, it has been held that the </w:t>
      </w:r>
      <w:r>
        <w:rPr>
          <w:rFonts w:ascii="Arial" w:hAnsi="Arial"/>
          <w:i/>
          <w:vertAlign w:val="baseline"/>
        </w:rPr>
        <w:t>auctioneer </w:t>
      </w:r>
      <w:r>
        <w:rPr>
          <w:vertAlign w:val="baseline"/>
        </w:rPr>
        <w:t>is liable on a collateral contract between him and the highest bidder that the sale will be without reserve. </w:t>
      </w:r>
      <w:r>
        <w:rPr>
          <w:color w:val="005DA1"/>
          <w:u w:val="single" w:color="005DA1"/>
          <w:vertAlign w:val="superscript"/>
        </w:rPr>
        <w:t>1155</w:t>
      </w:r>
      <w:r>
        <w:rPr>
          <w:color w:val="005DA1"/>
          <w:vertAlign w:val="baseline"/>
        </w:rPr>
        <w:t> </w:t>
      </w:r>
      <w:r>
        <w:rPr>
          <w:vertAlign w:val="baseline"/>
        </w:rPr>
        <w:t>Likewise, an invitation to tender does not bind the party inviting the tender to accept the highest (or lowest, as the case may be) tender. But if the latter does so bind himself, the invitation for tenders may be regarded </w:t>
      </w:r>
      <w:r>
        <w:rPr>
          <w:rFonts w:ascii="Arial" w:hAnsi="Arial"/>
          <w:i/>
          <w:vertAlign w:val="baseline"/>
        </w:rPr>
        <w:t>either </w:t>
      </w:r>
      <w:r>
        <w:rPr>
          <w:vertAlign w:val="baseline"/>
        </w:rPr>
        <w:t>as itself an offer </w:t>
      </w:r>
      <w:r>
        <w:rPr>
          <w:rFonts w:ascii="Arial" w:hAnsi="Arial"/>
          <w:i/>
          <w:vertAlign w:val="baseline"/>
        </w:rPr>
        <w:t>or </w:t>
      </w:r>
      <w:r>
        <w:rPr>
          <w:vertAlign w:val="baseline"/>
        </w:rPr>
        <w:t>as an invitation to submit offers coupled with an undertaking to accept the highest (or, as the case may be, the lowest) offer; and the contract is concluded</w:t>
      </w:r>
      <w:r>
        <w:rPr>
          <w:spacing w:val="-2"/>
          <w:vertAlign w:val="baseline"/>
        </w:rPr>
        <w:t> </w:t>
      </w:r>
      <w:r>
        <w:rPr>
          <w:vertAlign w:val="baseline"/>
        </w:rPr>
        <w:t>as</w:t>
      </w:r>
      <w:r>
        <w:rPr>
          <w:spacing w:val="-2"/>
          <w:vertAlign w:val="baseline"/>
        </w:rPr>
        <w:t> </w:t>
      </w:r>
      <w:r>
        <w:rPr>
          <w:vertAlign w:val="baseline"/>
        </w:rPr>
        <w:t>soon</w:t>
      </w:r>
      <w:r>
        <w:rPr>
          <w:spacing w:val="-2"/>
          <w:vertAlign w:val="baseline"/>
        </w:rPr>
        <w:t> </w:t>
      </w:r>
      <w:r>
        <w:rPr>
          <w:vertAlign w:val="baseline"/>
        </w:rPr>
        <w:t>as</w:t>
      </w:r>
      <w:r>
        <w:rPr>
          <w:spacing w:val="-2"/>
          <w:vertAlign w:val="baseline"/>
        </w:rPr>
        <w:t> </w:t>
      </w:r>
      <w:r>
        <w:rPr>
          <w:vertAlign w:val="baseline"/>
        </w:rPr>
        <w:t>the</w:t>
      </w:r>
      <w:r>
        <w:rPr>
          <w:spacing w:val="-2"/>
          <w:vertAlign w:val="baseline"/>
        </w:rPr>
        <w:t> </w:t>
      </w:r>
      <w:r>
        <w:rPr>
          <w:vertAlign w:val="baseline"/>
        </w:rPr>
        <w:t>highest</w:t>
      </w:r>
      <w:r>
        <w:rPr>
          <w:spacing w:val="-2"/>
          <w:vertAlign w:val="baseline"/>
        </w:rPr>
        <w:t> </w:t>
      </w:r>
      <w:r>
        <w:rPr>
          <w:vertAlign w:val="baseline"/>
        </w:rPr>
        <w:t>offer</w:t>
      </w:r>
      <w:r>
        <w:rPr>
          <w:spacing w:val="-2"/>
          <w:vertAlign w:val="baseline"/>
        </w:rPr>
        <w:t> </w:t>
      </w:r>
      <w:r>
        <w:rPr>
          <w:vertAlign w:val="baseline"/>
        </w:rPr>
        <w:t>to</w:t>
      </w:r>
      <w:r>
        <w:rPr>
          <w:spacing w:val="-2"/>
          <w:vertAlign w:val="baseline"/>
        </w:rPr>
        <w:t> </w:t>
      </w:r>
      <w:r>
        <w:rPr>
          <w:vertAlign w:val="baseline"/>
        </w:rPr>
        <w:t>buy</w:t>
      </w:r>
      <w:r>
        <w:rPr>
          <w:spacing w:val="-2"/>
          <w:vertAlign w:val="baseline"/>
        </w:rPr>
        <w:t> </w:t>
      </w:r>
      <w:r>
        <w:rPr>
          <w:vertAlign w:val="baseline"/>
        </w:rPr>
        <w:t>(or</w:t>
      </w:r>
      <w:r>
        <w:rPr>
          <w:spacing w:val="-2"/>
          <w:vertAlign w:val="baseline"/>
        </w:rPr>
        <w:t> </w:t>
      </w:r>
      <w:r>
        <w:rPr>
          <w:vertAlign w:val="baseline"/>
        </w:rPr>
        <w:t>lowest</w:t>
      </w:r>
      <w:r>
        <w:rPr>
          <w:spacing w:val="-2"/>
          <w:vertAlign w:val="baseline"/>
        </w:rPr>
        <w:t> </w:t>
      </w:r>
      <w:r>
        <w:rPr>
          <w:vertAlign w:val="baseline"/>
        </w:rPr>
        <w:t>offer</w:t>
      </w:r>
      <w:r>
        <w:rPr>
          <w:spacing w:val="-2"/>
          <w:vertAlign w:val="baseline"/>
        </w:rPr>
        <w:t> </w:t>
      </w:r>
      <w:r>
        <w:rPr>
          <w:vertAlign w:val="baseline"/>
        </w:rPr>
        <w:t>to</w:t>
      </w:r>
      <w:r>
        <w:rPr>
          <w:spacing w:val="-2"/>
          <w:vertAlign w:val="baseline"/>
        </w:rPr>
        <w:t> </w:t>
      </w:r>
      <w:r>
        <w:rPr>
          <w:vertAlign w:val="baseline"/>
        </w:rPr>
        <w:t>sell,</w:t>
      </w:r>
      <w:r>
        <w:rPr>
          <w:spacing w:val="-2"/>
          <w:vertAlign w:val="baseline"/>
        </w:rPr>
        <w:t> </w:t>
      </w:r>
      <w:r>
        <w:rPr>
          <w:vertAlign w:val="baseline"/>
        </w:rPr>
        <w:t>etc.)</w:t>
      </w:r>
      <w:r>
        <w:rPr>
          <w:spacing w:val="-2"/>
          <w:vertAlign w:val="baseline"/>
        </w:rPr>
        <w:t> </w:t>
      </w:r>
      <w:r>
        <w:rPr>
          <w:vertAlign w:val="baseline"/>
        </w:rPr>
        <w:t>is</w:t>
      </w:r>
      <w:r>
        <w:rPr>
          <w:spacing w:val="-2"/>
          <w:vertAlign w:val="baseline"/>
        </w:rPr>
        <w:t> </w:t>
      </w:r>
      <w:r>
        <w:rPr>
          <w:vertAlign w:val="baseline"/>
        </w:rPr>
        <w:t>communicated.</w:t>
      </w:r>
      <w:r>
        <w:rPr>
          <w:spacing w:val="-3"/>
          <w:vertAlign w:val="baseline"/>
        </w:rPr>
        <w:t> </w:t>
      </w:r>
      <w:r>
        <w:rPr>
          <w:color w:val="005DA1"/>
          <w:u w:val="single" w:color="005DA1"/>
          <w:vertAlign w:val="superscript"/>
        </w:rPr>
        <w:t>1156</w:t>
      </w:r>
      <w:r>
        <w:rPr>
          <w:color w:val="005DA1"/>
          <w:spacing w:val="-2"/>
          <w:vertAlign w:val="baseline"/>
        </w:rPr>
        <w:t> </w:t>
      </w:r>
      <w:r>
        <w:rPr>
          <w:vertAlign w:val="baseline"/>
        </w:rPr>
        <w:t>Along the same lines, in </w:t>
      </w:r>
      <w:r>
        <w:rPr>
          <w:rFonts w:ascii="Arial" w:hAnsi="Arial"/>
          <w:i/>
          <w:vertAlign w:val="baseline"/>
        </w:rPr>
        <w:t>Blackpool and Fylde Aero Club Ltd v Blackpool BC</w:t>
      </w:r>
      <w:r>
        <w:rPr>
          <w:vertAlign w:val="baseline"/>
        </w:rPr>
        <w:t>, </w:t>
      </w:r>
      <w:r>
        <w:rPr>
          <w:color w:val="005DA1"/>
          <w:u w:val="single" w:color="005DA1"/>
          <w:vertAlign w:val="superscript"/>
        </w:rPr>
        <w:t>1157</w:t>
      </w:r>
      <w:r>
        <w:rPr>
          <w:color w:val="005DA1"/>
          <w:vertAlign w:val="baseline"/>
        </w:rPr>
        <w:t> </w:t>
      </w:r>
      <w:r>
        <w:rPr>
          <w:vertAlign w:val="baseline"/>
        </w:rPr>
        <w:t>where an invitation to tender was sent by a local authority to seven selected parties stating that tenders submitted after a specified deadline would not be considered, it was held that the authority was contractually bound to consider (though not to accept) a tender submitted before the deadline. Where, before the main contract has been concluded, one party has embarked on preliminary work or performance of the main agreement, the court may find a collateral contract to the effect that such work would be paid</w:t>
      </w:r>
      <w:r>
        <w:rPr>
          <w:spacing w:val="80"/>
          <w:vertAlign w:val="baseline"/>
        </w:rPr>
        <w:t> </w:t>
      </w:r>
      <w:r>
        <w:rPr>
          <w:position w:val="-9"/>
          <w:vertAlign w:val="baseline"/>
        </w:rPr>
        <w:t>for. </w:t>
      </w:r>
      <w:r>
        <w:rPr>
          <w:color w:val="005DA1"/>
          <w:sz w:val="12"/>
          <w:u w:val="single" w:color="005DA1"/>
          <w:vertAlign w:val="baseline"/>
        </w:rPr>
        <w:t>1158</w:t>
      </w:r>
    </w:p>
    <w:p>
      <w:pPr>
        <w:pStyle w:val="BodyText"/>
      </w:pPr>
    </w:p>
    <w:p>
      <w:pPr>
        <w:pStyle w:val="BodyText"/>
        <w:spacing w:before="44"/>
      </w:pPr>
      <w:r>
        <w:rPr/>
        <mc:AlternateContent>
          <mc:Choice Requires="wps">
            <w:drawing>
              <wp:anchor distT="0" distB="0" distL="0" distR="0" allowOverlap="1" layoutInCell="1" locked="0" behindDoc="1" simplePos="0" relativeHeight="487625728">
                <wp:simplePos x="0" y="0"/>
                <wp:positionH relativeFrom="page">
                  <wp:posOffset>914400</wp:posOffset>
                </wp:positionH>
                <wp:positionV relativeFrom="paragraph">
                  <wp:posOffset>189315</wp:posOffset>
                </wp:positionV>
                <wp:extent cx="5724525" cy="1270"/>
                <wp:effectExtent l="0" t="0" r="0" b="0"/>
                <wp:wrapTopAndBottom/>
                <wp:docPr id="150" name="Graphic 150"/>
                <wp:cNvGraphicFramePr>
                  <a:graphicFrameLocks/>
                </wp:cNvGraphicFramePr>
                <a:graphic>
                  <a:graphicData uri="http://schemas.microsoft.com/office/word/2010/wordprocessingShape">
                    <wps:wsp>
                      <wps:cNvPr id="150" name="Graphic 150"/>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906727pt;width:450.75pt;height:.1pt;mso-position-horizontal-relative:page;mso-position-vertical-relative:paragraph;z-index:-15690752;mso-wrap-distance-left:0;mso-wrap-distance-right:0" id="docshape53" coordorigin="1440,298" coordsize="9015,0" path="m1440,298l10454,298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344" w:hRule="atLeast"/>
        </w:trPr>
        <w:tc>
          <w:tcPr>
            <w:tcW w:w="496" w:type="dxa"/>
          </w:tcPr>
          <w:p>
            <w:pPr>
              <w:pStyle w:val="TableParagraph"/>
              <w:spacing w:before="0"/>
              <w:jc w:val="center"/>
              <w:rPr>
                <w:sz w:val="14"/>
              </w:rPr>
            </w:pPr>
            <w:r>
              <w:rPr>
                <w:color w:val="005DA1"/>
                <w:spacing w:val="-2"/>
                <w:sz w:val="14"/>
                <w:u w:val="single" w:color="005DA1"/>
              </w:rPr>
              <w:t>1148</w:t>
            </w:r>
            <w:r>
              <w:rPr>
                <w:spacing w:val="-2"/>
                <w:sz w:val="14"/>
              </w:rPr>
              <w:t>.</w:t>
            </w:r>
          </w:p>
        </w:tc>
        <w:tc>
          <w:tcPr>
            <w:tcW w:w="8620" w:type="dxa"/>
          </w:tcPr>
          <w:p>
            <w:pPr>
              <w:pStyle w:val="TableParagraph"/>
              <w:spacing w:line="223" w:lineRule="exact" w:before="0"/>
              <w:ind w:left="94" w:right="0"/>
              <w:rPr>
                <w:sz w:val="20"/>
              </w:rPr>
            </w:pPr>
            <w:r>
              <w:rPr>
                <w:sz w:val="20"/>
              </w:rPr>
              <w:t>See above paras 2-208—2-</w:t>
            </w:r>
            <w:r>
              <w:rPr>
                <w:spacing w:val="-4"/>
                <w:sz w:val="20"/>
              </w:rPr>
              <w:t>209.</w:t>
            </w:r>
          </w:p>
        </w:tc>
      </w:tr>
      <w:tr>
        <w:trPr>
          <w:trHeight w:val="690" w:hRule="atLeast"/>
        </w:trPr>
        <w:tc>
          <w:tcPr>
            <w:tcW w:w="496" w:type="dxa"/>
          </w:tcPr>
          <w:p>
            <w:pPr>
              <w:pStyle w:val="TableParagraph"/>
              <w:jc w:val="center"/>
              <w:rPr>
                <w:sz w:val="14"/>
              </w:rPr>
            </w:pPr>
            <w:r>
              <w:rPr>
                <w:color w:val="005DA1"/>
                <w:spacing w:val="-2"/>
                <w:sz w:val="14"/>
                <w:u w:val="single" w:color="005DA1"/>
              </w:rPr>
              <w:t>1149</w:t>
            </w:r>
            <w:r>
              <w:rPr>
                <w:spacing w:val="-2"/>
                <w:sz w:val="14"/>
              </w:rPr>
              <w:t>.</w:t>
            </w:r>
          </w:p>
        </w:tc>
        <w:tc>
          <w:tcPr>
            <w:tcW w:w="8620" w:type="dxa"/>
          </w:tcPr>
          <w:p>
            <w:pPr>
              <w:pStyle w:val="TableParagraph"/>
              <w:spacing w:line="235" w:lineRule="auto" w:before="118"/>
              <w:ind w:left="94" w:right="0"/>
              <w:rPr>
                <w:sz w:val="20"/>
              </w:rPr>
            </w:pPr>
            <w:r>
              <w:rPr>
                <w:rFonts w:ascii="Arial"/>
                <w:i/>
                <w:sz w:val="20"/>
              </w:rPr>
              <w:t>[1992]</w:t>
            </w:r>
            <w:r>
              <w:rPr>
                <w:rFonts w:ascii="Arial"/>
                <w:i/>
                <w:spacing w:val="20"/>
                <w:sz w:val="20"/>
              </w:rPr>
              <w:t> </w:t>
            </w:r>
            <w:r>
              <w:rPr>
                <w:rFonts w:ascii="Arial"/>
                <w:i/>
                <w:sz w:val="20"/>
              </w:rPr>
              <w:t>2</w:t>
            </w:r>
            <w:r>
              <w:rPr>
                <w:rFonts w:ascii="Arial"/>
                <w:i/>
                <w:spacing w:val="20"/>
                <w:sz w:val="20"/>
              </w:rPr>
              <w:t> </w:t>
            </w:r>
            <w:r>
              <w:rPr>
                <w:rFonts w:ascii="Arial"/>
                <w:i/>
                <w:sz w:val="20"/>
              </w:rPr>
              <w:t>A.C.</w:t>
            </w:r>
            <w:r>
              <w:rPr>
                <w:rFonts w:ascii="Arial"/>
                <w:i/>
                <w:spacing w:val="20"/>
                <w:sz w:val="20"/>
              </w:rPr>
              <w:t> </w:t>
            </w:r>
            <w:r>
              <w:rPr>
                <w:rFonts w:ascii="Arial"/>
                <w:i/>
                <w:sz w:val="20"/>
              </w:rPr>
              <w:t>128,</w:t>
            </w:r>
            <w:r>
              <w:rPr>
                <w:rFonts w:ascii="Arial"/>
                <w:i/>
                <w:spacing w:val="20"/>
                <w:sz w:val="20"/>
              </w:rPr>
              <w:t> </w:t>
            </w:r>
            <w:r>
              <w:rPr>
                <w:rFonts w:ascii="Arial"/>
                <w:i/>
                <w:sz w:val="20"/>
              </w:rPr>
              <w:t>138</w:t>
            </w:r>
            <w:r>
              <w:rPr>
                <w:sz w:val="20"/>
              </w:rPr>
              <w:t>;</w:t>
            </w:r>
            <w:r>
              <w:rPr>
                <w:spacing w:val="20"/>
                <w:sz w:val="20"/>
              </w:rPr>
              <w:t> </w:t>
            </w:r>
            <w:r>
              <w:rPr>
                <w:rFonts w:ascii="Arial"/>
                <w:i/>
                <w:sz w:val="20"/>
              </w:rPr>
              <w:t>Knatchbull-Hugessen</w:t>
            </w:r>
            <w:r>
              <w:rPr>
                <w:rFonts w:ascii="Arial"/>
                <w:i/>
                <w:spacing w:val="20"/>
                <w:sz w:val="20"/>
              </w:rPr>
              <w:t> </w:t>
            </w:r>
            <w:r>
              <w:rPr>
                <w:rFonts w:ascii="Arial"/>
                <w:i/>
                <w:sz w:val="20"/>
              </w:rPr>
              <w:t>v</w:t>
            </w:r>
            <w:r>
              <w:rPr>
                <w:rFonts w:ascii="Arial"/>
                <w:i/>
                <w:spacing w:val="20"/>
                <w:sz w:val="20"/>
              </w:rPr>
              <w:t> </w:t>
            </w:r>
            <w:r>
              <w:rPr>
                <w:rFonts w:ascii="Arial"/>
                <w:i/>
                <w:sz w:val="20"/>
              </w:rPr>
              <w:t>SISU</w:t>
            </w:r>
            <w:r>
              <w:rPr>
                <w:rFonts w:ascii="Arial"/>
                <w:i/>
                <w:spacing w:val="20"/>
                <w:sz w:val="20"/>
              </w:rPr>
              <w:t> </w:t>
            </w:r>
            <w:r>
              <w:rPr>
                <w:rFonts w:ascii="Arial"/>
                <w:i/>
                <w:sz w:val="20"/>
              </w:rPr>
              <w:t>Capital</w:t>
            </w:r>
            <w:r>
              <w:rPr>
                <w:rFonts w:ascii="Arial"/>
                <w:i/>
                <w:spacing w:val="20"/>
                <w:sz w:val="20"/>
              </w:rPr>
              <w:t> </w:t>
            </w:r>
            <w:r>
              <w:rPr>
                <w:rFonts w:ascii="Arial"/>
                <w:i/>
                <w:sz w:val="20"/>
              </w:rPr>
              <w:t>Ltd</w:t>
            </w:r>
            <w:r>
              <w:rPr>
                <w:rFonts w:ascii="Arial"/>
                <w:i/>
                <w:spacing w:val="20"/>
                <w:sz w:val="20"/>
              </w:rPr>
              <w:t> </w:t>
            </w:r>
            <w:r>
              <w:rPr>
                <w:rFonts w:ascii="Arial"/>
                <w:i/>
                <w:sz w:val="20"/>
              </w:rPr>
              <w:t>[2014]</w:t>
            </w:r>
            <w:r>
              <w:rPr>
                <w:rFonts w:ascii="Arial"/>
                <w:i/>
                <w:spacing w:val="20"/>
                <w:sz w:val="20"/>
              </w:rPr>
              <w:t> </w:t>
            </w:r>
            <w:r>
              <w:rPr>
                <w:rFonts w:ascii="Arial"/>
                <w:i/>
                <w:sz w:val="20"/>
              </w:rPr>
              <w:t>EWHC</w:t>
            </w:r>
            <w:r>
              <w:rPr>
                <w:rFonts w:ascii="Arial"/>
                <w:i/>
                <w:spacing w:val="20"/>
                <w:sz w:val="20"/>
              </w:rPr>
              <w:t> </w:t>
            </w:r>
            <w:r>
              <w:rPr>
                <w:rFonts w:ascii="Arial"/>
                <w:i/>
                <w:sz w:val="20"/>
              </w:rPr>
              <w:t>1194 </w:t>
            </w:r>
            <w:r>
              <w:rPr>
                <w:sz w:val="20"/>
              </w:rPr>
              <w:t>at</w:t>
            </w:r>
            <w:r>
              <w:rPr>
                <w:spacing w:val="20"/>
                <w:sz w:val="20"/>
              </w:rPr>
              <w:t> </w:t>
            </w:r>
            <w:r>
              <w:rPr>
                <w:sz w:val="20"/>
              </w:rPr>
              <w:t>[10]. See above para.2-143.</w:t>
            </w:r>
          </w:p>
        </w:tc>
      </w:tr>
      <w:tr>
        <w:trPr>
          <w:trHeight w:val="690" w:hRule="atLeast"/>
        </w:trPr>
        <w:tc>
          <w:tcPr>
            <w:tcW w:w="496" w:type="dxa"/>
          </w:tcPr>
          <w:p>
            <w:pPr>
              <w:pStyle w:val="TableParagraph"/>
              <w:jc w:val="center"/>
              <w:rPr>
                <w:sz w:val="14"/>
              </w:rPr>
            </w:pPr>
            <w:r>
              <w:rPr>
                <w:color w:val="005DA1"/>
                <w:spacing w:val="-2"/>
                <w:sz w:val="14"/>
                <w:u w:val="single" w:color="005DA1"/>
              </w:rPr>
              <w:t>1150</w:t>
            </w:r>
            <w:r>
              <w:rPr>
                <w:spacing w:val="-2"/>
                <w:sz w:val="14"/>
              </w:rPr>
              <w:t>.</w:t>
            </w:r>
          </w:p>
        </w:tc>
        <w:tc>
          <w:tcPr>
            <w:tcW w:w="8620" w:type="dxa"/>
          </w:tcPr>
          <w:p>
            <w:pPr>
              <w:pStyle w:val="TableParagraph"/>
              <w:spacing w:line="235" w:lineRule="auto" w:before="118"/>
              <w:ind w:left="94" w:right="0"/>
              <w:rPr>
                <w:sz w:val="20"/>
              </w:rPr>
            </w:pPr>
            <w:r>
              <w:rPr>
                <w:rFonts w:ascii="Arial" w:hAnsi="Arial"/>
                <w:i/>
                <w:sz w:val="20"/>
              </w:rPr>
              <w:t>[1992] 2 A.C. 128, 138</w:t>
            </w:r>
            <w:r>
              <w:rPr>
                <w:sz w:val="20"/>
              </w:rPr>
              <w:t>. The agreement was also held to be unenforceable on the grounds of</w:t>
            </w:r>
            <w:r>
              <w:rPr>
                <w:spacing w:val="80"/>
                <w:sz w:val="20"/>
              </w:rPr>
              <w:t> </w:t>
            </w:r>
            <w:r>
              <w:rPr>
                <w:sz w:val="20"/>
              </w:rPr>
              <w:t>uncertainty, see above, paras 2-143—2-145.</w:t>
            </w:r>
          </w:p>
        </w:tc>
      </w:tr>
      <w:tr>
        <w:trPr>
          <w:trHeight w:val="465" w:hRule="atLeast"/>
        </w:trPr>
        <w:tc>
          <w:tcPr>
            <w:tcW w:w="496" w:type="dxa"/>
          </w:tcPr>
          <w:p>
            <w:pPr>
              <w:pStyle w:val="TableParagraph"/>
              <w:jc w:val="center"/>
              <w:rPr>
                <w:sz w:val="14"/>
              </w:rPr>
            </w:pPr>
            <w:r>
              <w:rPr>
                <w:color w:val="005DA1"/>
                <w:spacing w:val="-2"/>
                <w:sz w:val="14"/>
                <w:u w:val="single" w:color="005DA1"/>
              </w:rPr>
              <w:t>1151</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128.</w:t>
            </w:r>
          </w:p>
        </w:tc>
      </w:tr>
      <w:tr>
        <w:trPr>
          <w:trHeight w:val="465" w:hRule="atLeast"/>
        </w:trPr>
        <w:tc>
          <w:tcPr>
            <w:tcW w:w="496" w:type="dxa"/>
          </w:tcPr>
          <w:p>
            <w:pPr>
              <w:pStyle w:val="TableParagraph"/>
              <w:jc w:val="center"/>
              <w:rPr>
                <w:sz w:val="14"/>
              </w:rPr>
            </w:pPr>
            <w:r>
              <w:rPr>
                <w:color w:val="005DA1"/>
                <w:spacing w:val="-2"/>
                <w:sz w:val="14"/>
                <w:u w:val="single" w:color="005DA1"/>
              </w:rPr>
              <w:t>1152</w:t>
            </w:r>
            <w:r>
              <w:rPr>
                <w:spacing w:val="-2"/>
                <w:sz w:val="14"/>
              </w:rPr>
              <w:t>.</w:t>
            </w:r>
          </w:p>
        </w:tc>
        <w:tc>
          <w:tcPr>
            <w:tcW w:w="8620" w:type="dxa"/>
          </w:tcPr>
          <w:p>
            <w:pPr>
              <w:pStyle w:val="TableParagraph"/>
              <w:spacing w:before="114"/>
              <w:ind w:left="94" w:right="0"/>
              <w:rPr>
                <w:sz w:val="20"/>
              </w:rPr>
            </w:pPr>
            <w:r>
              <w:rPr>
                <w:rFonts w:ascii="Arial"/>
                <w:i/>
                <w:sz w:val="20"/>
              </w:rPr>
              <w:t>[1992]</w:t>
            </w:r>
            <w:r>
              <w:rPr>
                <w:rFonts w:ascii="Arial"/>
                <w:i/>
                <w:spacing w:val="-1"/>
                <w:sz w:val="20"/>
              </w:rPr>
              <w:t> </w:t>
            </w:r>
            <w:r>
              <w:rPr>
                <w:rFonts w:ascii="Arial"/>
                <w:i/>
                <w:sz w:val="20"/>
              </w:rPr>
              <w:t>2 A.C. 128</w:t>
            </w:r>
            <w:r>
              <w:rPr>
                <w:sz w:val="20"/>
              </w:rPr>
              <w:t>. See further para.2-</w:t>
            </w:r>
            <w:r>
              <w:rPr>
                <w:spacing w:val="-4"/>
                <w:sz w:val="20"/>
              </w:rPr>
              <w:t>143.</w:t>
            </w:r>
          </w:p>
        </w:tc>
      </w:tr>
      <w:tr>
        <w:trPr>
          <w:trHeight w:val="465" w:hRule="atLeast"/>
        </w:trPr>
        <w:tc>
          <w:tcPr>
            <w:tcW w:w="496" w:type="dxa"/>
          </w:tcPr>
          <w:p>
            <w:pPr>
              <w:pStyle w:val="TableParagraph"/>
              <w:jc w:val="center"/>
              <w:rPr>
                <w:sz w:val="14"/>
              </w:rPr>
            </w:pPr>
            <w:r>
              <w:rPr>
                <w:color w:val="005DA1"/>
                <w:spacing w:val="-2"/>
                <w:sz w:val="14"/>
                <w:u w:val="single" w:color="005DA1"/>
              </w:rPr>
              <w:t>1153</w:t>
            </w:r>
            <w:r>
              <w:rPr>
                <w:spacing w:val="-2"/>
                <w:sz w:val="14"/>
              </w:rPr>
              <w:t>.</w:t>
            </w:r>
          </w:p>
        </w:tc>
        <w:tc>
          <w:tcPr>
            <w:tcW w:w="8620" w:type="dxa"/>
          </w:tcPr>
          <w:p>
            <w:pPr>
              <w:pStyle w:val="TableParagraph"/>
              <w:spacing w:before="114"/>
              <w:ind w:left="94" w:right="0"/>
              <w:rPr>
                <w:sz w:val="20"/>
              </w:rPr>
            </w:pPr>
            <w:r>
              <w:rPr>
                <w:rFonts w:ascii="Arial"/>
                <w:i/>
                <w:sz w:val="20"/>
              </w:rPr>
              <w:t>Pitt</w:t>
            </w:r>
            <w:r>
              <w:rPr>
                <w:rFonts w:ascii="Arial"/>
                <w:i/>
                <w:spacing w:val="-1"/>
                <w:sz w:val="20"/>
              </w:rPr>
              <w:t> </w:t>
            </w:r>
            <w:r>
              <w:rPr>
                <w:rFonts w:ascii="Arial"/>
                <w:i/>
                <w:sz w:val="20"/>
              </w:rPr>
              <w:t>v PHH Asset Management Ltd [1994] 1 W.L.R. 327</w:t>
            </w:r>
            <w:r>
              <w:rPr>
                <w:sz w:val="20"/>
              </w:rPr>
              <w:t>; cf. </w:t>
            </w:r>
            <w:r>
              <w:rPr>
                <w:rFonts w:ascii="Arial"/>
                <w:i/>
                <w:sz w:val="20"/>
              </w:rPr>
              <w:t>Tye v House [1997] 2 E.G.L.R. </w:t>
            </w:r>
            <w:r>
              <w:rPr>
                <w:rFonts w:ascii="Arial"/>
                <w:i/>
                <w:spacing w:val="-4"/>
                <w:sz w:val="20"/>
              </w:rPr>
              <w:t>171</w:t>
            </w:r>
            <w:r>
              <w:rPr>
                <w:spacing w:val="-4"/>
                <w:sz w:val="20"/>
              </w:rPr>
              <w:t>.</w:t>
            </w:r>
          </w:p>
        </w:tc>
      </w:tr>
      <w:tr>
        <w:trPr>
          <w:trHeight w:val="690" w:hRule="atLeast"/>
        </w:trPr>
        <w:tc>
          <w:tcPr>
            <w:tcW w:w="496" w:type="dxa"/>
          </w:tcPr>
          <w:p>
            <w:pPr>
              <w:pStyle w:val="TableParagraph"/>
              <w:jc w:val="center"/>
              <w:rPr>
                <w:sz w:val="14"/>
              </w:rPr>
            </w:pPr>
            <w:r>
              <w:rPr>
                <w:color w:val="005DA1"/>
                <w:spacing w:val="-2"/>
                <w:sz w:val="14"/>
                <w:u w:val="single" w:color="005DA1"/>
              </w:rPr>
              <w:t>1154</w:t>
            </w:r>
            <w:r>
              <w:rPr>
                <w:spacing w:val="-2"/>
                <w:sz w:val="14"/>
              </w:rPr>
              <w:t>.</w:t>
            </w:r>
          </w:p>
        </w:tc>
        <w:tc>
          <w:tcPr>
            <w:tcW w:w="8620" w:type="dxa"/>
          </w:tcPr>
          <w:p>
            <w:pPr>
              <w:pStyle w:val="TableParagraph"/>
              <w:spacing w:line="235" w:lineRule="auto" w:before="118"/>
              <w:ind w:left="94" w:right="0"/>
              <w:rPr>
                <w:sz w:val="20"/>
              </w:rPr>
            </w:pPr>
            <w:r>
              <w:rPr>
                <w:sz w:val="20"/>
              </w:rPr>
              <w:t>Because the putting up of property for auction is generally only an invitation to treat, the </w:t>
            </w:r>
            <w:r>
              <w:rPr>
                <w:sz w:val="20"/>
              </w:rPr>
              <w:t>offer</w:t>
            </w:r>
            <w:r>
              <w:rPr>
                <w:spacing w:val="80"/>
                <w:sz w:val="20"/>
              </w:rPr>
              <w:t> </w:t>
            </w:r>
            <w:r>
              <w:rPr>
                <w:sz w:val="20"/>
              </w:rPr>
              <w:t>coming from the bidder which the auctioneer is free to accept or reject, see above para.2-019.</w:t>
            </w:r>
          </w:p>
        </w:tc>
      </w:tr>
      <w:tr>
        <w:trPr>
          <w:trHeight w:val="465" w:hRule="atLeast"/>
        </w:trPr>
        <w:tc>
          <w:tcPr>
            <w:tcW w:w="496" w:type="dxa"/>
          </w:tcPr>
          <w:p>
            <w:pPr>
              <w:pStyle w:val="TableParagraph"/>
              <w:jc w:val="center"/>
              <w:rPr>
                <w:sz w:val="14"/>
              </w:rPr>
            </w:pPr>
            <w:r>
              <w:rPr>
                <w:color w:val="005DA1"/>
                <w:spacing w:val="-2"/>
                <w:sz w:val="14"/>
                <w:u w:val="single" w:color="005DA1"/>
              </w:rPr>
              <w:t>1155</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020.</w:t>
            </w:r>
          </w:p>
        </w:tc>
      </w:tr>
      <w:tr>
        <w:trPr>
          <w:trHeight w:val="465" w:hRule="atLeast"/>
        </w:trPr>
        <w:tc>
          <w:tcPr>
            <w:tcW w:w="496" w:type="dxa"/>
          </w:tcPr>
          <w:p>
            <w:pPr>
              <w:pStyle w:val="TableParagraph"/>
              <w:jc w:val="center"/>
              <w:rPr>
                <w:sz w:val="14"/>
              </w:rPr>
            </w:pPr>
            <w:r>
              <w:rPr>
                <w:color w:val="005DA1"/>
                <w:spacing w:val="-2"/>
                <w:sz w:val="14"/>
                <w:u w:val="single" w:color="005DA1"/>
              </w:rPr>
              <w:t>1156</w:t>
            </w:r>
            <w:r>
              <w:rPr>
                <w:spacing w:val="-2"/>
                <w:sz w:val="14"/>
              </w:rPr>
              <w:t>.</w:t>
            </w:r>
          </w:p>
        </w:tc>
        <w:tc>
          <w:tcPr>
            <w:tcW w:w="8620" w:type="dxa"/>
          </w:tcPr>
          <w:p>
            <w:pPr>
              <w:pStyle w:val="TableParagraph"/>
              <w:spacing w:before="114"/>
              <w:ind w:left="94" w:right="0"/>
              <w:rPr>
                <w:sz w:val="20"/>
              </w:rPr>
            </w:pPr>
            <w:r>
              <w:rPr>
                <w:sz w:val="20"/>
              </w:rPr>
              <w:t>See above, para.2-</w:t>
            </w:r>
            <w:r>
              <w:rPr>
                <w:spacing w:val="-4"/>
                <w:sz w:val="20"/>
              </w:rPr>
              <w:t>022.</w:t>
            </w:r>
          </w:p>
        </w:tc>
      </w:tr>
      <w:tr>
        <w:trPr>
          <w:trHeight w:val="465" w:hRule="atLeast"/>
        </w:trPr>
        <w:tc>
          <w:tcPr>
            <w:tcW w:w="496" w:type="dxa"/>
          </w:tcPr>
          <w:p>
            <w:pPr>
              <w:pStyle w:val="TableParagraph"/>
              <w:jc w:val="center"/>
              <w:rPr>
                <w:sz w:val="14"/>
              </w:rPr>
            </w:pPr>
            <w:r>
              <w:rPr>
                <w:color w:val="005DA1"/>
                <w:spacing w:val="-2"/>
                <w:sz w:val="14"/>
                <w:u w:val="single" w:color="005DA1"/>
              </w:rPr>
              <w:t>1157</w:t>
            </w:r>
            <w:r>
              <w:rPr>
                <w:spacing w:val="-2"/>
                <w:sz w:val="14"/>
              </w:rPr>
              <w:t>.</w:t>
            </w:r>
          </w:p>
        </w:tc>
        <w:tc>
          <w:tcPr>
            <w:tcW w:w="8620" w:type="dxa"/>
          </w:tcPr>
          <w:p>
            <w:pPr>
              <w:pStyle w:val="TableParagraph"/>
              <w:spacing w:before="114"/>
              <w:ind w:left="94" w:right="0"/>
              <w:rPr>
                <w:sz w:val="20"/>
              </w:rPr>
            </w:pPr>
            <w:r>
              <w:rPr>
                <w:rFonts w:ascii="Arial"/>
                <w:i/>
                <w:sz w:val="20"/>
              </w:rPr>
              <w:t>[1990]</w:t>
            </w:r>
            <w:r>
              <w:rPr>
                <w:rFonts w:ascii="Arial"/>
                <w:i/>
                <w:spacing w:val="-1"/>
                <w:sz w:val="20"/>
              </w:rPr>
              <w:t> </w:t>
            </w:r>
            <w:r>
              <w:rPr>
                <w:rFonts w:ascii="Arial"/>
                <w:i/>
                <w:sz w:val="20"/>
              </w:rPr>
              <w:t>1 W.L.R. 25</w:t>
            </w:r>
            <w:r>
              <w:rPr>
                <w:sz w:val="20"/>
              </w:rPr>
              <w:t>. No decision was reached on the quantum of </w:t>
            </w:r>
            <w:r>
              <w:rPr>
                <w:spacing w:val="-2"/>
                <w:sz w:val="20"/>
              </w:rPr>
              <w:t>damages.</w:t>
            </w:r>
          </w:p>
        </w:tc>
      </w:tr>
      <w:tr>
        <w:trPr>
          <w:trHeight w:val="344" w:hRule="atLeast"/>
        </w:trPr>
        <w:tc>
          <w:tcPr>
            <w:tcW w:w="496" w:type="dxa"/>
          </w:tcPr>
          <w:p>
            <w:pPr>
              <w:pStyle w:val="TableParagraph"/>
              <w:jc w:val="center"/>
              <w:rPr>
                <w:sz w:val="14"/>
              </w:rPr>
            </w:pPr>
            <w:r>
              <w:rPr>
                <w:color w:val="005DA1"/>
                <w:spacing w:val="-2"/>
                <w:sz w:val="14"/>
                <w:u w:val="single" w:color="005DA1"/>
              </w:rPr>
              <w:t>1158</w:t>
            </w:r>
            <w:r>
              <w:rPr>
                <w:spacing w:val="-2"/>
                <w:sz w:val="14"/>
              </w:rPr>
              <w:t>.</w:t>
            </w:r>
          </w:p>
        </w:tc>
        <w:tc>
          <w:tcPr>
            <w:tcW w:w="8620" w:type="dxa"/>
          </w:tcPr>
          <w:p>
            <w:pPr>
              <w:pStyle w:val="TableParagraph"/>
              <w:spacing w:line="210" w:lineRule="exact" w:before="114"/>
              <w:ind w:left="94" w:right="0"/>
              <w:rPr>
                <w:sz w:val="20"/>
              </w:rPr>
            </w:pPr>
            <w:r>
              <w:rPr>
                <w:sz w:val="20"/>
              </w:rPr>
              <w:t>See above, paras 2-208, 2-210, 2-</w:t>
            </w:r>
            <w:r>
              <w:rPr>
                <w:spacing w:val="-4"/>
                <w:sz w:val="20"/>
              </w:rPr>
              <w:t>212.</w:t>
            </w:r>
          </w:p>
        </w:tc>
      </w:tr>
    </w:tbl>
    <w:p>
      <w:pPr>
        <w:pStyle w:val="BodyText"/>
        <w:rPr>
          <w:sz w:val="14"/>
        </w:rPr>
      </w:pPr>
    </w:p>
    <w:p>
      <w:pPr>
        <w:pStyle w:val="BodyText"/>
        <w:spacing w:before="100"/>
        <w:rPr>
          <w:sz w:val="14"/>
        </w:rPr>
      </w:pPr>
    </w:p>
    <w:p>
      <w:pPr>
        <w:spacing w:before="0"/>
        <w:ind w:left="940" w:right="943" w:firstLine="0"/>
        <w:jc w:val="center"/>
        <w:rPr>
          <w:sz w:val="14"/>
        </w:rPr>
      </w:pPr>
      <w:r>
        <w:rPr>
          <w:sz w:val="14"/>
        </w:rPr>
        <w:t>© 2018 Sweet &amp; </w:t>
      </w:r>
      <w:r>
        <w:rPr>
          <w:spacing w:val="-2"/>
          <w:sz w:val="14"/>
        </w:rPr>
        <w:t>Maxwell</w:t>
      </w:r>
    </w:p>
    <w:p>
      <w:pPr>
        <w:spacing w:after="0"/>
        <w:jc w:val="center"/>
        <w:rPr>
          <w:sz w:val="14"/>
        </w:rPr>
        <w:sectPr>
          <w:pgSz w:w="11900" w:h="16840"/>
          <w:pgMar w:header="971" w:footer="0" w:top="1300" w:bottom="280" w:left="1275" w:right="1275"/>
        </w:sectPr>
      </w:pPr>
    </w:p>
    <w:p>
      <w:pPr>
        <w:pStyle w:val="Heading1"/>
      </w:pPr>
      <w:r>
        <w:rPr/>
        <w:t>Chitty on Contracts 32nd </w:t>
      </w:r>
      <w:r>
        <w:rPr>
          <w:spacing w:val="-5"/>
        </w:rPr>
        <w:t>Ed.</w:t>
      </w:r>
    </w:p>
    <w:p>
      <w:pPr>
        <w:spacing w:line="408" w:lineRule="auto" w:before="198"/>
        <w:ind w:left="939" w:right="943" w:firstLine="0"/>
        <w:jc w:val="center"/>
        <w:rPr>
          <w:rFonts w:ascii="Arial"/>
          <w:b/>
          <w:sz w:val="24"/>
        </w:rPr>
      </w:pPr>
      <w:r>
        <w:rPr>
          <w:rFonts w:ascii="Arial"/>
          <w:b/>
          <w:sz w:val="24"/>
        </w:rPr>
        <w:t>Consolidated</w:t>
      </w:r>
      <w:r>
        <w:rPr>
          <w:rFonts w:ascii="Arial"/>
          <w:b/>
          <w:spacing w:val="-10"/>
          <w:sz w:val="24"/>
        </w:rPr>
        <w:t> </w:t>
      </w:r>
      <w:r>
        <w:rPr>
          <w:rFonts w:ascii="Arial"/>
          <w:b/>
          <w:sz w:val="24"/>
        </w:rPr>
        <w:t>Mainwork</w:t>
      </w:r>
      <w:r>
        <w:rPr>
          <w:rFonts w:ascii="Arial"/>
          <w:b/>
          <w:spacing w:val="-10"/>
          <w:sz w:val="24"/>
        </w:rPr>
        <w:t> </w:t>
      </w:r>
      <w:r>
        <w:rPr>
          <w:rFonts w:ascii="Arial"/>
          <w:b/>
          <w:sz w:val="24"/>
        </w:rPr>
        <w:t>Incorporating</w:t>
      </w:r>
      <w:r>
        <w:rPr>
          <w:rFonts w:ascii="Arial"/>
          <w:b/>
          <w:spacing w:val="-10"/>
          <w:sz w:val="24"/>
        </w:rPr>
        <w:t> </w:t>
      </w:r>
      <w:r>
        <w:rPr>
          <w:rFonts w:ascii="Arial"/>
          <w:b/>
          <w:sz w:val="24"/>
        </w:rPr>
        <w:t>Second</w:t>
      </w:r>
      <w:r>
        <w:rPr>
          <w:rFonts w:ascii="Arial"/>
          <w:b/>
          <w:spacing w:val="-10"/>
          <w:sz w:val="24"/>
        </w:rPr>
        <w:t> </w:t>
      </w:r>
      <w:r>
        <w:rPr>
          <w:rFonts w:ascii="Arial"/>
          <w:b/>
          <w:sz w:val="24"/>
        </w:rPr>
        <w:t>Supplement Volume I - General Principles</w:t>
      </w:r>
    </w:p>
    <w:p>
      <w:pPr>
        <w:spacing w:line="408" w:lineRule="auto" w:before="1"/>
        <w:ind w:left="2726" w:right="2729" w:firstLine="0"/>
        <w:jc w:val="center"/>
        <w:rPr>
          <w:rFonts w:ascii="Arial"/>
          <w:b/>
          <w:sz w:val="24"/>
        </w:rPr>
      </w:pPr>
      <w:r>
        <w:rPr>
          <w:rFonts w:ascii="Arial"/>
          <w:b/>
          <w:sz w:val="24"/>
        </w:rPr>
        <w:t>Part</w:t>
      </w:r>
      <w:r>
        <w:rPr>
          <w:rFonts w:ascii="Arial"/>
          <w:b/>
          <w:spacing w:val="-8"/>
          <w:sz w:val="24"/>
        </w:rPr>
        <w:t> </w:t>
      </w:r>
      <w:r>
        <w:rPr>
          <w:rFonts w:ascii="Arial"/>
          <w:b/>
          <w:sz w:val="24"/>
        </w:rPr>
        <w:t>2</w:t>
      </w:r>
      <w:r>
        <w:rPr>
          <w:rFonts w:ascii="Arial"/>
          <w:b/>
          <w:spacing w:val="-8"/>
          <w:sz w:val="24"/>
        </w:rPr>
        <w:t> </w:t>
      </w:r>
      <w:r>
        <w:rPr>
          <w:rFonts w:ascii="Arial"/>
          <w:b/>
          <w:sz w:val="24"/>
        </w:rPr>
        <w:t>-</w:t>
      </w:r>
      <w:r>
        <w:rPr>
          <w:rFonts w:ascii="Arial"/>
          <w:b/>
          <w:spacing w:val="-8"/>
          <w:sz w:val="24"/>
        </w:rPr>
        <w:t> </w:t>
      </w:r>
      <w:r>
        <w:rPr>
          <w:rFonts w:ascii="Arial"/>
          <w:b/>
          <w:sz w:val="24"/>
        </w:rPr>
        <w:t>Formation</w:t>
      </w:r>
      <w:r>
        <w:rPr>
          <w:rFonts w:ascii="Arial"/>
          <w:b/>
          <w:spacing w:val="-8"/>
          <w:sz w:val="24"/>
        </w:rPr>
        <w:t> </w:t>
      </w:r>
      <w:r>
        <w:rPr>
          <w:rFonts w:ascii="Arial"/>
          <w:b/>
          <w:sz w:val="24"/>
        </w:rPr>
        <w:t>of</w:t>
      </w:r>
      <w:r>
        <w:rPr>
          <w:rFonts w:ascii="Arial"/>
          <w:b/>
          <w:spacing w:val="-8"/>
          <w:sz w:val="24"/>
        </w:rPr>
        <w:t> </w:t>
      </w:r>
      <w:r>
        <w:rPr>
          <w:rFonts w:ascii="Arial"/>
          <w:b/>
          <w:sz w:val="24"/>
        </w:rPr>
        <w:t>Contract Chapter 2 - The Agreement</w:t>
      </w:r>
    </w:p>
    <w:p>
      <w:pPr>
        <w:spacing w:before="2"/>
        <w:ind w:left="0" w:right="3" w:firstLine="0"/>
        <w:jc w:val="center"/>
        <w:rPr>
          <w:rFonts w:ascii="Arial"/>
          <w:b/>
          <w:sz w:val="24"/>
        </w:rPr>
      </w:pPr>
      <w:r>
        <w:rPr>
          <w:rFonts w:ascii="Arial"/>
          <w:b/>
          <w:sz w:val="24"/>
        </w:rPr>
        <w:t>Section 10. - Liability When Negotiations Do Not Produce A </w:t>
      </w:r>
      <w:r>
        <w:rPr>
          <w:rFonts w:ascii="Arial"/>
          <w:b/>
          <w:spacing w:val="-2"/>
          <w:sz w:val="24"/>
        </w:rPr>
        <w:t>Contract</w:t>
      </w:r>
    </w:p>
    <w:p>
      <w:pPr>
        <w:pStyle w:val="ListParagraph"/>
        <w:numPr>
          <w:ilvl w:val="0"/>
          <w:numId w:val="9"/>
        </w:numPr>
        <w:tabs>
          <w:tab w:pos="1505" w:val="left" w:leader="none"/>
        </w:tabs>
        <w:spacing w:line="240" w:lineRule="auto" w:before="194" w:after="0"/>
        <w:ind w:left="1505" w:right="0" w:hanging="360"/>
        <w:jc w:val="left"/>
        <w:rPr>
          <w:b/>
          <w:sz w:val="24"/>
        </w:rPr>
      </w:pPr>
      <w:r>
        <w:rPr>
          <w:b/>
          <w:sz w:val="24"/>
        </w:rPr>
        <w:t>- Negotiations Broken Off Without Preliminary </w:t>
      </w:r>
      <w:r>
        <w:rPr>
          <w:b/>
          <w:spacing w:val="-2"/>
          <w:sz w:val="24"/>
        </w:rPr>
        <w:t>Agreements</w:t>
      </w:r>
    </w:p>
    <w:p>
      <w:pPr>
        <w:pStyle w:val="BodyText"/>
        <w:rPr>
          <w:rFonts w:ascii="Arial"/>
          <w:b/>
          <w:sz w:val="24"/>
        </w:rPr>
      </w:pPr>
    </w:p>
    <w:p>
      <w:pPr>
        <w:pStyle w:val="BodyText"/>
        <w:spacing w:before="89"/>
        <w:rPr>
          <w:rFonts w:ascii="Arial"/>
          <w:b/>
          <w:sz w:val="24"/>
        </w:rPr>
      </w:pPr>
    </w:p>
    <w:p>
      <w:pPr>
        <w:spacing w:before="0"/>
        <w:ind w:left="165" w:right="0" w:firstLine="0"/>
        <w:jc w:val="left"/>
        <w:rPr>
          <w:rFonts w:ascii="Arial"/>
          <w:b/>
          <w:sz w:val="18"/>
        </w:rPr>
      </w:pPr>
      <w:r>
        <w:rPr>
          <w:rFonts w:ascii="Arial"/>
          <w:b/>
          <w:sz w:val="18"/>
        </w:rPr>
        <w:t>Fraud, negligent misrepresentation and non-</w:t>
      </w:r>
      <w:r>
        <w:rPr>
          <w:rFonts w:ascii="Arial"/>
          <w:b/>
          <w:spacing w:val="-2"/>
          <w:sz w:val="18"/>
        </w:rPr>
        <w:t>disclosure</w:t>
      </w:r>
    </w:p>
    <w:p>
      <w:pPr>
        <w:pStyle w:val="BodyText"/>
        <w:spacing w:before="42"/>
        <w:rPr>
          <w:rFonts w:ascii="Arial"/>
          <w:b/>
          <w:sz w:val="18"/>
        </w:rPr>
      </w:pPr>
    </w:p>
    <w:p>
      <w:pPr>
        <w:pStyle w:val="Heading2"/>
      </w:pPr>
      <w:r>
        <w:rPr/>
        <w:t>2-</w:t>
      </w:r>
      <w:r>
        <w:rPr>
          <w:spacing w:val="-5"/>
        </w:rPr>
        <w:t>216</w:t>
      </w:r>
    </w:p>
    <w:p>
      <w:pPr>
        <w:pStyle w:val="BodyText"/>
        <w:spacing w:line="235" w:lineRule="auto" w:before="202"/>
        <w:ind w:left="164" w:right="167"/>
        <w:jc w:val="both"/>
      </w:pPr>
      <w:r>
        <w:rPr/>
        <w:t>The award for misrepresentation in </w:t>
      </w:r>
      <w:r>
        <w:rPr>
          <w:rFonts w:ascii="Arial" w:hAnsi="Arial"/>
          <w:i/>
        </w:rPr>
        <w:t>Walford v Miles </w:t>
      </w:r>
      <w:r>
        <w:rPr>
          <w:color w:val="005DA1"/>
          <w:u w:val="single" w:color="005DA1"/>
          <w:vertAlign w:val="superscript"/>
        </w:rPr>
        <w:t>1159</w:t>
      </w:r>
      <w:r>
        <w:rPr>
          <w:color w:val="005DA1"/>
          <w:vertAlign w:val="baseline"/>
        </w:rPr>
        <w:t> </w:t>
      </w:r>
      <w:r>
        <w:rPr>
          <w:vertAlign w:val="baseline"/>
        </w:rPr>
        <w:t>shows that English law recognises a duty </w:t>
      </w:r>
      <w:r>
        <w:rPr>
          <w:vertAlign w:val="baseline"/>
        </w:rPr>
        <w:t>of good faith in contract negotiation at least to the extent that parties are made liable for damages for deceit </w:t>
      </w:r>
      <w:r>
        <w:rPr>
          <w:color w:val="005DA1"/>
          <w:u w:val="single" w:color="005DA1"/>
          <w:vertAlign w:val="superscript"/>
        </w:rPr>
        <w:t>1160</w:t>
      </w:r>
      <w:r>
        <w:rPr>
          <w:color w:val="005DA1"/>
          <w:vertAlign w:val="baseline"/>
        </w:rPr>
        <w:t> </w:t>
      </w:r>
      <w:r>
        <w:rPr>
          <w:vertAlign w:val="baseline"/>
        </w:rPr>
        <w:t>and negligent misrepresentation. </w:t>
      </w:r>
      <w:r>
        <w:rPr>
          <w:color w:val="005DA1"/>
          <w:u w:val="single" w:color="005DA1"/>
          <w:vertAlign w:val="superscript"/>
        </w:rPr>
        <w:t>1161</w:t>
      </w:r>
      <w:r>
        <w:rPr>
          <w:color w:val="005DA1"/>
          <w:vertAlign w:val="baseline"/>
        </w:rPr>
        <w:t> </w:t>
      </w:r>
      <w:r>
        <w:rPr>
          <w:vertAlign w:val="baseline"/>
        </w:rPr>
        <w:t>Even if no contract is ultimately concluded, a party may be liable for misleading the other party by giving careless advice as to the probable outcome of the negotiations. For example, in </w:t>
      </w:r>
      <w:r>
        <w:rPr>
          <w:rFonts w:ascii="Arial" w:hAnsi="Arial"/>
          <w:i/>
          <w:vertAlign w:val="baseline"/>
        </w:rPr>
        <w:t>Box v Midland Bank Ltd </w:t>
      </w:r>
      <w:r>
        <w:rPr>
          <w:color w:val="005DA1"/>
          <w:u w:val="single" w:color="005DA1"/>
          <w:vertAlign w:val="superscript"/>
        </w:rPr>
        <w:t>1162</w:t>
      </w:r>
      <w:r>
        <w:rPr>
          <w:color w:val="005DA1"/>
          <w:vertAlign w:val="baseline"/>
        </w:rPr>
        <w:t> </w:t>
      </w:r>
      <w:r>
        <w:rPr>
          <w:vertAlign w:val="baseline"/>
        </w:rPr>
        <w:t>the plaintiff sought a large loan from his bankers;</w:t>
      </w:r>
      <w:r>
        <w:rPr>
          <w:spacing w:val="-1"/>
          <w:vertAlign w:val="baseline"/>
        </w:rPr>
        <w:t> </w:t>
      </w:r>
      <w:r>
        <w:rPr>
          <w:vertAlign w:val="baseline"/>
        </w:rPr>
        <w:t>the</w:t>
      </w:r>
      <w:r>
        <w:rPr>
          <w:spacing w:val="-1"/>
          <w:vertAlign w:val="baseline"/>
        </w:rPr>
        <w:t> </w:t>
      </w:r>
      <w:r>
        <w:rPr>
          <w:vertAlign w:val="baseline"/>
        </w:rPr>
        <w:t>bank</w:t>
      </w:r>
      <w:r>
        <w:rPr>
          <w:spacing w:val="-1"/>
          <w:vertAlign w:val="baseline"/>
        </w:rPr>
        <w:t> </w:t>
      </w:r>
      <w:r>
        <w:rPr>
          <w:vertAlign w:val="baseline"/>
        </w:rPr>
        <w:t>manager</w:t>
      </w:r>
      <w:r>
        <w:rPr>
          <w:spacing w:val="-1"/>
          <w:vertAlign w:val="baseline"/>
        </w:rPr>
        <w:t> </w:t>
      </w:r>
      <w:r>
        <w:rPr>
          <w:vertAlign w:val="baseline"/>
        </w:rPr>
        <w:t>told</w:t>
      </w:r>
      <w:r>
        <w:rPr>
          <w:spacing w:val="-1"/>
          <w:vertAlign w:val="baseline"/>
        </w:rPr>
        <w:t> </w:t>
      </w:r>
      <w:r>
        <w:rPr>
          <w:vertAlign w:val="baseline"/>
        </w:rPr>
        <w:t>the</w:t>
      </w:r>
      <w:r>
        <w:rPr>
          <w:spacing w:val="-1"/>
          <w:vertAlign w:val="baseline"/>
        </w:rPr>
        <w:t> </w:t>
      </w:r>
      <w:r>
        <w:rPr>
          <w:vertAlign w:val="baseline"/>
        </w:rPr>
        <w:t>plaintiff</w:t>
      </w:r>
      <w:r>
        <w:rPr>
          <w:spacing w:val="-1"/>
          <w:vertAlign w:val="baseline"/>
        </w:rPr>
        <w:t> </w:t>
      </w:r>
      <w:r>
        <w:rPr>
          <w:vertAlign w:val="baseline"/>
        </w:rPr>
        <w:t>that</w:t>
      </w:r>
      <w:r>
        <w:rPr>
          <w:spacing w:val="-1"/>
          <w:vertAlign w:val="baseline"/>
        </w:rPr>
        <w:t> </w:t>
      </w:r>
      <w:r>
        <w:rPr>
          <w:vertAlign w:val="baseline"/>
        </w:rPr>
        <w:t>the</w:t>
      </w:r>
      <w:r>
        <w:rPr>
          <w:spacing w:val="-1"/>
          <w:vertAlign w:val="baseline"/>
        </w:rPr>
        <w:t> </w:t>
      </w:r>
      <w:r>
        <w:rPr>
          <w:vertAlign w:val="baseline"/>
        </w:rPr>
        <w:t>approval</w:t>
      </w:r>
      <w:r>
        <w:rPr>
          <w:spacing w:val="-1"/>
          <w:vertAlign w:val="baseline"/>
        </w:rPr>
        <w:t> </w:t>
      </w:r>
      <w:r>
        <w:rPr>
          <w:vertAlign w:val="baseline"/>
        </w:rPr>
        <w:t>of</w:t>
      </w:r>
      <w:r>
        <w:rPr>
          <w:spacing w:val="-1"/>
          <w:vertAlign w:val="baseline"/>
        </w:rPr>
        <w:t> </w:t>
      </w:r>
      <w:r>
        <w:rPr>
          <w:vertAlign w:val="baseline"/>
        </w:rPr>
        <w:t>head</w:t>
      </w:r>
      <w:r>
        <w:rPr>
          <w:spacing w:val="-1"/>
          <w:vertAlign w:val="baseline"/>
        </w:rPr>
        <w:t> </w:t>
      </w:r>
      <w:r>
        <w:rPr>
          <w:vertAlign w:val="baseline"/>
        </w:rPr>
        <w:t>office</w:t>
      </w:r>
      <w:r>
        <w:rPr>
          <w:spacing w:val="-1"/>
          <w:vertAlign w:val="baseline"/>
        </w:rPr>
        <w:t> </w:t>
      </w:r>
      <w:r>
        <w:rPr>
          <w:vertAlign w:val="baseline"/>
        </w:rPr>
        <w:t>would</w:t>
      </w:r>
      <w:r>
        <w:rPr>
          <w:spacing w:val="-1"/>
          <w:vertAlign w:val="baseline"/>
        </w:rPr>
        <w:t> </w:t>
      </w:r>
      <w:r>
        <w:rPr>
          <w:vertAlign w:val="baseline"/>
        </w:rPr>
        <w:t>be</w:t>
      </w:r>
      <w:r>
        <w:rPr>
          <w:spacing w:val="-1"/>
          <w:vertAlign w:val="baseline"/>
        </w:rPr>
        <w:t> </w:t>
      </w:r>
      <w:r>
        <w:rPr>
          <w:vertAlign w:val="baseline"/>
        </w:rPr>
        <w:t>required,</w:t>
      </w:r>
      <w:r>
        <w:rPr>
          <w:spacing w:val="-1"/>
          <w:vertAlign w:val="baseline"/>
        </w:rPr>
        <w:t> </w:t>
      </w:r>
      <w:r>
        <w:rPr>
          <w:vertAlign w:val="baseline"/>
        </w:rPr>
        <w:t>but</w:t>
      </w:r>
      <w:r>
        <w:rPr>
          <w:spacing w:val="-1"/>
          <w:vertAlign w:val="baseline"/>
        </w:rPr>
        <w:t> </w:t>
      </w:r>
      <w:r>
        <w:rPr>
          <w:vertAlign w:val="baseline"/>
        </w:rPr>
        <w:t>led the plaintiff to believe that this was a mere formality. When head office refused the plaintiff’s loan application,</w:t>
      </w:r>
      <w:r>
        <w:rPr>
          <w:spacing w:val="-2"/>
          <w:vertAlign w:val="baseline"/>
        </w:rPr>
        <w:t> </w:t>
      </w:r>
      <w:r>
        <w:rPr>
          <w:vertAlign w:val="baseline"/>
        </w:rPr>
        <w:t>Lloyd</w:t>
      </w:r>
      <w:r>
        <w:rPr>
          <w:spacing w:val="-2"/>
          <w:vertAlign w:val="baseline"/>
        </w:rPr>
        <w:t> </w:t>
      </w:r>
      <w:r>
        <w:rPr>
          <w:vertAlign w:val="baseline"/>
        </w:rPr>
        <w:t>J.</w:t>
      </w:r>
      <w:r>
        <w:rPr>
          <w:spacing w:val="-2"/>
          <w:vertAlign w:val="baseline"/>
        </w:rPr>
        <w:t> </w:t>
      </w:r>
      <w:r>
        <w:rPr>
          <w:vertAlign w:val="baseline"/>
        </w:rPr>
        <w:t>awarded</w:t>
      </w:r>
      <w:r>
        <w:rPr>
          <w:spacing w:val="-2"/>
          <w:vertAlign w:val="baseline"/>
        </w:rPr>
        <w:t> </w:t>
      </w:r>
      <w:r>
        <w:rPr>
          <w:vertAlign w:val="baseline"/>
        </w:rPr>
        <w:t>£5,000</w:t>
      </w:r>
      <w:r>
        <w:rPr>
          <w:spacing w:val="-2"/>
          <w:vertAlign w:val="baseline"/>
        </w:rPr>
        <w:t> </w:t>
      </w:r>
      <w:r>
        <w:rPr>
          <w:vertAlign w:val="baseline"/>
        </w:rPr>
        <w:t>as</w:t>
      </w:r>
      <w:r>
        <w:rPr>
          <w:spacing w:val="-2"/>
          <w:vertAlign w:val="baseline"/>
        </w:rPr>
        <w:t> </w:t>
      </w:r>
      <w:r>
        <w:rPr>
          <w:vertAlign w:val="baseline"/>
        </w:rPr>
        <w:t>loss</w:t>
      </w:r>
      <w:r>
        <w:rPr>
          <w:spacing w:val="-2"/>
          <w:vertAlign w:val="baseline"/>
        </w:rPr>
        <w:t> </w:t>
      </w:r>
      <w:r>
        <w:rPr>
          <w:vertAlign w:val="baseline"/>
        </w:rPr>
        <w:t>suffered,</w:t>
      </w:r>
      <w:r>
        <w:rPr>
          <w:spacing w:val="-2"/>
          <w:vertAlign w:val="baseline"/>
        </w:rPr>
        <w:t> </w:t>
      </w:r>
      <w:r>
        <w:rPr>
          <w:vertAlign w:val="baseline"/>
        </w:rPr>
        <w:t>in</w:t>
      </w:r>
      <w:r>
        <w:rPr>
          <w:spacing w:val="-2"/>
          <w:vertAlign w:val="baseline"/>
        </w:rPr>
        <w:t> </w:t>
      </w:r>
      <w:r>
        <w:rPr>
          <w:vertAlign w:val="baseline"/>
        </w:rPr>
        <w:t>the</w:t>
      </w:r>
      <w:r>
        <w:rPr>
          <w:spacing w:val="-2"/>
          <w:vertAlign w:val="baseline"/>
        </w:rPr>
        <w:t> </w:t>
      </w:r>
      <w:r>
        <w:rPr>
          <w:vertAlign w:val="baseline"/>
        </w:rPr>
        <w:t>form</w:t>
      </w:r>
      <w:r>
        <w:rPr>
          <w:spacing w:val="-2"/>
          <w:vertAlign w:val="baseline"/>
        </w:rPr>
        <w:t> </w:t>
      </w:r>
      <w:r>
        <w:rPr>
          <w:vertAlign w:val="baseline"/>
        </w:rPr>
        <w:t>of</w:t>
      </w:r>
      <w:r>
        <w:rPr>
          <w:spacing w:val="-2"/>
          <w:vertAlign w:val="baseline"/>
        </w:rPr>
        <w:t> </w:t>
      </w:r>
      <w:r>
        <w:rPr>
          <w:vertAlign w:val="baseline"/>
        </w:rPr>
        <w:t>an</w:t>
      </w:r>
      <w:r>
        <w:rPr>
          <w:spacing w:val="-2"/>
          <w:vertAlign w:val="baseline"/>
        </w:rPr>
        <w:t> </w:t>
      </w:r>
      <w:r>
        <w:rPr>
          <w:vertAlign w:val="baseline"/>
        </w:rPr>
        <w:t>extended</w:t>
      </w:r>
      <w:r>
        <w:rPr>
          <w:spacing w:val="-2"/>
          <w:vertAlign w:val="baseline"/>
        </w:rPr>
        <w:t> </w:t>
      </w:r>
      <w:r>
        <w:rPr>
          <w:vertAlign w:val="baseline"/>
        </w:rPr>
        <w:t>overdraft,</w:t>
      </w:r>
      <w:r>
        <w:rPr>
          <w:spacing w:val="-2"/>
          <w:vertAlign w:val="baseline"/>
        </w:rPr>
        <w:t> </w:t>
      </w:r>
      <w:r>
        <w:rPr>
          <w:vertAlign w:val="baseline"/>
        </w:rPr>
        <w:t>in</w:t>
      </w:r>
      <w:r>
        <w:rPr>
          <w:spacing w:val="-2"/>
          <w:vertAlign w:val="baseline"/>
        </w:rPr>
        <w:t> </w:t>
      </w:r>
      <w:r>
        <w:rPr>
          <w:vertAlign w:val="baseline"/>
        </w:rPr>
        <w:t>reliance on the negligent statement. The question is whether the law recognises a more onerous duty of good faith in the form of a duty to have regard to the legitimate interests of the other party by making disclosure of facts that are material to the transaction. The answer is no, unless: the contract is uberrimae fidei, </w:t>
      </w:r>
      <w:r>
        <w:rPr>
          <w:color w:val="005DA1"/>
          <w:u w:val="single" w:color="005DA1"/>
          <w:vertAlign w:val="superscript"/>
        </w:rPr>
        <w:t>1163</w:t>
      </w:r>
      <w:r>
        <w:rPr>
          <w:color w:val="005DA1"/>
          <w:vertAlign w:val="baseline"/>
        </w:rPr>
        <w:t> </w:t>
      </w:r>
      <w:r>
        <w:rPr>
          <w:vertAlign w:val="baseline"/>
        </w:rPr>
        <w:t>the parties are in a fiduciary relationship </w:t>
      </w:r>
      <w:r>
        <w:rPr>
          <w:color w:val="005DA1"/>
          <w:u w:val="single" w:color="005DA1"/>
          <w:vertAlign w:val="superscript"/>
        </w:rPr>
        <w:t>1164</w:t>
      </w:r>
      <w:r>
        <w:rPr>
          <w:color w:val="005DA1"/>
          <w:vertAlign w:val="baseline"/>
        </w:rPr>
        <w:t> </w:t>
      </w:r>
      <w:r>
        <w:rPr>
          <w:vertAlign w:val="baseline"/>
        </w:rPr>
        <w:t>or a relationship of trust and confidence, </w:t>
      </w:r>
      <w:r>
        <w:rPr>
          <w:color w:val="005DA1"/>
          <w:u w:val="single" w:color="005DA1"/>
          <w:vertAlign w:val="superscript"/>
        </w:rPr>
        <w:t>1165</w:t>
      </w:r>
      <w:r>
        <w:rPr>
          <w:color w:val="005DA1"/>
          <w:vertAlign w:val="baseline"/>
        </w:rPr>
        <w:t> </w:t>
      </w:r>
      <w:r>
        <w:rPr>
          <w:vertAlign w:val="baseline"/>
        </w:rPr>
        <w:t>the failure to disclose some fact distorts a positive representation, </w:t>
      </w:r>
      <w:r>
        <w:rPr>
          <w:color w:val="005DA1"/>
          <w:u w:val="single" w:color="005DA1"/>
          <w:vertAlign w:val="superscript"/>
        </w:rPr>
        <w:t>1166</w:t>
      </w:r>
      <w:r>
        <w:rPr>
          <w:color w:val="005DA1"/>
          <w:vertAlign w:val="baseline"/>
        </w:rPr>
        <w:t> </w:t>
      </w:r>
      <w:r>
        <w:rPr>
          <w:vertAlign w:val="baseline"/>
        </w:rPr>
        <w:t>or statute requires specific disclosure. </w:t>
      </w:r>
      <w:r>
        <w:rPr>
          <w:color w:val="005DA1"/>
          <w:u w:val="single" w:color="005DA1"/>
          <w:vertAlign w:val="superscript"/>
        </w:rPr>
        <w:t>1167</w:t>
      </w:r>
      <w:r>
        <w:rPr>
          <w:color w:val="005DA1"/>
          <w:vertAlign w:val="baseline"/>
        </w:rPr>
        <w:t> </w:t>
      </w:r>
      <w:r>
        <w:rPr>
          <w:vertAlign w:val="baseline"/>
        </w:rPr>
        <w:t>The general picture is summarised by Rix L.J. in </w:t>
      </w:r>
      <w:r>
        <w:rPr>
          <w:rFonts w:ascii="Arial" w:hAnsi="Arial"/>
          <w:i/>
          <w:vertAlign w:val="baseline"/>
        </w:rPr>
        <w:t>ING Bank NV v Ros Roca SA </w:t>
      </w:r>
      <w:r>
        <w:rPr>
          <w:color w:val="005DA1"/>
          <w:u w:val="single" w:color="005DA1"/>
          <w:vertAlign w:val="superscript"/>
        </w:rPr>
        <w:t>1168</w:t>
      </w:r>
      <w:r>
        <w:rPr>
          <w:vertAlign w:val="baseline"/>
        </w:rPr>
        <w:t>:</w:t>
      </w:r>
    </w:p>
    <w:p>
      <w:pPr>
        <w:pStyle w:val="BodyText"/>
      </w:pPr>
    </w:p>
    <w:p>
      <w:pPr>
        <w:pStyle w:val="BodyText"/>
        <w:spacing w:before="121"/>
      </w:pPr>
    </w:p>
    <w:p>
      <w:pPr>
        <w:pStyle w:val="BodyText"/>
        <w:spacing w:line="235" w:lineRule="auto"/>
        <w:ind w:left="1244" w:right="167"/>
        <w:jc w:val="both"/>
      </w:pPr>
      <w:r>
        <w:rPr/>
        <w:t>“Outside the insurance context, there is no obligation in general to bring difficulties </w:t>
      </w:r>
      <w:r>
        <w:rPr/>
        <w:t>and defects to the attention of a contract partner or prospective contract partner. Caveat emptor reflects a basic facet of English commercial law (the growth of consumer law has been moving in a different direction). Nor is there any general notion, as there is in the civil law, of a duty of good faith in commercial affairs, however much individual concepts of English common law, such as that of the reasonable man, and of waiver and estoppel itself, may be said to reflect such a notion. In such circumstances, silence is golden, for where there is no obligation to speak, silence gives no hostages to fortune.”</w:t>
      </w:r>
    </w:p>
    <w:p>
      <w:pPr>
        <w:pStyle w:val="BodyText"/>
      </w:pPr>
    </w:p>
    <w:p>
      <w:pPr>
        <w:pStyle w:val="BodyText"/>
      </w:pPr>
    </w:p>
    <w:p>
      <w:pPr>
        <w:pStyle w:val="BodyText"/>
        <w:spacing w:before="153"/>
      </w:pPr>
    </w:p>
    <w:p>
      <w:pPr>
        <w:spacing w:before="0"/>
        <w:ind w:left="164" w:right="0" w:firstLine="0"/>
        <w:jc w:val="both"/>
        <w:rPr>
          <w:rFonts w:ascii="Arial" w:hAnsi="Arial"/>
          <w:b/>
          <w:sz w:val="18"/>
        </w:rPr>
      </w:pPr>
      <w:r>
        <w:rPr>
          <w:rFonts w:ascii="Arial" w:hAnsi="Arial"/>
          <w:b/>
          <w:sz w:val="18"/>
        </w:rPr>
        <w:t>Manufacturer’s statements that induce purchase of </w:t>
      </w:r>
      <w:r>
        <w:rPr>
          <w:rFonts w:ascii="Arial" w:hAnsi="Arial"/>
          <w:b/>
          <w:spacing w:val="-2"/>
          <w:sz w:val="18"/>
        </w:rPr>
        <w:t>goods</w:t>
      </w:r>
    </w:p>
    <w:p>
      <w:pPr>
        <w:pStyle w:val="BodyText"/>
        <w:spacing w:before="41"/>
        <w:rPr>
          <w:rFonts w:ascii="Arial"/>
          <w:b/>
          <w:sz w:val="18"/>
        </w:rPr>
      </w:pPr>
    </w:p>
    <w:p>
      <w:pPr>
        <w:pStyle w:val="Heading2"/>
        <w:ind w:left="164"/>
      </w:pPr>
      <w:r>
        <w:rPr/>
        <w:t>2-</w:t>
      </w:r>
      <w:r>
        <w:rPr>
          <w:spacing w:val="-5"/>
        </w:rPr>
        <w:t>217</w:t>
      </w:r>
    </w:p>
    <w:p>
      <w:pPr>
        <w:pStyle w:val="BodyText"/>
        <w:spacing w:line="235" w:lineRule="auto" w:before="203"/>
        <w:ind w:left="164" w:right="167"/>
        <w:jc w:val="both"/>
      </w:pPr>
      <w:r>
        <w:rPr/>
        <w:t>A person who purchases goods in reliance on statements in a manufacturer’s promotional literature </w:t>
      </w:r>
      <w:r>
        <w:rPr/>
        <w:t>is not, </w:t>
      </w:r>
      <w:r>
        <w:rPr>
          <w:rFonts w:ascii="Arial" w:hAnsi="Arial"/>
          <w:i/>
        </w:rPr>
        <w:t>for that reason alone</w:t>
      </w:r>
      <w:r>
        <w:rPr/>
        <w:t>, entitled to claim for any loss occasioned by the manufacturer’s misrepresentation. </w:t>
      </w:r>
      <w:r>
        <w:rPr>
          <w:color w:val="005DA1"/>
          <w:u w:val="single" w:color="005DA1"/>
          <w:vertAlign w:val="superscript"/>
        </w:rPr>
        <w:t>1169</w:t>
      </w:r>
      <w:r>
        <w:rPr>
          <w:color w:val="005DA1"/>
          <w:vertAlign w:val="baseline"/>
        </w:rPr>
        <w:t> </w:t>
      </w:r>
      <w:r>
        <w:rPr>
          <w:vertAlign w:val="baseline"/>
        </w:rPr>
        <w:t>But if the manufacturer knows both the purchaser’s identity and his purposes, the purchaser may have an action in deceit or negligent misrepresentation, </w:t>
      </w:r>
      <w:r>
        <w:rPr>
          <w:color w:val="005DA1"/>
          <w:u w:val="single" w:color="005DA1"/>
          <w:vertAlign w:val="superscript"/>
        </w:rPr>
        <w:t>1170</w:t>
      </w:r>
      <w:r>
        <w:rPr>
          <w:color w:val="005DA1"/>
          <w:vertAlign w:val="baseline"/>
        </w:rPr>
        <w:t> </w:t>
      </w:r>
      <w:r>
        <w:rPr>
          <w:vertAlign w:val="baseline"/>
        </w:rPr>
        <w:t>or the information given by the manufacturer may constitute a contractual warranty. </w:t>
      </w:r>
      <w:r>
        <w:rPr>
          <w:color w:val="005DA1"/>
          <w:u w:val="single" w:color="005DA1"/>
          <w:vertAlign w:val="superscript"/>
        </w:rPr>
        <w:t>1171</w:t>
      </w:r>
      <w:r>
        <w:rPr>
          <w:color w:val="005DA1"/>
          <w:vertAlign w:val="baseline"/>
        </w:rPr>
        <w:t> </w:t>
      </w:r>
      <w:r>
        <w:rPr>
          <w:vertAlign w:val="baseline"/>
        </w:rPr>
        <w:t>Where goods are sold or supplied</w:t>
      </w:r>
      <w:r>
        <w:rPr>
          <w:spacing w:val="15"/>
          <w:vertAlign w:val="baseline"/>
        </w:rPr>
        <w:t> </w:t>
      </w:r>
      <w:r>
        <w:rPr>
          <w:vertAlign w:val="baseline"/>
        </w:rPr>
        <w:t>to</w:t>
      </w:r>
      <w:r>
        <w:rPr>
          <w:spacing w:val="15"/>
          <w:vertAlign w:val="baseline"/>
        </w:rPr>
        <w:t> </w:t>
      </w:r>
      <w:r>
        <w:rPr>
          <w:vertAlign w:val="baseline"/>
        </w:rPr>
        <w:t>a</w:t>
      </w:r>
      <w:r>
        <w:rPr>
          <w:spacing w:val="15"/>
          <w:vertAlign w:val="baseline"/>
        </w:rPr>
        <w:t> </w:t>
      </w:r>
      <w:r>
        <w:rPr>
          <w:vertAlign w:val="baseline"/>
        </w:rPr>
        <w:t>consumer</w:t>
      </w:r>
      <w:r>
        <w:rPr>
          <w:spacing w:val="15"/>
          <w:vertAlign w:val="baseline"/>
        </w:rPr>
        <w:t> </w:t>
      </w:r>
      <w:r>
        <w:rPr>
          <w:vertAlign w:val="baseline"/>
        </w:rPr>
        <w:t>with</w:t>
      </w:r>
      <w:r>
        <w:rPr>
          <w:spacing w:val="15"/>
          <w:vertAlign w:val="baseline"/>
        </w:rPr>
        <w:t> </w:t>
      </w:r>
      <w:r>
        <w:rPr>
          <w:vertAlign w:val="baseline"/>
        </w:rPr>
        <w:t>a</w:t>
      </w:r>
      <w:r>
        <w:rPr>
          <w:spacing w:val="15"/>
          <w:vertAlign w:val="baseline"/>
        </w:rPr>
        <w:t> </w:t>
      </w:r>
      <w:r>
        <w:rPr>
          <w:vertAlign w:val="baseline"/>
        </w:rPr>
        <w:t>“consumer</w:t>
      </w:r>
      <w:r>
        <w:rPr>
          <w:spacing w:val="15"/>
          <w:vertAlign w:val="baseline"/>
        </w:rPr>
        <w:t> </w:t>
      </w:r>
      <w:r>
        <w:rPr>
          <w:vertAlign w:val="baseline"/>
        </w:rPr>
        <w:t>guarantee”,</w:t>
      </w:r>
      <w:r>
        <w:rPr>
          <w:spacing w:val="15"/>
          <w:vertAlign w:val="baseline"/>
        </w:rPr>
        <w:t> </w:t>
      </w:r>
      <w:r>
        <w:rPr>
          <w:vertAlign w:val="baseline"/>
        </w:rPr>
        <w:t>the</w:t>
      </w:r>
      <w:r>
        <w:rPr>
          <w:spacing w:val="15"/>
          <w:vertAlign w:val="baseline"/>
        </w:rPr>
        <w:t> </w:t>
      </w:r>
      <w:r>
        <w:rPr>
          <w:vertAlign w:val="baseline"/>
        </w:rPr>
        <w:t>consumer</w:t>
      </w:r>
      <w:r>
        <w:rPr>
          <w:spacing w:val="15"/>
          <w:vertAlign w:val="baseline"/>
        </w:rPr>
        <w:t> </w:t>
      </w:r>
      <w:r>
        <w:rPr>
          <w:vertAlign w:val="baseline"/>
        </w:rPr>
        <w:t>guarantee</w:t>
      </w:r>
      <w:r>
        <w:rPr>
          <w:spacing w:val="15"/>
          <w:vertAlign w:val="baseline"/>
        </w:rPr>
        <w:t> </w:t>
      </w:r>
      <w:r>
        <w:rPr>
          <w:vertAlign w:val="baseline"/>
        </w:rPr>
        <w:t>“takes</w:t>
      </w:r>
      <w:r>
        <w:rPr>
          <w:spacing w:val="15"/>
          <w:vertAlign w:val="baseline"/>
        </w:rPr>
        <w:t> </w:t>
      </w:r>
      <w:r>
        <w:rPr>
          <w:vertAlign w:val="baseline"/>
        </w:rPr>
        <w:t>effect</w:t>
      </w:r>
      <w:r>
        <w:rPr>
          <w:spacing w:val="15"/>
          <w:vertAlign w:val="baseline"/>
        </w:rPr>
        <w:t> </w:t>
      </w:r>
      <w:r>
        <w:rPr>
          <w:vertAlign w:val="baseline"/>
        </w:rPr>
        <w:t>…</w:t>
      </w:r>
      <w:r>
        <w:rPr>
          <w:spacing w:val="15"/>
          <w:vertAlign w:val="baseline"/>
        </w:rPr>
        <w:t> </w:t>
      </w:r>
      <w:r>
        <w:rPr>
          <w:vertAlign w:val="baseline"/>
        </w:rPr>
        <w:t>as</w:t>
      </w:r>
      <w:r>
        <w:rPr>
          <w:spacing w:val="15"/>
          <w:vertAlign w:val="baseline"/>
        </w:rPr>
        <w:t> </w:t>
      </w:r>
      <w:r>
        <w:rPr>
          <w:spacing w:val="-10"/>
          <w:vertAlign w:val="baseline"/>
        </w:rPr>
        <w:t>a</w:t>
      </w:r>
    </w:p>
    <w:p>
      <w:pPr>
        <w:pStyle w:val="BodyText"/>
        <w:spacing w:after="0" w:line="235" w:lineRule="auto"/>
        <w:jc w:val="both"/>
        <w:sectPr>
          <w:headerReference w:type="default" r:id="rId33"/>
          <w:pgSz w:w="11900" w:h="16840"/>
          <w:pgMar w:header="971" w:footer="0" w:top="1300" w:bottom="280" w:left="1275" w:right="1275"/>
          <w:pgNumType w:start="1"/>
        </w:sectPr>
      </w:pPr>
    </w:p>
    <w:p>
      <w:pPr>
        <w:pStyle w:val="BodyText"/>
        <w:spacing w:line="235" w:lineRule="auto" w:before="110"/>
        <w:ind w:left="165" w:right="167"/>
        <w:jc w:val="both"/>
      </w:pPr>
      <w:r>
        <w:rPr/>
        <w:t>contractual obligation owed by the guarantor under the conditions set out in the guarantee </w:t>
      </w:r>
      <w:r>
        <w:rPr/>
        <w:t>statement and associated advertising”. </w:t>
      </w:r>
      <w:r>
        <w:rPr>
          <w:color w:val="005DA1"/>
          <w:u w:val="single" w:color="005DA1"/>
          <w:vertAlign w:val="superscript"/>
        </w:rPr>
        <w:t>1172</w:t>
      </w:r>
    </w:p>
    <w:p>
      <w:pPr>
        <w:pStyle w:val="BodyText"/>
      </w:pPr>
    </w:p>
    <w:p>
      <w:pPr>
        <w:pStyle w:val="BodyText"/>
        <w:spacing w:before="38"/>
      </w:pPr>
    </w:p>
    <w:p>
      <w:pPr>
        <w:spacing w:before="0"/>
        <w:ind w:left="165" w:right="0" w:firstLine="0"/>
        <w:jc w:val="both"/>
        <w:rPr>
          <w:rFonts w:ascii="Arial"/>
          <w:b/>
          <w:sz w:val="18"/>
        </w:rPr>
      </w:pPr>
      <w:r>
        <w:rPr>
          <w:rFonts w:ascii="Arial"/>
          <w:b/>
          <w:sz w:val="18"/>
        </w:rPr>
        <w:t>Quantum </w:t>
      </w:r>
      <w:r>
        <w:rPr>
          <w:rFonts w:ascii="Arial"/>
          <w:b/>
          <w:spacing w:val="-2"/>
          <w:sz w:val="18"/>
        </w:rPr>
        <w:t>meruit</w:t>
      </w:r>
    </w:p>
    <w:p>
      <w:pPr>
        <w:pStyle w:val="BodyText"/>
        <w:spacing w:before="41"/>
        <w:rPr>
          <w:rFonts w:ascii="Arial"/>
          <w:b/>
          <w:sz w:val="18"/>
        </w:rPr>
      </w:pPr>
    </w:p>
    <w:p>
      <w:pPr>
        <w:pStyle w:val="Heading2"/>
      </w:pPr>
      <w:r>
        <w:rPr/>
        <w:t>2-</w:t>
      </w:r>
      <w:r>
        <w:rPr>
          <w:spacing w:val="-5"/>
        </w:rPr>
        <w:t>218</w:t>
      </w:r>
    </w:p>
    <w:p>
      <w:pPr>
        <w:pStyle w:val="BodyText"/>
        <w:spacing w:line="235" w:lineRule="auto" w:before="203"/>
        <w:ind w:left="164" w:right="167"/>
        <w:jc w:val="both"/>
      </w:pPr>
      <w:r>
        <w:rPr/>
        <w:t>Where work has been done in anticipation of a contract that does not eventuate, the remedy </w:t>
      </w:r>
      <w:r>
        <w:rPr/>
        <w:t>of quantum meruit (the reasonable value of the services provided) may be awarded, provided that the services were requested or acquiesced in by the recipient and provided that the claimant did not take the risk of being reimbursed only if a contract was concluded. The court may also impose an obligation on the recipient of a benefit if he has behaved unconscionably in declining to pay for it. </w:t>
      </w:r>
      <w:r>
        <w:rPr>
          <w:color w:val="005DA1"/>
          <w:u w:val="single" w:color="005DA1"/>
          <w:vertAlign w:val="superscript"/>
        </w:rPr>
        <w:t>1173</w:t>
      </w:r>
      <w:r>
        <w:rPr>
          <w:color w:val="005DA1"/>
          <w:vertAlign w:val="baseline"/>
        </w:rPr>
        <w:t> </w:t>
      </w:r>
      <w:r>
        <w:rPr>
          <w:vertAlign w:val="baseline"/>
        </w:rPr>
        <w:t>In </w:t>
      </w:r>
      <w:r>
        <w:rPr>
          <w:rFonts w:ascii="Arial" w:hAnsi="Arial"/>
          <w:i/>
          <w:vertAlign w:val="baseline"/>
        </w:rPr>
        <w:t>Cobbe v Yeomans Row Management Ltd </w:t>
      </w:r>
      <w:r>
        <w:rPr>
          <w:color w:val="005DA1"/>
          <w:u w:val="single" w:color="005DA1"/>
          <w:vertAlign w:val="superscript"/>
        </w:rPr>
        <w:t>1174</w:t>
      </w:r>
      <w:r>
        <w:rPr>
          <w:color w:val="005DA1"/>
          <w:vertAlign w:val="baseline"/>
        </w:rPr>
        <w:t> </w:t>
      </w:r>
      <w:r>
        <w:rPr>
          <w:vertAlign w:val="baseline"/>
        </w:rPr>
        <w:t>Mummery L.J. said that “Under English law there is no general duty to negotiate in good faith”; but he added that there were “plenty of other ways of dealing with particular problems of unacceptable conduct occurring in the course of negotiations without unduly hampering the ability of the parties to negotiate their own bargains without the intervention of the courts.” </w:t>
      </w:r>
      <w:r>
        <w:rPr>
          <w:color w:val="005DA1"/>
          <w:u w:val="single" w:color="005DA1"/>
          <w:vertAlign w:val="superscript"/>
        </w:rPr>
        <w:t>1175</w:t>
      </w:r>
      <w:r>
        <w:rPr>
          <w:color w:val="005DA1"/>
          <w:vertAlign w:val="baseline"/>
        </w:rPr>
        <w:t> </w:t>
      </w:r>
      <w:r>
        <w:rPr>
          <w:vertAlign w:val="baseline"/>
        </w:rPr>
        <w:t>In the </w:t>
      </w:r>
      <w:r>
        <w:rPr>
          <w:rFonts w:ascii="Arial" w:hAnsi="Arial"/>
          <w:i/>
          <w:vertAlign w:val="baseline"/>
        </w:rPr>
        <w:t>Cobbe </w:t>
      </w:r>
      <w:r>
        <w:rPr>
          <w:vertAlign w:val="baseline"/>
        </w:rPr>
        <w:t>case itself, quantum meruit was awarded to the party prejudiced by the other party’s “unattractive” </w:t>
      </w:r>
      <w:r>
        <w:rPr>
          <w:color w:val="005DA1"/>
          <w:u w:val="single" w:color="005DA1"/>
          <w:vertAlign w:val="superscript"/>
        </w:rPr>
        <w:t>1176</w:t>
      </w:r>
      <w:r>
        <w:rPr>
          <w:color w:val="005DA1"/>
          <w:vertAlign w:val="baseline"/>
        </w:rPr>
        <w:t> </w:t>
      </w:r>
      <w:r>
        <w:rPr>
          <w:vertAlign w:val="baseline"/>
        </w:rPr>
        <w:t>conduct in withdrawing from the agreement, which required further negotiations to acquire contractual force.</w:t>
      </w:r>
    </w:p>
    <w:p>
      <w:pPr>
        <w:pStyle w:val="BodyText"/>
      </w:pPr>
    </w:p>
    <w:p>
      <w:pPr>
        <w:pStyle w:val="BodyText"/>
        <w:spacing w:before="34"/>
      </w:pPr>
    </w:p>
    <w:p>
      <w:pPr>
        <w:spacing w:before="0"/>
        <w:ind w:left="165" w:right="0" w:firstLine="0"/>
        <w:jc w:val="left"/>
        <w:rPr>
          <w:rFonts w:ascii="Arial"/>
          <w:b/>
          <w:sz w:val="18"/>
        </w:rPr>
      </w:pPr>
      <w:r>
        <w:rPr>
          <w:rFonts w:ascii="Arial"/>
          <w:b/>
          <w:sz w:val="18"/>
        </w:rPr>
        <w:t>Constructive </w:t>
      </w:r>
      <w:r>
        <w:rPr>
          <w:rFonts w:ascii="Arial"/>
          <w:b/>
          <w:spacing w:val="-2"/>
          <w:sz w:val="18"/>
        </w:rPr>
        <w:t>trust</w:t>
      </w:r>
    </w:p>
    <w:p>
      <w:pPr>
        <w:pStyle w:val="BodyText"/>
        <w:spacing w:before="41"/>
        <w:rPr>
          <w:rFonts w:ascii="Arial"/>
          <w:b/>
          <w:sz w:val="18"/>
        </w:rPr>
      </w:pPr>
    </w:p>
    <w:p>
      <w:pPr>
        <w:pStyle w:val="Heading2"/>
        <w:spacing w:before="1"/>
      </w:pPr>
      <w:r>
        <w:rPr/>
        <w:t>2-</w:t>
      </w:r>
      <w:r>
        <w:rPr>
          <w:spacing w:val="-5"/>
        </w:rPr>
        <w:t>219</w:t>
      </w:r>
    </w:p>
    <w:p>
      <w:pPr>
        <w:pStyle w:val="BodyText"/>
        <w:spacing w:before="92"/>
        <w:rPr>
          <w:rFonts w:ascii="Arial"/>
          <w:b/>
        </w:rPr>
      </w:pPr>
    </w:p>
    <w:p>
      <w:pPr>
        <w:pStyle w:val="BodyText"/>
        <w:spacing w:line="235" w:lineRule="auto"/>
        <w:ind w:left="165" w:right="166"/>
        <w:jc w:val="both"/>
      </w:pPr>
      <w:r>
        <w:rPr>
          <w:position w:val="-2"/>
        </w:rPr>
        <w:drawing>
          <wp:inline distT="0" distB="0" distL="0" distR="0">
            <wp:extent cx="107988" cy="107988"/>
            <wp:effectExtent l="0" t="0" r="0" b="0"/>
            <wp:docPr id="152" name="Image 152"/>
            <wp:cNvGraphicFramePr>
              <a:graphicFrameLocks/>
            </wp:cNvGraphicFramePr>
            <a:graphic>
              <a:graphicData uri="http://schemas.openxmlformats.org/drawingml/2006/picture">
                <pic:pic>
                  <pic:nvPicPr>
                    <pic:cNvPr id="152" name="Image 152"/>
                    <pic:cNvPicPr/>
                  </pic:nvPicPr>
                  <pic:blipFill>
                    <a:blip r:embed="rId7" cstate="print"/>
                    <a:stretch>
                      <a:fillRect/>
                    </a:stretch>
                  </pic:blipFill>
                  <pic:spPr>
                    <a:xfrm>
                      <a:off x="0" y="0"/>
                      <a:ext cx="107988" cy="107988"/>
                    </a:xfrm>
                    <a:prstGeom prst="rect">
                      <a:avLst/>
                    </a:prstGeom>
                  </pic:spPr>
                </pic:pic>
              </a:graphicData>
            </a:graphic>
          </wp:inline>
        </w:drawing>
      </w:r>
      <w:r>
        <w:rPr>
          <w:position w:val="-2"/>
        </w:rPr>
      </w:r>
      <w:r>
        <w:rPr>
          <w:rFonts w:ascii="Times New Roman"/>
        </w:rPr>
        <w:t> </w:t>
      </w:r>
      <w:r>
        <w:rPr/>
        <w:t>An</w:t>
      </w:r>
      <w:r>
        <w:rPr>
          <w:spacing w:val="-2"/>
        </w:rPr>
        <w:t> </w:t>
      </w:r>
      <w:r>
        <w:rPr/>
        <w:t>oral</w:t>
      </w:r>
      <w:r>
        <w:rPr>
          <w:spacing w:val="-2"/>
        </w:rPr>
        <w:t> </w:t>
      </w:r>
      <w:r>
        <w:rPr/>
        <w:t>agreement</w:t>
      </w:r>
      <w:r>
        <w:rPr>
          <w:spacing w:val="-2"/>
        </w:rPr>
        <w:t> </w:t>
      </w:r>
      <w:r>
        <w:rPr/>
        <w:t>for</w:t>
      </w:r>
      <w:r>
        <w:rPr>
          <w:spacing w:val="-2"/>
        </w:rPr>
        <w:t> </w:t>
      </w:r>
      <w:r>
        <w:rPr/>
        <w:t>the</w:t>
      </w:r>
      <w:r>
        <w:rPr>
          <w:spacing w:val="-2"/>
        </w:rPr>
        <w:t> </w:t>
      </w:r>
      <w:r>
        <w:rPr/>
        <w:t>sale</w:t>
      </w:r>
      <w:r>
        <w:rPr>
          <w:spacing w:val="-2"/>
        </w:rPr>
        <w:t> </w:t>
      </w:r>
      <w:r>
        <w:rPr/>
        <w:t>of</w:t>
      </w:r>
      <w:r>
        <w:rPr>
          <w:spacing w:val="-2"/>
        </w:rPr>
        <w:t> </w:t>
      </w:r>
      <w:r>
        <w:rPr/>
        <w:t>land</w:t>
      </w:r>
      <w:r>
        <w:rPr>
          <w:spacing w:val="-2"/>
        </w:rPr>
        <w:t> </w:t>
      </w:r>
      <w:r>
        <w:rPr/>
        <w:t>is</w:t>
      </w:r>
      <w:r>
        <w:rPr>
          <w:spacing w:val="-2"/>
        </w:rPr>
        <w:t> </w:t>
      </w:r>
      <w:r>
        <w:rPr/>
        <w:t>enforceable</w:t>
      </w:r>
      <w:r>
        <w:rPr>
          <w:spacing w:val="-2"/>
        </w:rPr>
        <w:t> </w:t>
      </w:r>
      <w:r>
        <w:rPr/>
        <w:t>in</w:t>
      </w:r>
      <w:r>
        <w:rPr>
          <w:spacing w:val="-2"/>
        </w:rPr>
        <w:t> </w:t>
      </w:r>
      <w:r>
        <w:rPr/>
        <w:t>equity</w:t>
      </w:r>
      <w:r>
        <w:rPr>
          <w:spacing w:val="-2"/>
        </w:rPr>
        <w:t> </w:t>
      </w:r>
      <w:r>
        <w:rPr/>
        <w:t>under</w:t>
      </w:r>
      <w:r>
        <w:rPr>
          <w:spacing w:val="-2"/>
        </w:rPr>
        <w:t> </w:t>
      </w:r>
      <w:r>
        <w:rPr/>
        <w:t>a</w:t>
      </w:r>
      <w:r>
        <w:rPr>
          <w:spacing w:val="-2"/>
        </w:rPr>
        <w:t> </w:t>
      </w:r>
      <w:r>
        <w:rPr/>
        <w:t>constructive</w:t>
      </w:r>
      <w:r>
        <w:rPr>
          <w:spacing w:val="-2"/>
        </w:rPr>
        <w:t> </w:t>
      </w:r>
      <w:r>
        <w:rPr/>
        <w:t>trust</w:t>
      </w:r>
      <w:r>
        <w:rPr>
          <w:spacing w:val="-2"/>
        </w:rPr>
        <w:t> </w:t>
      </w:r>
      <w:r>
        <w:rPr/>
        <w:t>despite</w:t>
      </w:r>
      <w:r>
        <w:rPr>
          <w:spacing w:val="-2"/>
        </w:rPr>
        <w:t> </w:t>
      </w:r>
      <w:r>
        <w:rPr/>
        <w:t>not being</w:t>
      </w:r>
      <w:r>
        <w:rPr>
          <w:spacing w:val="2"/>
        </w:rPr>
        <w:t> </w:t>
      </w:r>
      <w:r>
        <w:rPr/>
        <w:t>in</w:t>
      </w:r>
      <w:r>
        <w:rPr>
          <w:spacing w:val="2"/>
        </w:rPr>
        <w:t> </w:t>
      </w:r>
      <w:r>
        <w:rPr/>
        <w:t>writing</w:t>
      </w:r>
      <w:r>
        <w:rPr>
          <w:spacing w:val="2"/>
        </w:rPr>
        <w:t> </w:t>
      </w:r>
      <w:r>
        <w:rPr/>
        <w:t>where</w:t>
      </w:r>
      <w:r>
        <w:rPr>
          <w:spacing w:val="2"/>
        </w:rPr>
        <w:t> </w:t>
      </w:r>
      <w:r>
        <w:rPr/>
        <w:t>both</w:t>
      </w:r>
      <w:r>
        <w:rPr>
          <w:spacing w:val="2"/>
        </w:rPr>
        <w:t> </w:t>
      </w:r>
      <w:r>
        <w:rPr/>
        <w:t>parties</w:t>
      </w:r>
      <w:r>
        <w:rPr>
          <w:spacing w:val="2"/>
        </w:rPr>
        <w:t> </w:t>
      </w:r>
      <w:r>
        <w:rPr/>
        <w:t>had</w:t>
      </w:r>
      <w:r>
        <w:rPr>
          <w:spacing w:val="2"/>
        </w:rPr>
        <w:t> </w:t>
      </w:r>
      <w:r>
        <w:rPr/>
        <w:t>considered</w:t>
      </w:r>
      <w:r>
        <w:rPr>
          <w:spacing w:val="2"/>
        </w:rPr>
        <w:t> </w:t>
      </w:r>
      <w:r>
        <w:rPr/>
        <w:t>it</w:t>
      </w:r>
      <w:r>
        <w:rPr>
          <w:spacing w:val="2"/>
        </w:rPr>
        <w:t> </w:t>
      </w:r>
      <w:r>
        <w:rPr/>
        <w:t>to</w:t>
      </w:r>
      <w:r>
        <w:rPr>
          <w:spacing w:val="2"/>
        </w:rPr>
        <w:t> </w:t>
      </w:r>
      <w:r>
        <w:rPr/>
        <w:t>be</w:t>
      </w:r>
      <w:r>
        <w:rPr>
          <w:spacing w:val="2"/>
        </w:rPr>
        <w:t> </w:t>
      </w:r>
      <w:r>
        <w:rPr/>
        <w:t>immediately</w:t>
      </w:r>
      <w:r>
        <w:rPr>
          <w:spacing w:val="2"/>
        </w:rPr>
        <w:t> </w:t>
      </w:r>
      <w:r>
        <w:rPr/>
        <w:t>binding</w:t>
      </w:r>
      <w:r>
        <w:rPr>
          <w:spacing w:val="2"/>
        </w:rPr>
        <w:t> </w:t>
      </w:r>
      <w:r>
        <w:rPr/>
        <w:t>upon</w:t>
      </w:r>
      <w:r>
        <w:rPr>
          <w:spacing w:val="2"/>
        </w:rPr>
        <w:t> </w:t>
      </w:r>
      <w:r>
        <w:rPr/>
        <w:t>them,</w:t>
      </w:r>
      <w:r>
        <w:rPr>
          <w:spacing w:val="2"/>
        </w:rPr>
        <w:t> </w:t>
      </w:r>
      <w:r>
        <w:rPr/>
        <w:t>and</w:t>
      </w:r>
      <w:r>
        <w:rPr>
          <w:spacing w:val="2"/>
        </w:rPr>
        <w:t> </w:t>
      </w:r>
      <w:r>
        <w:rPr>
          <w:spacing w:val="-2"/>
        </w:rPr>
        <w:t>where</w:t>
      </w:r>
    </w:p>
    <w:p>
      <w:pPr>
        <w:pStyle w:val="BodyText"/>
        <w:spacing w:line="235" w:lineRule="auto" w:before="119"/>
        <w:ind w:left="165" w:right="167"/>
        <w:jc w:val="both"/>
      </w:pPr>
      <w:r>
        <w:rPr/>
        <w:t>the</w:t>
      </w:r>
      <w:r>
        <w:rPr>
          <w:spacing w:val="-2"/>
        </w:rPr>
        <w:t> </w:t>
      </w:r>
      <w:r>
        <w:rPr/>
        <w:t>prospective</w:t>
      </w:r>
      <w:r>
        <w:rPr>
          <w:spacing w:val="-2"/>
        </w:rPr>
        <w:t> </w:t>
      </w:r>
      <w:r>
        <w:rPr/>
        <w:t>buyer</w:t>
      </w:r>
      <w:r>
        <w:rPr>
          <w:spacing w:val="-2"/>
        </w:rPr>
        <w:t> </w:t>
      </w:r>
      <w:r>
        <w:rPr/>
        <w:t>had</w:t>
      </w:r>
      <w:r>
        <w:rPr>
          <w:spacing w:val="-2"/>
        </w:rPr>
        <w:t> </w:t>
      </w:r>
      <w:r>
        <w:rPr/>
        <w:t>then</w:t>
      </w:r>
      <w:r>
        <w:rPr>
          <w:spacing w:val="-2"/>
        </w:rPr>
        <w:t> </w:t>
      </w:r>
      <w:r>
        <w:rPr/>
        <w:t>acted</w:t>
      </w:r>
      <w:r>
        <w:rPr>
          <w:spacing w:val="-2"/>
        </w:rPr>
        <w:t> </w:t>
      </w:r>
      <w:r>
        <w:rPr/>
        <w:t>to</w:t>
      </w:r>
      <w:r>
        <w:rPr>
          <w:spacing w:val="-2"/>
        </w:rPr>
        <w:t> </w:t>
      </w:r>
      <w:r>
        <w:rPr/>
        <w:t>his</w:t>
      </w:r>
      <w:r>
        <w:rPr>
          <w:spacing w:val="-2"/>
        </w:rPr>
        <w:t> </w:t>
      </w:r>
      <w:r>
        <w:rPr/>
        <w:t>detriment</w:t>
      </w:r>
      <w:r>
        <w:rPr>
          <w:spacing w:val="-2"/>
        </w:rPr>
        <w:t> </w:t>
      </w:r>
      <w:r>
        <w:rPr/>
        <w:t>in</w:t>
      </w:r>
      <w:r>
        <w:rPr>
          <w:spacing w:val="-2"/>
        </w:rPr>
        <w:t> </w:t>
      </w:r>
      <w:r>
        <w:rPr/>
        <w:t>reliance</w:t>
      </w:r>
      <w:r>
        <w:rPr>
          <w:spacing w:val="-2"/>
        </w:rPr>
        <w:t> </w:t>
      </w:r>
      <w:r>
        <w:rPr/>
        <w:t>upon</w:t>
      </w:r>
      <w:r>
        <w:rPr>
          <w:spacing w:val="-2"/>
        </w:rPr>
        <w:t> </w:t>
      </w:r>
      <w:r>
        <w:rPr/>
        <w:t>it.</w:t>
      </w:r>
      <w:r>
        <w:rPr>
          <w:spacing w:val="-3"/>
        </w:rPr>
        <w:t> </w:t>
      </w:r>
      <w:r>
        <w:rPr>
          <w:color w:val="005DA1"/>
          <w:u w:val="single" w:color="005DA1"/>
          <w:vertAlign w:val="superscript"/>
        </w:rPr>
        <w:t>1177</w:t>
      </w:r>
      <w:r>
        <w:rPr>
          <w:color w:val="005DA1"/>
          <w:spacing w:val="80"/>
          <w:vertAlign w:val="baseline"/>
        </w:rPr>
        <w:t> </w:t>
      </w:r>
      <w:r>
        <w:rPr>
          <w:color w:val="005DA1"/>
          <w:spacing w:val="4"/>
          <w:position w:val="-2"/>
          <w:vertAlign w:val="baseline"/>
        </w:rPr>
        <w:drawing>
          <wp:inline distT="0" distB="0" distL="0" distR="0">
            <wp:extent cx="107988" cy="107988"/>
            <wp:effectExtent l="0" t="0" r="0" b="0"/>
            <wp:docPr id="153" name="Image 153"/>
            <wp:cNvGraphicFramePr>
              <a:graphicFrameLocks/>
            </wp:cNvGraphicFramePr>
            <a:graphic>
              <a:graphicData uri="http://schemas.openxmlformats.org/drawingml/2006/picture">
                <pic:pic>
                  <pic:nvPicPr>
                    <pic:cNvPr id="153" name="Image 153"/>
                    <pic:cNvPicPr/>
                  </pic:nvPicPr>
                  <pic:blipFill>
                    <a:blip r:embed="rId7" cstate="print"/>
                    <a:stretch>
                      <a:fillRect/>
                    </a:stretch>
                  </pic:blipFill>
                  <pic:spPr>
                    <a:xfrm>
                      <a:off x="0" y="0"/>
                      <a:ext cx="107988" cy="107988"/>
                    </a:xfrm>
                    <a:prstGeom prst="rect">
                      <a:avLst/>
                    </a:prstGeom>
                  </pic:spPr>
                </pic:pic>
              </a:graphicData>
            </a:graphic>
          </wp:inline>
        </w:drawing>
      </w:r>
      <w:r>
        <w:rPr>
          <w:color w:val="005DA1"/>
          <w:spacing w:val="4"/>
          <w:position w:val="-2"/>
          <w:vertAlign w:val="baseline"/>
        </w:rPr>
      </w:r>
      <w:r>
        <w:rPr>
          <w:rFonts w:ascii="Times New Roman"/>
          <w:color w:val="005DA1"/>
          <w:vertAlign w:val="baseline"/>
        </w:rPr>
        <w:t> </w:t>
      </w:r>
      <w:r>
        <w:rPr>
          <w:vertAlign w:val="baseline"/>
        </w:rPr>
        <w:t>Where</w:t>
      </w:r>
      <w:r>
        <w:rPr>
          <w:spacing w:val="-2"/>
          <w:vertAlign w:val="baseline"/>
        </w:rPr>
        <w:t> </w:t>
      </w:r>
      <w:r>
        <w:rPr>
          <w:vertAlign w:val="baseline"/>
        </w:rPr>
        <w:t>an</w:t>
      </w:r>
      <w:r>
        <w:rPr>
          <w:spacing w:val="-2"/>
          <w:vertAlign w:val="baseline"/>
        </w:rPr>
        <w:t> </w:t>
      </w:r>
      <w:r>
        <w:rPr>
          <w:vertAlign w:val="baseline"/>
        </w:rPr>
        <w:t>agreement for the joint acquisition of property lacks contractual force for want of execution of a formal </w:t>
      </w:r>
      <w:r>
        <w:rPr>
          <w:vertAlign w:val="baseline"/>
        </w:rPr>
        <w:t>document and</w:t>
      </w:r>
      <w:r>
        <w:rPr>
          <w:spacing w:val="-1"/>
          <w:vertAlign w:val="baseline"/>
        </w:rPr>
        <w:t> </w:t>
      </w:r>
      <w:r>
        <w:rPr>
          <w:vertAlign w:val="baseline"/>
        </w:rPr>
        <w:t>one</w:t>
      </w:r>
      <w:r>
        <w:rPr>
          <w:spacing w:val="-1"/>
          <w:vertAlign w:val="baseline"/>
        </w:rPr>
        <w:t> </w:t>
      </w:r>
      <w:r>
        <w:rPr>
          <w:vertAlign w:val="baseline"/>
        </w:rPr>
        <w:t>of</w:t>
      </w:r>
      <w:r>
        <w:rPr>
          <w:spacing w:val="-1"/>
          <w:vertAlign w:val="baseline"/>
        </w:rPr>
        <w:t> </w:t>
      </w:r>
      <w:r>
        <w:rPr>
          <w:vertAlign w:val="baseline"/>
        </w:rPr>
        <w:t>the</w:t>
      </w:r>
      <w:r>
        <w:rPr>
          <w:spacing w:val="-1"/>
          <w:vertAlign w:val="baseline"/>
        </w:rPr>
        <w:t> </w:t>
      </w:r>
      <w:r>
        <w:rPr>
          <w:vertAlign w:val="baseline"/>
        </w:rPr>
        <w:t>parties</w:t>
      </w:r>
      <w:r>
        <w:rPr>
          <w:spacing w:val="-1"/>
          <w:vertAlign w:val="baseline"/>
        </w:rPr>
        <w:t> </w:t>
      </w:r>
      <w:r>
        <w:rPr>
          <w:vertAlign w:val="baseline"/>
        </w:rPr>
        <w:t>then</w:t>
      </w:r>
      <w:r>
        <w:rPr>
          <w:spacing w:val="-1"/>
          <w:vertAlign w:val="baseline"/>
        </w:rPr>
        <w:t> </w:t>
      </w:r>
      <w:r>
        <w:rPr>
          <w:vertAlign w:val="baseline"/>
        </w:rPr>
        <w:t>acquires</w:t>
      </w:r>
      <w:r>
        <w:rPr>
          <w:spacing w:val="-1"/>
          <w:vertAlign w:val="baseline"/>
        </w:rPr>
        <w:t> </w:t>
      </w:r>
      <w:r>
        <w:rPr>
          <w:vertAlign w:val="baseline"/>
        </w:rPr>
        <w:t>the</w:t>
      </w:r>
      <w:r>
        <w:rPr>
          <w:spacing w:val="-1"/>
          <w:vertAlign w:val="baseline"/>
        </w:rPr>
        <w:t> </w:t>
      </w:r>
      <w:r>
        <w:rPr>
          <w:vertAlign w:val="baseline"/>
        </w:rPr>
        <w:t>property</w:t>
      </w:r>
      <w:r>
        <w:rPr>
          <w:spacing w:val="-1"/>
          <w:vertAlign w:val="baseline"/>
        </w:rPr>
        <w:t> </w:t>
      </w:r>
      <w:r>
        <w:rPr>
          <w:vertAlign w:val="baseline"/>
        </w:rPr>
        <w:t>in</w:t>
      </w:r>
      <w:r>
        <w:rPr>
          <w:spacing w:val="-1"/>
          <w:vertAlign w:val="baseline"/>
        </w:rPr>
        <w:t> </w:t>
      </w:r>
      <w:r>
        <w:rPr>
          <w:vertAlign w:val="baseline"/>
        </w:rPr>
        <w:t>his</w:t>
      </w:r>
      <w:r>
        <w:rPr>
          <w:spacing w:val="-1"/>
          <w:vertAlign w:val="baseline"/>
        </w:rPr>
        <w:t> </w:t>
      </w:r>
      <w:r>
        <w:rPr>
          <w:vertAlign w:val="baseline"/>
        </w:rPr>
        <w:t>own</w:t>
      </w:r>
      <w:r>
        <w:rPr>
          <w:spacing w:val="-1"/>
          <w:vertAlign w:val="baseline"/>
        </w:rPr>
        <w:t> </w:t>
      </w:r>
      <w:r>
        <w:rPr>
          <w:vertAlign w:val="baseline"/>
        </w:rPr>
        <w:t>name,</w:t>
      </w:r>
      <w:r>
        <w:rPr>
          <w:spacing w:val="-1"/>
          <w:vertAlign w:val="baseline"/>
        </w:rPr>
        <w:t> </w:t>
      </w:r>
      <w:r>
        <w:rPr>
          <w:vertAlign w:val="baseline"/>
        </w:rPr>
        <w:t>he</w:t>
      </w:r>
      <w:r>
        <w:rPr>
          <w:spacing w:val="-1"/>
          <w:vertAlign w:val="baseline"/>
        </w:rPr>
        <w:t> </w:t>
      </w:r>
      <w:r>
        <w:rPr>
          <w:vertAlign w:val="baseline"/>
        </w:rPr>
        <w:t>may</w:t>
      </w:r>
      <w:r>
        <w:rPr>
          <w:spacing w:val="-1"/>
          <w:vertAlign w:val="baseline"/>
        </w:rPr>
        <w:t> </w:t>
      </w:r>
      <w:r>
        <w:rPr>
          <w:vertAlign w:val="baseline"/>
        </w:rPr>
        <w:t>be</w:t>
      </w:r>
      <w:r>
        <w:rPr>
          <w:spacing w:val="-1"/>
          <w:vertAlign w:val="baseline"/>
        </w:rPr>
        <w:t> </w:t>
      </w:r>
      <w:r>
        <w:rPr>
          <w:vertAlign w:val="baseline"/>
        </w:rPr>
        <w:t>liable</w:t>
      </w:r>
      <w:r>
        <w:rPr>
          <w:spacing w:val="-1"/>
          <w:vertAlign w:val="baseline"/>
        </w:rPr>
        <w:t> </w:t>
      </w:r>
      <w:r>
        <w:rPr>
          <w:vertAlign w:val="baseline"/>
        </w:rPr>
        <w:t>to</w:t>
      </w:r>
      <w:r>
        <w:rPr>
          <w:spacing w:val="-1"/>
          <w:vertAlign w:val="baseline"/>
        </w:rPr>
        <w:t> </w:t>
      </w:r>
      <w:r>
        <w:rPr>
          <w:vertAlign w:val="baseline"/>
        </w:rPr>
        <w:t>hold</w:t>
      </w:r>
      <w:r>
        <w:rPr>
          <w:spacing w:val="-1"/>
          <w:vertAlign w:val="baseline"/>
        </w:rPr>
        <w:t> </w:t>
      </w:r>
      <w:r>
        <w:rPr>
          <w:vertAlign w:val="baseline"/>
        </w:rPr>
        <w:t>a</w:t>
      </w:r>
      <w:r>
        <w:rPr>
          <w:spacing w:val="-1"/>
          <w:vertAlign w:val="baseline"/>
        </w:rPr>
        <w:t> </w:t>
      </w:r>
      <w:r>
        <w:rPr>
          <w:vertAlign w:val="baseline"/>
        </w:rPr>
        <w:t>share</w:t>
      </w:r>
      <w:r>
        <w:rPr>
          <w:spacing w:val="-1"/>
          <w:vertAlign w:val="baseline"/>
        </w:rPr>
        <w:t> </w:t>
      </w:r>
      <w:r>
        <w:rPr>
          <w:vertAlign w:val="baseline"/>
        </w:rPr>
        <w:t>of that property for the other party by virtue of a constructive trust. </w:t>
      </w:r>
      <w:r>
        <w:rPr>
          <w:color w:val="005DA1"/>
          <w:u w:val="single" w:color="005DA1"/>
          <w:vertAlign w:val="superscript"/>
        </w:rPr>
        <w:t>1178</w:t>
      </w:r>
    </w:p>
    <w:p>
      <w:pPr>
        <w:pStyle w:val="BodyText"/>
      </w:pPr>
    </w:p>
    <w:p>
      <w:pPr>
        <w:pStyle w:val="BodyText"/>
        <w:spacing w:before="37"/>
      </w:pPr>
    </w:p>
    <w:p>
      <w:pPr>
        <w:spacing w:before="1"/>
        <w:ind w:left="165" w:right="0" w:firstLine="0"/>
        <w:jc w:val="both"/>
        <w:rPr>
          <w:rFonts w:ascii="Arial"/>
          <w:b/>
          <w:sz w:val="18"/>
        </w:rPr>
      </w:pPr>
      <w:r>
        <w:rPr>
          <w:rFonts w:ascii="Arial"/>
          <w:b/>
          <w:sz w:val="18"/>
        </w:rPr>
        <w:t>Proprietary </w:t>
      </w:r>
      <w:r>
        <w:rPr>
          <w:rFonts w:ascii="Arial"/>
          <w:b/>
          <w:spacing w:val="-2"/>
          <w:sz w:val="18"/>
        </w:rPr>
        <w:t>estoppel</w:t>
      </w:r>
    </w:p>
    <w:p>
      <w:pPr>
        <w:pStyle w:val="BodyText"/>
        <w:spacing w:before="41"/>
        <w:rPr>
          <w:rFonts w:ascii="Arial"/>
          <w:b/>
          <w:sz w:val="18"/>
        </w:rPr>
      </w:pPr>
    </w:p>
    <w:p>
      <w:pPr>
        <w:pStyle w:val="Heading2"/>
      </w:pPr>
      <w:r>
        <w:rPr/>
        <w:t>2-</w:t>
      </w:r>
      <w:r>
        <w:rPr>
          <w:spacing w:val="-5"/>
        </w:rPr>
        <w:t>220</w:t>
      </w:r>
    </w:p>
    <w:p>
      <w:pPr>
        <w:pStyle w:val="BodyText"/>
        <w:spacing w:line="235" w:lineRule="auto" w:before="202"/>
        <w:ind w:left="165" w:right="167"/>
        <w:jc w:val="both"/>
      </w:pPr>
      <w:r>
        <w:rPr/>
        <w:t>Courts</w:t>
      </w:r>
      <w:r>
        <w:rPr>
          <w:spacing w:val="-3"/>
        </w:rPr>
        <w:t> </w:t>
      </w:r>
      <w:r>
        <w:rPr/>
        <w:t>may</w:t>
      </w:r>
      <w:r>
        <w:rPr>
          <w:spacing w:val="-3"/>
        </w:rPr>
        <w:t> </w:t>
      </w:r>
      <w:r>
        <w:rPr/>
        <w:t>deploy</w:t>
      </w:r>
      <w:r>
        <w:rPr>
          <w:spacing w:val="-3"/>
        </w:rPr>
        <w:t> </w:t>
      </w:r>
      <w:r>
        <w:rPr/>
        <w:t>the</w:t>
      </w:r>
      <w:r>
        <w:rPr>
          <w:spacing w:val="-3"/>
        </w:rPr>
        <w:t> </w:t>
      </w:r>
      <w:r>
        <w:rPr/>
        <w:t>doctrine</w:t>
      </w:r>
      <w:r>
        <w:rPr>
          <w:spacing w:val="-3"/>
        </w:rPr>
        <w:t> </w:t>
      </w:r>
      <w:r>
        <w:rPr/>
        <w:t>of</w:t>
      </w:r>
      <w:r>
        <w:rPr>
          <w:spacing w:val="-3"/>
        </w:rPr>
        <w:t> </w:t>
      </w:r>
      <w:r>
        <w:rPr/>
        <w:t>proprietary</w:t>
      </w:r>
      <w:r>
        <w:rPr>
          <w:spacing w:val="-3"/>
        </w:rPr>
        <w:t> </w:t>
      </w:r>
      <w:r>
        <w:rPr/>
        <w:t>estoppel</w:t>
      </w:r>
      <w:r>
        <w:rPr>
          <w:spacing w:val="-4"/>
        </w:rPr>
        <w:t> </w:t>
      </w:r>
      <w:r>
        <w:rPr>
          <w:color w:val="005DA1"/>
          <w:u w:val="single" w:color="005DA1"/>
          <w:vertAlign w:val="superscript"/>
        </w:rPr>
        <w:t>1179</w:t>
      </w:r>
      <w:r>
        <w:rPr>
          <w:color w:val="005DA1"/>
          <w:spacing w:val="-3"/>
          <w:vertAlign w:val="baseline"/>
        </w:rPr>
        <w:t> </w:t>
      </w:r>
      <w:r>
        <w:rPr>
          <w:vertAlign w:val="baseline"/>
        </w:rPr>
        <w:t>to</w:t>
      </w:r>
      <w:r>
        <w:rPr>
          <w:spacing w:val="-3"/>
          <w:vertAlign w:val="baseline"/>
        </w:rPr>
        <w:t> </w:t>
      </w:r>
      <w:r>
        <w:rPr>
          <w:vertAlign w:val="baseline"/>
        </w:rPr>
        <w:t>circumvent</w:t>
      </w:r>
      <w:r>
        <w:rPr>
          <w:spacing w:val="-3"/>
          <w:vertAlign w:val="baseline"/>
        </w:rPr>
        <w:t> </w:t>
      </w:r>
      <w:r>
        <w:rPr>
          <w:vertAlign w:val="baseline"/>
        </w:rPr>
        <w:t>the</w:t>
      </w:r>
      <w:r>
        <w:rPr>
          <w:spacing w:val="-3"/>
          <w:vertAlign w:val="baseline"/>
        </w:rPr>
        <w:t> </w:t>
      </w:r>
      <w:r>
        <w:rPr>
          <w:vertAlign w:val="baseline"/>
        </w:rPr>
        <w:t>absence</w:t>
      </w:r>
      <w:r>
        <w:rPr>
          <w:spacing w:val="-3"/>
          <w:vertAlign w:val="baseline"/>
        </w:rPr>
        <w:t> </w:t>
      </w:r>
      <w:r>
        <w:rPr>
          <w:vertAlign w:val="baseline"/>
        </w:rPr>
        <w:t>of</w:t>
      </w:r>
      <w:r>
        <w:rPr>
          <w:spacing w:val="-3"/>
          <w:vertAlign w:val="baseline"/>
        </w:rPr>
        <w:t> </w:t>
      </w:r>
      <w:r>
        <w:rPr>
          <w:vertAlign w:val="baseline"/>
        </w:rPr>
        <w:t>the</w:t>
      </w:r>
      <w:r>
        <w:rPr>
          <w:spacing w:val="-3"/>
          <w:vertAlign w:val="baseline"/>
        </w:rPr>
        <w:t> </w:t>
      </w:r>
      <w:r>
        <w:rPr>
          <w:vertAlign w:val="baseline"/>
        </w:rPr>
        <w:t>execution of a formal document where a plaintiff has done acts in reliance on the defendant’s promise that he (the claimant) has, or that he will acquire, rights in or over the defendant’s land. There must be:</w:t>
      </w:r>
    </w:p>
    <w:p>
      <w:pPr>
        <w:pStyle w:val="BodyText"/>
      </w:pPr>
    </w:p>
    <w:p>
      <w:pPr>
        <w:pStyle w:val="BodyText"/>
        <w:spacing w:before="126"/>
      </w:pPr>
    </w:p>
    <w:p>
      <w:pPr>
        <w:pStyle w:val="BodyText"/>
        <w:spacing w:line="235" w:lineRule="auto"/>
        <w:ind w:left="1245" w:right="167"/>
        <w:jc w:val="both"/>
      </w:pPr>
      <w:r>
        <w:rPr/>
        <w:t>“clarity as to what it is that the object of the estoppel [i.e. the defendant] is to be estopped from denying, or asserting, and clarity as to the interest in the property in question </w:t>
      </w:r>
      <w:r>
        <w:rPr/>
        <w:t>that that denial, or assertion, would otherwise defeat.” </w:t>
      </w:r>
      <w:r>
        <w:rPr>
          <w:color w:val="005DA1"/>
          <w:u w:val="single" w:color="005DA1"/>
          <w:vertAlign w:val="superscript"/>
        </w:rPr>
        <w:t>1180</w:t>
      </w:r>
    </w:p>
    <w:p>
      <w:pPr>
        <w:pStyle w:val="BodyText"/>
      </w:pPr>
    </w:p>
    <w:p>
      <w:pPr>
        <w:pStyle w:val="BodyText"/>
        <w:spacing w:before="206"/>
      </w:pPr>
    </w:p>
    <w:p>
      <w:pPr>
        <w:pStyle w:val="BodyText"/>
        <w:spacing w:line="235" w:lineRule="auto"/>
        <w:ind w:left="164" w:right="167"/>
        <w:jc w:val="both"/>
      </w:pPr>
      <w:r>
        <w:rPr/>
        <w:t>Neither of these requirements were satisfied in </w:t>
      </w:r>
      <w:r>
        <w:rPr>
          <w:rFonts w:ascii="Arial" w:hAnsi="Arial"/>
          <w:i/>
        </w:rPr>
        <w:t>Cobbe v Yeoman’s Row Management Ltd </w:t>
      </w:r>
      <w:r>
        <w:rPr>
          <w:color w:val="005DA1"/>
          <w:u w:val="single" w:color="005DA1"/>
          <w:vertAlign w:val="superscript"/>
        </w:rPr>
        <w:t>1181</w:t>
      </w:r>
      <w:r>
        <w:rPr>
          <w:color w:val="005DA1"/>
          <w:vertAlign w:val="baseline"/>
        </w:rPr>
        <w:t> </w:t>
      </w:r>
      <w:r>
        <w:rPr>
          <w:vertAlign w:val="baseline"/>
        </w:rPr>
        <w:t>since the “agreement in principle”, was, as the plaintiff knew, incomplete and binding in honour only, so that he could not allege that the defendant was bound by it; and since the plaintiff was not asserting any expectation that he would acquire a proprietary right. </w:t>
      </w:r>
      <w:r>
        <w:rPr>
          <w:color w:val="005DA1"/>
          <w:u w:val="single" w:color="005DA1"/>
          <w:vertAlign w:val="superscript"/>
        </w:rPr>
        <w:t>1182</w:t>
      </w:r>
      <w:r>
        <w:rPr>
          <w:color w:val="005DA1"/>
          <w:vertAlign w:val="baseline"/>
        </w:rPr>
        <w:t> </w:t>
      </w:r>
      <w:r>
        <w:rPr>
          <w:vertAlign w:val="baseline"/>
        </w:rPr>
        <w:t>Likewise, in another case, </w:t>
      </w:r>
      <w:r>
        <w:rPr>
          <w:color w:val="005DA1"/>
          <w:u w:val="single" w:color="005DA1"/>
          <w:vertAlign w:val="superscript"/>
        </w:rPr>
        <w:t>1183</w:t>
      </w:r>
      <w:r>
        <w:rPr>
          <w:color w:val="005DA1"/>
          <w:vertAlign w:val="baseline"/>
        </w:rPr>
        <w:t> </w:t>
      </w:r>
      <w:r>
        <w:rPr>
          <w:vertAlign w:val="baseline"/>
        </w:rPr>
        <w:t>although </w:t>
      </w:r>
      <w:r>
        <w:rPr>
          <w:vertAlign w:val="baseline"/>
        </w:rPr>
        <w:t>it was accepted that proprietary estoppel should also apply to intellectual property rights, it did not arise on the facts since the claimant knew that the parties were not in agreement and the defendant made no representation that the contract would be concluded. In contrast, the claim for proprietary estoppel was upheld in </w:t>
      </w:r>
      <w:r>
        <w:rPr>
          <w:rFonts w:ascii="Arial" w:hAnsi="Arial"/>
          <w:i/>
          <w:vertAlign w:val="baseline"/>
        </w:rPr>
        <w:t>Thorner v Major </w:t>
      </w:r>
      <w:r>
        <w:rPr>
          <w:color w:val="005DA1"/>
          <w:u w:val="single" w:color="005DA1"/>
          <w:vertAlign w:val="superscript"/>
        </w:rPr>
        <w:t>1184</w:t>
      </w:r>
      <w:r>
        <w:rPr>
          <w:color w:val="005DA1"/>
          <w:vertAlign w:val="baseline"/>
        </w:rPr>
        <w:t> </w:t>
      </w:r>
      <w:r>
        <w:rPr>
          <w:vertAlign w:val="baseline"/>
        </w:rPr>
        <w:t>where the plaintiff had worked for 29 years without pay in reliance on his uncle’s assurance that he would inherit the land.</w:t>
      </w:r>
    </w:p>
    <w:p>
      <w:pPr>
        <w:pStyle w:val="BodyText"/>
        <w:spacing w:after="0" w:line="235" w:lineRule="auto"/>
        <w:jc w:val="both"/>
        <w:sectPr>
          <w:pgSz w:w="11900" w:h="16840"/>
          <w:pgMar w:header="971" w:footer="0" w:top="1300" w:bottom="280" w:left="1275" w:right="1275"/>
        </w:sectPr>
      </w:pPr>
    </w:p>
    <w:p>
      <w:pPr>
        <w:pStyle w:val="BodyText"/>
        <w:rPr>
          <w:sz w:val="18"/>
        </w:rPr>
      </w:pPr>
    </w:p>
    <w:p>
      <w:pPr>
        <w:pStyle w:val="BodyText"/>
        <w:spacing w:before="35"/>
        <w:rPr>
          <w:sz w:val="18"/>
        </w:rPr>
      </w:pPr>
    </w:p>
    <w:p>
      <w:pPr>
        <w:spacing w:before="0"/>
        <w:ind w:left="165" w:right="0" w:firstLine="0"/>
        <w:jc w:val="left"/>
        <w:rPr>
          <w:rFonts w:ascii="Arial"/>
          <w:b/>
          <w:sz w:val="18"/>
        </w:rPr>
      </w:pPr>
      <w:r>
        <w:rPr>
          <w:rFonts w:ascii="Arial"/>
          <w:b/>
          <w:sz w:val="18"/>
        </w:rPr>
        <w:t>Overcoming failure to comply with formal requirements regarding </w:t>
      </w:r>
      <w:r>
        <w:rPr>
          <w:rFonts w:ascii="Arial"/>
          <w:b/>
          <w:spacing w:val="-4"/>
          <w:sz w:val="18"/>
        </w:rPr>
        <w:t>land</w:t>
      </w:r>
    </w:p>
    <w:p>
      <w:pPr>
        <w:pStyle w:val="BodyText"/>
        <w:spacing w:before="41"/>
        <w:rPr>
          <w:rFonts w:ascii="Arial"/>
          <w:b/>
          <w:sz w:val="18"/>
        </w:rPr>
      </w:pPr>
    </w:p>
    <w:p>
      <w:pPr>
        <w:pStyle w:val="Heading2"/>
      </w:pPr>
      <w:r>
        <w:rPr/>
        <w:t>2-</w:t>
      </w:r>
      <w:r>
        <w:rPr>
          <w:spacing w:val="-5"/>
        </w:rPr>
        <w:t>221</w:t>
      </w:r>
    </w:p>
    <w:p>
      <w:pPr>
        <w:pStyle w:val="BodyText"/>
        <w:spacing w:line="235" w:lineRule="auto" w:before="203"/>
        <w:ind w:left="165" w:right="167"/>
        <w:jc w:val="both"/>
      </w:pPr>
      <w:r>
        <w:rPr/>
        <w:t>Section 2 of the Law of Property (Miscellaneous Provisions) Act 1989 Act declares to be void </w:t>
      </w:r>
      <w:r>
        <w:rPr/>
        <w:t>any agreement for the acquisition of an interest in land that does not comply with the requisite formalities prescribed by the section. </w:t>
      </w:r>
      <w:r>
        <w:rPr>
          <w:color w:val="005DA1"/>
          <w:u w:val="single" w:color="005DA1"/>
          <w:vertAlign w:val="superscript"/>
        </w:rPr>
        <w:t>1185</w:t>
      </w:r>
      <w:r>
        <w:rPr>
          <w:color w:val="005DA1"/>
          <w:vertAlign w:val="baseline"/>
        </w:rPr>
        <w:t> </w:t>
      </w:r>
      <w:r>
        <w:rPr>
          <w:vertAlign w:val="baseline"/>
        </w:rPr>
        <w:t>Subsection (5) expressly makes an exception for resulting, implied or constructive trusts. </w:t>
      </w:r>
      <w:r>
        <w:rPr>
          <w:color w:val="005DA1"/>
          <w:u w:val="single" w:color="005DA1"/>
          <w:vertAlign w:val="superscript"/>
        </w:rPr>
        <w:t>1186</w:t>
      </w:r>
      <w:r>
        <w:rPr>
          <w:color w:val="005DA1"/>
          <w:vertAlign w:val="baseline"/>
        </w:rPr>
        <w:t> </w:t>
      </w:r>
      <w:r>
        <w:rPr>
          <w:vertAlign w:val="baseline"/>
        </w:rPr>
        <w:t>Despite the absence of any express saving provision in s.2 in respect of the doctrine of estoppel, there is support for allowing the doctrine to modify or counteract the effect of s.2. </w:t>
      </w:r>
      <w:r>
        <w:rPr>
          <w:color w:val="005DA1"/>
          <w:u w:val="single" w:color="005DA1"/>
          <w:vertAlign w:val="superscript"/>
        </w:rPr>
        <w:t>1187</w:t>
      </w:r>
      <w:r>
        <w:rPr>
          <w:color w:val="005DA1"/>
          <w:vertAlign w:val="baseline"/>
        </w:rPr>
        <w:t> </w:t>
      </w:r>
      <w:r>
        <w:rPr>
          <w:vertAlign w:val="baseline"/>
        </w:rPr>
        <w:t>The doctrine of promissory estoppel, owing to its defensive nature, cannot create a new cause of action in substitution for the contractual action denied for want of formality. </w:t>
      </w:r>
      <w:r>
        <w:rPr>
          <w:color w:val="005DA1"/>
          <w:u w:val="single" w:color="005DA1"/>
          <w:vertAlign w:val="superscript"/>
        </w:rPr>
        <w:t>1188</w:t>
      </w:r>
      <w:r>
        <w:rPr>
          <w:color w:val="005DA1"/>
          <w:vertAlign w:val="baseline"/>
        </w:rPr>
        <w:t> </w:t>
      </w:r>
      <w:r>
        <w:rPr>
          <w:vertAlign w:val="baseline"/>
        </w:rPr>
        <w:t>However, the Law Commission, in its work towards the 1989 Act, saw proprietary estoppel as a particularly attractive technique for the avoidance of injustice caused by a rigid adherence to the new formality rules. </w:t>
      </w:r>
      <w:r>
        <w:rPr>
          <w:color w:val="005DA1"/>
          <w:u w:val="single" w:color="005DA1"/>
          <w:vertAlign w:val="superscript"/>
        </w:rPr>
        <w:t>1189</w:t>
      </w:r>
      <w:r>
        <w:rPr>
          <w:color w:val="005DA1"/>
          <w:vertAlign w:val="baseline"/>
        </w:rPr>
        <w:t> </w:t>
      </w:r>
      <w:r>
        <w:rPr>
          <w:vertAlign w:val="baseline"/>
        </w:rPr>
        <w:t>Nevertheless, the judicial view on the appropriateness of recourse to proprietary estoppel where an agreement between the parties is void for failure of the formal requirements of s.2 has been mixed. </w:t>
      </w:r>
      <w:r>
        <w:rPr>
          <w:color w:val="005DA1"/>
          <w:u w:val="single" w:color="005DA1"/>
          <w:vertAlign w:val="superscript"/>
        </w:rPr>
        <w:t>1190</w:t>
      </w:r>
      <w:r>
        <w:rPr>
          <w:color w:val="005DA1"/>
          <w:vertAlign w:val="baseline"/>
        </w:rPr>
        <w:t> </w:t>
      </w:r>
      <w:r>
        <w:rPr>
          <w:vertAlign w:val="baseline"/>
        </w:rPr>
        <w:t>In particular, Lord Scott has expressed the view in </w:t>
      </w:r>
      <w:r>
        <w:rPr>
          <w:rFonts w:ascii="Arial" w:hAnsi="Arial"/>
          <w:i/>
          <w:vertAlign w:val="baseline"/>
        </w:rPr>
        <w:t>Cobbe v Yeoman’s Row Management Ltd </w:t>
      </w:r>
      <w:r>
        <w:rPr>
          <w:vertAlign w:val="baseline"/>
        </w:rPr>
        <w:t>that “proprietary</w:t>
      </w:r>
      <w:r>
        <w:rPr>
          <w:spacing w:val="-2"/>
          <w:vertAlign w:val="baseline"/>
        </w:rPr>
        <w:t> </w:t>
      </w:r>
      <w:r>
        <w:rPr>
          <w:vertAlign w:val="baseline"/>
        </w:rPr>
        <w:t>estoppel</w:t>
      </w:r>
      <w:r>
        <w:rPr>
          <w:spacing w:val="-2"/>
          <w:vertAlign w:val="baseline"/>
        </w:rPr>
        <w:t> </w:t>
      </w:r>
      <w:r>
        <w:rPr>
          <w:vertAlign w:val="baseline"/>
        </w:rPr>
        <w:t>cannot</w:t>
      </w:r>
      <w:r>
        <w:rPr>
          <w:spacing w:val="-2"/>
          <w:vertAlign w:val="baseline"/>
        </w:rPr>
        <w:t> </w:t>
      </w:r>
      <w:r>
        <w:rPr>
          <w:vertAlign w:val="baseline"/>
        </w:rPr>
        <w:t>be</w:t>
      </w:r>
      <w:r>
        <w:rPr>
          <w:spacing w:val="-2"/>
          <w:vertAlign w:val="baseline"/>
        </w:rPr>
        <w:t> </w:t>
      </w:r>
      <w:r>
        <w:rPr>
          <w:vertAlign w:val="baseline"/>
        </w:rPr>
        <w:t>prayed</w:t>
      </w:r>
      <w:r>
        <w:rPr>
          <w:spacing w:val="-2"/>
          <w:vertAlign w:val="baseline"/>
        </w:rPr>
        <w:t> </w:t>
      </w:r>
      <w:r>
        <w:rPr>
          <w:vertAlign w:val="baseline"/>
        </w:rPr>
        <w:t>in</w:t>
      </w:r>
      <w:r>
        <w:rPr>
          <w:spacing w:val="-2"/>
          <w:vertAlign w:val="baseline"/>
        </w:rPr>
        <w:t> </w:t>
      </w:r>
      <w:r>
        <w:rPr>
          <w:vertAlign w:val="baseline"/>
        </w:rPr>
        <w:t>aid</w:t>
      </w:r>
      <w:r>
        <w:rPr>
          <w:spacing w:val="-2"/>
          <w:vertAlign w:val="baseline"/>
        </w:rPr>
        <w:t> </w:t>
      </w:r>
      <w:r>
        <w:rPr>
          <w:vertAlign w:val="baseline"/>
        </w:rPr>
        <w:t>in</w:t>
      </w:r>
      <w:r>
        <w:rPr>
          <w:spacing w:val="-2"/>
          <w:vertAlign w:val="baseline"/>
        </w:rPr>
        <w:t> </w:t>
      </w:r>
      <w:r>
        <w:rPr>
          <w:vertAlign w:val="baseline"/>
        </w:rPr>
        <w:t>order</w:t>
      </w:r>
      <w:r>
        <w:rPr>
          <w:spacing w:val="-2"/>
          <w:vertAlign w:val="baseline"/>
        </w:rPr>
        <w:t> </w:t>
      </w:r>
      <w:r>
        <w:rPr>
          <w:vertAlign w:val="baseline"/>
        </w:rPr>
        <w:t>to</w:t>
      </w:r>
      <w:r>
        <w:rPr>
          <w:spacing w:val="-2"/>
          <w:vertAlign w:val="baseline"/>
        </w:rPr>
        <w:t> </w:t>
      </w:r>
      <w:r>
        <w:rPr>
          <w:vertAlign w:val="baseline"/>
        </w:rPr>
        <w:t>render</w:t>
      </w:r>
      <w:r>
        <w:rPr>
          <w:spacing w:val="-2"/>
          <w:vertAlign w:val="baseline"/>
        </w:rPr>
        <w:t> </w:t>
      </w:r>
      <w:r>
        <w:rPr>
          <w:vertAlign w:val="baseline"/>
        </w:rPr>
        <w:t>enforceable</w:t>
      </w:r>
      <w:r>
        <w:rPr>
          <w:spacing w:val="-2"/>
          <w:vertAlign w:val="baseline"/>
        </w:rPr>
        <w:t> </w:t>
      </w:r>
      <w:r>
        <w:rPr>
          <w:vertAlign w:val="baseline"/>
        </w:rPr>
        <w:t>an</w:t>
      </w:r>
      <w:r>
        <w:rPr>
          <w:spacing w:val="-2"/>
          <w:vertAlign w:val="baseline"/>
        </w:rPr>
        <w:t> </w:t>
      </w:r>
      <w:r>
        <w:rPr>
          <w:vertAlign w:val="baseline"/>
        </w:rPr>
        <w:t>agreement</w:t>
      </w:r>
      <w:r>
        <w:rPr>
          <w:spacing w:val="-2"/>
          <w:vertAlign w:val="baseline"/>
        </w:rPr>
        <w:t> </w:t>
      </w:r>
      <w:r>
        <w:rPr>
          <w:vertAlign w:val="baseline"/>
        </w:rPr>
        <w:t>that</w:t>
      </w:r>
      <w:r>
        <w:rPr>
          <w:spacing w:val="-2"/>
          <w:vertAlign w:val="baseline"/>
        </w:rPr>
        <w:t> </w:t>
      </w:r>
      <w:r>
        <w:rPr>
          <w:vertAlign w:val="baseline"/>
        </w:rPr>
        <w:t>statute has declared to be void”, </w:t>
      </w:r>
      <w:r>
        <w:rPr>
          <w:color w:val="005DA1"/>
          <w:u w:val="single" w:color="005DA1"/>
          <w:vertAlign w:val="superscript"/>
        </w:rPr>
        <w:t>1191</w:t>
      </w:r>
      <w:r>
        <w:rPr>
          <w:color w:val="005DA1"/>
          <w:vertAlign w:val="baseline"/>
        </w:rPr>
        <w:t> </w:t>
      </w:r>
      <w:r>
        <w:rPr>
          <w:vertAlign w:val="baseline"/>
        </w:rPr>
        <w:t>although this may be confined to the commercial context where, moreover, “the parties intend to make a formal agreement setting out the terms on which one or more of</w:t>
      </w:r>
      <w:r>
        <w:rPr>
          <w:spacing w:val="-2"/>
          <w:vertAlign w:val="baseline"/>
        </w:rPr>
        <w:t> </w:t>
      </w:r>
      <w:r>
        <w:rPr>
          <w:vertAlign w:val="baseline"/>
        </w:rPr>
        <w:t>the</w:t>
      </w:r>
      <w:r>
        <w:rPr>
          <w:spacing w:val="-2"/>
          <w:vertAlign w:val="baseline"/>
        </w:rPr>
        <w:t> </w:t>
      </w:r>
      <w:r>
        <w:rPr>
          <w:vertAlign w:val="baseline"/>
        </w:rPr>
        <w:t>parties</w:t>
      </w:r>
      <w:r>
        <w:rPr>
          <w:spacing w:val="-2"/>
          <w:vertAlign w:val="baseline"/>
        </w:rPr>
        <w:t> </w:t>
      </w:r>
      <w:r>
        <w:rPr>
          <w:vertAlign w:val="baseline"/>
        </w:rPr>
        <w:t>is</w:t>
      </w:r>
      <w:r>
        <w:rPr>
          <w:spacing w:val="-2"/>
          <w:vertAlign w:val="baseline"/>
        </w:rPr>
        <w:t> </w:t>
      </w:r>
      <w:r>
        <w:rPr>
          <w:vertAlign w:val="baseline"/>
        </w:rPr>
        <w:t>to</w:t>
      </w:r>
      <w:r>
        <w:rPr>
          <w:spacing w:val="-2"/>
          <w:vertAlign w:val="baseline"/>
        </w:rPr>
        <w:t> </w:t>
      </w:r>
      <w:r>
        <w:rPr>
          <w:vertAlign w:val="baseline"/>
        </w:rPr>
        <w:t>acquire</w:t>
      </w:r>
      <w:r>
        <w:rPr>
          <w:spacing w:val="-2"/>
          <w:vertAlign w:val="baseline"/>
        </w:rPr>
        <w:t> </w:t>
      </w:r>
      <w:r>
        <w:rPr>
          <w:vertAlign w:val="baseline"/>
        </w:rPr>
        <w:t>an</w:t>
      </w:r>
      <w:r>
        <w:rPr>
          <w:spacing w:val="-2"/>
          <w:vertAlign w:val="baseline"/>
        </w:rPr>
        <w:t> </w:t>
      </w:r>
      <w:r>
        <w:rPr>
          <w:vertAlign w:val="baseline"/>
        </w:rPr>
        <w:t>interest</w:t>
      </w:r>
      <w:r>
        <w:rPr>
          <w:spacing w:val="-2"/>
          <w:vertAlign w:val="baseline"/>
        </w:rPr>
        <w:t> </w:t>
      </w:r>
      <w:r>
        <w:rPr>
          <w:vertAlign w:val="baseline"/>
        </w:rPr>
        <w:t>in</w:t>
      </w:r>
      <w:r>
        <w:rPr>
          <w:spacing w:val="-2"/>
          <w:vertAlign w:val="baseline"/>
        </w:rPr>
        <w:t> </w:t>
      </w:r>
      <w:r>
        <w:rPr>
          <w:vertAlign w:val="baseline"/>
        </w:rPr>
        <w:t>property”</w:t>
      </w:r>
      <w:r>
        <w:rPr>
          <w:spacing w:val="-2"/>
          <w:vertAlign w:val="baseline"/>
        </w:rPr>
        <w:t> </w:t>
      </w:r>
      <w:r>
        <w:rPr>
          <w:vertAlign w:val="baseline"/>
        </w:rPr>
        <w:t>or</w:t>
      </w:r>
      <w:r>
        <w:rPr>
          <w:spacing w:val="-2"/>
          <w:vertAlign w:val="baseline"/>
        </w:rPr>
        <w:t> </w:t>
      </w:r>
      <w:r>
        <w:rPr>
          <w:vertAlign w:val="baseline"/>
        </w:rPr>
        <w:t>where</w:t>
      </w:r>
      <w:r>
        <w:rPr>
          <w:spacing w:val="-2"/>
          <w:vertAlign w:val="baseline"/>
        </w:rPr>
        <w:t> </w:t>
      </w:r>
      <w:r>
        <w:rPr>
          <w:vertAlign w:val="baseline"/>
        </w:rPr>
        <w:t>“further</w:t>
      </w:r>
      <w:r>
        <w:rPr>
          <w:spacing w:val="-2"/>
          <w:vertAlign w:val="baseline"/>
        </w:rPr>
        <w:t> </w:t>
      </w:r>
      <w:r>
        <w:rPr>
          <w:vertAlign w:val="baseline"/>
        </w:rPr>
        <w:t>terms</w:t>
      </w:r>
      <w:r>
        <w:rPr>
          <w:spacing w:val="-2"/>
          <w:vertAlign w:val="baseline"/>
        </w:rPr>
        <w:t> </w:t>
      </w:r>
      <w:r>
        <w:rPr>
          <w:vertAlign w:val="baseline"/>
        </w:rPr>
        <w:t>for</w:t>
      </w:r>
      <w:r>
        <w:rPr>
          <w:spacing w:val="-2"/>
          <w:vertAlign w:val="baseline"/>
        </w:rPr>
        <w:t> </w:t>
      </w:r>
      <w:r>
        <w:rPr>
          <w:vertAlign w:val="baseline"/>
        </w:rPr>
        <w:t>that</w:t>
      </w:r>
      <w:r>
        <w:rPr>
          <w:spacing w:val="-2"/>
          <w:vertAlign w:val="baseline"/>
        </w:rPr>
        <w:t> </w:t>
      </w:r>
      <w:r>
        <w:rPr>
          <w:vertAlign w:val="baseline"/>
        </w:rPr>
        <w:t>acquisition</w:t>
      </w:r>
      <w:r>
        <w:rPr>
          <w:spacing w:val="-2"/>
          <w:vertAlign w:val="baseline"/>
        </w:rPr>
        <w:t> </w:t>
      </w:r>
      <w:r>
        <w:rPr>
          <w:vertAlign w:val="baseline"/>
        </w:rPr>
        <w:t>remain</w:t>
      </w:r>
      <w:r>
        <w:rPr>
          <w:spacing w:val="-2"/>
          <w:vertAlign w:val="baseline"/>
        </w:rPr>
        <w:t> </w:t>
      </w:r>
      <w:r>
        <w:rPr>
          <w:vertAlign w:val="baseline"/>
        </w:rPr>
        <w:t>to be agreed between them so that the interest in property is not clearly identified” or where “the parties did not expect their agreement to be immediately binding”. </w:t>
      </w:r>
      <w:r>
        <w:rPr>
          <w:color w:val="005DA1"/>
          <w:u w:val="single" w:color="005DA1"/>
          <w:vertAlign w:val="superscript"/>
        </w:rPr>
        <w:t>1192</w:t>
      </w:r>
    </w:p>
    <w:p>
      <w:pPr>
        <w:pStyle w:val="BodyText"/>
      </w:pPr>
    </w:p>
    <w:p>
      <w:pPr>
        <w:pStyle w:val="BodyText"/>
        <w:spacing w:before="31"/>
      </w:pPr>
    </w:p>
    <w:p>
      <w:pPr>
        <w:spacing w:before="1"/>
        <w:ind w:left="165" w:right="0" w:firstLine="0"/>
        <w:jc w:val="both"/>
        <w:rPr>
          <w:rFonts w:ascii="Arial"/>
          <w:b/>
          <w:sz w:val="18"/>
        </w:rPr>
      </w:pPr>
      <w:r>
        <w:rPr>
          <w:rFonts w:ascii="Arial"/>
          <w:b/>
          <w:sz w:val="18"/>
        </w:rPr>
        <w:t>Promissory estoppel in other </w:t>
      </w:r>
      <w:r>
        <w:rPr>
          <w:rFonts w:ascii="Arial"/>
          <w:b/>
          <w:spacing w:val="-2"/>
          <w:sz w:val="18"/>
        </w:rPr>
        <w:t>jurisdictions</w:t>
      </w:r>
    </w:p>
    <w:p>
      <w:pPr>
        <w:pStyle w:val="BodyText"/>
        <w:spacing w:before="41"/>
        <w:rPr>
          <w:rFonts w:ascii="Arial"/>
          <w:b/>
          <w:sz w:val="18"/>
        </w:rPr>
      </w:pPr>
    </w:p>
    <w:p>
      <w:pPr>
        <w:pStyle w:val="Heading2"/>
      </w:pPr>
      <w:r>
        <w:rPr/>
        <w:t>2-</w:t>
      </w:r>
      <w:r>
        <w:rPr>
          <w:spacing w:val="-5"/>
        </w:rPr>
        <w:t>222</w:t>
      </w:r>
    </w:p>
    <w:p>
      <w:pPr>
        <w:pStyle w:val="BodyText"/>
        <w:spacing w:line="235" w:lineRule="auto" w:before="203"/>
        <w:ind w:left="165" w:right="167"/>
        <w:jc w:val="both"/>
      </w:pPr>
      <w:r>
        <w:rPr/>
        <w:t>Where one party has made a promise or representation to the other party that he will not enforce </w:t>
      </w:r>
      <w:r>
        <w:rPr/>
        <w:t>his strict legal rights against the other, and this has induced reliance by the latter party, the former party will not be able to resile from his promise or representation if to do so would be inequitable. </w:t>
      </w:r>
      <w:r>
        <w:rPr>
          <w:color w:val="005DA1"/>
          <w:u w:val="single" w:color="005DA1"/>
          <w:vertAlign w:val="superscript"/>
        </w:rPr>
        <w:t>1193</w:t>
      </w:r>
      <w:r>
        <w:rPr>
          <w:color w:val="005DA1"/>
          <w:vertAlign w:val="baseline"/>
        </w:rPr>
        <w:t> </w:t>
      </w:r>
      <w:r>
        <w:rPr>
          <w:vertAlign w:val="baseline"/>
        </w:rPr>
        <w:t>The English doctrine of promissory or equitable estoppel can only prevent the promisor from fully</w:t>
      </w:r>
      <w:r>
        <w:rPr>
          <w:spacing w:val="40"/>
          <w:vertAlign w:val="baseline"/>
        </w:rPr>
        <w:t> </w:t>
      </w:r>
      <w:r>
        <w:rPr>
          <w:vertAlign w:val="baseline"/>
        </w:rPr>
        <w:t>enforcing his previous rights against the promisee; it cannot confer new or additional rights on the promisee. Thus, the doctrine is said to act defensively, and not offensively; it is a “shield, but not as a sword”. However, other common law jurisdictions have allowed the doctrine of promissory estoppel to create</w:t>
      </w:r>
      <w:r>
        <w:rPr>
          <w:spacing w:val="-1"/>
          <w:vertAlign w:val="baseline"/>
        </w:rPr>
        <w:t> </w:t>
      </w:r>
      <w:r>
        <w:rPr>
          <w:vertAlign w:val="baseline"/>
        </w:rPr>
        <w:t>new</w:t>
      </w:r>
      <w:r>
        <w:rPr>
          <w:spacing w:val="-1"/>
          <w:vertAlign w:val="baseline"/>
        </w:rPr>
        <w:t> </w:t>
      </w:r>
      <w:r>
        <w:rPr>
          <w:vertAlign w:val="baseline"/>
        </w:rPr>
        <w:t>rights</w:t>
      </w:r>
      <w:r>
        <w:rPr>
          <w:spacing w:val="-1"/>
          <w:vertAlign w:val="baseline"/>
        </w:rPr>
        <w:t> </w:t>
      </w:r>
      <w:r>
        <w:rPr>
          <w:color w:val="005DA1"/>
          <w:u w:val="single" w:color="005DA1"/>
          <w:vertAlign w:val="superscript"/>
        </w:rPr>
        <w:t>1194</w:t>
      </w:r>
      <w:r>
        <w:rPr>
          <w:color w:val="005DA1"/>
          <w:spacing w:val="-1"/>
          <w:vertAlign w:val="baseline"/>
        </w:rPr>
        <w:t> </w:t>
      </w:r>
      <w:r>
        <w:rPr>
          <w:vertAlign w:val="baseline"/>
        </w:rPr>
        <w:t>and</w:t>
      </w:r>
      <w:r>
        <w:rPr>
          <w:spacing w:val="-1"/>
          <w:vertAlign w:val="baseline"/>
        </w:rPr>
        <w:t> </w:t>
      </w:r>
      <w:r>
        <w:rPr>
          <w:vertAlign w:val="baseline"/>
        </w:rPr>
        <w:t>so</w:t>
      </w:r>
      <w:r>
        <w:rPr>
          <w:spacing w:val="-1"/>
          <w:vertAlign w:val="baseline"/>
        </w:rPr>
        <w:t> </w:t>
      </w:r>
      <w:r>
        <w:rPr>
          <w:vertAlign w:val="baseline"/>
        </w:rPr>
        <w:t>may</w:t>
      </w:r>
      <w:r>
        <w:rPr>
          <w:spacing w:val="-1"/>
          <w:vertAlign w:val="baseline"/>
        </w:rPr>
        <w:t> </w:t>
      </w:r>
      <w:r>
        <w:rPr>
          <w:vertAlign w:val="baseline"/>
        </w:rPr>
        <w:t>operate</w:t>
      </w:r>
      <w:r>
        <w:rPr>
          <w:spacing w:val="-1"/>
          <w:vertAlign w:val="baseline"/>
        </w:rPr>
        <w:t> </w:t>
      </w:r>
      <w:r>
        <w:rPr>
          <w:vertAlign w:val="baseline"/>
        </w:rPr>
        <w:t>where</w:t>
      </w:r>
      <w:r>
        <w:rPr>
          <w:spacing w:val="-1"/>
          <w:vertAlign w:val="baseline"/>
        </w:rPr>
        <w:t> </w:t>
      </w:r>
      <w:r>
        <w:rPr>
          <w:vertAlign w:val="baseline"/>
        </w:rPr>
        <w:t>negotiations</w:t>
      </w:r>
      <w:r>
        <w:rPr>
          <w:spacing w:val="-1"/>
          <w:vertAlign w:val="baseline"/>
        </w:rPr>
        <w:t> </w:t>
      </w:r>
      <w:r>
        <w:rPr>
          <w:vertAlign w:val="baseline"/>
        </w:rPr>
        <w:t>for</w:t>
      </w:r>
      <w:r>
        <w:rPr>
          <w:spacing w:val="-1"/>
          <w:vertAlign w:val="baseline"/>
        </w:rPr>
        <w:t> </w:t>
      </w:r>
      <w:r>
        <w:rPr>
          <w:vertAlign w:val="baseline"/>
        </w:rPr>
        <w:t>a</w:t>
      </w:r>
      <w:r>
        <w:rPr>
          <w:spacing w:val="-1"/>
          <w:vertAlign w:val="baseline"/>
        </w:rPr>
        <w:t> </w:t>
      </w:r>
      <w:r>
        <w:rPr>
          <w:vertAlign w:val="baseline"/>
        </w:rPr>
        <w:t>contract</w:t>
      </w:r>
      <w:r>
        <w:rPr>
          <w:spacing w:val="-1"/>
          <w:vertAlign w:val="baseline"/>
        </w:rPr>
        <w:t> </w:t>
      </w:r>
      <w:r>
        <w:rPr>
          <w:vertAlign w:val="baseline"/>
        </w:rPr>
        <w:t>break</w:t>
      </w:r>
      <w:r>
        <w:rPr>
          <w:spacing w:val="-1"/>
          <w:vertAlign w:val="baseline"/>
        </w:rPr>
        <w:t> </w:t>
      </w:r>
      <w:r>
        <w:rPr>
          <w:vertAlign w:val="baseline"/>
        </w:rPr>
        <w:t>down.</w:t>
      </w:r>
      <w:r>
        <w:rPr>
          <w:spacing w:val="-1"/>
          <w:vertAlign w:val="baseline"/>
        </w:rPr>
        <w:t> </w:t>
      </w:r>
      <w:r>
        <w:rPr>
          <w:vertAlign w:val="baseline"/>
        </w:rPr>
        <w:t>In</w:t>
      </w:r>
      <w:r>
        <w:rPr>
          <w:spacing w:val="-1"/>
          <w:vertAlign w:val="baseline"/>
        </w:rPr>
        <w:t> </w:t>
      </w:r>
      <w:r>
        <w:rPr>
          <w:vertAlign w:val="baseline"/>
        </w:rPr>
        <w:t>the</w:t>
      </w:r>
      <w:r>
        <w:rPr>
          <w:spacing w:val="-1"/>
          <w:vertAlign w:val="baseline"/>
        </w:rPr>
        <w:t> </w:t>
      </w:r>
      <w:r>
        <w:rPr>
          <w:vertAlign w:val="baseline"/>
        </w:rPr>
        <w:t>United States, a promise that can be reasonably expected to induce, and does induce, reliance “is binding if injustice can be avoided only by enforcement of the promise” although enforcement of the promise is not automatic, for the remedy “may be limited as justice requires”. </w:t>
      </w:r>
      <w:r>
        <w:rPr>
          <w:color w:val="005DA1"/>
          <w:u w:val="single" w:color="005DA1"/>
          <w:vertAlign w:val="superscript"/>
        </w:rPr>
        <w:t>1195</w:t>
      </w:r>
      <w:r>
        <w:rPr>
          <w:color w:val="005DA1"/>
          <w:vertAlign w:val="baseline"/>
        </w:rPr>
        <w:t> </w:t>
      </w:r>
      <w:r>
        <w:rPr>
          <w:vertAlign w:val="baseline"/>
        </w:rPr>
        <w:t>Likewise, a line of Australian cases supports the view that promises or representations that lack contractual force (for want of consideration or of contractual intention), may nevertheless be enforced via promissory estoppel. In </w:t>
      </w:r>
      <w:r>
        <w:rPr>
          <w:rFonts w:ascii="Arial" w:hAnsi="Arial"/>
          <w:i/>
          <w:vertAlign w:val="baseline"/>
        </w:rPr>
        <w:t>Waltons Stores (Interstate) Ltd v Maher</w:t>
      </w:r>
      <w:r>
        <w:rPr>
          <w:vertAlign w:val="baseline"/>
        </w:rPr>
        <w:t>, </w:t>
      </w:r>
      <w:r>
        <w:rPr>
          <w:color w:val="005DA1"/>
          <w:u w:val="single" w:color="005DA1"/>
          <w:vertAlign w:val="superscript"/>
        </w:rPr>
        <w:t>1196</w:t>
      </w:r>
      <w:r>
        <w:rPr>
          <w:color w:val="005DA1"/>
          <w:vertAlign w:val="baseline"/>
        </w:rPr>
        <w:t> </w:t>
      </w:r>
      <w:r>
        <w:rPr>
          <w:vertAlign w:val="baseline"/>
        </w:rPr>
        <w:t>a prospective lessor of business premises (A), did demolition and building work on the premises at the request of the prospective lessee (B) while the agreement for the lease was still subject to contract. A did so on the assumption, encouraged by B, that a binding contract would be concluded. When B withdrew from the agreement, B was estopped from denying that a contract had come into existence. On these facts, proprietary estoppel would not have availed A because the work was done on A’s (rather than on B’s) land and a quantum meruit claim would not have been available because B was not unjustly enriched by A’s work.</w:t>
      </w:r>
    </w:p>
    <w:p>
      <w:pPr>
        <w:pStyle w:val="BodyText"/>
      </w:pPr>
    </w:p>
    <w:p>
      <w:pPr>
        <w:pStyle w:val="BodyText"/>
        <w:spacing w:before="32"/>
      </w:pPr>
      <w:r>
        <w:rPr/>
        <mc:AlternateContent>
          <mc:Choice Requires="wps">
            <w:drawing>
              <wp:anchor distT="0" distB="0" distL="0" distR="0" allowOverlap="1" layoutInCell="1" locked="0" behindDoc="1" simplePos="0" relativeHeight="487626240">
                <wp:simplePos x="0" y="0"/>
                <wp:positionH relativeFrom="page">
                  <wp:posOffset>914400</wp:posOffset>
                </wp:positionH>
                <wp:positionV relativeFrom="paragraph">
                  <wp:posOffset>181680</wp:posOffset>
                </wp:positionV>
                <wp:extent cx="5724525" cy="1270"/>
                <wp:effectExtent l="0" t="0" r="0" b="0"/>
                <wp:wrapTopAndBottom/>
                <wp:docPr id="154" name="Graphic 154"/>
                <wp:cNvGraphicFramePr>
                  <a:graphicFrameLocks/>
                </wp:cNvGraphicFramePr>
                <a:graphic>
                  <a:graphicData uri="http://schemas.microsoft.com/office/word/2010/wordprocessingShape">
                    <wps:wsp>
                      <wps:cNvPr id="154" name="Graphic 154"/>
                      <wps:cNvSpPr/>
                      <wps:spPr>
                        <a:xfrm>
                          <a:off x="0" y="0"/>
                          <a:ext cx="5724525" cy="1270"/>
                        </a:xfrm>
                        <a:custGeom>
                          <a:avLst/>
                          <a:gdLst/>
                          <a:ahLst/>
                          <a:cxnLst/>
                          <a:rect l="l" t="t" r="r" b="b"/>
                          <a:pathLst>
                            <a:path w="5724525" h="0">
                              <a:moveTo>
                                <a:pt x="0" y="0"/>
                              </a:moveTo>
                              <a:lnTo>
                                <a:pt x="5724144" y="0"/>
                              </a:lnTo>
                            </a:path>
                          </a:pathLst>
                        </a:custGeom>
                        <a:ln w="1270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2pt;margin-top:14.305554pt;width:450.75pt;height:.1pt;mso-position-horizontal-relative:page;mso-position-vertical-relative:paragraph;z-index:-15690240;mso-wrap-distance-left:0;mso-wrap-distance-right:0" id="docshape55" coordorigin="1440,286" coordsize="9015,0" path="m1440,286l10454,286e" filled="false" stroked="true" strokeweight="1pt" strokecolor="#000000">
                <v:path arrowok="t"/>
                <v:stroke dashstyle="solid"/>
                <w10:wrap type="topAndBottom"/>
              </v:shape>
            </w:pict>
          </mc:Fallback>
        </mc:AlternateContent>
      </w:r>
    </w:p>
    <w:p>
      <w:pPr>
        <w:pStyle w:val="BodyText"/>
        <w:spacing w:before="103" w:after="1"/>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1"/>
      </w:tblGrid>
      <w:tr>
        <w:trPr>
          <w:trHeight w:val="344" w:hRule="atLeast"/>
        </w:trPr>
        <w:tc>
          <w:tcPr>
            <w:tcW w:w="496" w:type="dxa"/>
          </w:tcPr>
          <w:p>
            <w:pPr>
              <w:pStyle w:val="TableParagraph"/>
              <w:spacing w:before="0"/>
              <w:jc w:val="center"/>
              <w:rPr>
                <w:sz w:val="14"/>
              </w:rPr>
            </w:pPr>
            <w:r>
              <w:rPr>
                <w:color w:val="005DA1"/>
                <w:spacing w:val="-2"/>
                <w:sz w:val="14"/>
                <w:u w:val="single" w:color="005DA1"/>
              </w:rPr>
              <w:t>1159</w:t>
            </w:r>
            <w:r>
              <w:rPr>
                <w:spacing w:val="-2"/>
                <w:sz w:val="14"/>
              </w:rPr>
              <w:t>.</w:t>
            </w:r>
          </w:p>
        </w:tc>
        <w:tc>
          <w:tcPr>
            <w:tcW w:w="8621" w:type="dxa"/>
          </w:tcPr>
          <w:p>
            <w:pPr>
              <w:pStyle w:val="TableParagraph"/>
              <w:spacing w:line="223" w:lineRule="exact" w:before="0"/>
              <w:ind w:left="94" w:right="0"/>
              <w:rPr>
                <w:sz w:val="20"/>
              </w:rPr>
            </w:pPr>
            <w:r>
              <w:rPr>
                <w:rFonts w:ascii="Arial"/>
                <w:i/>
                <w:sz w:val="20"/>
              </w:rPr>
              <w:t>[1992]</w:t>
            </w:r>
            <w:r>
              <w:rPr>
                <w:rFonts w:ascii="Arial"/>
                <w:i/>
                <w:spacing w:val="-1"/>
                <w:sz w:val="20"/>
              </w:rPr>
              <w:t> </w:t>
            </w:r>
            <w:r>
              <w:rPr>
                <w:rFonts w:ascii="Arial"/>
                <w:i/>
                <w:sz w:val="20"/>
              </w:rPr>
              <w:t>2 A.C. 128</w:t>
            </w:r>
            <w:r>
              <w:rPr>
                <w:sz w:val="20"/>
              </w:rPr>
              <w:t>, and see above, para.2-</w:t>
            </w:r>
            <w:r>
              <w:rPr>
                <w:spacing w:val="-4"/>
                <w:sz w:val="20"/>
              </w:rPr>
              <w:t>213.</w:t>
            </w:r>
          </w:p>
        </w:tc>
      </w:tr>
      <w:tr>
        <w:trPr>
          <w:trHeight w:val="465" w:hRule="atLeast"/>
        </w:trPr>
        <w:tc>
          <w:tcPr>
            <w:tcW w:w="496" w:type="dxa"/>
          </w:tcPr>
          <w:p>
            <w:pPr>
              <w:pStyle w:val="TableParagraph"/>
              <w:jc w:val="center"/>
              <w:rPr>
                <w:sz w:val="14"/>
              </w:rPr>
            </w:pPr>
            <w:r>
              <w:rPr>
                <w:color w:val="005DA1"/>
                <w:spacing w:val="-2"/>
                <w:sz w:val="14"/>
                <w:u w:val="single" w:color="005DA1"/>
              </w:rPr>
              <w:t>1160</w:t>
            </w:r>
            <w:r>
              <w:rPr>
                <w:spacing w:val="-2"/>
                <w:sz w:val="14"/>
              </w:rPr>
              <w:t>.</w:t>
            </w:r>
          </w:p>
        </w:tc>
        <w:tc>
          <w:tcPr>
            <w:tcW w:w="8621" w:type="dxa"/>
          </w:tcPr>
          <w:p>
            <w:pPr>
              <w:pStyle w:val="TableParagraph"/>
              <w:spacing w:before="114"/>
              <w:ind w:left="94" w:right="0"/>
              <w:rPr>
                <w:sz w:val="20"/>
              </w:rPr>
            </w:pPr>
            <w:r>
              <w:rPr>
                <w:sz w:val="20"/>
              </w:rPr>
              <w:t>See below, paras 7-047—7-</w:t>
            </w:r>
            <w:r>
              <w:rPr>
                <w:spacing w:val="-4"/>
                <w:sz w:val="20"/>
              </w:rPr>
              <w:t>073.</w:t>
            </w:r>
          </w:p>
        </w:tc>
      </w:tr>
      <w:tr>
        <w:trPr>
          <w:trHeight w:val="569" w:hRule="atLeast"/>
        </w:trPr>
        <w:tc>
          <w:tcPr>
            <w:tcW w:w="496" w:type="dxa"/>
          </w:tcPr>
          <w:p>
            <w:pPr>
              <w:pStyle w:val="TableParagraph"/>
              <w:jc w:val="center"/>
              <w:rPr>
                <w:sz w:val="14"/>
              </w:rPr>
            </w:pPr>
            <w:r>
              <w:rPr>
                <w:color w:val="005DA1"/>
                <w:spacing w:val="-2"/>
                <w:sz w:val="14"/>
                <w:u w:val="single" w:color="005DA1"/>
              </w:rPr>
              <w:t>1161</w:t>
            </w:r>
            <w:r>
              <w:rPr>
                <w:spacing w:val="-2"/>
                <w:sz w:val="14"/>
              </w:rPr>
              <w:t>.</w:t>
            </w:r>
          </w:p>
        </w:tc>
        <w:tc>
          <w:tcPr>
            <w:tcW w:w="8621" w:type="dxa"/>
          </w:tcPr>
          <w:p>
            <w:pPr>
              <w:pStyle w:val="TableParagraph"/>
              <w:spacing w:line="226" w:lineRule="exact" w:before="97"/>
              <w:ind w:left="94" w:right="0"/>
              <w:rPr>
                <w:sz w:val="20"/>
              </w:rPr>
            </w:pPr>
            <w:r>
              <w:rPr>
                <w:sz w:val="20"/>
              </w:rPr>
              <w:t>See below paras 7-074, 7-086—7-091. And see para.7-093 on the special relationship required to give rise to a duty of care between parties negotiating a contract.</w:t>
            </w:r>
          </w:p>
        </w:tc>
      </w:tr>
    </w:tbl>
    <w:p>
      <w:pPr>
        <w:pStyle w:val="TableParagraph"/>
        <w:spacing w:after="0" w:line="226" w:lineRule="exact"/>
        <w:rPr>
          <w:sz w:val="20"/>
        </w:rPr>
        <w:sectPr>
          <w:pgSz w:w="11900" w:h="16840"/>
          <w:pgMar w:header="971" w:footer="0" w:top="1300" w:bottom="280" w:left="1275" w:right="1275"/>
        </w:sectPr>
      </w:pPr>
    </w:p>
    <w:p>
      <w:pPr>
        <w:pStyle w:val="BodyText"/>
        <w:spacing w:after="1"/>
        <w:rPr>
          <w:sz w:val="15"/>
        </w:rPr>
      </w:pPr>
      <w:bookmarkStart w:name="_bookmark1853" w:id="1855"/>
      <w:bookmarkEnd w:id="1855"/>
      <w:r>
        <w:rPr/>
      </w:r>
      <w:r>
        <w:rPr>
          <w:sz w:val="15"/>
        </w:rPr>
      </w: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569" w:hRule="atLeast"/>
        </w:trPr>
        <w:tc>
          <w:tcPr>
            <w:tcW w:w="496" w:type="dxa"/>
          </w:tcPr>
          <w:p>
            <w:pPr>
              <w:pStyle w:val="TableParagraph"/>
              <w:spacing w:before="0"/>
              <w:jc w:val="center"/>
              <w:rPr>
                <w:sz w:val="14"/>
              </w:rPr>
            </w:pPr>
            <w:r>
              <w:rPr>
                <w:color w:val="005DA1"/>
                <w:spacing w:val="-2"/>
                <w:sz w:val="14"/>
                <w:u w:val="single" w:color="005DA1"/>
              </w:rPr>
              <w:t>1162</w:t>
            </w:r>
            <w:r>
              <w:rPr>
                <w:spacing w:val="-2"/>
                <w:sz w:val="14"/>
              </w:rPr>
              <w:t>.</w:t>
            </w:r>
          </w:p>
        </w:tc>
        <w:tc>
          <w:tcPr>
            <w:tcW w:w="8620" w:type="dxa"/>
          </w:tcPr>
          <w:p>
            <w:pPr>
              <w:pStyle w:val="TableParagraph"/>
              <w:spacing w:line="235" w:lineRule="auto" w:before="0"/>
              <w:ind w:left="94" w:right="0"/>
              <w:rPr>
                <w:sz w:val="20"/>
              </w:rPr>
            </w:pPr>
            <w:r>
              <w:rPr>
                <w:rFonts w:ascii="Arial" w:hAnsi="Arial"/>
                <w:i/>
                <w:sz w:val="20"/>
              </w:rPr>
              <w:t>[1979]</w:t>
            </w:r>
            <w:r>
              <w:rPr>
                <w:rFonts w:ascii="Arial" w:hAnsi="Arial"/>
                <w:i/>
                <w:spacing w:val="26"/>
                <w:sz w:val="20"/>
              </w:rPr>
              <w:t> </w:t>
            </w:r>
            <w:r>
              <w:rPr>
                <w:rFonts w:ascii="Arial" w:hAnsi="Arial"/>
                <w:i/>
                <w:sz w:val="20"/>
              </w:rPr>
              <w:t>2</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391</w:t>
            </w:r>
            <w:r>
              <w:rPr>
                <w:sz w:val="20"/>
              </w:rPr>
              <w:t>,</w:t>
            </w:r>
            <w:r>
              <w:rPr>
                <w:spacing w:val="26"/>
                <w:sz w:val="20"/>
              </w:rPr>
              <w:t> </w:t>
            </w:r>
            <w:r>
              <w:rPr>
                <w:sz w:val="20"/>
              </w:rPr>
              <w:t>on</w:t>
            </w:r>
            <w:r>
              <w:rPr>
                <w:spacing w:val="26"/>
                <w:sz w:val="20"/>
              </w:rPr>
              <w:t> </w:t>
            </w:r>
            <w:r>
              <w:rPr>
                <w:sz w:val="20"/>
              </w:rPr>
              <w:t>appeal</w:t>
            </w:r>
            <w:r>
              <w:rPr>
                <w:spacing w:val="26"/>
                <w:sz w:val="20"/>
              </w:rPr>
              <w:t> </w:t>
            </w:r>
            <w:r>
              <w:rPr>
                <w:sz w:val="20"/>
              </w:rPr>
              <w:t>(as</w:t>
            </w:r>
            <w:r>
              <w:rPr>
                <w:spacing w:val="26"/>
                <w:sz w:val="20"/>
              </w:rPr>
              <w:t> </w:t>
            </w:r>
            <w:r>
              <w:rPr>
                <w:sz w:val="20"/>
              </w:rPr>
              <w:t>to</w:t>
            </w:r>
            <w:r>
              <w:rPr>
                <w:spacing w:val="26"/>
                <w:sz w:val="20"/>
              </w:rPr>
              <w:t> </w:t>
            </w:r>
            <w:r>
              <w:rPr>
                <w:sz w:val="20"/>
              </w:rPr>
              <w:t>costs</w:t>
            </w:r>
            <w:r>
              <w:rPr>
                <w:spacing w:val="26"/>
                <w:sz w:val="20"/>
              </w:rPr>
              <w:t> </w:t>
            </w:r>
            <w:r>
              <w:rPr>
                <w:sz w:val="20"/>
              </w:rPr>
              <w:t>only)</w:t>
            </w:r>
            <w:r>
              <w:rPr>
                <w:spacing w:val="26"/>
                <w:sz w:val="20"/>
              </w:rPr>
              <w:t> </w:t>
            </w:r>
            <w:r>
              <w:rPr>
                <w:rFonts w:ascii="Arial" w:hAnsi="Arial"/>
                <w:i/>
                <w:sz w:val="20"/>
              </w:rPr>
              <w:t>[1981]</w:t>
            </w:r>
            <w:r>
              <w:rPr>
                <w:rFonts w:ascii="Arial" w:hAnsi="Arial"/>
                <w:i/>
                <w:spacing w:val="26"/>
                <w:sz w:val="20"/>
              </w:rPr>
              <w:t> </w:t>
            </w:r>
            <w:r>
              <w:rPr>
                <w:rFonts w:ascii="Arial" w:hAnsi="Arial"/>
                <w:i/>
                <w:sz w:val="20"/>
              </w:rPr>
              <w:t>1</w:t>
            </w:r>
            <w:r>
              <w:rPr>
                <w:rFonts w:ascii="Arial" w:hAnsi="Arial"/>
                <w:i/>
                <w:spacing w:val="26"/>
                <w:sz w:val="20"/>
              </w:rPr>
              <w:t> </w:t>
            </w:r>
            <w:r>
              <w:rPr>
                <w:rFonts w:ascii="Arial" w:hAnsi="Arial"/>
                <w:i/>
                <w:sz w:val="20"/>
              </w:rPr>
              <w:t>Lloyd’s</w:t>
            </w:r>
            <w:r>
              <w:rPr>
                <w:rFonts w:ascii="Arial" w:hAnsi="Arial"/>
                <w:i/>
                <w:spacing w:val="26"/>
                <w:sz w:val="20"/>
              </w:rPr>
              <w:t> </w:t>
            </w:r>
            <w:r>
              <w:rPr>
                <w:rFonts w:ascii="Arial" w:hAnsi="Arial"/>
                <w:i/>
                <w:sz w:val="20"/>
              </w:rPr>
              <w:t>Rep.</w:t>
            </w:r>
            <w:r>
              <w:rPr>
                <w:rFonts w:ascii="Arial" w:hAnsi="Arial"/>
                <w:i/>
                <w:spacing w:val="26"/>
                <w:sz w:val="20"/>
              </w:rPr>
              <w:t> </w:t>
            </w:r>
            <w:r>
              <w:rPr>
                <w:rFonts w:ascii="Arial" w:hAnsi="Arial"/>
                <w:i/>
                <w:sz w:val="20"/>
              </w:rPr>
              <w:t>434</w:t>
            </w:r>
            <w:r>
              <w:rPr>
                <w:sz w:val="20"/>
              </w:rPr>
              <w:t>.</w:t>
            </w:r>
            <w:r>
              <w:rPr>
                <w:spacing w:val="26"/>
                <w:sz w:val="20"/>
              </w:rPr>
              <w:t> </w:t>
            </w:r>
            <w:r>
              <w:rPr>
                <w:sz w:val="20"/>
              </w:rPr>
              <w:t>And</w:t>
            </w:r>
            <w:r>
              <w:rPr>
                <w:spacing w:val="26"/>
                <w:sz w:val="20"/>
              </w:rPr>
              <w:t> </w:t>
            </w:r>
            <w:r>
              <w:rPr>
                <w:sz w:val="20"/>
              </w:rPr>
              <w:t>see below, para.7-095.</w:t>
            </w:r>
          </w:p>
        </w:tc>
      </w:tr>
      <w:tr>
        <w:trPr>
          <w:trHeight w:val="465" w:hRule="atLeast"/>
        </w:trPr>
        <w:tc>
          <w:tcPr>
            <w:tcW w:w="496" w:type="dxa"/>
          </w:tcPr>
          <w:p>
            <w:pPr>
              <w:pStyle w:val="TableParagraph"/>
              <w:jc w:val="center"/>
              <w:rPr>
                <w:sz w:val="14"/>
              </w:rPr>
            </w:pPr>
            <w:r>
              <w:rPr>
                <w:color w:val="005DA1"/>
                <w:spacing w:val="-2"/>
                <w:sz w:val="14"/>
                <w:u w:val="single" w:color="005DA1"/>
              </w:rPr>
              <w:t>1163</w:t>
            </w:r>
            <w:r>
              <w:rPr>
                <w:spacing w:val="-2"/>
                <w:sz w:val="14"/>
              </w:rPr>
              <w:t>.</w:t>
            </w:r>
          </w:p>
        </w:tc>
        <w:tc>
          <w:tcPr>
            <w:tcW w:w="8620" w:type="dxa"/>
          </w:tcPr>
          <w:p>
            <w:pPr>
              <w:pStyle w:val="TableParagraph"/>
              <w:spacing w:before="114"/>
              <w:ind w:left="94" w:right="0"/>
              <w:rPr>
                <w:sz w:val="20"/>
              </w:rPr>
            </w:pPr>
            <w:r>
              <w:rPr>
                <w:sz w:val="20"/>
              </w:rPr>
              <w:t>See below, paras 7-155—7-</w:t>
            </w:r>
            <w:r>
              <w:rPr>
                <w:spacing w:val="-4"/>
                <w:sz w:val="20"/>
              </w:rPr>
              <w:t>180.</w:t>
            </w:r>
          </w:p>
        </w:tc>
      </w:tr>
      <w:tr>
        <w:trPr>
          <w:trHeight w:val="465" w:hRule="atLeast"/>
        </w:trPr>
        <w:tc>
          <w:tcPr>
            <w:tcW w:w="496" w:type="dxa"/>
          </w:tcPr>
          <w:p>
            <w:pPr>
              <w:pStyle w:val="TableParagraph"/>
              <w:jc w:val="center"/>
              <w:rPr>
                <w:sz w:val="14"/>
              </w:rPr>
            </w:pPr>
            <w:r>
              <w:rPr>
                <w:color w:val="005DA1"/>
                <w:spacing w:val="-2"/>
                <w:sz w:val="14"/>
                <w:u w:val="single" w:color="005DA1"/>
              </w:rPr>
              <w:t>1164</w:t>
            </w:r>
            <w:r>
              <w:rPr>
                <w:spacing w:val="-2"/>
                <w:sz w:val="14"/>
              </w:rPr>
              <w:t>.</w:t>
            </w:r>
          </w:p>
        </w:tc>
        <w:tc>
          <w:tcPr>
            <w:tcW w:w="8620" w:type="dxa"/>
          </w:tcPr>
          <w:p>
            <w:pPr>
              <w:pStyle w:val="TableParagraph"/>
              <w:spacing w:before="114"/>
              <w:ind w:left="94" w:right="0"/>
              <w:rPr>
                <w:sz w:val="20"/>
              </w:rPr>
            </w:pPr>
            <w:r>
              <w:rPr>
                <w:sz w:val="20"/>
              </w:rPr>
              <w:t>See below, paras 7-087—7-</w:t>
            </w:r>
            <w:r>
              <w:rPr>
                <w:spacing w:val="-4"/>
                <w:sz w:val="20"/>
              </w:rPr>
              <w:t>088.</w:t>
            </w:r>
          </w:p>
        </w:tc>
      </w:tr>
      <w:tr>
        <w:trPr>
          <w:trHeight w:val="465" w:hRule="atLeast"/>
        </w:trPr>
        <w:tc>
          <w:tcPr>
            <w:tcW w:w="496" w:type="dxa"/>
          </w:tcPr>
          <w:p>
            <w:pPr>
              <w:pStyle w:val="TableParagraph"/>
              <w:jc w:val="center"/>
              <w:rPr>
                <w:sz w:val="14"/>
              </w:rPr>
            </w:pPr>
            <w:r>
              <w:rPr>
                <w:color w:val="005DA1"/>
                <w:spacing w:val="-2"/>
                <w:sz w:val="14"/>
                <w:u w:val="single" w:color="005DA1"/>
              </w:rPr>
              <w:t>1165</w:t>
            </w:r>
            <w:r>
              <w:rPr>
                <w:spacing w:val="-2"/>
                <w:sz w:val="14"/>
              </w:rPr>
              <w:t>.</w:t>
            </w:r>
          </w:p>
        </w:tc>
        <w:tc>
          <w:tcPr>
            <w:tcW w:w="8620" w:type="dxa"/>
          </w:tcPr>
          <w:p>
            <w:pPr>
              <w:pStyle w:val="TableParagraph"/>
              <w:spacing w:before="114"/>
              <w:ind w:left="94" w:right="0"/>
              <w:rPr>
                <w:sz w:val="20"/>
              </w:rPr>
            </w:pPr>
            <w:r>
              <w:rPr>
                <w:sz w:val="20"/>
              </w:rPr>
              <w:t>See below, paras 8-075—8-</w:t>
            </w:r>
            <w:r>
              <w:rPr>
                <w:spacing w:val="-4"/>
                <w:sz w:val="20"/>
              </w:rPr>
              <w:t>089.</w:t>
            </w:r>
          </w:p>
        </w:tc>
      </w:tr>
      <w:tr>
        <w:trPr>
          <w:trHeight w:val="465" w:hRule="atLeast"/>
        </w:trPr>
        <w:tc>
          <w:tcPr>
            <w:tcW w:w="496" w:type="dxa"/>
          </w:tcPr>
          <w:p>
            <w:pPr>
              <w:pStyle w:val="TableParagraph"/>
              <w:jc w:val="center"/>
              <w:rPr>
                <w:sz w:val="14"/>
              </w:rPr>
            </w:pPr>
            <w:r>
              <w:rPr>
                <w:color w:val="005DA1"/>
                <w:spacing w:val="-2"/>
                <w:sz w:val="14"/>
                <w:u w:val="single" w:color="005DA1"/>
              </w:rPr>
              <w:t>1166</w:t>
            </w:r>
            <w:r>
              <w:rPr>
                <w:spacing w:val="-2"/>
                <w:sz w:val="14"/>
              </w:rPr>
              <w:t>.</w:t>
            </w:r>
          </w:p>
        </w:tc>
        <w:tc>
          <w:tcPr>
            <w:tcW w:w="8620" w:type="dxa"/>
          </w:tcPr>
          <w:p>
            <w:pPr>
              <w:pStyle w:val="TableParagraph"/>
              <w:spacing w:before="114"/>
              <w:ind w:left="94" w:right="0"/>
              <w:rPr>
                <w:sz w:val="20"/>
              </w:rPr>
            </w:pPr>
            <w:r>
              <w:rPr>
                <w:sz w:val="20"/>
              </w:rPr>
              <w:t>See below, paras 7-020—7-</w:t>
            </w:r>
            <w:r>
              <w:rPr>
                <w:spacing w:val="-4"/>
                <w:sz w:val="20"/>
              </w:rPr>
              <w:t>021.</w:t>
            </w:r>
          </w:p>
        </w:tc>
      </w:tr>
      <w:tr>
        <w:trPr>
          <w:trHeight w:val="465" w:hRule="atLeast"/>
        </w:trPr>
        <w:tc>
          <w:tcPr>
            <w:tcW w:w="496" w:type="dxa"/>
          </w:tcPr>
          <w:p>
            <w:pPr>
              <w:pStyle w:val="TableParagraph"/>
              <w:jc w:val="center"/>
              <w:rPr>
                <w:sz w:val="14"/>
              </w:rPr>
            </w:pPr>
            <w:r>
              <w:rPr>
                <w:color w:val="005DA1"/>
                <w:spacing w:val="-2"/>
                <w:sz w:val="14"/>
                <w:u w:val="single" w:color="005DA1"/>
              </w:rPr>
              <w:t>1167</w:t>
            </w:r>
            <w:r>
              <w:rPr>
                <w:spacing w:val="-2"/>
                <w:sz w:val="14"/>
              </w:rPr>
              <w:t>.</w:t>
            </w:r>
          </w:p>
        </w:tc>
        <w:tc>
          <w:tcPr>
            <w:tcW w:w="8620" w:type="dxa"/>
          </w:tcPr>
          <w:p>
            <w:pPr>
              <w:pStyle w:val="TableParagraph"/>
              <w:spacing w:before="114"/>
              <w:ind w:left="94" w:right="0"/>
              <w:rPr>
                <w:sz w:val="20"/>
              </w:rPr>
            </w:pPr>
            <w:r>
              <w:rPr>
                <w:sz w:val="20"/>
              </w:rPr>
              <w:t>See e.g. para.7-</w:t>
            </w:r>
            <w:r>
              <w:rPr>
                <w:spacing w:val="-4"/>
                <w:sz w:val="20"/>
              </w:rPr>
              <w:t>169.</w:t>
            </w:r>
          </w:p>
        </w:tc>
      </w:tr>
      <w:tr>
        <w:trPr>
          <w:trHeight w:val="465" w:hRule="atLeast"/>
        </w:trPr>
        <w:tc>
          <w:tcPr>
            <w:tcW w:w="496" w:type="dxa"/>
          </w:tcPr>
          <w:p>
            <w:pPr>
              <w:pStyle w:val="TableParagraph"/>
              <w:jc w:val="center"/>
              <w:rPr>
                <w:sz w:val="14"/>
              </w:rPr>
            </w:pPr>
            <w:r>
              <w:rPr>
                <w:color w:val="005DA1"/>
                <w:spacing w:val="-2"/>
                <w:sz w:val="14"/>
                <w:u w:val="single" w:color="005DA1"/>
              </w:rPr>
              <w:t>1168</w:t>
            </w:r>
            <w:r>
              <w:rPr>
                <w:spacing w:val="-2"/>
                <w:sz w:val="14"/>
              </w:rPr>
              <w:t>.</w:t>
            </w:r>
          </w:p>
        </w:tc>
        <w:tc>
          <w:tcPr>
            <w:tcW w:w="8620" w:type="dxa"/>
          </w:tcPr>
          <w:p>
            <w:pPr>
              <w:pStyle w:val="TableParagraph"/>
              <w:spacing w:before="114"/>
              <w:ind w:left="94" w:right="0"/>
              <w:rPr>
                <w:sz w:val="20"/>
              </w:rPr>
            </w:pPr>
            <w:r>
              <w:rPr>
                <w:rFonts w:ascii="Arial"/>
                <w:i/>
                <w:sz w:val="20"/>
              </w:rPr>
              <w:t>[2011] EWCA Civ 353, [2011] All E.R. (D) 39 (Apr)</w:t>
            </w:r>
            <w:r>
              <w:rPr>
                <w:rFonts w:ascii="Arial"/>
                <w:i/>
                <w:spacing w:val="-1"/>
                <w:sz w:val="20"/>
              </w:rPr>
              <w:t> </w:t>
            </w:r>
            <w:r>
              <w:rPr>
                <w:sz w:val="20"/>
              </w:rPr>
              <w:t>at </w:t>
            </w:r>
            <w:r>
              <w:rPr>
                <w:spacing w:val="-2"/>
                <w:sz w:val="20"/>
              </w:rPr>
              <w:t>[92].</w:t>
            </w:r>
          </w:p>
        </w:tc>
      </w:tr>
      <w:tr>
        <w:trPr>
          <w:trHeight w:val="690" w:hRule="atLeast"/>
        </w:trPr>
        <w:tc>
          <w:tcPr>
            <w:tcW w:w="496" w:type="dxa"/>
          </w:tcPr>
          <w:p>
            <w:pPr>
              <w:pStyle w:val="TableParagraph"/>
              <w:jc w:val="center"/>
              <w:rPr>
                <w:sz w:val="14"/>
              </w:rPr>
            </w:pPr>
            <w:r>
              <w:rPr>
                <w:color w:val="005DA1"/>
                <w:spacing w:val="-2"/>
                <w:sz w:val="14"/>
                <w:u w:val="single" w:color="005DA1"/>
              </w:rPr>
              <w:t>1169</w:t>
            </w:r>
            <w:r>
              <w:rPr>
                <w:spacing w:val="-2"/>
                <w:sz w:val="14"/>
              </w:rPr>
              <w:t>.</w:t>
            </w:r>
          </w:p>
        </w:tc>
        <w:tc>
          <w:tcPr>
            <w:tcW w:w="8620" w:type="dxa"/>
          </w:tcPr>
          <w:p>
            <w:pPr>
              <w:pStyle w:val="TableParagraph"/>
              <w:spacing w:line="235" w:lineRule="auto" w:before="118"/>
              <w:ind w:left="94" w:right="0"/>
              <w:rPr>
                <w:sz w:val="20"/>
              </w:rPr>
            </w:pPr>
            <w:r>
              <w:rPr>
                <w:rFonts w:ascii="Arial"/>
                <w:i/>
                <w:sz w:val="20"/>
              </w:rPr>
              <w:t>Lambert</w:t>
            </w:r>
            <w:r>
              <w:rPr>
                <w:rFonts w:ascii="Arial"/>
                <w:i/>
                <w:spacing w:val="34"/>
                <w:sz w:val="20"/>
              </w:rPr>
              <w:t> </w:t>
            </w:r>
            <w:r>
              <w:rPr>
                <w:rFonts w:ascii="Arial"/>
                <w:i/>
                <w:sz w:val="20"/>
              </w:rPr>
              <w:t>v</w:t>
            </w:r>
            <w:r>
              <w:rPr>
                <w:rFonts w:ascii="Arial"/>
                <w:i/>
                <w:spacing w:val="34"/>
                <w:sz w:val="20"/>
              </w:rPr>
              <w:t> </w:t>
            </w:r>
            <w:r>
              <w:rPr>
                <w:rFonts w:ascii="Arial"/>
                <w:i/>
                <w:sz w:val="20"/>
              </w:rPr>
              <w:t>Lewis</w:t>
            </w:r>
            <w:r>
              <w:rPr>
                <w:rFonts w:ascii="Arial"/>
                <w:i/>
                <w:spacing w:val="34"/>
                <w:sz w:val="20"/>
              </w:rPr>
              <w:t> </w:t>
            </w:r>
            <w:r>
              <w:rPr>
                <w:rFonts w:ascii="Arial"/>
                <w:i/>
                <w:sz w:val="20"/>
              </w:rPr>
              <w:t>[1982]</w:t>
            </w:r>
            <w:r>
              <w:rPr>
                <w:rFonts w:ascii="Arial"/>
                <w:i/>
                <w:spacing w:val="34"/>
                <w:sz w:val="20"/>
              </w:rPr>
              <w:t> </w:t>
            </w:r>
            <w:r>
              <w:rPr>
                <w:rFonts w:ascii="Arial"/>
                <w:i/>
                <w:sz w:val="20"/>
              </w:rPr>
              <w:t>A.C.</w:t>
            </w:r>
            <w:r>
              <w:rPr>
                <w:rFonts w:ascii="Arial"/>
                <w:i/>
                <w:spacing w:val="34"/>
                <w:sz w:val="20"/>
              </w:rPr>
              <w:t> </w:t>
            </w:r>
            <w:r>
              <w:rPr>
                <w:rFonts w:ascii="Arial"/>
                <w:i/>
                <w:sz w:val="20"/>
              </w:rPr>
              <w:t>225</w:t>
            </w:r>
            <w:r>
              <w:rPr>
                <w:sz w:val="20"/>
              </w:rPr>
              <w:t>;</w:t>
            </w:r>
            <w:r>
              <w:rPr>
                <w:spacing w:val="34"/>
                <w:sz w:val="20"/>
              </w:rPr>
              <w:t> </w:t>
            </w:r>
            <w:r>
              <w:rPr>
                <w:sz w:val="20"/>
              </w:rPr>
              <w:t>this</w:t>
            </w:r>
            <w:r>
              <w:rPr>
                <w:spacing w:val="34"/>
                <w:sz w:val="20"/>
              </w:rPr>
              <w:t> </w:t>
            </w:r>
            <w:r>
              <w:rPr>
                <w:sz w:val="20"/>
              </w:rPr>
              <w:t>issue</w:t>
            </w:r>
            <w:r>
              <w:rPr>
                <w:spacing w:val="34"/>
                <w:sz w:val="20"/>
              </w:rPr>
              <w:t> </w:t>
            </w:r>
            <w:r>
              <w:rPr>
                <w:sz w:val="20"/>
              </w:rPr>
              <w:t>was</w:t>
            </w:r>
            <w:r>
              <w:rPr>
                <w:spacing w:val="34"/>
                <w:sz w:val="20"/>
              </w:rPr>
              <w:t> </w:t>
            </w:r>
            <w:r>
              <w:rPr>
                <w:sz w:val="20"/>
              </w:rPr>
              <w:t>not</w:t>
            </w:r>
            <w:r>
              <w:rPr>
                <w:spacing w:val="34"/>
                <w:sz w:val="20"/>
              </w:rPr>
              <w:t> </w:t>
            </w:r>
            <w:r>
              <w:rPr>
                <w:sz w:val="20"/>
              </w:rPr>
              <w:t>discussed</w:t>
            </w:r>
            <w:r>
              <w:rPr>
                <w:spacing w:val="34"/>
                <w:sz w:val="20"/>
              </w:rPr>
              <w:t> </w:t>
            </w:r>
            <w:r>
              <w:rPr>
                <w:sz w:val="20"/>
              </w:rPr>
              <w:t>on</w:t>
            </w:r>
            <w:r>
              <w:rPr>
                <w:spacing w:val="34"/>
                <w:sz w:val="20"/>
              </w:rPr>
              <w:t> </w:t>
            </w:r>
            <w:r>
              <w:rPr>
                <w:sz w:val="20"/>
              </w:rPr>
              <w:t>appeal</w:t>
            </w:r>
            <w:r>
              <w:rPr>
                <w:spacing w:val="34"/>
                <w:sz w:val="20"/>
              </w:rPr>
              <w:t> </w:t>
            </w:r>
            <w:r>
              <w:rPr>
                <w:sz w:val="20"/>
              </w:rPr>
              <w:t>to</w:t>
            </w:r>
            <w:r>
              <w:rPr>
                <w:spacing w:val="34"/>
                <w:sz w:val="20"/>
              </w:rPr>
              <w:t> </w:t>
            </w:r>
            <w:r>
              <w:rPr>
                <w:sz w:val="20"/>
              </w:rPr>
              <w:t>the</w:t>
            </w:r>
            <w:r>
              <w:rPr>
                <w:spacing w:val="34"/>
                <w:sz w:val="20"/>
              </w:rPr>
              <w:t> </w:t>
            </w:r>
            <w:r>
              <w:rPr>
                <w:sz w:val="20"/>
              </w:rPr>
              <w:t>House</w:t>
            </w:r>
            <w:r>
              <w:rPr>
                <w:spacing w:val="34"/>
                <w:sz w:val="20"/>
              </w:rPr>
              <w:t> </w:t>
            </w:r>
            <w:r>
              <w:rPr>
                <w:sz w:val="20"/>
              </w:rPr>
              <w:t>of Lords. And see below, para.7-094.</w:t>
            </w:r>
          </w:p>
        </w:tc>
      </w:tr>
      <w:tr>
        <w:trPr>
          <w:trHeight w:val="465" w:hRule="atLeast"/>
        </w:trPr>
        <w:tc>
          <w:tcPr>
            <w:tcW w:w="496" w:type="dxa"/>
          </w:tcPr>
          <w:p>
            <w:pPr>
              <w:pStyle w:val="TableParagraph"/>
              <w:jc w:val="center"/>
              <w:rPr>
                <w:sz w:val="14"/>
              </w:rPr>
            </w:pPr>
            <w:r>
              <w:rPr>
                <w:color w:val="005DA1"/>
                <w:spacing w:val="-2"/>
                <w:sz w:val="14"/>
                <w:u w:val="single" w:color="005DA1"/>
              </w:rPr>
              <w:t>1170</w:t>
            </w:r>
            <w:r>
              <w:rPr>
                <w:spacing w:val="-2"/>
                <w:sz w:val="14"/>
              </w:rPr>
              <w:t>.</w:t>
            </w:r>
          </w:p>
        </w:tc>
        <w:tc>
          <w:tcPr>
            <w:tcW w:w="8620" w:type="dxa"/>
          </w:tcPr>
          <w:p>
            <w:pPr>
              <w:pStyle w:val="TableParagraph"/>
              <w:spacing w:before="114"/>
              <w:ind w:left="94" w:right="0"/>
              <w:rPr>
                <w:sz w:val="20"/>
              </w:rPr>
            </w:pPr>
            <w:r>
              <w:rPr>
                <w:sz w:val="20"/>
              </w:rPr>
              <w:t>See above, para.2-216, below, para.7-094, and further, paras 7-085—7-</w:t>
            </w:r>
            <w:r>
              <w:rPr>
                <w:spacing w:val="-4"/>
                <w:sz w:val="20"/>
              </w:rPr>
              <w:t>086.</w:t>
            </w:r>
          </w:p>
        </w:tc>
      </w:tr>
      <w:tr>
        <w:trPr>
          <w:trHeight w:val="690" w:hRule="atLeast"/>
        </w:trPr>
        <w:tc>
          <w:tcPr>
            <w:tcW w:w="496" w:type="dxa"/>
          </w:tcPr>
          <w:p>
            <w:pPr>
              <w:pStyle w:val="TableParagraph"/>
              <w:jc w:val="center"/>
              <w:rPr>
                <w:sz w:val="14"/>
              </w:rPr>
            </w:pPr>
            <w:r>
              <w:rPr>
                <w:color w:val="005DA1"/>
                <w:spacing w:val="-2"/>
                <w:sz w:val="14"/>
                <w:u w:val="single" w:color="005DA1"/>
              </w:rPr>
              <w:t>1171</w:t>
            </w:r>
            <w:r>
              <w:rPr>
                <w:spacing w:val="-2"/>
                <w:sz w:val="14"/>
              </w:rPr>
              <w:t>.</w:t>
            </w:r>
          </w:p>
        </w:tc>
        <w:tc>
          <w:tcPr>
            <w:tcW w:w="8620" w:type="dxa"/>
          </w:tcPr>
          <w:p>
            <w:pPr>
              <w:pStyle w:val="TableParagraph"/>
              <w:spacing w:line="235" w:lineRule="auto" w:before="118"/>
              <w:ind w:left="94" w:right="49"/>
              <w:rPr>
                <w:sz w:val="20"/>
              </w:rPr>
            </w:pPr>
            <w:r>
              <w:rPr>
                <w:rFonts w:ascii="Arial"/>
                <w:i/>
                <w:sz w:val="20"/>
              </w:rPr>
              <w:t>Shanklin Pier v Detel Products Ltd [1951] 2 K.B. 854</w:t>
            </w:r>
            <w:r>
              <w:rPr>
                <w:sz w:val="20"/>
              </w:rPr>
              <w:t>; </w:t>
            </w:r>
            <w:r>
              <w:rPr>
                <w:rFonts w:ascii="Arial"/>
                <w:i/>
                <w:sz w:val="20"/>
              </w:rPr>
              <w:t>Wells (Merstham) Ltd v Buckland </w:t>
            </w:r>
            <w:r>
              <w:rPr>
                <w:rFonts w:ascii="Arial"/>
                <w:i/>
                <w:sz w:val="20"/>
              </w:rPr>
              <w:t>Sand</w:t>
            </w:r>
            <w:r>
              <w:rPr>
                <w:rFonts w:ascii="Arial"/>
                <w:i/>
                <w:spacing w:val="40"/>
                <w:sz w:val="20"/>
              </w:rPr>
              <w:t> </w:t>
            </w:r>
            <w:r>
              <w:rPr>
                <w:rFonts w:ascii="Arial"/>
                <w:i/>
                <w:sz w:val="20"/>
              </w:rPr>
              <w:t>and Silica Co Ltd [1965] 2 Q.B. 170</w:t>
            </w:r>
            <w:r>
              <w:rPr>
                <w:sz w:val="20"/>
              </w:rPr>
              <w:t>.</w:t>
            </w:r>
          </w:p>
        </w:tc>
      </w:tr>
      <w:tr>
        <w:trPr>
          <w:trHeight w:val="1365" w:hRule="atLeast"/>
        </w:trPr>
        <w:tc>
          <w:tcPr>
            <w:tcW w:w="496" w:type="dxa"/>
          </w:tcPr>
          <w:p>
            <w:pPr>
              <w:pStyle w:val="TableParagraph"/>
              <w:jc w:val="center"/>
              <w:rPr>
                <w:sz w:val="14"/>
              </w:rPr>
            </w:pPr>
            <w:r>
              <w:rPr>
                <w:color w:val="005DA1"/>
                <w:spacing w:val="-2"/>
                <w:sz w:val="14"/>
                <w:u w:val="single" w:color="005DA1"/>
              </w:rPr>
              <w:t>1172</w:t>
            </w:r>
            <w:r>
              <w:rPr>
                <w:spacing w:val="-2"/>
                <w:sz w:val="14"/>
              </w:rPr>
              <w:t>.</w:t>
            </w:r>
          </w:p>
        </w:tc>
        <w:tc>
          <w:tcPr>
            <w:tcW w:w="8620" w:type="dxa"/>
          </w:tcPr>
          <w:p>
            <w:pPr>
              <w:pStyle w:val="TableParagraph"/>
              <w:spacing w:line="235" w:lineRule="auto" w:before="118"/>
              <w:ind w:left="94" w:right="48"/>
              <w:jc w:val="both"/>
              <w:rPr>
                <w:sz w:val="20"/>
              </w:rPr>
            </w:pPr>
            <w:r>
              <w:rPr>
                <w:sz w:val="20"/>
              </w:rPr>
              <w:t>Sale and Supply of Goods to Consumers Regulations 2002 (SI 2002/3045) reg.15(1). This </w:t>
            </w:r>
            <w:r>
              <w:rPr>
                <w:sz w:val="20"/>
              </w:rPr>
              <w:t>is replaced by s.30 of the Consumer Rights Act 2015. This section applies where there is “(a) a contract to supply goods” and “(b) a guarantee in relation to the goods” (s.30(1); “guarantee” is defined</w:t>
            </w:r>
            <w:r>
              <w:rPr>
                <w:spacing w:val="-1"/>
                <w:sz w:val="20"/>
              </w:rPr>
              <w:t> </w:t>
            </w:r>
            <w:r>
              <w:rPr>
                <w:sz w:val="20"/>
              </w:rPr>
              <w:t>in</w:t>
            </w:r>
            <w:r>
              <w:rPr>
                <w:spacing w:val="-1"/>
                <w:sz w:val="20"/>
              </w:rPr>
              <w:t> </w:t>
            </w:r>
            <w:r>
              <w:rPr>
                <w:sz w:val="20"/>
              </w:rPr>
              <w:t>s.30(2)).</w:t>
            </w:r>
            <w:r>
              <w:rPr>
                <w:spacing w:val="-1"/>
                <w:sz w:val="20"/>
              </w:rPr>
              <w:t> </w:t>
            </w:r>
            <w:r>
              <w:rPr>
                <w:sz w:val="20"/>
              </w:rPr>
              <w:t>Section</w:t>
            </w:r>
            <w:r>
              <w:rPr>
                <w:spacing w:val="-1"/>
                <w:sz w:val="20"/>
              </w:rPr>
              <w:t> </w:t>
            </w:r>
            <w:r>
              <w:rPr>
                <w:sz w:val="20"/>
              </w:rPr>
              <w:t>30(3)</w:t>
            </w:r>
            <w:r>
              <w:rPr>
                <w:spacing w:val="-1"/>
                <w:sz w:val="20"/>
              </w:rPr>
              <w:t> </w:t>
            </w:r>
            <w:r>
              <w:rPr>
                <w:sz w:val="20"/>
              </w:rPr>
              <w:t>goes</w:t>
            </w:r>
            <w:r>
              <w:rPr>
                <w:spacing w:val="-1"/>
                <w:sz w:val="20"/>
              </w:rPr>
              <w:t> </w:t>
            </w:r>
            <w:r>
              <w:rPr>
                <w:sz w:val="20"/>
              </w:rPr>
              <w:t>on</w:t>
            </w:r>
            <w:r>
              <w:rPr>
                <w:spacing w:val="-1"/>
                <w:sz w:val="20"/>
              </w:rPr>
              <w:t> </w:t>
            </w:r>
            <w:r>
              <w:rPr>
                <w:sz w:val="20"/>
              </w:rPr>
              <w:t>to</w:t>
            </w:r>
            <w:r>
              <w:rPr>
                <w:spacing w:val="-1"/>
                <w:sz w:val="20"/>
              </w:rPr>
              <w:t> </w:t>
            </w:r>
            <w:r>
              <w:rPr>
                <w:sz w:val="20"/>
              </w:rPr>
              <w:t>provide</w:t>
            </w:r>
            <w:r>
              <w:rPr>
                <w:spacing w:val="-1"/>
                <w:sz w:val="20"/>
              </w:rPr>
              <w:t> </w:t>
            </w:r>
            <w:r>
              <w:rPr>
                <w:sz w:val="20"/>
              </w:rPr>
              <w:t>that</w:t>
            </w:r>
            <w:r>
              <w:rPr>
                <w:spacing w:val="-1"/>
                <w:sz w:val="20"/>
              </w:rPr>
              <w:t> </w:t>
            </w:r>
            <w:r>
              <w:rPr>
                <w:sz w:val="20"/>
              </w:rPr>
              <w:t>such</w:t>
            </w:r>
            <w:r>
              <w:rPr>
                <w:spacing w:val="-1"/>
                <w:sz w:val="20"/>
              </w:rPr>
              <w:t> </w:t>
            </w:r>
            <w:r>
              <w:rPr>
                <w:sz w:val="20"/>
              </w:rPr>
              <w:t>a</w:t>
            </w:r>
            <w:r>
              <w:rPr>
                <w:spacing w:val="-1"/>
                <w:sz w:val="20"/>
              </w:rPr>
              <w:t> </w:t>
            </w:r>
            <w:r>
              <w:rPr>
                <w:sz w:val="20"/>
              </w:rPr>
              <w:t>guarantee</w:t>
            </w:r>
            <w:r>
              <w:rPr>
                <w:spacing w:val="-1"/>
                <w:sz w:val="20"/>
              </w:rPr>
              <w:t> </w:t>
            </w:r>
            <w:r>
              <w:rPr>
                <w:sz w:val="20"/>
              </w:rPr>
              <w:t>“takes</w:t>
            </w:r>
            <w:r>
              <w:rPr>
                <w:spacing w:val="-1"/>
                <w:sz w:val="20"/>
              </w:rPr>
              <w:t> </w:t>
            </w:r>
            <w:r>
              <w:rPr>
                <w:sz w:val="20"/>
              </w:rPr>
              <w:t>effect</w:t>
            </w:r>
            <w:r>
              <w:rPr>
                <w:spacing w:val="-1"/>
                <w:sz w:val="20"/>
              </w:rPr>
              <w:t> </w:t>
            </w:r>
            <w:r>
              <w:rPr>
                <w:sz w:val="20"/>
              </w:rPr>
              <w:t>…</w:t>
            </w:r>
            <w:r>
              <w:rPr>
                <w:spacing w:val="-1"/>
                <w:sz w:val="20"/>
              </w:rPr>
              <w:t> </w:t>
            </w:r>
            <w:r>
              <w:rPr>
                <w:sz w:val="20"/>
              </w:rPr>
              <w:t>as</w:t>
            </w:r>
            <w:r>
              <w:rPr>
                <w:spacing w:val="-1"/>
                <w:sz w:val="20"/>
              </w:rPr>
              <w:t> </w:t>
            </w:r>
            <w:r>
              <w:rPr>
                <w:sz w:val="20"/>
              </w:rPr>
              <w:t>a contractual obligation owed by the guarantor”. And see above, paras 2-017, 2-176.</w:t>
            </w:r>
          </w:p>
        </w:tc>
      </w:tr>
      <w:tr>
        <w:trPr>
          <w:trHeight w:val="465" w:hRule="atLeast"/>
        </w:trPr>
        <w:tc>
          <w:tcPr>
            <w:tcW w:w="496" w:type="dxa"/>
          </w:tcPr>
          <w:p>
            <w:pPr>
              <w:pStyle w:val="TableParagraph"/>
              <w:jc w:val="center"/>
              <w:rPr>
                <w:sz w:val="14"/>
              </w:rPr>
            </w:pPr>
            <w:r>
              <w:rPr>
                <w:color w:val="005DA1"/>
                <w:spacing w:val="-2"/>
                <w:sz w:val="14"/>
                <w:u w:val="single" w:color="005DA1"/>
              </w:rPr>
              <w:t>1173</w:t>
            </w:r>
            <w:r>
              <w:rPr>
                <w:spacing w:val="-2"/>
                <w:sz w:val="14"/>
              </w:rPr>
              <w:t>.</w:t>
            </w:r>
          </w:p>
        </w:tc>
        <w:tc>
          <w:tcPr>
            <w:tcW w:w="8620" w:type="dxa"/>
          </w:tcPr>
          <w:p>
            <w:pPr>
              <w:pStyle w:val="TableParagraph"/>
              <w:spacing w:before="114"/>
              <w:ind w:left="94" w:right="0"/>
              <w:rPr>
                <w:sz w:val="20"/>
              </w:rPr>
            </w:pPr>
            <w:r>
              <w:rPr>
                <w:sz w:val="20"/>
              </w:rPr>
              <w:t>See below, para.29-</w:t>
            </w:r>
            <w:r>
              <w:rPr>
                <w:spacing w:val="-4"/>
                <w:sz w:val="20"/>
              </w:rPr>
              <w:t>077.</w:t>
            </w:r>
          </w:p>
        </w:tc>
      </w:tr>
      <w:tr>
        <w:trPr>
          <w:trHeight w:val="465" w:hRule="atLeast"/>
        </w:trPr>
        <w:tc>
          <w:tcPr>
            <w:tcW w:w="496" w:type="dxa"/>
          </w:tcPr>
          <w:p>
            <w:pPr>
              <w:pStyle w:val="TableParagraph"/>
              <w:jc w:val="center"/>
              <w:rPr>
                <w:sz w:val="14"/>
              </w:rPr>
            </w:pPr>
            <w:r>
              <w:rPr>
                <w:color w:val="005DA1"/>
                <w:spacing w:val="-2"/>
                <w:sz w:val="14"/>
                <w:u w:val="single" w:color="005DA1"/>
              </w:rPr>
              <w:t>1174</w:t>
            </w:r>
            <w:r>
              <w:rPr>
                <w:spacing w:val="-2"/>
                <w:sz w:val="14"/>
              </w:rPr>
              <w:t>.</w:t>
            </w:r>
          </w:p>
        </w:tc>
        <w:tc>
          <w:tcPr>
            <w:tcW w:w="8620" w:type="dxa"/>
          </w:tcPr>
          <w:p>
            <w:pPr>
              <w:pStyle w:val="TableParagraph"/>
              <w:spacing w:before="114"/>
              <w:ind w:left="94" w:right="0"/>
              <w:rPr>
                <w:sz w:val="20"/>
              </w:rPr>
            </w:pPr>
            <w:r>
              <w:rPr>
                <w:rFonts w:ascii="Arial"/>
                <w:i/>
                <w:sz w:val="20"/>
              </w:rPr>
              <w:t>[2006]</w:t>
            </w:r>
            <w:r>
              <w:rPr>
                <w:rFonts w:ascii="Arial"/>
                <w:i/>
                <w:spacing w:val="-1"/>
                <w:sz w:val="20"/>
              </w:rPr>
              <w:t> </w:t>
            </w:r>
            <w:r>
              <w:rPr>
                <w:rFonts w:ascii="Arial"/>
                <w:i/>
                <w:sz w:val="20"/>
              </w:rPr>
              <w:t>EWCA Civ 1139, [2006] 1 W.L.R. 2964</w:t>
            </w:r>
            <w:r>
              <w:rPr>
                <w:sz w:val="20"/>
              </w:rPr>
              <w:t>; see below, para.4-</w:t>
            </w:r>
            <w:r>
              <w:rPr>
                <w:spacing w:val="-4"/>
                <w:sz w:val="20"/>
              </w:rPr>
              <w:t>167.</w:t>
            </w:r>
          </w:p>
        </w:tc>
      </w:tr>
      <w:tr>
        <w:trPr>
          <w:trHeight w:val="465" w:hRule="atLeast"/>
        </w:trPr>
        <w:tc>
          <w:tcPr>
            <w:tcW w:w="496" w:type="dxa"/>
          </w:tcPr>
          <w:p>
            <w:pPr>
              <w:pStyle w:val="TableParagraph"/>
              <w:jc w:val="center"/>
              <w:rPr>
                <w:sz w:val="14"/>
              </w:rPr>
            </w:pPr>
            <w:r>
              <w:rPr>
                <w:color w:val="005DA1"/>
                <w:spacing w:val="-2"/>
                <w:sz w:val="14"/>
                <w:u w:val="single" w:color="005DA1"/>
              </w:rPr>
              <w:t>1175</w:t>
            </w:r>
            <w:r>
              <w:rPr>
                <w:spacing w:val="-2"/>
                <w:sz w:val="14"/>
              </w:rPr>
              <w:t>.</w:t>
            </w:r>
          </w:p>
        </w:tc>
        <w:tc>
          <w:tcPr>
            <w:tcW w:w="8620" w:type="dxa"/>
          </w:tcPr>
          <w:p>
            <w:pPr>
              <w:pStyle w:val="TableParagraph"/>
              <w:spacing w:before="114"/>
              <w:ind w:left="94" w:right="0"/>
              <w:rPr>
                <w:sz w:val="20"/>
              </w:rPr>
            </w:pPr>
            <w:r>
              <w:rPr>
                <w:rFonts w:ascii="Arial"/>
                <w:i/>
                <w:sz w:val="20"/>
              </w:rPr>
              <w:t>[2006] EWCA Civ 1139</w:t>
            </w:r>
            <w:r>
              <w:rPr>
                <w:rFonts w:ascii="Arial"/>
                <w:i/>
                <w:spacing w:val="-1"/>
                <w:sz w:val="20"/>
              </w:rPr>
              <w:t> </w:t>
            </w:r>
            <w:r>
              <w:rPr>
                <w:sz w:val="20"/>
              </w:rPr>
              <w:t>at </w:t>
            </w:r>
            <w:r>
              <w:rPr>
                <w:spacing w:val="-4"/>
                <w:sz w:val="20"/>
              </w:rPr>
              <w:t>[4].</w:t>
            </w:r>
          </w:p>
        </w:tc>
      </w:tr>
      <w:tr>
        <w:trPr>
          <w:trHeight w:val="344" w:hRule="atLeast"/>
        </w:trPr>
        <w:tc>
          <w:tcPr>
            <w:tcW w:w="496" w:type="dxa"/>
          </w:tcPr>
          <w:p>
            <w:pPr>
              <w:pStyle w:val="TableParagraph"/>
              <w:jc w:val="center"/>
              <w:rPr>
                <w:sz w:val="14"/>
              </w:rPr>
            </w:pPr>
            <w:r>
              <w:rPr>
                <w:color w:val="005DA1"/>
                <w:spacing w:val="-2"/>
                <w:sz w:val="14"/>
                <w:u w:val="single" w:color="005DA1"/>
              </w:rPr>
              <w:t>1176</w:t>
            </w:r>
            <w:r>
              <w:rPr>
                <w:spacing w:val="-2"/>
                <w:sz w:val="14"/>
              </w:rPr>
              <w:t>.</w:t>
            </w:r>
          </w:p>
        </w:tc>
        <w:tc>
          <w:tcPr>
            <w:tcW w:w="8620" w:type="dxa"/>
          </w:tcPr>
          <w:p>
            <w:pPr>
              <w:pStyle w:val="TableParagraph"/>
              <w:spacing w:line="210" w:lineRule="exact" w:before="114"/>
              <w:ind w:left="94" w:right="0"/>
              <w:rPr>
                <w:sz w:val="20"/>
              </w:rPr>
            </w:pPr>
            <w:r>
              <w:rPr>
                <w:rFonts w:ascii="Arial"/>
                <w:i/>
                <w:sz w:val="20"/>
              </w:rPr>
              <w:t>[2008] UKHL 55, [2008] 1 W.L.R. 1752</w:t>
            </w:r>
            <w:r>
              <w:rPr>
                <w:rFonts w:ascii="Arial"/>
                <w:i/>
                <w:spacing w:val="-1"/>
                <w:sz w:val="20"/>
              </w:rPr>
              <w:t> </w:t>
            </w:r>
            <w:r>
              <w:rPr>
                <w:sz w:val="20"/>
              </w:rPr>
              <w:t>at </w:t>
            </w:r>
            <w:r>
              <w:rPr>
                <w:spacing w:val="-2"/>
                <w:sz w:val="20"/>
              </w:rPr>
              <w:t>[93].</w:t>
            </w:r>
          </w:p>
        </w:tc>
      </w:tr>
      <w:tr>
        <w:trPr>
          <w:trHeight w:val="585" w:hRule="atLeast"/>
        </w:trPr>
        <w:tc>
          <w:tcPr>
            <w:tcW w:w="496" w:type="dxa"/>
          </w:tcPr>
          <w:p>
            <w:pPr>
              <w:pStyle w:val="TableParagraph"/>
              <w:spacing w:before="81"/>
              <w:ind w:right="0"/>
              <w:rPr>
                <w:sz w:val="14"/>
              </w:rPr>
            </w:pPr>
          </w:p>
          <w:p>
            <w:pPr>
              <w:pStyle w:val="TableParagraph"/>
              <w:spacing w:before="0"/>
              <w:jc w:val="center"/>
              <w:rPr>
                <w:sz w:val="14"/>
              </w:rPr>
            </w:pPr>
            <w:r>
              <w:rPr>
                <w:color w:val="005DA1"/>
                <w:spacing w:val="-2"/>
                <w:sz w:val="14"/>
                <w:u w:val="single" w:color="005DA1"/>
              </w:rPr>
              <w:t>1177</w:t>
            </w:r>
            <w:r>
              <w:rPr>
                <w:spacing w:val="-2"/>
                <w:sz w:val="14"/>
              </w:rPr>
              <w:t>.</w:t>
            </w:r>
          </w:p>
        </w:tc>
        <w:tc>
          <w:tcPr>
            <w:tcW w:w="8620" w:type="dxa"/>
          </w:tcPr>
          <w:p>
            <w:pPr>
              <w:pStyle w:val="TableParagraph"/>
              <w:spacing w:before="125"/>
              <w:ind w:right="0"/>
              <w:rPr>
                <w:sz w:val="20"/>
              </w:rPr>
            </w:pPr>
          </w:p>
          <w:p>
            <w:pPr>
              <w:pStyle w:val="TableParagraph"/>
              <w:spacing w:line="210" w:lineRule="exact" w:before="0"/>
              <w:ind w:left="264" w:right="0"/>
              <w:rPr>
                <w:sz w:val="20"/>
              </w:rPr>
            </w:pPr>
            <w:r>
              <w:rPr>
                <w:sz w:val="20"/>
              </w:rPr>
              <mc:AlternateContent>
                <mc:Choice Requires="wps">
                  <w:drawing>
                    <wp:anchor distT="0" distB="0" distL="0" distR="0" allowOverlap="1" layoutInCell="1" locked="0" behindDoc="1" simplePos="0" relativeHeight="483116032">
                      <wp:simplePos x="0" y="0"/>
                      <wp:positionH relativeFrom="column">
                        <wp:posOffset>60516</wp:posOffset>
                      </wp:positionH>
                      <wp:positionV relativeFrom="paragraph">
                        <wp:posOffset>27938</wp:posOffset>
                      </wp:positionV>
                      <wp:extent cx="108585" cy="108585"/>
                      <wp:effectExtent l="0" t="0" r="0" b="0"/>
                      <wp:wrapNone/>
                      <wp:docPr id="155" name="Group 155"/>
                      <wp:cNvGraphicFramePr>
                        <a:graphicFrameLocks/>
                      </wp:cNvGraphicFramePr>
                      <a:graphic>
                        <a:graphicData uri="http://schemas.microsoft.com/office/word/2010/wordprocessingGroup">
                          <wpg:wgp>
                            <wpg:cNvPr id="155" name="Group 155"/>
                            <wpg:cNvGrpSpPr/>
                            <wpg:grpSpPr>
                              <a:xfrm>
                                <a:off x="0" y="0"/>
                                <a:ext cx="108585" cy="108585"/>
                                <a:chExt cx="108585" cy="108585"/>
                              </a:xfrm>
                            </wpg:grpSpPr>
                            <pic:pic>
                              <pic:nvPicPr>
                                <pic:cNvPr id="156" name="Image 156"/>
                                <pic:cNvPicPr/>
                              </pic:nvPicPr>
                              <pic:blipFill>
                                <a:blip r:embed="rId7" cstate="print"/>
                                <a:stretch>
                                  <a:fillRect/>
                                </a:stretch>
                              </pic:blipFill>
                              <pic:spPr>
                                <a:xfrm>
                                  <a:off x="0" y="0"/>
                                  <a:ext cx="107988" cy="107988"/>
                                </a:xfrm>
                                <a:prstGeom prst="rect">
                                  <a:avLst/>
                                </a:prstGeom>
                              </pic:spPr>
                            </pic:pic>
                          </wpg:wgp>
                        </a:graphicData>
                      </a:graphic>
                    </wp:anchor>
                  </w:drawing>
                </mc:Choice>
                <mc:Fallback>
                  <w:pict>
                    <v:group style="position:absolute;margin-left:4.765088pt;margin-top:2.199883pt;width:8.550pt;height:8.550pt;mso-position-horizontal-relative:column;mso-position-vertical-relative:paragraph;z-index:-20200448" id="docshapegroup56" coordorigin="95,44" coordsize="171,171">
                      <v:shape style="position:absolute;left:95;top:44;width:171;height:171" type="#_x0000_t75" id="docshape57" stroked="false">
                        <v:imagedata r:id="rId7" o:title=""/>
                      </v:shape>
                      <w10:wrap type="none"/>
                    </v:group>
                  </w:pict>
                </mc:Fallback>
              </mc:AlternateContent>
            </w:r>
            <w:r>
              <w:rPr>
                <w:rFonts w:ascii="Arial"/>
                <w:i/>
                <w:sz w:val="20"/>
              </w:rPr>
              <w:t>Matchmove</w:t>
            </w:r>
            <w:r>
              <w:rPr>
                <w:rFonts w:ascii="Arial"/>
                <w:i/>
                <w:spacing w:val="-1"/>
                <w:sz w:val="20"/>
              </w:rPr>
              <w:t> </w:t>
            </w:r>
            <w:r>
              <w:rPr>
                <w:rFonts w:ascii="Arial"/>
                <w:i/>
                <w:sz w:val="20"/>
              </w:rPr>
              <w:t>Ltd v Dowding [2016] EWCA Civ 1233</w:t>
            </w:r>
            <w:r>
              <w:rPr>
                <w:sz w:val="20"/>
              </w:rPr>
              <w:t>; see below, paras 4-142 and 5-</w:t>
            </w:r>
            <w:r>
              <w:rPr>
                <w:spacing w:val="-4"/>
                <w:sz w:val="20"/>
              </w:rPr>
              <w:t>040.</w:t>
            </w:r>
          </w:p>
        </w:tc>
      </w:tr>
      <w:tr>
        <w:trPr>
          <w:trHeight w:val="585" w:hRule="atLeast"/>
        </w:trPr>
        <w:tc>
          <w:tcPr>
            <w:tcW w:w="496" w:type="dxa"/>
          </w:tcPr>
          <w:p>
            <w:pPr>
              <w:pStyle w:val="TableParagraph"/>
              <w:spacing w:before="81"/>
              <w:ind w:right="0"/>
              <w:rPr>
                <w:sz w:val="14"/>
              </w:rPr>
            </w:pPr>
          </w:p>
          <w:p>
            <w:pPr>
              <w:pStyle w:val="TableParagraph"/>
              <w:spacing w:before="0"/>
              <w:jc w:val="center"/>
              <w:rPr>
                <w:sz w:val="14"/>
              </w:rPr>
            </w:pPr>
            <w:r>
              <w:rPr>
                <w:color w:val="005DA1"/>
                <w:spacing w:val="-2"/>
                <w:sz w:val="14"/>
                <w:u w:val="single" w:color="005DA1"/>
              </w:rPr>
              <w:t>1178</w:t>
            </w:r>
            <w:r>
              <w:rPr>
                <w:spacing w:val="-2"/>
                <w:sz w:val="14"/>
              </w:rPr>
              <w:t>.</w:t>
            </w:r>
          </w:p>
        </w:tc>
        <w:tc>
          <w:tcPr>
            <w:tcW w:w="8620" w:type="dxa"/>
          </w:tcPr>
          <w:p>
            <w:pPr>
              <w:pStyle w:val="TableParagraph"/>
              <w:spacing w:before="5"/>
              <w:ind w:right="0"/>
              <w:rPr>
                <w:sz w:val="20"/>
              </w:rPr>
            </w:pPr>
          </w:p>
          <w:p>
            <w:pPr>
              <w:pStyle w:val="TableParagraph"/>
              <w:spacing w:before="0"/>
              <w:ind w:left="94" w:right="0"/>
              <w:rPr>
                <w:sz w:val="20"/>
              </w:rPr>
            </w:pPr>
            <w:r>
              <w:rPr>
                <w:sz w:val="20"/>
              </w:rPr>
              <w:t>See above, para.2-</w:t>
            </w:r>
            <w:r>
              <w:rPr>
                <w:spacing w:val="-4"/>
                <w:sz w:val="20"/>
              </w:rPr>
              <w:t>123.</w:t>
            </w:r>
          </w:p>
        </w:tc>
      </w:tr>
      <w:tr>
        <w:trPr>
          <w:trHeight w:val="465" w:hRule="atLeast"/>
        </w:trPr>
        <w:tc>
          <w:tcPr>
            <w:tcW w:w="496" w:type="dxa"/>
          </w:tcPr>
          <w:p>
            <w:pPr>
              <w:pStyle w:val="TableParagraph"/>
              <w:jc w:val="center"/>
              <w:rPr>
                <w:sz w:val="14"/>
              </w:rPr>
            </w:pPr>
            <w:r>
              <w:rPr>
                <w:color w:val="005DA1"/>
                <w:spacing w:val="-2"/>
                <w:sz w:val="14"/>
                <w:u w:val="single" w:color="005DA1"/>
              </w:rPr>
              <w:t>1179</w:t>
            </w:r>
            <w:r>
              <w:rPr>
                <w:spacing w:val="-2"/>
                <w:sz w:val="14"/>
              </w:rPr>
              <w:t>.</w:t>
            </w:r>
          </w:p>
        </w:tc>
        <w:tc>
          <w:tcPr>
            <w:tcW w:w="8620" w:type="dxa"/>
          </w:tcPr>
          <w:p>
            <w:pPr>
              <w:pStyle w:val="TableParagraph"/>
              <w:spacing w:before="114"/>
              <w:ind w:left="94" w:right="0"/>
              <w:rPr>
                <w:sz w:val="20"/>
              </w:rPr>
            </w:pPr>
            <w:r>
              <w:rPr>
                <w:sz w:val="20"/>
              </w:rPr>
              <w:t>See below, paras 4-139—4-</w:t>
            </w:r>
            <w:r>
              <w:rPr>
                <w:spacing w:val="-4"/>
                <w:sz w:val="20"/>
              </w:rPr>
              <w:t>180.</w:t>
            </w:r>
          </w:p>
        </w:tc>
      </w:tr>
      <w:tr>
        <w:trPr>
          <w:trHeight w:val="465" w:hRule="atLeast"/>
        </w:trPr>
        <w:tc>
          <w:tcPr>
            <w:tcW w:w="496" w:type="dxa"/>
          </w:tcPr>
          <w:p>
            <w:pPr>
              <w:pStyle w:val="TableParagraph"/>
              <w:jc w:val="center"/>
              <w:rPr>
                <w:sz w:val="14"/>
              </w:rPr>
            </w:pPr>
            <w:r>
              <w:rPr>
                <w:color w:val="005DA1"/>
                <w:spacing w:val="-2"/>
                <w:sz w:val="14"/>
                <w:u w:val="single" w:color="005DA1"/>
              </w:rPr>
              <w:t>1180</w:t>
            </w:r>
            <w:r>
              <w:rPr>
                <w:spacing w:val="-2"/>
                <w:sz w:val="14"/>
              </w:rPr>
              <w:t>.</w:t>
            </w:r>
          </w:p>
        </w:tc>
        <w:tc>
          <w:tcPr>
            <w:tcW w:w="8620" w:type="dxa"/>
          </w:tcPr>
          <w:p>
            <w:pPr>
              <w:pStyle w:val="TableParagraph"/>
              <w:spacing w:before="114"/>
              <w:ind w:left="94" w:right="0"/>
              <w:rPr>
                <w:sz w:val="20"/>
              </w:rPr>
            </w:pPr>
            <w:r>
              <w:rPr>
                <w:rFonts w:ascii="Arial" w:hAnsi="Arial"/>
                <w:i/>
                <w:sz w:val="20"/>
              </w:rPr>
              <w:t>Cobbe v Yeoman’s Row Management Ltd [2008] UKHL 55, [2008] 1 W.L.R. 1752</w:t>
            </w:r>
            <w:r>
              <w:rPr>
                <w:rFonts w:ascii="Arial" w:hAnsi="Arial"/>
                <w:i/>
                <w:spacing w:val="-1"/>
                <w:sz w:val="20"/>
              </w:rPr>
              <w:t> </w:t>
            </w:r>
            <w:r>
              <w:rPr>
                <w:sz w:val="20"/>
              </w:rPr>
              <w:t>at </w:t>
            </w:r>
            <w:r>
              <w:rPr>
                <w:spacing w:val="-2"/>
                <w:sz w:val="20"/>
              </w:rPr>
              <w:t>[28].</w:t>
            </w:r>
          </w:p>
        </w:tc>
      </w:tr>
      <w:tr>
        <w:trPr>
          <w:trHeight w:val="465" w:hRule="atLeast"/>
        </w:trPr>
        <w:tc>
          <w:tcPr>
            <w:tcW w:w="496" w:type="dxa"/>
          </w:tcPr>
          <w:p>
            <w:pPr>
              <w:pStyle w:val="TableParagraph"/>
              <w:jc w:val="center"/>
              <w:rPr>
                <w:sz w:val="14"/>
              </w:rPr>
            </w:pPr>
            <w:r>
              <w:rPr>
                <w:color w:val="005DA1"/>
                <w:spacing w:val="-2"/>
                <w:sz w:val="14"/>
                <w:u w:val="single" w:color="005DA1"/>
              </w:rPr>
              <w:t>1181</w:t>
            </w:r>
            <w:r>
              <w:rPr>
                <w:spacing w:val="-2"/>
                <w:sz w:val="14"/>
              </w:rPr>
              <w:t>.</w:t>
            </w:r>
          </w:p>
        </w:tc>
        <w:tc>
          <w:tcPr>
            <w:tcW w:w="8620" w:type="dxa"/>
          </w:tcPr>
          <w:p>
            <w:pPr>
              <w:pStyle w:val="TableParagraph"/>
              <w:spacing w:before="114"/>
              <w:ind w:left="94" w:right="0"/>
              <w:rPr>
                <w:sz w:val="20"/>
              </w:rPr>
            </w:pPr>
            <w:r>
              <w:rPr>
                <w:rFonts w:ascii="Arial" w:hAnsi="Arial"/>
                <w:i/>
                <w:sz w:val="20"/>
              </w:rPr>
              <w:t>Cobbe v Yeoman’s Row Management Ltd [2008] UKHL 55, [2008] 1 W.L.R. 1752</w:t>
            </w:r>
            <w:r>
              <w:rPr>
                <w:rFonts w:ascii="Arial" w:hAnsi="Arial"/>
                <w:i/>
                <w:spacing w:val="-1"/>
                <w:sz w:val="20"/>
              </w:rPr>
              <w:t> </w:t>
            </w:r>
            <w:r>
              <w:rPr>
                <w:sz w:val="20"/>
              </w:rPr>
              <w:t>at </w:t>
            </w:r>
            <w:r>
              <w:rPr>
                <w:spacing w:val="-2"/>
                <w:sz w:val="20"/>
              </w:rPr>
              <w:t>[28].</w:t>
            </w:r>
          </w:p>
        </w:tc>
      </w:tr>
      <w:tr>
        <w:trPr>
          <w:trHeight w:val="465" w:hRule="atLeast"/>
        </w:trPr>
        <w:tc>
          <w:tcPr>
            <w:tcW w:w="496" w:type="dxa"/>
          </w:tcPr>
          <w:p>
            <w:pPr>
              <w:pStyle w:val="TableParagraph"/>
              <w:jc w:val="center"/>
              <w:rPr>
                <w:sz w:val="14"/>
              </w:rPr>
            </w:pPr>
            <w:r>
              <w:rPr>
                <w:color w:val="005DA1"/>
                <w:spacing w:val="-2"/>
                <w:sz w:val="14"/>
                <w:u w:val="single" w:color="005DA1"/>
              </w:rPr>
              <w:t>1182</w:t>
            </w:r>
            <w:r>
              <w:rPr>
                <w:spacing w:val="-2"/>
                <w:sz w:val="14"/>
              </w:rPr>
              <w:t>.</w:t>
            </w:r>
          </w:p>
        </w:tc>
        <w:tc>
          <w:tcPr>
            <w:tcW w:w="8620" w:type="dxa"/>
          </w:tcPr>
          <w:p>
            <w:pPr>
              <w:pStyle w:val="TableParagraph"/>
              <w:spacing w:before="114"/>
              <w:ind w:left="94" w:right="0"/>
              <w:rPr>
                <w:sz w:val="20"/>
              </w:rPr>
            </w:pPr>
            <w:r>
              <w:rPr>
                <w:sz w:val="20"/>
              </w:rPr>
              <w:t>See below, para.4-</w:t>
            </w:r>
            <w:r>
              <w:rPr>
                <w:spacing w:val="-4"/>
                <w:sz w:val="20"/>
              </w:rPr>
              <w:t>149.</w:t>
            </w:r>
          </w:p>
        </w:tc>
      </w:tr>
      <w:tr>
        <w:trPr>
          <w:trHeight w:val="465" w:hRule="atLeast"/>
        </w:trPr>
        <w:tc>
          <w:tcPr>
            <w:tcW w:w="496" w:type="dxa"/>
          </w:tcPr>
          <w:p>
            <w:pPr>
              <w:pStyle w:val="TableParagraph"/>
              <w:jc w:val="center"/>
              <w:rPr>
                <w:sz w:val="14"/>
              </w:rPr>
            </w:pPr>
            <w:r>
              <w:rPr>
                <w:color w:val="005DA1"/>
                <w:spacing w:val="-2"/>
                <w:sz w:val="14"/>
                <w:u w:val="single" w:color="005DA1"/>
              </w:rPr>
              <w:t>1183</w:t>
            </w:r>
            <w:r>
              <w:rPr>
                <w:spacing w:val="-2"/>
                <w:sz w:val="14"/>
              </w:rPr>
              <w:t>.</w:t>
            </w:r>
          </w:p>
        </w:tc>
        <w:tc>
          <w:tcPr>
            <w:tcW w:w="8620" w:type="dxa"/>
          </w:tcPr>
          <w:p>
            <w:pPr>
              <w:pStyle w:val="TableParagraph"/>
              <w:spacing w:before="114"/>
              <w:ind w:left="94" w:right="0"/>
              <w:rPr>
                <w:sz w:val="20"/>
              </w:rPr>
            </w:pPr>
            <w:r>
              <w:rPr>
                <w:rFonts w:ascii="Arial" w:hAnsi="Arial"/>
                <w:i/>
                <w:sz w:val="20"/>
              </w:rPr>
              <w:t>Motivate Publishing FZ LLC v Hello Ltd [2015] EWHC 1554 (Ch)</w:t>
            </w:r>
            <w:r>
              <w:rPr>
                <w:rFonts w:ascii="Arial" w:hAnsi="Arial"/>
                <w:i/>
                <w:spacing w:val="-1"/>
                <w:sz w:val="20"/>
              </w:rPr>
              <w:t> </w:t>
            </w:r>
            <w:r>
              <w:rPr>
                <w:sz w:val="20"/>
              </w:rPr>
              <w:t>at [61]–[64], [66], </w:t>
            </w:r>
            <w:r>
              <w:rPr>
                <w:spacing w:val="-2"/>
                <w:sz w:val="20"/>
              </w:rPr>
              <w:t>[72]–[73].</w:t>
            </w:r>
          </w:p>
        </w:tc>
      </w:tr>
      <w:tr>
        <w:trPr>
          <w:trHeight w:val="465" w:hRule="atLeast"/>
        </w:trPr>
        <w:tc>
          <w:tcPr>
            <w:tcW w:w="496" w:type="dxa"/>
          </w:tcPr>
          <w:p>
            <w:pPr>
              <w:pStyle w:val="TableParagraph"/>
              <w:jc w:val="center"/>
              <w:rPr>
                <w:sz w:val="14"/>
              </w:rPr>
            </w:pPr>
            <w:r>
              <w:rPr>
                <w:color w:val="005DA1"/>
                <w:spacing w:val="-2"/>
                <w:sz w:val="14"/>
                <w:u w:val="single" w:color="005DA1"/>
              </w:rPr>
              <w:t>1184</w:t>
            </w:r>
            <w:r>
              <w:rPr>
                <w:spacing w:val="-2"/>
                <w:sz w:val="14"/>
              </w:rPr>
              <w:t>.</w:t>
            </w:r>
          </w:p>
        </w:tc>
        <w:tc>
          <w:tcPr>
            <w:tcW w:w="8620" w:type="dxa"/>
          </w:tcPr>
          <w:p>
            <w:pPr>
              <w:pStyle w:val="TableParagraph"/>
              <w:spacing w:before="114"/>
              <w:ind w:left="94" w:right="0"/>
              <w:rPr>
                <w:sz w:val="20"/>
              </w:rPr>
            </w:pPr>
            <w:r>
              <w:rPr>
                <w:rFonts w:ascii="Arial"/>
                <w:i/>
                <w:sz w:val="20"/>
              </w:rPr>
              <w:t>[2009] UKHL 18, [2009] 1 W.L.R. </w:t>
            </w:r>
            <w:r>
              <w:rPr>
                <w:rFonts w:ascii="Arial"/>
                <w:i/>
                <w:spacing w:val="-4"/>
                <w:sz w:val="20"/>
              </w:rPr>
              <w:t>776</w:t>
            </w:r>
            <w:r>
              <w:rPr>
                <w:spacing w:val="-4"/>
                <w:sz w:val="20"/>
              </w:rPr>
              <w:t>.</w:t>
            </w:r>
          </w:p>
        </w:tc>
      </w:tr>
      <w:tr>
        <w:trPr>
          <w:trHeight w:val="465" w:hRule="atLeast"/>
        </w:trPr>
        <w:tc>
          <w:tcPr>
            <w:tcW w:w="496" w:type="dxa"/>
          </w:tcPr>
          <w:p>
            <w:pPr>
              <w:pStyle w:val="TableParagraph"/>
              <w:jc w:val="center"/>
              <w:rPr>
                <w:sz w:val="14"/>
              </w:rPr>
            </w:pPr>
            <w:r>
              <w:rPr>
                <w:color w:val="005DA1"/>
                <w:spacing w:val="-2"/>
                <w:sz w:val="14"/>
                <w:u w:val="single" w:color="005DA1"/>
              </w:rPr>
              <w:t>1185</w:t>
            </w:r>
            <w:r>
              <w:rPr>
                <w:spacing w:val="-2"/>
                <w:sz w:val="14"/>
              </w:rPr>
              <w:t>.</w:t>
            </w:r>
          </w:p>
        </w:tc>
        <w:tc>
          <w:tcPr>
            <w:tcW w:w="8620" w:type="dxa"/>
          </w:tcPr>
          <w:p>
            <w:pPr>
              <w:pStyle w:val="TableParagraph"/>
              <w:spacing w:before="114"/>
              <w:ind w:left="94" w:right="0"/>
              <w:rPr>
                <w:sz w:val="20"/>
              </w:rPr>
            </w:pPr>
            <w:r>
              <w:rPr>
                <w:sz w:val="20"/>
              </w:rPr>
              <w:t>See below, paras 5-013—5-</w:t>
            </w:r>
            <w:r>
              <w:rPr>
                <w:spacing w:val="-4"/>
                <w:sz w:val="20"/>
              </w:rPr>
              <w:t>039.</w:t>
            </w:r>
          </w:p>
        </w:tc>
      </w:tr>
      <w:tr>
        <w:trPr>
          <w:trHeight w:val="465" w:hRule="atLeast"/>
        </w:trPr>
        <w:tc>
          <w:tcPr>
            <w:tcW w:w="496" w:type="dxa"/>
          </w:tcPr>
          <w:p>
            <w:pPr>
              <w:pStyle w:val="TableParagraph"/>
              <w:jc w:val="center"/>
              <w:rPr>
                <w:sz w:val="14"/>
              </w:rPr>
            </w:pPr>
            <w:r>
              <w:rPr>
                <w:color w:val="005DA1"/>
                <w:spacing w:val="-2"/>
                <w:sz w:val="14"/>
                <w:u w:val="single" w:color="005DA1"/>
              </w:rPr>
              <w:t>1186</w:t>
            </w:r>
            <w:r>
              <w:rPr>
                <w:spacing w:val="-2"/>
                <w:sz w:val="14"/>
              </w:rPr>
              <w:t>.</w:t>
            </w:r>
          </w:p>
        </w:tc>
        <w:tc>
          <w:tcPr>
            <w:tcW w:w="8620" w:type="dxa"/>
          </w:tcPr>
          <w:p>
            <w:pPr>
              <w:pStyle w:val="TableParagraph"/>
              <w:spacing w:before="114"/>
              <w:ind w:left="94" w:right="0"/>
              <w:rPr>
                <w:sz w:val="20"/>
              </w:rPr>
            </w:pPr>
            <w:r>
              <w:rPr>
                <w:sz w:val="20"/>
              </w:rPr>
              <w:t>See below, para.5-</w:t>
            </w:r>
            <w:r>
              <w:rPr>
                <w:spacing w:val="-4"/>
                <w:sz w:val="20"/>
              </w:rPr>
              <w:t>040.</w:t>
            </w:r>
          </w:p>
        </w:tc>
      </w:tr>
      <w:tr>
        <w:trPr>
          <w:trHeight w:val="569" w:hRule="atLeast"/>
        </w:trPr>
        <w:tc>
          <w:tcPr>
            <w:tcW w:w="496" w:type="dxa"/>
          </w:tcPr>
          <w:p>
            <w:pPr>
              <w:pStyle w:val="TableParagraph"/>
              <w:jc w:val="center"/>
              <w:rPr>
                <w:sz w:val="14"/>
              </w:rPr>
            </w:pPr>
            <w:r>
              <w:rPr>
                <w:color w:val="005DA1"/>
                <w:spacing w:val="-2"/>
                <w:sz w:val="14"/>
                <w:u w:val="single" w:color="005DA1"/>
              </w:rPr>
              <w:t>1187</w:t>
            </w:r>
            <w:r>
              <w:rPr>
                <w:spacing w:val="-2"/>
                <w:sz w:val="14"/>
              </w:rPr>
              <w:t>.</w:t>
            </w:r>
          </w:p>
        </w:tc>
        <w:tc>
          <w:tcPr>
            <w:tcW w:w="8620" w:type="dxa"/>
          </w:tcPr>
          <w:p>
            <w:pPr>
              <w:pStyle w:val="TableParagraph"/>
              <w:spacing w:line="226" w:lineRule="exact" w:before="97"/>
              <w:ind w:left="94" w:right="49"/>
              <w:rPr>
                <w:sz w:val="20"/>
              </w:rPr>
            </w:pPr>
            <w:r>
              <w:rPr>
                <w:rFonts w:ascii="Arial"/>
                <w:i/>
                <w:sz w:val="20"/>
              </w:rPr>
              <w:t>McCausland v Duncan Lawrie Ltd [1997] 1 W.L.R. 38 </w:t>
            </w:r>
            <w:r>
              <w:rPr>
                <w:sz w:val="20"/>
              </w:rPr>
              <w:t>at 45, 50; </w:t>
            </w:r>
            <w:r>
              <w:rPr>
                <w:rFonts w:ascii="Arial"/>
                <w:i/>
                <w:sz w:val="20"/>
              </w:rPr>
              <w:t>Yaxley v Gotts [2000] Ch. </w:t>
            </w:r>
            <w:r>
              <w:rPr>
                <w:rFonts w:ascii="Arial"/>
                <w:i/>
                <w:sz w:val="20"/>
              </w:rPr>
              <w:t>162</w:t>
            </w:r>
            <w:r>
              <w:rPr>
                <w:sz w:val="20"/>
              </w:rPr>
              <w:t>, at 174. And, see below, para.5-041.</w:t>
            </w:r>
          </w:p>
        </w:tc>
      </w:tr>
    </w:tbl>
    <w:p>
      <w:pPr>
        <w:pStyle w:val="TableParagraph"/>
        <w:spacing w:after="0" w:line="226" w:lineRule="exact"/>
        <w:rPr>
          <w:sz w:val="20"/>
        </w:rPr>
        <w:sectPr>
          <w:pgSz w:w="11900" w:h="16840"/>
          <w:pgMar w:header="971" w:footer="0" w:top="1300" w:bottom="280" w:left="1275" w:right="1275"/>
        </w:sectPr>
      </w:pPr>
    </w:p>
    <w:p>
      <w:pPr>
        <w:pStyle w:val="BodyText"/>
        <w:spacing w:after="1"/>
        <w:rPr>
          <w:sz w:val="15"/>
        </w:rPr>
      </w:pPr>
    </w:p>
    <w:tbl>
      <w:tblPr>
        <w:tblW w:w="0" w:type="auto"/>
        <w:jc w:val="left"/>
        <w:tblInd w:w="12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96"/>
        <w:gridCol w:w="8620"/>
      </w:tblGrid>
      <w:tr>
        <w:trPr>
          <w:trHeight w:val="794" w:hRule="atLeast"/>
        </w:trPr>
        <w:tc>
          <w:tcPr>
            <w:tcW w:w="496" w:type="dxa"/>
          </w:tcPr>
          <w:p>
            <w:pPr>
              <w:pStyle w:val="TableParagraph"/>
              <w:spacing w:before="0"/>
              <w:jc w:val="center"/>
              <w:rPr>
                <w:sz w:val="14"/>
              </w:rPr>
            </w:pPr>
            <w:r>
              <w:rPr>
                <w:color w:val="005DA1"/>
                <w:spacing w:val="-2"/>
                <w:sz w:val="14"/>
                <w:u w:val="single" w:color="005DA1"/>
              </w:rPr>
              <w:t>1188</w:t>
            </w:r>
            <w:r>
              <w:rPr>
                <w:spacing w:val="-2"/>
                <w:sz w:val="14"/>
              </w:rPr>
              <w:t>.</w:t>
            </w:r>
          </w:p>
        </w:tc>
        <w:tc>
          <w:tcPr>
            <w:tcW w:w="8620" w:type="dxa"/>
          </w:tcPr>
          <w:p>
            <w:pPr>
              <w:pStyle w:val="TableParagraph"/>
              <w:spacing w:line="235" w:lineRule="auto" w:before="0"/>
              <w:ind w:left="94" w:right="48"/>
              <w:jc w:val="both"/>
              <w:rPr>
                <w:sz w:val="20"/>
              </w:rPr>
            </w:pPr>
            <w:r>
              <w:rPr>
                <w:sz w:val="20"/>
              </w:rPr>
              <w:t>cf. below, paras 2-222, 4-086 et seq., especially para.4-099, and para.5-042. Neither can estoppel</w:t>
            </w:r>
            <w:r>
              <w:rPr>
                <w:spacing w:val="40"/>
                <w:sz w:val="20"/>
              </w:rPr>
              <w:t> </w:t>
            </w:r>
            <w:r>
              <w:rPr>
                <w:sz w:val="20"/>
              </w:rPr>
              <w:t>by</w:t>
            </w:r>
            <w:r>
              <w:rPr>
                <w:spacing w:val="40"/>
                <w:sz w:val="20"/>
              </w:rPr>
              <w:t> </w:t>
            </w:r>
            <w:r>
              <w:rPr>
                <w:sz w:val="20"/>
              </w:rPr>
              <w:t>convention</w:t>
            </w:r>
            <w:r>
              <w:rPr>
                <w:spacing w:val="40"/>
                <w:sz w:val="20"/>
              </w:rPr>
              <w:t> </w:t>
            </w:r>
            <w:r>
              <w:rPr>
                <w:sz w:val="20"/>
              </w:rPr>
              <w:t>circumvent</w:t>
            </w:r>
            <w:r>
              <w:rPr>
                <w:spacing w:val="40"/>
                <w:sz w:val="20"/>
              </w:rPr>
              <w:t> </w:t>
            </w:r>
            <w:r>
              <w:rPr>
                <w:sz w:val="20"/>
              </w:rPr>
              <w:t>the</w:t>
            </w:r>
            <w:r>
              <w:rPr>
                <w:spacing w:val="40"/>
                <w:sz w:val="20"/>
              </w:rPr>
              <w:t> </w:t>
            </w:r>
            <w:r>
              <w:rPr>
                <w:sz w:val="20"/>
              </w:rPr>
              <w:t>requirements</w:t>
            </w:r>
            <w:r>
              <w:rPr>
                <w:spacing w:val="40"/>
                <w:sz w:val="20"/>
              </w:rPr>
              <w:t> </w:t>
            </w:r>
            <w:r>
              <w:rPr>
                <w:sz w:val="20"/>
              </w:rPr>
              <w:t>of</w:t>
            </w:r>
            <w:r>
              <w:rPr>
                <w:spacing w:val="40"/>
                <w:sz w:val="20"/>
              </w:rPr>
              <w:t> </w:t>
            </w:r>
            <w:r>
              <w:rPr>
                <w:sz w:val="20"/>
              </w:rPr>
              <w:t>s.2</w:t>
            </w:r>
            <w:r>
              <w:rPr>
                <w:spacing w:val="40"/>
                <w:sz w:val="20"/>
              </w:rPr>
              <w:t> </w:t>
            </w:r>
            <w:r>
              <w:rPr>
                <w:sz w:val="20"/>
              </w:rPr>
              <w:t>of</w:t>
            </w:r>
            <w:r>
              <w:rPr>
                <w:spacing w:val="40"/>
                <w:sz w:val="20"/>
              </w:rPr>
              <w:t> </w:t>
            </w:r>
            <w:r>
              <w:rPr>
                <w:sz w:val="20"/>
              </w:rPr>
              <w:t>the</w:t>
            </w:r>
            <w:r>
              <w:rPr>
                <w:spacing w:val="40"/>
                <w:sz w:val="20"/>
              </w:rPr>
              <w:t> </w:t>
            </w:r>
            <w:r>
              <w:rPr>
                <w:sz w:val="20"/>
              </w:rPr>
              <w:t>1989</w:t>
            </w:r>
            <w:r>
              <w:rPr>
                <w:spacing w:val="40"/>
                <w:sz w:val="20"/>
              </w:rPr>
              <w:t> </w:t>
            </w:r>
            <w:r>
              <w:rPr>
                <w:sz w:val="20"/>
              </w:rPr>
              <w:t>Act,</w:t>
            </w:r>
            <w:r>
              <w:rPr>
                <w:spacing w:val="40"/>
                <w:sz w:val="20"/>
              </w:rPr>
              <w:t> </w:t>
            </w:r>
            <w:r>
              <w:rPr>
                <w:sz w:val="20"/>
              </w:rPr>
              <w:t>see</w:t>
            </w:r>
            <w:r>
              <w:rPr>
                <w:spacing w:val="40"/>
                <w:sz w:val="20"/>
              </w:rPr>
              <w:t> </w:t>
            </w:r>
            <w:r>
              <w:rPr>
                <w:sz w:val="20"/>
              </w:rPr>
              <w:t>below, </w:t>
            </w:r>
            <w:r>
              <w:rPr>
                <w:spacing w:val="-2"/>
                <w:sz w:val="20"/>
              </w:rPr>
              <w:t>para.5-043.</w:t>
            </w:r>
          </w:p>
        </w:tc>
      </w:tr>
      <w:tr>
        <w:trPr>
          <w:trHeight w:val="465" w:hRule="atLeast"/>
        </w:trPr>
        <w:tc>
          <w:tcPr>
            <w:tcW w:w="496" w:type="dxa"/>
          </w:tcPr>
          <w:p>
            <w:pPr>
              <w:pStyle w:val="TableParagraph"/>
              <w:jc w:val="center"/>
              <w:rPr>
                <w:sz w:val="14"/>
              </w:rPr>
            </w:pPr>
            <w:r>
              <w:rPr>
                <w:color w:val="005DA1"/>
                <w:spacing w:val="-2"/>
                <w:sz w:val="14"/>
                <w:u w:val="single" w:color="005DA1"/>
              </w:rPr>
              <w:t>1189</w:t>
            </w:r>
            <w:r>
              <w:rPr>
                <w:spacing w:val="-2"/>
                <w:sz w:val="14"/>
              </w:rPr>
              <w:t>.</w:t>
            </w:r>
          </w:p>
        </w:tc>
        <w:tc>
          <w:tcPr>
            <w:tcW w:w="8620" w:type="dxa"/>
          </w:tcPr>
          <w:p>
            <w:pPr>
              <w:pStyle w:val="TableParagraph"/>
              <w:spacing w:before="114"/>
              <w:ind w:left="94" w:right="0"/>
              <w:rPr>
                <w:sz w:val="20"/>
              </w:rPr>
            </w:pPr>
            <w:r>
              <w:rPr>
                <w:sz w:val="20"/>
              </w:rPr>
              <w:t>Law Com. No.164 (1987), </w:t>
            </w:r>
            <w:r>
              <w:rPr>
                <w:spacing w:val="-2"/>
                <w:sz w:val="20"/>
              </w:rPr>
              <w:t>para.5.5.</w:t>
            </w:r>
          </w:p>
        </w:tc>
      </w:tr>
      <w:tr>
        <w:trPr>
          <w:trHeight w:val="465" w:hRule="atLeast"/>
        </w:trPr>
        <w:tc>
          <w:tcPr>
            <w:tcW w:w="496" w:type="dxa"/>
          </w:tcPr>
          <w:p>
            <w:pPr>
              <w:pStyle w:val="TableParagraph"/>
              <w:jc w:val="center"/>
              <w:rPr>
                <w:sz w:val="14"/>
              </w:rPr>
            </w:pPr>
            <w:r>
              <w:rPr>
                <w:color w:val="005DA1"/>
                <w:spacing w:val="-2"/>
                <w:sz w:val="14"/>
                <w:u w:val="single" w:color="005DA1"/>
              </w:rPr>
              <w:t>1190</w:t>
            </w:r>
            <w:r>
              <w:rPr>
                <w:spacing w:val="-2"/>
                <w:sz w:val="14"/>
              </w:rPr>
              <w:t>.</w:t>
            </w:r>
          </w:p>
        </w:tc>
        <w:tc>
          <w:tcPr>
            <w:tcW w:w="8620" w:type="dxa"/>
          </w:tcPr>
          <w:p>
            <w:pPr>
              <w:pStyle w:val="TableParagraph"/>
              <w:spacing w:before="114"/>
              <w:ind w:left="94" w:right="0"/>
              <w:rPr>
                <w:sz w:val="20"/>
              </w:rPr>
            </w:pPr>
            <w:r>
              <w:rPr>
                <w:sz w:val="20"/>
              </w:rPr>
              <w:t>See below, paras 5-044—5-</w:t>
            </w:r>
            <w:r>
              <w:rPr>
                <w:spacing w:val="-4"/>
                <w:sz w:val="20"/>
              </w:rPr>
              <w:t>048.</w:t>
            </w:r>
          </w:p>
        </w:tc>
      </w:tr>
      <w:tr>
        <w:trPr>
          <w:trHeight w:val="465" w:hRule="atLeast"/>
        </w:trPr>
        <w:tc>
          <w:tcPr>
            <w:tcW w:w="496" w:type="dxa"/>
          </w:tcPr>
          <w:p>
            <w:pPr>
              <w:pStyle w:val="TableParagraph"/>
              <w:jc w:val="center"/>
              <w:rPr>
                <w:sz w:val="14"/>
              </w:rPr>
            </w:pPr>
            <w:r>
              <w:rPr>
                <w:color w:val="005DA1"/>
                <w:spacing w:val="-2"/>
                <w:sz w:val="14"/>
                <w:u w:val="single" w:color="005DA1"/>
              </w:rPr>
              <w:t>1191</w:t>
            </w:r>
            <w:r>
              <w:rPr>
                <w:spacing w:val="-2"/>
                <w:sz w:val="14"/>
              </w:rPr>
              <w:t>.</w:t>
            </w:r>
          </w:p>
        </w:tc>
        <w:tc>
          <w:tcPr>
            <w:tcW w:w="8620" w:type="dxa"/>
          </w:tcPr>
          <w:p>
            <w:pPr>
              <w:pStyle w:val="TableParagraph"/>
              <w:spacing w:before="114"/>
              <w:ind w:left="94" w:right="0"/>
              <w:rPr>
                <w:sz w:val="20"/>
              </w:rPr>
            </w:pPr>
            <w:r>
              <w:rPr>
                <w:rFonts w:ascii="Arial"/>
                <w:i/>
                <w:sz w:val="20"/>
              </w:rPr>
              <w:t>[2008] UKHL 55, [2008] 1 W.L.R. 1752</w:t>
            </w:r>
            <w:r>
              <w:rPr>
                <w:rFonts w:ascii="Arial"/>
                <w:i/>
                <w:spacing w:val="-1"/>
                <w:sz w:val="20"/>
              </w:rPr>
              <w:t> </w:t>
            </w:r>
            <w:r>
              <w:rPr>
                <w:sz w:val="20"/>
              </w:rPr>
              <w:t>at </w:t>
            </w:r>
            <w:r>
              <w:rPr>
                <w:spacing w:val="-2"/>
                <w:sz w:val="20"/>
              </w:rPr>
              <w:t>[29].</w:t>
            </w:r>
          </w:p>
        </w:tc>
      </w:tr>
      <w:tr>
        <w:trPr>
          <w:trHeight w:val="465" w:hRule="atLeast"/>
        </w:trPr>
        <w:tc>
          <w:tcPr>
            <w:tcW w:w="496" w:type="dxa"/>
          </w:tcPr>
          <w:p>
            <w:pPr>
              <w:pStyle w:val="TableParagraph"/>
              <w:jc w:val="center"/>
              <w:rPr>
                <w:sz w:val="14"/>
              </w:rPr>
            </w:pPr>
            <w:r>
              <w:rPr>
                <w:color w:val="005DA1"/>
                <w:spacing w:val="-2"/>
                <w:sz w:val="14"/>
                <w:u w:val="single" w:color="005DA1"/>
              </w:rPr>
              <w:t>1192</w:t>
            </w:r>
            <w:r>
              <w:rPr>
                <w:spacing w:val="-2"/>
                <w:sz w:val="14"/>
              </w:rPr>
              <w:t>.</w:t>
            </w:r>
          </w:p>
        </w:tc>
        <w:tc>
          <w:tcPr>
            <w:tcW w:w="8620" w:type="dxa"/>
          </w:tcPr>
          <w:p>
            <w:pPr>
              <w:pStyle w:val="TableParagraph"/>
              <w:spacing w:before="114"/>
              <w:ind w:left="94" w:right="0"/>
              <w:rPr>
                <w:sz w:val="20"/>
              </w:rPr>
            </w:pPr>
            <w:r>
              <w:rPr>
                <w:rFonts w:ascii="Arial"/>
                <w:i/>
                <w:sz w:val="20"/>
              </w:rPr>
              <w:t>Herbert v Doyle [2010] EWCA Civ 1095, [2010] N.P.C. 100</w:t>
            </w:r>
            <w:r>
              <w:rPr>
                <w:rFonts w:ascii="Arial"/>
                <w:i/>
                <w:spacing w:val="-1"/>
                <w:sz w:val="20"/>
              </w:rPr>
              <w:t> </w:t>
            </w:r>
            <w:r>
              <w:rPr>
                <w:sz w:val="20"/>
              </w:rPr>
              <w:t>at </w:t>
            </w:r>
            <w:r>
              <w:rPr>
                <w:spacing w:val="-2"/>
                <w:sz w:val="20"/>
              </w:rPr>
              <w:t>[57].</w:t>
            </w:r>
          </w:p>
        </w:tc>
      </w:tr>
      <w:tr>
        <w:trPr>
          <w:trHeight w:val="465" w:hRule="atLeast"/>
        </w:trPr>
        <w:tc>
          <w:tcPr>
            <w:tcW w:w="496" w:type="dxa"/>
          </w:tcPr>
          <w:p>
            <w:pPr>
              <w:pStyle w:val="TableParagraph"/>
              <w:jc w:val="center"/>
              <w:rPr>
                <w:sz w:val="14"/>
              </w:rPr>
            </w:pPr>
            <w:r>
              <w:rPr>
                <w:color w:val="005DA1"/>
                <w:spacing w:val="-2"/>
                <w:sz w:val="14"/>
                <w:u w:val="single" w:color="005DA1"/>
              </w:rPr>
              <w:t>1193</w:t>
            </w:r>
            <w:r>
              <w:rPr>
                <w:spacing w:val="-2"/>
                <w:sz w:val="14"/>
              </w:rPr>
              <w:t>.</w:t>
            </w:r>
          </w:p>
        </w:tc>
        <w:tc>
          <w:tcPr>
            <w:tcW w:w="8620" w:type="dxa"/>
          </w:tcPr>
          <w:p>
            <w:pPr>
              <w:pStyle w:val="TableParagraph"/>
              <w:spacing w:before="114"/>
              <w:ind w:left="94" w:right="0"/>
              <w:rPr>
                <w:sz w:val="20"/>
              </w:rPr>
            </w:pPr>
            <w:r>
              <w:rPr>
                <w:sz w:val="20"/>
              </w:rPr>
              <w:t>See below, paras 4-086—4-</w:t>
            </w:r>
            <w:r>
              <w:rPr>
                <w:spacing w:val="-4"/>
                <w:sz w:val="20"/>
              </w:rPr>
              <w:t>106.</w:t>
            </w:r>
          </w:p>
        </w:tc>
      </w:tr>
      <w:tr>
        <w:trPr>
          <w:trHeight w:val="465" w:hRule="atLeast"/>
        </w:trPr>
        <w:tc>
          <w:tcPr>
            <w:tcW w:w="496" w:type="dxa"/>
          </w:tcPr>
          <w:p>
            <w:pPr>
              <w:pStyle w:val="TableParagraph"/>
              <w:jc w:val="center"/>
              <w:rPr>
                <w:sz w:val="14"/>
              </w:rPr>
            </w:pPr>
            <w:r>
              <w:rPr>
                <w:color w:val="005DA1"/>
                <w:spacing w:val="-2"/>
                <w:sz w:val="14"/>
                <w:u w:val="single" w:color="005DA1"/>
              </w:rPr>
              <w:t>1194</w:t>
            </w:r>
            <w:r>
              <w:rPr>
                <w:spacing w:val="-2"/>
                <w:sz w:val="14"/>
              </w:rPr>
              <w:t>.</w:t>
            </w:r>
          </w:p>
        </w:tc>
        <w:tc>
          <w:tcPr>
            <w:tcW w:w="8620" w:type="dxa"/>
          </w:tcPr>
          <w:p>
            <w:pPr>
              <w:pStyle w:val="TableParagraph"/>
              <w:spacing w:before="114"/>
              <w:ind w:left="94" w:right="0"/>
              <w:rPr>
                <w:sz w:val="20"/>
              </w:rPr>
            </w:pPr>
            <w:r>
              <w:rPr>
                <w:sz w:val="20"/>
              </w:rPr>
              <w:t>See below, para.4-</w:t>
            </w:r>
            <w:r>
              <w:rPr>
                <w:spacing w:val="-4"/>
                <w:sz w:val="20"/>
              </w:rPr>
              <w:t>107.</w:t>
            </w:r>
          </w:p>
        </w:tc>
      </w:tr>
      <w:tr>
        <w:trPr>
          <w:trHeight w:val="465" w:hRule="atLeast"/>
        </w:trPr>
        <w:tc>
          <w:tcPr>
            <w:tcW w:w="496" w:type="dxa"/>
          </w:tcPr>
          <w:p>
            <w:pPr>
              <w:pStyle w:val="TableParagraph"/>
              <w:jc w:val="center"/>
              <w:rPr>
                <w:sz w:val="14"/>
              </w:rPr>
            </w:pPr>
            <w:r>
              <w:rPr>
                <w:color w:val="005DA1"/>
                <w:spacing w:val="-2"/>
                <w:sz w:val="14"/>
                <w:u w:val="single" w:color="005DA1"/>
              </w:rPr>
              <w:t>1195</w:t>
            </w:r>
            <w:r>
              <w:rPr>
                <w:spacing w:val="-2"/>
                <w:sz w:val="14"/>
              </w:rPr>
              <w:t>.</w:t>
            </w:r>
          </w:p>
        </w:tc>
        <w:tc>
          <w:tcPr>
            <w:tcW w:w="8620" w:type="dxa"/>
          </w:tcPr>
          <w:p>
            <w:pPr>
              <w:pStyle w:val="TableParagraph"/>
              <w:spacing w:before="114"/>
              <w:ind w:left="94" w:right="0"/>
              <w:rPr>
                <w:sz w:val="20"/>
              </w:rPr>
            </w:pPr>
            <w:r>
              <w:rPr>
                <w:sz w:val="20"/>
              </w:rPr>
              <w:t>Restatement, Contracts §90 and Restatement 2d, Contracts </w:t>
            </w:r>
            <w:r>
              <w:rPr>
                <w:spacing w:val="-4"/>
                <w:sz w:val="20"/>
              </w:rPr>
              <w:t>§90.</w:t>
            </w:r>
          </w:p>
        </w:tc>
      </w:tr>
      <w:tr>
        <w:trPr>
          <w:trHeight w:val="344" w:hRule="atLeast"/>
        </w:trPr>
        <w:tc>
          <w:tcPr>
            <w:tcW w:w="496" w:type="dxa"/>
          </w:tcPr>
          <w:p>
            <w:pPr>
              <w:pStyle w:val="TableParagraph"/>
              <w:jc w:val="center"/>
              <w:rPr>
                <w:sz w:val="14"/>
              </w:rPr>
            </w:pPr>
            <w:r>
              <w:rPr>
                <w:color w:val="005DA1"/>
                <w:spacing w:val="-2"/>
                <w:sz w:val="14"/>
                <w:u w:val="single" w:color="005DA1"/>
              </w:rPr>
              <w:t>1196</w:t>
            </w:r>
            <w:r>
              <w:rPr>
                <w:spacing w:val="-2"/>
                <w:sz w:val="14"/>
              </w:rPr>
              <w:t>.</w:t>
            </w:r>
          </w:p>
        </w:tc>
        <w:tc>
          <w:tcPr>
            <w:tcW w:w="8620" w:type="dxa"/>
          </w:tcPr>
          <w:p>
            <w:pPr>
              <w:pStyle w:val="TableParagraph"/>
              <w:spacing w:line="210" w:lineRule="exact" w:before="114"/>
              <w:ind w:left="94" w:right="0"/>
              <w:rPr>
                <w:sz w:val="20"/>
              </w:rPr>
            </w:pPr>
            <w:r>
              <w:rPr>
                <w:rFonts w:ascii="Arial"/>
                <w:i/>
                <w:sz w:val="20"/>
              </w:rPr>
              <w:t>(1988)</w:t>
            </w:r>
            <w:r>
              <w:rPr>
                <w:rFonts w:ascii="Arial"/>
                <w:i/>
                <w:spacing w:val="-1"/>
                <w:sz w:val="20"/>
              </w:rPr>
              <w:t> </w:t>
            </w:r>
            <w:r>
              <w:rPr>
                <w:rFonts w:ascii="Arial"/>
                <w:i/>
                <w:sz w:val="20"/>
              </w:rPr>
              <w:t>164 C.L.R. 387</w:t>
            </w:r>
            <w:r>
              <w:rPr>
                <w:sz w:val="20"/>
              </w:rPr>
              <w:t>. See below, para.4-</w:t>
            </w:r>
            <w:r>
              <w:rPr>
                <w:spacing w:val="-4"/>
                <w:sz w:val="20"/>
              </w:rPr>
              <w:t>107.</w:t>
            </w:r>
          </w:p>
        </w:tc>
      </w:tr>
    </w:tbl>
    <w:p>
      <w:pPr>
        <w:pStyle w:val="BodyText"/>
        <w:rPr>
          <w:sz w:val="14"/>
        </w:rPr>
      </w:pPr>
    </w:p>
    <w:p>
      <w:pPr>
        <w:pStyle w:val="BodyText"/>
        <w:spacing w:before="100"/>
        <w:rPr>
          <w:sz w:val="14"/>
        </w:rPr>
      </w:pPr>
    </w:p>
    <w:p>
      <w:pPr>
        <w:spacing w:before="0"/>
        <w:ind w:left="940" w:right="943" w:firstLine="0"/>
        <w:jc w:val="center"/>
        <w:rPr>
          <w:sz w:val="14"/>
        </w:rPr>
      </w:pPr>
      <w:bookmarkStart w:name="_bookmark1854" w:id="1856"/>
      <w:bookmarkEnd w:id="1856"/>
      <w:r>
        <w:rPr/>
      </w:r>
      <w:r>
        <w:rPr>
          <w:sz w:val="14"/>
        </w:rPr>
        <w:t>© 2018 Sweet &amp; </w:t>
      </w:r>
      <w:r>
        <w:rPr>
          <w:spacing w:val="-2"/>
          <w:sz w:val="14"/>
        </w:rPr>
        <w:t>Maxwell</w:t>
      </w:r>
    </w:p>
    <w:sectPr>
      <w:pgSz w:w="11900" w:h="16840"/>
      <w:pgMar w:header="971" w:footer="0" w:top="1300" w:bottom="280" w:left="1275" w:right="1275"/>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77120">
              <wp:simplePos x="0" y="0"/>
              <wp:positionH relativeFrom="page">
                <wp:posOffset>6221984</wp:posOffset>
              </wp:positionH>
              <wp:positionV relativeFrom="page">
                <wp:posOffset>617496</wp:posOffset>
              </wp:positionV>
              <wp:extent cx="404495" cy="13906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4044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t>10</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89.920013pt;margin-top:48.621811pt;width:31.85pt;height:10.95pt;mso-position-horizontal-relative:page;mso-position-vertical-relative:page;z-index:-20239360" type="#_x0000_t202" id="docshape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t>10</w:t>
                    </w:r>
                  </w:p>
                </w:txbxContent>
              </v:textbox>
              <w10:wrap type="none"/>
            </v:shape>
          </w:pict>
        </mc:Fallback>
      </mc:AlternateContent>
    </w:r>
  </w:p>
</w:hdr>
</file>

<file path=word/header1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1728">
              <wp:simplePos x="0" y="0"/>
              <wp:positionH relativeFrom="page">
                <wp:posOffset>6278473</wp:posOffset>
              </wp:positionH>
              <wp:positionV relativeFrom="page">
                <wp:posOffset>617496</wp:posOffset>
              </wp:positionV>
              <wp:extent cx="386080" cy="139065"/>
              <wp:effectExtent l="0" t="0" r="0" b="0"/>
              <wp:wrapNone/>
              <wp:docPr id="66" name="Textbox 66"/>
              <wp:cNvGraphicFramePr>
                <a:graphicFrameLocks/>
              </wp:cNvGraphicFramePr>
              <a:graphic>
                <a:graphicData uri="http://schemas.microsoft.com/office/word/2010/wordprocessingShape">
                  <wps:wsp>
                    <wps:cNvPr id="66" name="Textbox 66"/>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4752" type="#_x0000_t202" id="docshape1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2240">
              <wp:simplePos x="0" y="0"/>
              <wp:positionH relativeFrom="page">
                <wp:posOffset>6278473</wp:posOffset>
              </wp:positionH>
              <wp:positionV relativeFrom="page">
                <wp:posOffset>617496</wp:posOffset>
              </wp:positionV>
              <wp:extent cx="347980" cy="139065"/>
              <wp:effectExtent l="0" t="0" r="0" b="0"/>
              <wp:wrapNone/>
              <wp:docPr id="68" name="Textbox 68"/>
              <wp:cNvGraphicFramePr>
                <a:graphicFrameLocks/>
              </wp:cNvGraphicFramePr>
              <a:graphic>
                <a:graphicData uri="http://schemas.microsoft.com/office/word/2010/wordprocessingShape">
                  <wps:wsp>
                    <wps:cNvPr id="68" name="Textbox 68"/>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0234240" type="#_x0000_t202" id="docshape2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2752">
              <wp:simplePos x="0" y="0"/>
              <wp:positionH relativeFrom="page">
                <wp:posOffset>6278473</wp:posOffset>
              </wp:positionH>
              <wp:positionV relativeFrom="page">
                <wp:posOffset>617496</wp:posOffset>
              </wp:positionV>
              <wp:extent cx="386080" cy="139065"/>
              <wp:effectExtent l="0" t="0" r="0" b="0"/>
              <wp:wrapNone/>
              <wp:docPr id="69" name="Textbox 69"/>
              <wp:cNvGraphicFramePr>
                <a:graphicFrameLocks/>
              </wp:cNvGraphicFramePr>
              <a:graphic>
                <a:graphicData uri="http://schemas.microsoft.com/office/word/2010/wordprocessingShape">
                  <wps:wsp>
                    <wps:cNvPr id="69" name="Textbox 6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3728" type="#_x0000_t202" id="docshape2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3264">
              <wp:simplePos x="0" y="0"/>
              <wp:positionH relativeFrom="page">
                <wp:posOffset>6278473</wp:posOffset>
              </wp:positionH>
              <wp:positionV relativeFrom="page">
                <wp:posOffset>617496</wp:posOffset>
              </wp:positionV>
              <wp:extent cx="386080" cy="139065"/>
              <wp:effectExtent l="0" t="0" r="0" b="0"/>
              <wp:wrapNone/>
              <wp:docPr id="71" name="Textbox 71"/>
              <wp:cNvGraphicFramePr>
                <a:graphicFrameLocks/>
              </wp:cNvGraphicFramePr>
              <a:graphic>
                <a:graphicData uri="http://schemas.microsoft.com/office/word/2010/wordprocessingShape">
                  <wps:wsp>
                    <wps:cNvPr id="71" name="Textbox 7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3216" type="#_x0000_t202" id="docshape2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3776">
              <wp:simplePos x="0" y="0"/>
              <wp:positionH relativeFrom="page">
                <wp:posOffset>6278473</wp:posOffset>
              </wp:positionH>
              <wp:positionV relativeFrom="page">
                <wp:posOffset>617496</wp:posOffset>
              </wp:positionV>
              <wp:extent cx="386080" cy="139065"/>
              <wp:effectExtent l="0" t="0" r="0" b="0"/>
              <wp:wrapNone/>
              <wp:docPr id="73" name="Textbox 73"/>
              <wp:cNvGraphicFramePr>
                <a:graphicFrameLocks/>
              </wp:cNvGraphicFramePr>
              <a:graphic>
                <a:graphicData uri="http://schemas.microsoft.com/office/word/2010/wordprocessingShape">
                  <wps:wsp>
                    <wps:cNvPr id="73" name="Textbox 7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2704" type="#_x0000_t202" id="docshape2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1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4288">
              <wp:simplePos x="0" y="0"/>
              <wp:positionH relativeFrom="page">
                <wp:posOffset>6278473</wp:posOffset>
              </wp:positionH>
              <wp:positionV relativeFrom="page">
                <wp:posOffset>617496</wp:posOffset>
              </wp:positionV>
              <wp:extent cx="347980" cy="139065"/>
              <wp:effectExtent l="0" t="0" r="0" b="0"/>
              <wp:wrapNone/>
              <wp:docPr id="75" name="Textbox 75"/>
              <wp:cNvGraphicFramePr>
                <a:graphicFrameLocks/>
              </wp:cNvGraphicFramePr>
              <a:graphic>
                <a:graphicData uri="http://schemas.microsoft.com/office/word/2010/wordprocessingShape">
                  <wps:wsp>
                    <wps:cNvPr id="75" name="Textbox 75"/>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0232192" type="#_x0000_t202" id="docshape2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4800">
              <wp:simplePos x="0" y="0"/>
              <wp:positionH relativeFrom="page">
                <wp:posOffset>6278473</wp:posOffset>
              </wp:positionH>
              <wp:positionV relativeFrom="page">
                <wp:posOffset>617496</wp:posOffset>
              </wp:positionV>
              <wp:extent cx="347980" cy="139065"/>
              <wp:effectExtent l="0" t="0" r="0" b="0"/>
              <wp:wrapNone/>
              <wp:docPr id="77" name="Textbox 77"/>
              <wp:cNvGraphicFramePr>
                <a:graphicFrameLocks/>
              </wp:cNvGraphicFramePr>
              <a:graphic>
                <a:graphicData uri="http://schemas.microsoft.com/office/word/2010/wordprocessingShape">
                  <wps:wsp>
                    <wps:cNvPr id="77" name="Textbox 77"/>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0231680" type="#_x0000_t202" id="docshape3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2</w:t>
                    </w:r>
                  </w:p>
                </w:txbxContent>
              </v:textbox>
              <w10:wrap type="none"/>
            </v:shape>
          </w:pict>
        </mc:Fallback>
      </mc:AlternateContent>
    </w:r>
  </w:p>
</w:hdr>
</file>

<file path=word/header1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5312">
              <wp:simplePos x="0" y="0"/>
              <wp:positionH relativeFrom="page">
                <wp:posOffset>6278473</wp:posOffset>
              </wp:positionH>
              <wp:positionV relativeFrom="page">
                <wp:posOffset>617496</wp:posOffset>
              </wp:positionV>
              <wp:extent cx="347980" cy="139065"/>
              <wp:effectExtent l="0" t="0" r="0" b="0"/>
              <wp:wrapNone/>
              <wp:docPr id="79" name="Textbox 79"/>
              <wp:cNvGraphicFramePr>
                <a:graphicFrameLocks/>
              </wp:cNvGraphicFramePr>
              <a:graphic>
                <a:graphicData uri="http://schemas.microsoft.com/office/word/2010/wordprocessingShape">
                  <wps:wsp>
                    <wps:cNvPr id="79" name="Textbox 79"/>
                    <wps:cNvSpPr txBox="1"/>
                    <wps:spPr>
                      <a:xfrm>
                        <a:off x="0" y="0"/>
                        <a:ext cx="3479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wps:txbx>
                    <wps:bodyPr wrap="square" lIns="0" tIns="0" rIns="0" bIns="0" rtlCol="0">
                      <a:noAutofit/>
                    </wps:bodyPr>
                  </wps:wsp>
                </a:graphicData>
              </a:graphic>
            </wp:anchor>
          </w:drawing>
        </mc:Choice>
        <mc:Fallback>
          <w:pict>
            <v:shape style="position:absolute;margin-left:494.368011pt;margin-top:48.621811pt;width:27.4pt;height:10.95pt;mso-position-horizontal-relative:page;mso-position-vertical-relative:page;z-index:-20231168" type="#_x0000_t202" id="docshape3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t>1</w:t>
                    </w:r>
                  </w:p>
                </w:txbxContent>
              </v:textbox>
              <w10:wrap type="none"/>
            </v:shape>
          </w:pict>
        </mc:Fallback>
      </mc:AlternateContent>
    </w:r>
  </w:p>
</w:hdr>
</file>

<file path=word/header1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5824">
              <wp:simplePos x="0" y="0"/>
              <wp:positionH relativeFrom="page">
                <wp:posOffset>6278473</wp:posOffset>
              </wp:positionH>
              <wp:positionV relativeFrom="page">
                <wp:posOffset>617496</wp:posOffset>
              </wp:positionV>
              <wp:extent cx="386080" cy="139065"/>
              <wp:effectExtent l="0" t="0" r="0" b="0"/>
              <wp:wrapNone/>
              <wp:docPr id="81" name="Textbox 81"/>
              <wp:cNvGraphicFramePr>
                <a:graphicFrameLocks/>
              </wp:cNvGraphicFramePr>
              <a:graphic>
                <a:graphicData uri="http://schemas.microsoft.com/office/word/2010/wordprocessingShape">
                  <wps:wsp>
                    <wps:cNvPr id="81" name="Textbox 8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0656" type="#_x0000_t202" id="docshape3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2</w:t>
                    </w:r>
                    <w:r>
                      <w:rPr>
                        <w:rFonts w:ascii="Arial"/>
                        <w:i/>
                        <w:spacing w:val="-10"/>
                        <w:sz w:val="16"/>
                      </w:rPr>
                      <w:fldChar w:fldCharType="end"/>
                    </w:r>
                  </w:p>
                </w:txbxContent>
              </v:textbox>
              <w10:wrap type="none"/>
            </v:shape>
          </w:pict>
        </mc:Fallback>
      </mc:AlternateContent>
    </w:r>
  </w:p>
</w:hdr>
</file>

<file path=word/header1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6336">
              <wp:simplePos x="0" y="0"/>
              <wp:positionH relativeFrom="page">
                <wp:posOffset>6278473</wp:posOffset>
              </wp:positionH>
              <wp:positionV relativeFrom="page">
                <wp:posOffset>617496</wp:posOffset>
              </wp:positionV>
              <wp:extent cx="386080" cy="139065"/>
              <wp:effectExtent l="0" t="0" r="0" b="0"/>
              <wp:wrapNone/>
              <wp:docPr id="83" name="Textbox 83"/>
              <wp:cNvGraphicFramePr>
                <a:graphicFrameLocks/>
              </wp:cNvGraphicFramePr>
              <a:graphic>
                <a:graphicData uri="http://schemas.microsoft.com/office/word/2010/wordprocessingShape">
                  <wps:wsp>
                    <wps:cNvPr id="83" name="Textbox 8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0144" type="#_x0000_t202" id="docshape3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77632">
              <wp:simplePos x="0" y="0"/>
              <wp:positionH relativeFrom="page">
                <wp:posOffset>6278473</wp:posOffset>
              </wp:positionH>
              <wp:positionV relativeFrom="page">
                <wp:posOffset>617496</wp:posOffset>
              </wp:positionV>
              <wp:extent cx="386080" cy="139065"/>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8848" type="#_x0000_t202" id="docshape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0.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6848">
              <wp:simplePos x="0" y="0"/>
              <wp:positionH relativeFrom="page">
                <wp:posOffset>6221984</wp:posOffset>
              </wp:positionH>
              <wp:positionV relativeFrom="page">
                <wp:posOffset>617496</wp:posOffset>
              </wp:positionV>
              <wp:extent cx="442595" cy="139065"/>
              <wp:effectExtent l="0" t="0" r="0" b="0"/>
              <wp:wrapNone/>
              <wp:docPr id="88" name="Textbox 88"/>
              <wp:cNvGraphicFramePr>
                <a:graphicFrameLocks/>
              </wp:cNvGraphicFramePr>
              <a:graphic>
                <a:graphicData uri="http://schemas.microsoft.com/office/word/2010/wordprocessingShape">
                  <wps:wsp>
                    <wps:cNvPr id="88" name="Textbox 88"/>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0229632" type="#_x0000_t202" id="docshape3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7360">
              <wp:simplePos x="0" y="0"/>
              <wp:positionH relativeFrom="page">
                <wp:posOffset>6278473</wp:posOffset>
              </wp:positionH>
              <wp:positionV relativeFrom="page">
                <wp:posOffset>617496</wp:posOffset>
              </wp:positionV>
              <wp:extent cx="386080" cy="139065"/>
              <wp:effectExtent l="0" t="0" r="0" b="0"/>
              <wp:wrapNone/>
              <wp:docPr id="120" name="Textbox 120"/>
              <wp:cNvGraphicFramePr>
                <a:graphicFrameLocks/>
              </wp:cNvGraphicFramePr>
              <a:graphic>
                <a:graphicData uri="http://schemas.microsoft.com/office/word/2010/wordprocessingShape">
                  <wps:wsp>
                    <wps:cNvPr id="120" name="Textbox 120"/>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29120" type="#_x0000_t202" id="docshape4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7872">
              <wp:simplePos x="0" y="0"/>
              <wp:positionH relativeFrom="page">
                <wp:posOffset>6278473</wp:posOffset>
              </wp:positionH>
              <wp:positionV relativeFrom="page">
                <wp:posOffset>617496</wp:posOffset>
              </wp:positionV>
              <wp:extent cx="386080" cy="139065"/>
              <wp:effectExtent l="0" t="0" r="0" b="0"/>
              <wp:wrapNone/>
              <wp:docPr id="125" name="Textbox 125"/>
              <wp:cNvGraphicFramePr>
                <a:graphicFrameLocks/>
              </wp:cNvGraphicFramePr>
              <a:graphic>
                <a:graphicData uri="http://schemas.microsoft.com/office/word/2010/wordprocessingShape">
                  <wps:wsp>
                    <wps:cNvPr id="125" name="Textbox 12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28608" type="#_x0000_t202" id="docshape4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8384">
              <wp:simplePos x="0" y="0"/>
              <wp:positionH relativeFrom="page">
                <wp:posOffset>6278473</wp:posOffset>
              </wp:positionH>
              <wp:positionV relativeFrom="page">
                <wp:posOffset>617496</wp:posOffset>
              </wp:positionV>
              <wp:extent cx="386080" cy="139065"/>
              <wp:effectExtent l="0" t="0" r="0" b="0"/>
              <wp:wrapNone/>
              <wp:docPr id="127" name="Textbox 127"/>
              <wp:cNvGraphicFramePr>
                <a:graphicFrameLocks/>
              </wp:cNvGraphicFramePr>
              <a:graphic>
                <a:graphicData uri="http://schemas.microsoft.com/office/word/2010/wordprocessingShape">
                  <wps:wsp>
                    <wps:cNvPr id="127" name="Textbox 12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28096" type="#_x0000_t202" id="docshape4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8896">
              <wp:simplePos x="0" y="0"/>
              <wp:positionH relativeFrom="page">
                <wp:posOffset>6221984</wp:posOffset>
              </wp:positionH>
              <wp:positionV relativeFrom="page">
                <wp:posOffset>617496</wp:posOffset>
              </wp:positionV>
              <wp:extent cx="442595" cy="139065"/>
              <wp:effectExtent l="0" t="0" r="0" b="0"/>
              <wp:wrapNone/>
              <wp:docPr id="129" name="Textbox 129"/>
              <wp:cNvGraphicFramePr>
                <a:graphicFrameLocks/>
              </wp:cNvGraphicFramePr>
              <a:graphic>
                <a:graphicData uri="http://schemas.microsoft.com/office/word/2010/wordprocessingShape">
                  <wps:wsp>
                    <wps:cNvPr id="129" name="Textbox 129"/>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0227584" type="#_x0000_t202" id="docshape46"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2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9408">
              <wp:simplePos x="0" y="0"/>
              <wp:positionH relativeFrom="page">
                <wp:posOffset>6278473</wp:posOffset>
              </wp:positionH>
              <wp:positionV relativeFrom="page">
                <wp:posOffset>617496</wp:posOffset>
              </wp:positionV>
              <wp:extent cx="386080" cy="139065"/>
              <wp:effectExtent l="0" t="0" r="0" b="0"/>
              <wp:wrapNone/>
              <wp:docPr id="145" name="Textbox 145"/>
              <wp:cNvGraphicFramePr>
                <a:graphicFrameLocks/>
              </wp:cNvGraphicFramePr>
              <a:graphic>
                <a:graphicData uri="http://schemas.microsoft.com/office/word/2010/wordprocessingShape">
                  <wps:wsp>
                    <wps:cNvPr id="145" name="Textbox 14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27072" type="#_x0000_t202" id="docshape48"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9920">
              <wp:simplePos x="0" y="0"/>
              <wp:positionH relativeFrom="page">
                <wp:posOffset>6278473</wp:posOffset>
              </wp:positionH>
              <wp:positionV relativeFrom="page">
                <wp:posOffset>617496</wp:posOffset>
              </wp:positionV>
              <wp:extent cx="386080" cy="139065"/>
              <wp:effectExtent l="0" t="0" r="0" b="0"/>
              <wp:wrapNone/>
              <wp:docPr id="147" name="Textbox 147"/>
              <wp:cNvGraphicFramePr>
                <a:graphicFrameLocks/>
              </wp:cNvGraphicFramePr>
              <a:graphic>
                <a:graphicData uri="http://schemas.microsoft.com/office/word/2010/wordprocessingShape">
                  <wps:wsp>
                    <wps:cNvPr id="147" name="Textbox 147"/>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26560" type="#_x0000_t202" id="docshape50"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90432">
              <wp:simplePos x="0" y="0"/>
              <wp:positionH relativeFrom="page">
                <wp:posOffset>6278473</wp:posOffset>
              </wp:positionH>
              <wp:positionV relativeFrom="page">
                <wp:posOffset>617496</wp:posOffset>
              </wp:positionV>
              <wp:extent cx="386080" cy="139065"/>
              <wp:effectExtent l="0" t="0" r="0" b="0"/>
              <wp:wrapNone/>
              <wp:docPr id="149" name="Textbox 149"/>
              <wp:cNvGraphicFramePr>
                <a:graphicFrameLocks/>
              </wp:cNvGraphicFramePr>
              <a:graphic>
                <a:graphicData uri="http://schemas.microsoft.com/office/word/2010/wordprocessingShape">
                  <wps:wsp>
                    <wps:cNvPr id="149" name="Textbox 149"/>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26048" type="#_x0000_t202" id="docshape52"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2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90944">
              <wp:simplePos x="0" y="0"/>
              <wp:positionH relativeFrom="page">
                <wp:posOffset>6278473</wp:posOffset>
              </wp:positionH>
              <wp:positionV relativeFrom="page">
                <wp:posOffset>617496</wp:posOffset>
              </wp:positionV>
              <wp:extent cx="386080" cy="139065"/>
              <wp:effectExtent l="0" t="0" r="0" b="0"/>
              <wp:wrapNone/>
              <wp:docPr id="151" name="Textbox 151"/>
              <wp:cNvGraphicFramePr>
                <a:graphicFrameLocks/>
              </wp:cNvGraphicFramePr>
              <a:graphic>
                <a:graphicData uri="http://schemas.microsoft.com/office/word/2010/wordprocessingShape">
                  <wps:wsp>
                    <wps:cNvPr id="151" name="Textbox 15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25536" type="#_x0000_t202" id="docshape54"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3.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78144">
              <wp:simplePos x="0" y="0"/>
              <wp:positionH relativeFrom="page">
                <wp:posOffset>6221984</wp:posOffset>
              </wp:positionH>
              <wp:positionV relativeFrom="page">
                <wp:posOffset>617496</wp:posOffset>
              </wp:positionV>
              <wp:extent cx="442595" cy="139065"/>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0238336" type="#_x0000_t202" id="docshape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4.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78656">
              <wp:simplePos x="0" y="0"/>
              <wp:positionH relativeFrom="page">
                <wp:posOffset>6221984</wp:posOffset>
              </wp:positionH>
              <wp:positionV relativeFrom="page">
                <wp:posOffset>617496</wp:posOffset>
              </wp:positionV>
              <wp:extent cx="442595" cy="139065"/>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442595"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wps:txbx>
                    <wps:bodyPr wrap="square" lIns="0" tIns="0" rIns="0" bIns="0" rtlCol="0">
                      <a:noAutofit/>
                    </wps:bodyPr>
                  </wps:wsp>
                </a:graphicData>
              </a:graphic>
            </wp:anchor>
          </w:drawing>
        </mc:Choice>
        <mc:Fallback>
          <w:pict>
            <v:shape style="position:absolute;margin-left:489.920013pt;margin-top:48.621811pt;width:34.85pt;height:10.95pt;mso-position-horizontal-relative:page;mso-position-vertical-relative:page;z-index:-20237824" type="#_x0000_t202" id="docshape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5"/>
                        <w:sz w:val="16"/>
                      </w:rPr>
                      <w:fldChar w:fldCharType="begin"/>
                    </w:r>
                    <w:r>
                      <w:rPr>
                        <w:rFonts w:ascii="Arial"/>
                        <w:i/>
                        <w:spacing w:val="-5"/>
                        <w:sz w:val="16"/>
                      </w:rPr>
                      <w:instrText> PAGE </w:instrText>
                    </w:r>
                    <w:r>
                      <w:rPr>
                        <w:rFonts w:ascii="Arial"/>
                        <w:i/>
                        <w:spacing w:val="-5"/>
                        <w:sz w:val="16"/>
                      </w:rPr>
                      <w:fldChar w:fldCharType="separate"/>
                    </w:r>
                    <w:r>
                      <w:rPr>
                        <w:rFonts w:ascii="Arial"/>
                        <w:i/>
                        <w:spacing w:val="-5"/>
                        <w:sz w:val="16"/>
                      </w:rPr>
                      <w:t>10</w:t>
                    </w:r>
                    <w:r>
                      <w:rPr>
                        <w:rFonts w:ascii="Arial"/>
                        <w:i/>
                        <w:spacing w:val="-5"/>
                        <w:sz w:val="16"/>
                      </w:rPr>
                      <w:fldChar w:fldCharType="end"/>
                    </w:r>
                  </w:p>
                </w:txbxContent>
              </v:textbox>
              <w10:wrap type="none"/>
            </v:shape>
          </w:pict>
        </mc:Fallback>
      </mc:AlternateContent>
    </w:r>
  </w:p>
</w:hdr>
</file>

<file path=word/header5.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79168">
              <wp:simplePos x="0" y="0"/>
              <wp:positionH relativeFrom="page">
                <wp:posOffset>6278473</wp:posOffset>
              </wp:positionH>
              <wp:positionV relativeFrom="page">
                <wp:posOffset>617496</wp:posOffset>
              </wp:positionV>
              <wp:extent cx="386080" cy="139065"/>
              <wp:effectExtent l="0" t="0" r="0" b="0"/>
              <wp:wrapNone/>
              <wp:docPr id="41" name="Textbox 41"/>
              <wp:cNvGraphicFramePr>
                <a:graphicFrameLocks/>
              </wp:cNvGraphicFramePr>
              <a:graphic>
                <a:graphicData uri="http://schemas.microsoft.com/office/word/2010/wordprocessingShape">
                  <wps:wsp>
                    <wps:cNvPr id="41" name="Textbox 41"/>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7312" type="#_x0000_t202" id="docshape9"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6.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79680">
              <wp:simplePos x="0" y="0"/>
              <wp:positionH relativeFrom="page">
                <wp:posOffset>6278473</wp:posOffset>
              </wp:positionH>
              <wp:positionV relativeFrom="page">
                <wp:posOffset>617496</wp:posOffset>
              </wp:positionV>
              <wp:extent cx="386080" cy="139065"/>
              <wp:effectExtent l="0" t="0" r="0" b="0"/>
              <wp:wrapNone/>
              <wp:docPr id="43" name="Textbox 43"/>
              <wp:cNvGraphicFramePr>
                <a:graphicFrameLocks/>
              </wp:cNvGraphicFramePr>
              <a:graphic>
                <a:graphicData uri="http://schemas.microsoft.com/office/word/2010/wordprocessingShape">
                  <wps:wsp>
                    <wps:cNvPr id="43" name="Textbox 43"/>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6800" type="#_x0000_t202" id="docshape11"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7.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0192">
              <wp:simplePos x="0" y="0"/>
              <wp:positionH relativeFrom="page">
                <wp:posOffset>6278473</wp:posOffset>
              </wp:positionH>
              <wp:positionV relativeFrom="page">
                <wp:posOffset>617496</wp:posOffset>
              </wp:positionV>
              <wp:extent cx="386080" cy="139065"/>
              <wp:effectExtent l="0" t="0" r="0" b="0"/>
              <wp:wrapNone/>
              <wp:docPr id="45" name="Textbox 45"/>
              <wp:cNvGraphicFramePr>
                <a:graphicFrameLocks/>
              </wp:cNvGraphicFramePr>
              <a:graphic>
                <a:graphicData uri="http://schemas.microsoft.com/office/word/2010/wordprocessingShape">
                  <wps:wsp>
                    <wps:cNvPr id="45" name="Textbox 45"/>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6288" type="#_x0000_t202" id="docshape13"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8.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0704">
              <wp:simplePos x="0" y="0"/>
              <wp:positionH relativeFrom="page">
                <wp:posOffset>6278473</wp:posOffset>
              </wp:positionH>
              <wp:positionV relativeFrom="page">
                <wp:posOffset>617496</wp:posOffset>
              </wp:positionV>
              <wp:extent cx="386080" cy="139065"/>
              <wp:effectExtent l="0" t="0" r="0" b="0"/>
              <wp:wrapNone/>
              <wp:docPr id="62" name="Textbox 62"/>
              <wp:cNvGraphicFramePr>
                <a:graphicFrameLocks/>
              </wp:cNvGraphicFramePr>
              <a:graphic>
                <a:graphicData uri="http://schemas.microsoft.com/office/word/2010/wordprocessingShape">
                  <wps:wsp>
                    <wps:cNvPr id="62" name="Textbox 62"/>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5776" type="#_x0000_t202" id="docshape15"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header9.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3081216">
              <wp:simplePos x="0" y="0"/>
              <wp:positionH relativeFrom="page">
                <wp:posOffset>6278473</wp:posOffset>
              </wp:positionH>
              <wp:positionV relativeFrom="page">
                <wp:posOffset>617496</wp:posOffset>
              </wp:positionV>
              <wp:extent cx="386080" cy="139065"/>
              <wp:effectExtent l="0" t="0" r="0" b="0"/>
              <wp:wrapNone/>
              <wp:docPr id="64" name="Textbox 64"/>
              <wp:cNvGraphicFramePr>
                <a:graphicFrameLocks/>
              </wp:cNvGraphicFramePr>
              <a:graphic>
                <a:graphicData uri="http://schemas.microsoft.com/office/word/2010/wordprocessingShape">
                  <wps:wsp>
                    <wps:cNvPr id="64" name="Textbox 64"/>
                    <wps:cNvSpPr txBox="1"/>
                    <wps:spPr>
                      <a:xfrm>
                        <a:off x="0" y="0"/>
                        <a:ext cx="386080" cy="139065"/>
                      </a:xfrm>
                      <a:prstGeom prst="rect">
                        <a:avLst/>
                      </a:prstGeom>
                    </wps:spPr>
                    <wps:txbx>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wps:txbx>
                    <wps:bodyPr wrap="square" lIns="0" tIns="0" rIns="0" bIns="0" rtlCol="0">
                      <a:noAutofit/>
                    </wps:bodyPr>
                  </wps:wsp>
                </a:graphicData>
              </a:graphic>
            </wp:anchor>
          </w:drawing>
        </mc:Choice>
        <mc:Fallback>
          <w:pict>
            <v:shape style="position:absolute;margin-left:494.368011pt;margin-top:48.621811pt;width:30.4pt;height:10.95pt;mso-position-horizontal-relative:page;mso-position-vertical-relative:page;z-index:-20235264" type="#_x0000_t202" id="docshape17" filled="false" stroked="false">
              <v:textbox inset="0,0,0,0">
                <w:txbxContent>
                  <w:p>
                    <w:pPr>
                      <w:spacing w:before="14"/>
                      <w:ind w:left="20" w:right="0" w:firstLine="0"/>
                      <w:jc w:val="left"/>
                      <w:rPr>
                        <w:rFonts w:ascii="Arial"/>
                        <w:i/>
                        <w:sz w:val="16"/>
                      </w:rPr>
                    </w:pPr>
                    <w:r>
                      <w:rPr>
                        <w:rFonts w:ascii="Arial"/>
                        <w:i/>
                        <w:sz w:val="16"/>
                      </w:rPr>
                      <w:t>Page </w:t>
                    </w:r>
                    <w:r>
                      <w:rPr>
                        <w:rFonts w:ascii="Arial"/>
                        <w:i/>
                        <w:spacing w:val="-10"/>
                        <w:sz w:val="16"/>
                      </w:rPr>
                      <w:fldChar w:fldCharType="begin"/>
                    </w:r>
                    <w:r>
                      <w:rPr>
                        <w:rFonts w:ascii="Arial"/>
                        <w:i/>
                        <w:spacing w:val="-10"/>
                        <w:sz w:val="16"/>
                      </w:rPr>
                      <w:instrText> PAGE </w:instrText>
                    </w:r>
                    <w:r>
                      <w:rPr>
                        <w:rFonts w:ascii="Arial"/>
                        <w:i/>
                        <w:spacing w:val="-10"/>
                        <w:sz w:val="16"/>
                      </w:rPr>
                      <w:fldChar w:fldCharType="separate"/>
                    </w:r>
                    <w:r>
                      <w:rPr>
                        <w:rFonts w:ascii="Arial"/>
                        <w:i/>
                        <w:spacing w:val="-10"/>
                        <w:sz w:val="16"/>
                      </w:rPr>
                      <w:t>1</w:t>
                    </w:r>
                    <w:r>
                      <w:rPr>
                        <w:rFonts w:ascii="Arial"/>
                        <w:i/>
                        <w:spacing w:val="-10"/>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2"/>
      <w:numFmt w:val="lowerLetter"/>
      <w:lvlText w:val="(%1)"/>
      <w:lvlJc w:val="left"/>
      <w:pPr>
        <w:ind w:left="1438"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2231" w:hanging="374"/>
      </w:pPr>
      <w:rPr>
        <w:rFonts w:hint="default"/>
        <w:lang w:val="en-US" w:eastAsia="en-US" w:bidi="ar-SA"/>
      </w:rPr>
    </w:lvl>
    <w:lvl w:ilvl="2">
      <w:start w:val="0"/>
      <w:numFmt w:val="bullet"/>
      <w:lvlText w:val="•"/>
      <w:lvlJc w:val="left"/>
      <w:pPr>
        <w:ind w:left="3022" w:hanging="374"/>
      </w:pPr>
      <w:rPr>
        <w:rFonts w:hint="default"/>
        <w:lang w:val="en-US" w:eastAsia="en-US" w:bidi="ar-SA"/>
      </w:rPr>
    </w:lvl>
    <w:lvl w:ilvl="3">
      <w:start w:val="0"/>
      <w:numFmt w:val="bullet"/>
      <w:lvlText w:val="•"/>
      <w:lvlJc w:val="left"/>
      <w:pPr>
        <w:ind w:left="3813" w:hanging="374"/>
      </w:pPr>
      <w:rPr>
        <w:rFonts w:hint="default"/>
        <w:lang w:val="en-US" w:eastAsia="en-US" w:bidi="ar-SA"/>
      </w:rPr>
    </w:lvl>
    <w:lvl w:ilvl="4">
      <w:start w:val="0"/>
      <w:numFmt w:val="bullet"/>
      <w:lvlText w:val="•"/>
      <w:lvlJc w:val="left"/>
      <w:pPr>
        <w:ind w:left="4604" w:hanging="374"/>
      </w:pPr>
      <w:rPr>
        <w:rFonts w:hint="default"/>
        <w:lang w:val="en-US" w:eastAsia="en-US" w:bidi="ar-SA"/>
      </w:rPr>
    </w:lvl>
    <w:lvl w:ilvl="5">
      <w:start w:val="0"/>
      <w:numFmt w:val="bullet"/>
      <w:lvlText w:val="•"/>
      <w:lvlJc w:val="left"/>
      <w:pPr>
        <w:ind w:left="5395" w:hanging="374"/>
      </w:pPr>
      <w:rPr>
        <w:rFonts w:hint="default"/>
        <w:lang w:val="en-US" w:eastAsia="en-US" w:bidi="ar-SA"/>
      </w:rPr>
    </w:lvl>
    <w:lvl w:ilvl="6">
      <w:start w:val="0"/>
      <w:numFmt w:val="bullet"/>
      <w:lvlText w:val="•"/>
      <w:lvlJc w:val="left"/>
      <w:pPr>
        <w:ind w:left="6186" w:hanging="374"/>
      </w:pPr>
      <w:rPr>
        <w:rFonts w:hint="default"/>
        <w:lang w:val="en-US" w:eastAsia="en-US" w:bidi="ar-SA"/>
      </w:rPr>
    </w:lvl>
    <w:lvl w:ilvl="7">
      <w:start w:val="0"/>
      <w:numFmt w:val="bullet"/>
      <w:lvlText w:val="•"/>
      <w:lvlJc w:val="left"/>
      <w:pPr>
        <w:ind w:left="6977" w:hanging="374"/>
      </w:pPr>
      <w:rPr>
        <w:rFonts w:hint="default"/>
        <w:lang w:val="en-US" w:eastAsia="en-US" w:bidi="ar-SA"/>
      </w:rPr>
    </w:lvl>
    <w:lvl w:ilvl="8">
      <w:start w:val="0"/>
      <w:numFmt w:val="bullet"/>
      <w:lvlText w:val="•"/>
      <w:lvlJc w:val="left"/>
      <w:pPr>
        <w:ind w:left="7768" w:hanging="374"/>
      </w:pPr>
      <w:rPr>
        <w:rFonts w:hint="default"/>
        <w:lang w:val="en-US" w:eastAsia="en-US" w:bidi="ar-SA"/>
      </w:rPr>
    </w:lvl>
  </w:abstractNum>
  <w:abstractNum w:abstractNumId="7">
    <w:multiLevelType w:val="hybridMultilevel"/>
    <w:lvl w:ilvl="0">
      <w:start w:val="1"/>
      <w:numFmt w:val="lowerLetter"/>
      <w:lvlText w:val="(%1)"/>
      <w:lvlJc w:val="left"/>
      <w:pPr>
        <w:ind w:left="3998"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535" w:hanging="361"/>
      </w:pPr>
      <w:rPr>
        <w:rFonts w:hint="default"/>
        <w:lang w:val="en-US" w:eastAsia="en-US" w:bidi="ar-SA"/>
      </w:rPr>
    </w:lvl>
    <w:lvl w:ilvl="2">
      <w:start w:val="0"/>
      <w:numFmt w:val="bullet"/>
      <w:lvlText w:val="•"/>
      <w:lvlJc w:val="left"/>
      <w:pPr>
        <w:ind w:left="5070" w:hanging="361"/>
      </w:pPr>
      <w:rPr>
        <w:rFonts w:hint="default"/>
        <w:lang w:val="en-US" w:eastAsia="en-US" w:bidi="ar-SA"/>
      </w:rPr>
    </w:lvl>
    <w:lvl w:ilvl="3">
      <w:start w:val="0"/>
      <w:numFmt w:val="bullet"/>
      <w:lvlText w:val="•"/>
      <w:lvlJc w:val="left"/>
      <w:pPr>
        <w:ind w:left="5605" w:hanging="361"/>
      </w:pPr>
      <w:rPr>
        <w:rFonts w:hint="default"/>
        <w:lang w:val="en-US" w:eastAsia="en-US" w:bidi="ar-SA"/>
      </w:rPr>
    </w:lvl>
    <w:lvl w:ilvl="4">
      <w:start w:val="0"/>
      <w:numFmt w:val="bullet"/>
      <w:lvlText w:val="•"/>
      <w:lvlJc w:val="left"/>
      <w:pPr>
        <w:ind w:left="6140" w:hanging="361"/>
      </w:pPr>
      <w:rPr>
        <w:rFonts w:hint="default"/>
        <w:lang w:val="en-US" w:eastAsia="en-US" w:bidi="ar-SA"/>
      </w:rPr>
    </w:lvl>
    <w:lvl w:ilvl="5">
      <w:start w:val="0"/>
      <w:numFmt w:val="bullet"/>
      <w:lvlText w:val="•"/>
      <w:lvlJc w:val="left"/>
      <w:pPr>
        <w:ind w:left="6675" w:hanging="361"/>
      </w:pPr>
      <w:rPr>
        <w:rFonts w:hint="default"/>
        <w:lang w:val="en-US" w:eastAsia="en-US" w:bidi="ar-SA"/>
      </w:rPr>
    </w:lvl>
    <w:lvl w:ilvl="6">
      <w:start w:val="0"/>
      <w:numFmt w:val="bullet"/>
      <w:lvlText w:val="•"/>
      <w:lvlJc w:val="left"/>
      <w:pPr>
        <w:ind w:left="7210" w:hanging="361"/>
      </w:pPr>
      <w:rPr>
        <w:rFonts w:hint="default"/>
        <w:lang w:val="en-US" w:eastAsia="en-US" w:bidi="ar-SA"/>
      </w:rPr>
    </w:lvl>
    <w:lvl w:ilvl="7">
      <w:start w:val="0"/>
      <w:numFmt w:val="bullet"/>
      <w:lvlText w:val="•"/>
      <w:lvlJc w:val="left"/>
      <w:pPr>
        <w:ind w:left="7745" w:hanging="361"/>
      </w:pPr>
      <w:rPr>
        <w:rFonts w:hint="default"/>
        <w:lang w:val="en-US" w:eastAsia="en-US" w:bidi="ar-SA"/>
      </w:rPr>
    </w:lvl>
    <w:lvl w:ilvl="8">
      <w:start w:val="0"/>
      <w:numFmt w:val="bullet"/>
      <w:lvlText w:val="•"/>
      <w:lvlJc w:val="left"/>
      <w:pPr>
        <w:ind w:left="8280" w:hanging="361"/>
      </w:pPr>
      <w:rPr>
        <w:rFonts w:hint="default"/>
        <w:lang w:val="en-US" w:eastAsia="en-US" w:bidi="ar-SA"/>
      </w:rPr>
    </w:lvl>
  </w:abstractNum>
  <w:abstractNum w:abstractNumId="6">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31" w:hanging="271"/>
      </w:pPr>
      <w:rPr>
        <w:rFonts w:hint="default"/>
        <w:lang w:val="en-US" w:eastAsia="en-US" w:bidi="ar-SA"/>
      </w:rPr>
    </w:lvl>
    <w:lvl w:ilvl="2">
      <w:start w:val="0"/>
      <w:numFmt w:val="bullet"/>
      <w:lvlText w:val="•"/>
      <w:lvlJc w:val="left"/>
      <w:pPr>
        <w:ind w:left="2222" w:hanging="271"/>
      </w:pPr>
      <w:rPr>
        <w:rFonts w:hint="default"/>
        <w:lang w:val="en-US" w:eastAsia="en-US" w:bidi="ar-SA"/>
      </w:rPr>
    </w:lvl>
    <w:lvl w:ilvl="3">
      <w:start w:val="0"/>
      <w:numFmt w:val="bullet"/>
      <w:lvlText w:val="•"/>
      <w:lvlJc w:val="left"/>
      <w:pPr>
        <w:ind w:left="3113" w:hanging="271"/>
      </w:pPr>
      <w:rPr>
        <w:rFonts w:hint="default"/>
        <w:lang w:val="en-US" w:eastAsia="en-US" w:bidi="ar-SA"/>
      </w:rPr>
    </w:lvl>
    <w:lvl w:ilvl="4">
      <w:start w:val="0"/>
      <w:numFmt w:val="bullet"/>
      <w:lvlText w:val="•"/>
      <w:lvlJc w:val="left"/>
      <w:pPr>
        <w:ind w:left="4004" w:hanging="271"/>
      </w:pPr>
      <w:rPr>
        <w:rFonts w:hint="default"/>
        <w:lang w:val="en-US" w:eastAsia="en-US" w:bidi="ar-SA"/>
      </w:rPr>
    </w:lvl>
    <w:lvl w:ilvl="5">
      <w:start w:val="0"/>
      <w:numFmt w:val="bullet"/>
      <w:lvlText w:val="•"/>
      <w:lvlJc w:val="left"/>
      <w:pPr>
        <w:ind w:left="4895" w:hanging="271"/>
      </w:pPr>
      <w:rPr>
        <w:rFonts w:hint="default"/>
        <w:lang w:val="en-US" w:eastAsia="en-US" w:bidi="ar-SA"/>
      </w:rPr>
    </w:lvl>
    <w:lvl w:ilvl="6">
      <w:start w:val="0"/>
      <w:numFmt w:val="bullet"/>
      <w:lvlText w:val="•"/>
      <w:lvlJc w:val="left"/>
      <w:pPr>
        <w:ind w:left="5786" w:hanging="271"/>
      </w:pPr>
      <w:rPr>
        <w:rFonts w:hint="default"/>
        <w:lang w:val="en-US" w:eastAsia="en-US" w:bidi="ar-SA"/>
      </w:rPr>
    </w:lvl>
    <w:lvl w:ilvl="7">
      <w:start w:val="0"/>
      <w:numFmt w:val="bullet"/>
      <w:lvlText w:val="•"/>
      <w:lvlJc w:val="left"/>
      <w:pPr>
        <w:ind w:left="6677" w:hanging="271"/>
      </w:pPr>
      <w:rPr>
        <w:rFonts w:hint="default"/>
        <w:lang w:val="en-US" w:eastAsia="en-US" w:bidi="ar-SA"/>
      </w:rPr>
    </w:lvl>
    <w:lvl w:ilvl="8">
      <w:start w:val="0"/>
      <w:numFmt w:val="bullet"/>
      <w:lvlText w:val="•"/>
      <w:lvlJc w:val="left"/>
      <w:pPr>
        <w:ind w:left="7568" w:hanging="271"/>
      </w:pPr>
      <w:rPr>
        <w:rFonts w:hint="default"/>
        <w:lang w:val="en-US" w:eastAsia="en-US" w:bidi="ar-SA"/>
      </w:rPr>
    </w:lvl>
  </w:abstractNum>
  <w:abstractNum w:abstractNumId="5">
    <w:multiLevelType w:val="hybridMultilevel"/>
    <w:lvl w:ilvl="0">
      <w:start w:val="6"/>
      <w:numFmt w:val="lowerLetter"/>
      <w:lvlText w:val="(%1)"/>
      <w:lvlJc w:val="left"/>
      <w:pPr>
        <w:ind w:left="2864" w:hanging="307"/>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509" w:hanging="307"/>
      </w:pPr>
      <w:rPr>
        <w:rFonts w:hint="default"/>
        <w:lang w:val="en-US" w:eastAsia="en-US" w:bidi="ar-SA"/>
      </w:rPr>
    </w:lvl>
    <w:lvl w:ilvl="2">
      <w:start w:val="0"/>
      <w:numFmt w:val="bullet"/>
      <w:lvlText w:val="•"/>
      <w:lvlJc w:val="left"/>
      <w:pPr>
        <w:ind w:left="4158" w:hanging="307"/>
      </w:pPr>
      <w:rPr>
        <w:rFonts w:hint="default"/>
        <w:lang w:val="en-US" w:eastAsia="en-US" w:bidi="ar-SA"/>
      </w:rPr>
    </w:lvl>
    <w:lvl w:ilvl="3">
      <w:start w:val="0"/>
      <w:numFmt w:val="bullet"/>
      <w:lvlText w:val="•"/>
      <w:lvlJc w:val="left"/>
      <w:pPr>
        <w:ind w:left="4807" w:hanging="307"/>
      </w:pPr>
      <w:rPr>
        <w:rFonts w:hint="default"/>
        <w:lang w:val="en-US" w:eastAsia="en-US" w:bidi="ar-SA"/>
      </w:rPr>
    </w:lvl>
    <w:lvl w:ilvl="4">
      <w:start w:val="0"/>
      <w:numFmt w:val="bullet"/>
      <w:lvlText w:val="•"/>
      <w:lvlJc w:val="left"/>
      <w:pPr>
        <w:ind w:left="5456" w:hanging="307"/>
      </w:pPr>
      <w:rPr>
        <w:rFonts w:hint="default"/>
        <w:lang w:val="en-US" w:eastAsia="en-US" w:bidi="ar-SA"/>
      </w:rPr>
    </w:lvl>
    <w:lvl w:ilvl="5">
      <w:start w:val="0"/>
      <w:numFmt w:val="bullet"/>
      <w:lvlText w:val="•"/>
      <w:lvlJc w:val="left"/>
      <w:pPr>
        <w:ind w:left="6105" w:hanging="307"/>
      </w:pPr>
      <w:rPr>
        <w:rFonts w:hint="default"/>
        <w:lang w:val="en-US" w:eastAsia="en-US" w:bidi="ar-SA"/>
      </w:rPr>
    </w:lvl>
    <w:lvl w:ilvl="6">
      <w:start w:val="0"/>
      <w:numFmt w:val="bullet"/>
      <w:lvlText w:val="•"/>
      <w:lvlJc w:val="left"/>
      <w:pPr>
        <w:ind w:left="6754" w:hanging="307"/>
      </w:pPr>
      <w:rPr>
        <w:rFonts w:hint="default"/>
        <w:lang w:val="en-US" w:eastAsia="en-US" w:bidi="ar-SA"/>
      </w:rPr>
    </w:lvl>
    <w:lvl w:ilvl="7">
      <w:start w:val="0"/>
      <w:numFmt w:val="bullet"/>
      <w:lvlText w:val="•"/>
      <w:lvlJc w:val="left"/>
      <w:pPr>
        <w:ind w:left="7403" w:hanging="307"/>
      </w:pPr>
      <w:rPr>
        <w:rFonts w:hint="default"/>
        <w:lang w:val="en-US" w:eastAsia="en-US" w:bidi="ar-SA"/>
      </w:rPr>
    </w:lvl>
    <w:lvl w:ilvl="8">
      <w:start w:val="0"/>
      <w:numFmt w:val="bullet"/>
      <w:lvlText w:val="•"/>
      <w:lvlJc w:val="left"/>
      <w:pPr>
        <w:ind w:left="8052" w:hanging="307"/>
      </w:pPr>
      <w:rPr>
        <w:rFonts w:hint="default"/>
        <w:lang w:val="en-US" w:eastAsia="en-US" w:bidi="ar-SA"/>
      </w:rPr>
    </w:lvl>
  </w:abstractNum>
  <w:abstractNum w:abstractNumId="4">
    <w:multiLevelType w:val="hybridMultilevel"/>
    <w:lvl w:ilvl="0">
      <w:start w:val="4"/>
      <w:numFmt w:val="lowerLetter"/>
      <w:lvlText w:val="(%1)"/>
      <w:lvlJc w:val="left"/>
      <w:pPr>
        <w:ind w:left="3378" w:hanging="374"/>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3977" w:hanging="374"/>
      </w:pPr>
      <w:rPr>
        <w:rFonts w:hint="default"/>
        <w:lang w:val="en-US" w:eastAsia="en-US" w:bidi="ar-SA"/>
      </w:rPr>
    </w:lvl>
    <w:lvl w:ilvl="2">
      <w:start w:val="0"/>
      <w:numFmt w:val="bullet"/>
      <w:lvlText w:val="•"/>
      <w:lvlJc w:val="left"/>
      <w:pPr>
        <w:ind w:left="4574" w:hanging="374"/>
      </w:pPr>
      <w:rPr>
        <w:rFonts w:hint="default"/>
        <w:lang w:val="en-US" w:eastAsia="en-US" w:bidi="ar-SA"/>
      </w:rPr>
    </w:lvl>
    <w:lvl w:ilvl="3">
      <w:start w:val="0"/>
      <w:numFmt w:val="bullet"/>
      <w:lvlText w:val="•"/>
      <w:lvlJc w:val="left"/>
      <w:pPr>
        <w:ind w:left="5171" w:hanging="374"/>
      </w:pPr>
      <w:rPr>
        <w:rFonts w:hint="default"/>
        <w:lang w:val="en-US" w:eastAsia="en-US" w:bidi="ar-SA"/>
      </w:rPr>
    </w:lvl>
    <w:lvl w:ilvl="4">
      <w:start w:val="0"/>
      <w:numFmt w:val="bullet"/>
      <w:lvlText w:val="•"/>
      <w:lvlJc w:val="left"/>
      <w:pPr>
        <w:ind w:left="5768" w:hanging="374"/>
      </w:pPr>
      <w:rPr>
        <w:rFonts w:hint="default"/>
        <w:lang w:val="en-US" w:eastAsia="en-US" w:bidi="ar-SA"/>
      </w:rPr>
    </w:lvl>
    <w:lvl w:ilvl="5">
      <w:start w:val="0"/>
      <w:numFmt w:val="bullet"/>
      <w:lvlText w:val="•"/>
      <w:lvlJc w:val="left"/>
      <w:pPr>
        <w:ind w:left="6365" w:hanging="374"/>
      </w:pPr>
      <w:rPr>
        <w:rFonts w:hint="default"/>
        <w:lang w:val="en-US" w:eastAsia="en-US" w:bidi="ar-SA"/>
      </w:rPr>
    </w:lvl>
    <w:lvl w:ilvl="6">
      <w:start w:val="0"/>
      <w:numFmt w:val="bullet"/>
      <w:lvlText w:val="•"/>
      <w:lvlJc w:val="left"/>
      <w:pPr>
        <w:ind w:left="6962" w:hanging="374"/>
      </w:pPr>
      <w:rPr>
        <w:rFonts w:hint="default"/>
        <w:lang w:val="en-US" w:eastAsia="en-US" w:bidi="ar-SA"/>
      </w:rPr>
    </w:lvl>
    <w:lvl w:ilvl="7">
      <w:start w:val="0"/>
      <w:numFmt w:val="bullet"/>
      <w:lvlText w:val="•"/>
      <w:lvlJc w:val="left"/>
      <w:pPr>
        <w:ind w:left="7559" w:hanging="374"/>
      </w:pPr>
      <w:rPr>
        <w:rFonts w:hint="default"/>
        <w:lang w:val="en-US" w:eastAsia="en-US" w:bidi="ar-SA"/>
      </w:rPr>
    </w:lvl>
    <w:lvl w:ilvl="8">
      <w:start w:val="0"/>
      <w:numFmt w:val="bullet"/>
      <w:lvlText w:val="•"/>
      <w:lvlJc w:val="left"/>
      <w:pPr>
        <w:ind w:left="8156" w:hanging="374"/>
      </w:pPr>
      <w:rPr>
        <w:rFonts w:hint="default"/>
        <w:lang w:val="en-US" w:eastAsia="en-US" w:bidi="ar-SA"/>
      </w:rPr>
    </w:lvl>
  </w:abstractNum>
  <w:abstractNum w:abstractNumId="3">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31" w:hanging="271"/>
      </w:pPr>
      <w:rPr>
        <w:rFonts w:hint="default"/>
        <w:lang w:val="en-US" w:eastAsia="en-US" w:bidi="ar-SA"/>
      </w:rPr>
    </w:lvl>
    <w:lvl w:ilvl="2">
      <w:start w:val="0"/>
      <w:numFmt w:val="bullet"/>
      <w:lvlText w:val="•"/>
      <w:lvlJc w:val="left"/>
      <w:pPr>
        <w:ind w:left="2222" w:hanging="271"/>
      </w:pPr>
      <w:rPr>
        <w:rFonts w:hint="default"/>
        <w:lang w:val="en-US" w:eastAsia="en-US" w:bidi="ar-SA"/>
      </w:rPr>
    </w:lvl>
    <w:lvl w:ilvl="3">
      <w:start w:val="0"/>
      <w:numFmt w:val="bullet"/>
      <w:lvlText w:val="•"/>
      <w:lvlJc w:val="left"/>
      <w:pPr>
        <w:ind w:left="3113" w:hanging="271"/>
      </w:pPr>
      <w:rPr>
        <w:rFonts w:hint="default"/>
        <w:lang w:val="en-US" w:eastAsia="en-US" w:bidi="ar-SA"/>
      </w:rPr>
    </w:lvl>
    <w:lvl w:ilvl="4">
      <w:start w:val="0"/>
      <w:numFmt w:val="bullet"/>
      <w:lvlText w:val="•"/>
      <w:lvlJc w:val="left"/>
      <w:pPr>
        <w:ind w:left="4004" w:hanging="271"/>
      </w:pPr>
      <w:rPr>
        <w:rFonts w:hint="default"/>
        <w:lang w:val="en-US" w:eastAsia="en-US" w:bidi="ar-SA"/>
      </w:rPr>
    </w:lvl>
    <w:lvl w:ilvl="5">
      <w:start w:val="0"/>
      <w:numFmt w:val="bullet"/>
      <w:lvlText w:val="•"/>
      <w:lvlJc w:val="left"/>
      <w:pPr>
        <w:ind w:left="4895" w:hanging="271"/>
      </w:pPr>
      <w:rPr>
        <w:rFonts w:hint="default"/>
        <w:lang w:val="en-US" w:eastAsia="en-US" w:bidi="ar-SA"/>
      </w:rPr>
    </w:lvl>
    <w:lvl w:ilvl="6">
      <w:start w:val="0"/>
      <w:numFmt w:val="bullet"/>
      <w:lvlText w:val="•"/>
      <w:lvlJc w:val="left"/>
      <w:pPr>
        <w:ind w:left="5786" w:hanging="271"/>
      </w:pPr>
      <w:rPr>
        <w:rFonts w:hint="default"/>
        <w:lang w:val="en-US" w:eastAsia="en-US" w:bidi="ar-SA"/>
      </w:rPr>
    </w:lvl>
    <w:lvl w:ilvl="7">
      <w:start w:val="0"/>
      <w:numFmt w:val="bullet"/>
      <w:lvlText w:val="•"/>
      <w:lvlJc w:val="left"/>
      <w:pPr>
        <w:ind w:left="6677" w:hanging="271"/>
      </w:pPr>
      <w:rPr>
        <w:rFonts w:hint="default"/>
        <w:lang w:val="en-US" w:eastAsia="en-US" w:bidi="ar-SA"/>
      </w:rPr>
    </w:lvl>
    <w:lvl w:ilvl="8">
      <w:start w:val="0"/>
      <w:numFmt w:val="bullet"/>
      <w:lvlText w:val="•"/>
      <w:lvlJc w:val="left"/>
      <w:pPr>
        <w:ind w:left="7568" w:hanging="271"/>
      </w:pPr>
      <w:rPr>
        <w:rFonts w:hint="default"/>
        <w:lang w:val="en-US" w:eastAsia="en-US" w:bidi="ar-SA"/>
      </w:rPr>
    </w:lvl>
  </w:abstractNum>
  <w:abstractNum w:abstractNumId="2">
    <w:multiLevelType w:val="hybridMultilevel"/>
    <w:lvl w:ilvl="0">
      <w:start w:val="313"/>
      <w:numFmt w:val="decimal"/>
      <w:lvlText w:val="%1."/>
      <w:lvlJc w:val="left"/>
      <w:pPr>
        <w:ind w:left="705" w:hanging="541"/>
        <w:jc w:val="left"/>
      </w:pPr>
      <w:rPr>
        <w:rFonts w:hint="default" w:ascii="Arial MT" w:hAnsi="Arial MT" w:eastAsia="Arial MT" w:cs="Arial MT"/>
        <w:b w:val="0"/>
        <w:bCs w:val="0"/>
        <w:i w:val="0"/>
        <w:iCs w:val="0"/>
        <w:color w:val="005DA1"/>
        <w:spacing w:val="-1"/>
        <w:w w:val="100"/>
        <w:position w:val="5"/>
        <w:sz w:val="14"/>
        <w:szCs w:val="14"/>
        <w:u w:val="single" w:color="005DA1"/>
        <w:lang w:val="en-US" w:eastAsia="en-US" w:bidi="ar-SA"/>
      </w:rPr>
    </w:lvl>
    <w:lvl w:ilvl="1">
      <w:start w:val="0"/>
      <w:numFmt w:val="bullet"/>
      <w:lvlText w:val="•"/>
      <w:lvlJc w:val="left"/>
      <w:pPr>
        <w:ind w:left="1565" w:hanging="541"/>
      </w:pPr>
      <w:rPr>
        <w:rFonts w:hint="default"/>
        <w:lang w:val="en-US" w:eastAsia="en-US" w:bidi="ar-SA"/>
      </w:rPr>
    </w:lvl>
    <w:lvl w:ilvl="2">
      <w:start w:val="0"/>
      <w:numFmt w:val="bullet"/>
      <w:lvlText w:val="•"/>
      <w:lvlJc w:val="left"/>
      <w:pPr>
        <w:ind w:left="2430" w:hanging="541"/>
      </w:pPr>
      <w:rPr>
        <w:rFonts w:hint="default"/>
        <w:lang w:val="en-US" w:eastAsia="en-US" w:bidi="ar-SA"/>
      </w:rPr>
    </w:lvl>
    <w:lvl w:ilvl="3">
      <w:start w:val="0"/>
      <w:numFmt w:val="bullet"/>
      <w:lvlText w:val="•"/>
      <w:lvlJc w:val="left"/>
      <w:pPr>
        <w:ind w:left="3295" w:hanging="541"/>
      </w:pPr>
      <w:rPr>
        <w:rFonts w:hint="default"/>
        <w:lang w:val="en-US" w:eastAsia="en-US" w:bidi="ar-SA"/>
      </w:rPr>
    </w:lvl>
    <w:lvl w:ilvl="4">
      <w:start w:val="0"/>
      <w:numFmt w:val="bullet"/>
      <w:lvlText w:val="•"/>
      <w:lvlJc w:val="left"/>
      <w:pPr>
        <w:ind w:left="4160" w:hanging="541"/>
      </w:pPr>
      <w:rPr>
        <w:rFonts w:hint="default"/>
        <w:lang w:val="en-US" w:eastAsia="en-US" w:bidi="ar-SA"/>
      </w:rPr>
    </w:lvl>
    <w:lvl w:ilvl="5">
      <w:start w:val="0"/>
      <w:numFmt w:val="bullet"/>
      <w:lvlText w:val="•"/>
      <w:lvlJc w:val="left"/>
      <w:pPr>
        <w:ind w:left="5025" w:hanging="541"/>
      </w:pPr>
      <w:rPr>
        <w:rFonts w:hint="default"/>
        <w:lang w:val="en-US" w:eastAsia="en-US" w:bidi="ar-SA"/>
      </w:rPr>
    </w:lvl>
    <w:lvl w:ilvl="6">
      <w:start w:val="0"/>
      <w:numFmt w:val="bullet"/>
      <w:lvlText w:val="•"/>
      <w:lvlJc w:val="left"/>
      <w:pPr>
        <w:ind w:left="5890" w:hanging="541"/>
      </w:pPr>
      <w:rPr>
        <w:rFonts w:hint="default"/>
        <w:lang w:val="en-US" w:eastAsia="en-US" w:bidi="ar-SA"/>
      </w:rPr>
    </w:lvl>
    <w:lvl w:ilvl="7">
      <w:start w:val="0"/>
      <w:numFmt w:val="bullet"/>
      <w:lvlText w:val="•"/>
      <w:lvlJc w:val="left"/>
      <w:pPr>
        <w:ind w:left="6755" w:hanging="541"/>
      </w:pPr>
      <w:rPr>
        <w:rFonts w:hint="default"/>
        <w:lang w:val="en-US" w:eastAsia="en-US" w:bidi="ar-SA"/>
      </w:rPr>
    </w:lvl>
    <w:lvl w:ilvl="8">
      <w:start w:val="0"/>
      <w:numFmt w:val="bullet"/>
      <w:lvlText w:val="•"/>
      <w:lvlJc w:val="left"/>
      <w:pPr>
        <w:ind w:left="7620" w:hanging="541"/>
      </w:pPr>
      <w:rPr>
        <w:rFonts w:hint="default"/>
        <w:lang w:val="en-US" w:eastAsia="en-US" w:bidi="ar-SA"/>
      </w:rPr>
    </w:lvl>
  </w:abstractNum>
  <w:abstractNum w:abstractNumId="1">
    <w:multiLevelType w:val="hybridMultilevel"/>
    <w:lvl w:ilvl="0">
      <w:start w:val="1"/>
      <w:numFmt w:val="decimal"/>
      <w:lvlText w:val="(%1)"/>
      <w:lvlJc w:val="left"/>
      <w:pPr>
        <w:ind w:left="435" w:hanging="271"/>
        <w:jc w:val="left"/>
      </w:pPr>
      <w:rPr>
        <w:rFonts w:hint="default" w:ascii="Arial" w:hAnsi="Arial" w:eastAsia="Arial" w:cs="Arial"/>
        <w:b/>
        <w:bCs/>
        <w:i w:val="0"/>
        <w:iCs w:val="0"/>
        <w:spacing w:val="0"/>
        <w:w w:val="100"/>
        <w:sz w:val="18"/>
        <w:szCs w:val="18"/>
        <w:lang w:val="en-US" w:eastAsia="en-US" w:bidi="ar-SA"/>
      </w:rPr>
    </w:lvl>
    <w:lvl w:ilvl="1">
      <w:start w:val="0"/>
      <w:numFmt w:val="bullet"/>
      <w:lvlText w:val="•"/>
      <w:lvlJc w:val="left"/>
      <w:pPr>
        <w:ind w:left="1331" w:hanging="271"/>
      </w:pPr>
      <w:rPr>
        <w:rFonts w:hint="default"/>
        <w:lang w:val="en-US" w:eastAsia="en-US" w:bidi="ar-SA"/>
      </w:rPr>
    </w:lvl>
    <w:lvl w:ilvl="2">
      <w:start w:val="0"/>
      <w:numFmt w:val="bullet"/>
      <w:lvlText w:val="•"/>
      <w:lvlJc w:val="left"/>
      <w:pPr>
        <w:ind w:left="2222" w:hanging="271"/>
      </w:pPr>
      <w:rPr>
        <w:rFonts w:hint="default"/>
        <w:lang w:val="en-US" w:eastAsia="en-US" w:bidi="ar-SA"/>
      </w:rPr>
    </w:lvl>
    <w:lvl w:ilvl="3">
      <w:start w:val="0"/>
      <w:numFmt w:val="bullet"/>
      <w:lvlText w:val="•"/>
      <w:lvlJc w:val="left"/>
      <w:pPr>
        <w:ind w:left="3113" w:hanging="271"/>
      </w:pPr>
      <w:rPr>
        <w:rFonts w:hint="default"/>
        <w:lang w:val="en-US" w:eastAsia="en-US" w:bidi="ar-SA"/>
      </w:rPr>
    </w:lvl>
    <w:lvl w:ilvl="4">
      <w:start w:val="0"/>
      <w:numFmt w:val="bullet"/>
      <w:lvlText w:val="•"/>
      <w:lvlJc w:val="left"/>
      <w:pPr>
        <w:ind w:left="4004" w:hanging="271"/>
      </w:pPr>
      <w:rPr>
        <w:rFonts w:hint="default"/>
        <w:lang w:val="en-US" w:eastAsia="en-US" w:bidi="ar-SA"/>
      </w:rPr>
    </w:lvl>
    <w:lvl w:ilvl="5">
      <w:start w:val="0"/>
      <w:numFmt w:val="bullet"/>
      <w:lvlText w:val="•"/>
      <w:lvlJc w:val="left"/>
      <w:pPr>
        <w:ind w:left="4895" w:hanging="271"/>
      </w:pPr>
      <w:rPr>
        <w:rFonts w:hint="default"/>
        <w:lang w:val="en-US" w:eastAsia="en-US" w:bidi="ar-SA"/>
      </w:rPr>
    </w:lvl>
    <w:lvl w:ilvl="6">
      <w:start w:val="0"/>
      <w:numFmt w:val="bullet"/>
      <w:lvlText w:val="•"/>
      <w:lvlJc w:val="left"/>
      <w:pPr>
        <w:ind w:left="5786" w:hanging="271"/>
      </w:pPr>
      <w:rPr>
        <w:rFonts w:hint="default"/>
        <w:lang w:val="en-US" w:eastAsia="en-US" w:bidi="ar-SA"/>
      </w:rPr>
    </w:lvl>
    <w:lvl w:ilvl="7">
      <w:start w:val="0"/>
      <w:numFmt w:val="bullet"/>
      <w:lvlText w:val="•"/>
      <w:lvlJc w:val="left"/>
      <w:pPr>
        <w:ind w:left="6677" w:hanging="271"/>
      </w:pPr>
      <w:rPr>
        <w:rFonts w:hint="default"/>
        <w:lang w:val="en-US" w:eastAsia="en-US" w:bidi="ar-SA"/>
      </w:rPr>
    </w:lvl>
    <w:lvl w:ilvl="8">
      <w:start w:val="0"/>
      <w:numFmt w:val="bullet"/>
      <w:lvlText w:val="•"/>
      <w:lvlJc w:val="left"/>
      <w:pPr>
        <w:ind w:left="7568" w:hanging="271"/>
      </w:pPr>
      <w:rPr>
        <w:rFonts w:hint="default"/>
        <w:lang w:val="en-US" w:eastAsia="en-US" w:bidi="ar-SA"/>
      </w:rPr>
    </w:lvl>
  </w:abstractNum>
  <w:abstractNum w:abstractNumId="0">
    <w:multiLevelType w:val="hybridMultilevel"/>
    <w:lvl w:ilvl="0">
      <w:start w:val="1"/>
      <w:numFmt w:val="lowerLetter"/>
      <w:lvlText w:val="(%1)"/>
      <w:lvlJc w:val="left"/>
      <w:pPr>
        <w:ind w:left="4225" w:hanging="361"/>
        <w:jc w:val="right"/>
      </w:pPr>
      <w:rPr>
        <w:rFonts w:hint="default" w:ascii="Arial" w:hAnsi="Arial" w:eastAsia="Arial" w:cs="Arial"/>
        <w:b/>
        <w:bCs/>
        <w:i w:val="0"/>
        <w:iCs w:val="0"/>
        <w:spacing w:val="0"/>
        <w:w w:val="100"/>
        <w:sz w:val="24"/>
        <w:szCs w:val="24"/>
        <w:lang w:val="en-US" w:eastAsia="en-US" w:bidi="ar-SA"/>
      </w:rPr>
    </w:lvl>
    <w:lvl w:ilvl="1">
      <w:start w:val="0"/>
      <w:numFmt w:val="bullet"/>
      <w:lvlText w:val="•"/>
      <w:lvlJc w:val="left"/>
      <w:pPr>
        <w:ind w:left="4733" w:hanging="361"/>
      </w:pPr>
      <w:rPr>
        <w:rFonts w:hint="default"/>
        <w:lang w:val="en-US" w:eastAsia="en-US" w:bidi="ar-SA"/>
      </w:rPr>
    </w:lvl>
    <w:lvl w:ilvl="2">
      <w:start w:val="0"/>
      <w:numFmt w:val="bullet"/>
      <w:lvlText w:val="•"/>
      <w:lvlJc w:val="left"/>
      <w:pPr>
        <w:ind w:left="5246" w:hanging="361"/>
      </w:pPr>
      <w:rPr>
        <w:rFonts w:hint="default"/>
        <w:lang w:val="en-US" w:eastAsia="en-US" w:bidi="ar-SA"/>
      </w:rPr>
    </w:lvl>
    <w:lvl w:ilvl="3">
      <w:start w:val="0"/>
      <w:numFmt w:val="bullet"/>
      <w:lvlText w:val="•"/>
      <w:lvlJc w:val="left"/>
      <w:pPr>
        <w:ind w:left="5759" w:hanging="361"/>
      </w:pPr>
      <w:rPr>
        <w:rFonts w:hint="default"/>
        <w:lang w:val="en-US" w:eastAsia="en-US" w:bidi="ar-SA"/>
      </w:rPr>
    </w:lvl>
    <w:lvl w:ilvl="4">
      <w:start w:val="0"/>
      <w:numFmt w:val="bullet"/>
      <w:lvlText w:val="•"/>
      <w:lvlJc w:val="left"/>
      <w:pPr>
        <w:ind w:left="6272" w:hanging="361"/>
      </w:pPr>
      <w:rPr>
        <w:rFonts w:hint="default"/>
        <w:lang w:val="en-US" w:eastAsia="en-US" w:bidi="ar-SA"/>
      </w:rPr>
    </w:lvl>
    <w:lvl w:ilvl="5">
      <w:start w:val="0"/>
      <w:numFmt w:val="bullet"/>
      <w:lvlText w:val="•"/>
      <w:lvlJc w:val="left"/>
      <w:pPr>
        <w:ind w:left="6785" w:hanging="361"/>
      </w:pPr>
      <w:rPr>
        <w:rFonts w:hint="default"/>
        <w:lang w:val="en-US" w:eastAsia="en-US" w:bidi="ar-SA"/>
      </w:rPr>
    </w:lvl>
    <w:lvl w:ilvl="6">
      <w:start w:val="0"/>
      <w:numFmt w:val="bullet"/>
      <w:lvlText w:val="•"/>
      <w:lvlJc w:val="left"/>
      <w:pPr>
        <w:ind w:left="7298" w:hanging="361"/>
      </w:pPr>
      <w:rPr>
        <w:rFonts w:hint="default"/>
        <w:lang w:val="en-US" w:eastAsia="en-US" w:bidi="ar-SA"/>
      </w:rPr>
    </w:lvl>
    <w:lvl w:ilvl="7">
      <w:start w:val="0"/>
      <w:numFmt w:val="bullet"/>
      <w:lvlText w:val="•"/>
      <w:lvlJc w:val="left"/>
      <w:pPr>
        <w:ind w:left="7811" w:hanging="361"/>
      </w:pPr>
      <w:rPr>
        <w:rFonts w:hint="default"/>
        <w:lang w:val="en-US" w:eastAsia="en-US" w:bidi="ar-SA"/>
      </w:rPr>
    </w:lvl>
    <w:lvl w:ilvl="8">
      <w:start w:val="0"/>
      <w:numFmt w:val="bullet"/>
      <w:lvlText w:val="•"/>
      <w:lvlJc w:val="left"/>
      <w:pPr>
        <w:ind w:left="8324" w:hanging="361"/>
      </w:pPr>
      <w:rPr>
        <w:rFonts w:hint="default"/>
        <w:lang w:val="en-US" w:eastAsia="en-US" w:bidi="ar-SA"/>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n-US" w:eastAsia="en-US" w:bidi="ar-SA"/>
    </w:rPr>
  </w:style>
  <w:style w:styleId="BodyText" w:type="paragraph">
    <w:name w:val="Body Text"/>
    <w:basedOn w:val="Normal"/>
    <w:uiPriority w:val="1"/>
    <w:qFormat/>
    <w:pPr/>
    <w:rPr>
      <w:rFonts w:ascii="Arial MT" w:hAnsi="Arial MT" w:eastAsia="Arial MT" w:cs="Arial MT"/>
      <w:sz w:val="20"/>
      <w:szCs w:val="20"/>
      <w:lang w:val="en-US" w:eastAsia="en-US" w:bidi="ar-SA"/>
    </w:rPr>
  </w:style>
  <w:style w:styleId="Heading1" w:type="paragraph">
    <w:name w:val="Heading 1"/>
    <w:basedOn w:val="Normal"/>
    <w:uiPriority w:val="1"/>
    <w:qFormat/>
    <w:pPr>
      <w:spacing w:before="257"/>
      <w:ind w:left="940" w:right="943"/>
      <w:jc w:val="center"/>
      <w:outlineLvl w:val="1"/>
    </w:pPr>
    <w:rPr>
      <w:rFonts w:ascii="Arial" w:hAnsi="Arial" w:eastAsia="Arial" w:cs="Arial"/>
      <w:b/>
      <w:bCs/>
      <w:sz w:val="28"/>
      <w:szCs w:val="28"/>
      <w:lang w:val="en-US" w:eastAsia="en-US" w:bidi="ar-SA"/>
    </w:rPr>
  </w:style>
  <w:style w:styleId="Heading2" w:type="paragraph">
    <w:name w:val="Heading 2"/>
    <w:basedOn w:val="Normal"/>
    <w:uiPriority w:val="1"/>
    <w:qFormat/>
    <w:pPr>
      <w:ind w:left="165"/>
      <w:outlineLvl w:val="2"/>
    </w:pPr>
    <w:rPr>
      <w:rFonts w:ascii="Arial" w:hAnsi="Arial" w:eastAsia="Arial" w:cs="Arial"/>
      <w:b/>
      <w:bCs/>
      <w:sz w:val="24"/>
      <w:szCs w:val="24"/>
      <w:lang w:val="en-US" w:eastAsia="en-US" w:bidi="ar-SA"/>
    </w:rPr>
  </w:style>
  <w:style w:styleId="ListParagraph" w:type="paragraph">
    <w:name w:val="List Paragraph"/>
    <w:basedOn w:val="Normal"/>
    <w:uiPriority w:val="1"/>
    <w:qFormat/>
    <w:pPr>
      <w:ind w:left="435" w:hanging="270"/>
    </w:pPr>
    <w:rPr>
      <w:rFonts w:ascii="Arial" w:hAnsi="Arial" w:eastAsia="Arial" w:cs="Arial"/>
      <w:lang w:val="en-US" w:eastAsia="en-US" w:bidi="ar-SA"/>
    </w:rPr>
  </w:style>
  <w:style w:styleId="TableParagraph" w:type="paragraph">
    <w:name w:val="Table Paragraph"/>
    <w:basedOn w:val="Normal"/>
    <w:uiPriority w:val="1"/>
    <w:qFormat/>
    <w:pPr>
      <w:spacing w:before="121"/>
      <w:ind w:right="43"/>
    </w:pPr>
    <w:rPr>
      <w:rFonts w:ascii="Arial MT" w:hAnsi="Arial MT" w:eastAsia="Arial MT" w:cs="Arial MT"/>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image" Target="media/image1.png"/><Relationship Id="rId8" Type="http://schemas.openxmlformats.org/officeDocument/2006/relationships/header" Target="header3.xml"/><Relationship Id="rId9" Type="http://schemas.openxmlformats.org/officeDocument/2006/relationships/header" Target="header4.xml"/><Relationship Id="rId10" Type="http://schemas.openxmlformats.org/officeDocument/2006/relationships/header" Target="header5.xml"/><Relationship Id="rId11" Type="http://schemas.openxmlformats.org/officeDocument/2006/relationships/header" Target="header6.xml"/><Relationship Id="rId12" Type="http://schemas.openxmlformats.org/officeDocument/2006/relationships/header" Target="header7.xml"/><Relationship Id="rId13" Type="http://schemas.openxmlformats.org/officeDocument/2006/relationships/header" Target="header8.xml"/><Relationship Id="rId14" Type="http://schemas.openxmlformats.org/officeDocument/2006/relationships/header" Target="header9.xml"/><Relationship Id="rId15" Type="http://schemas.openxmlformats.org/officeDocument/2006/relationships/header" Target="header10.xml"/><Relationship Id="rId16" Type="http://schemas.openxmlformats.org/officeDocument/2006/relationships/header" Target="header11.xml"/><Relationship Id="rId17" Type="http://schemas.openxmlformats.org/officeDocument/2006/relationships/header" Target="header12.xml"/><Relationship Id="rId18" Type="http://schemas.openxmlformats.org/officeDocument/2006/relationships/header" Target="header13.xml"/><Relationship Id="rId19" Type="http://schemas.openxmlformats.org/officeDocument/2006/relationships/header" Target="header14.xml"/><Relationship Id="rId20" Type="http://schemas.openxmlformats.org/officeDocument/2006/relationships/header" Target="header15.xml"/><Relationship Id="rId21" Type="http://schemas.openxmlformats.org/officeDocument/2006/relationships/header" Target="header16.xml"/><Relationship Id="rId22" Type="http://schemas.openxmlformats.org/officeDocument/2006/relationships/header" Target="header17.xml"/><Relationship Id="rId23" Type="http://schemas.openxmlformats.org/officeDocument/2006/relationships/header" Target="header18.xml"/><Relationship Id="rId24" Type="http://schemas.openxmlformats.org/officeDocument/2006/relationships/header" Target="header19.xml"/><Relationship Id="rId25" Type="http://schemas.openxmlformats.org/officeDocument/2006/relationships/header" Target="header20.xml"/><Relationship Id="rId26" Type="http://schemas.openxmlformats.org/officeDocument/2006/relationships/header" Target="header21.xml"/><Relationship Id="rId27" Type="http://schemas.openxmlformats.org/officeDocument/2006/relationships/header" Target="header22.xml"/><Relationship Id="rId28" Type="http://schemas.openxmlformats.org/officeDocument/2006/relationships/header" Target="header23.xml"/><Relationship Id="rId29" Type="http://schemas.openxmlformats.org/officeDocument/2006/relationships/header" Target="header24.xml"/><Relationship Id="rId30" Type="http://schemas.openxmlformats.org/officeDocument/2006/relationships/header" Target="header25.xml"/><Relationship Id="rId31" Type="http://schemas.openxmlformats.org/officeDocument/2006/relationships/header" Target="header26.xml"/><Relationship Id="rId32" Type="http://schemas.openxmlformats.org/officeDocument/2006/relationships/header" Target="header27.xml"/><Relationship Id="rId33" Type="http://schemas.openxmlformats.org/officeDocument/2006/relationships/header" Target="header28.xml"/><Relationship Id="rId3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2025-03-18T09:24:42Z</dcterms:created>
  <dcterms:modified xsi:type="dcterms:W3CDTF">2025-03-18T09:24:42Z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2025-03-18T00:00:00Z</vt:filetime>
  </property>
  <property fmtid="{D5CDD505-2E9C-101B-9397-08002B2CF9AE}" pid="3" name="LastSaved">
    <vt:filetime>2025-03-18T00:00:00Z</vt:filetime>
  </property>
  <property fmtid="{D5CDD505-2E9C-101B-9397-08002B2CF9AE}" pid="4" name="Producer">
    <vt:lpwstr>iLovePDF</vt:lpwstr>
  </property>
</Properties>
</file>